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Fonts w:hint="eastAsia" w:ascii="宋体" w:hAnsi="宋体" w:cs="宋体"/>
          <w:b/>
          <w:bCs/>
          <w:color w:val="auto"/>
          <w:sz w:val="72"/>
          <w:szCs w:val="72"/>
          <w:highlight w:val="none"/>
        </w:rPr>
      </w:pPr>
      <w:r>
        <w:rPr>
          <w:rFonts w:hint="eastAsia" w:ascii="宋体" w:hAnsi="宋体" w:cs="宋体"/>
          <w:b/>
          <w:bCs/>
          <w:color w:val="auto"/>
          <w:sz w:val="72"/>
          <w:szCs w:val="72"/>
          <w:highlight w:val="none"/>
        </w:rPr>
        <w:t>广西科联招标中心有限公司</w:t>
      </w:r>
    </w:p>
    <w:p>
      <w:pPr>
        <w:spacing w:before="165" w:beforeLines="50" w:line="360" w:lineRule="auto"/>
        <w:jc w:val="center"/>
        <w:rPr>
          <w:rFonts w:hint="eastAsia" w:ascii="宋体" w:hAnsi="宋体" w:cs="宋体"/>
          <w:b/>
          <w:color w:val="auto"/>
          <w:sz w:val="48"/>
          <w:szCs w:val="48"/>
          <w:highlight w:val="none"/>
        </w:rPr>
      </w:pPr>
    </w:p>
    <w:p>
      <w:pPr>
        <w:spacing w:before="165" w:beforeLines="50" w:line="360" w:lineRule="auto"/>
        <w:jc w:val="center"/>
        <w:rPr>
          <w:rFonts w:hint="eastAsia" w:ascii="宋体" w:hAnsi="宋体" w:cs="宋体"/>
          <w:b/>
          <w:color w:val="auto"/>
          <w:sz w:val="48"/>
          <w:szCs w:val="48"/>
          <w:highlight w:val="none"/>
        </w:rPr>
      </w:pPr>
    </w:p>
    <w:p>
      <w:pPr>
        <w:snapToGrid w:val="0"/>
        <w:spacing w:before="165" w:beforeLines="50" w:line="360" w:lineRule="auto"/>
        <w:jc w:val="center"/>
        <w:rPr>
          <w:rFonts w:hint="eastAsia" w:ascii="宋体" w:hAnsi="宋体" w:cs="宋体"/>
          <w:color w:val="auto"/>
          <w:sz w:val="72"/>
          <w:szCs w:val="72"/>
          <w:highlight w:val="none"/>
        </w:rPr>
      </w:pPr>
      <w:r>
        <w:rPr>
          <w:rFonts w:hint="eastAsia" w:ascii="宋体" w:hAnsi="宋体" w:cs="宋体"/>
          <w:color w:val="auto"/>
          <w:sz w:val="72"/>
          <w:szCs w:val="72"/>
          <w:highlight w:val="none"/>
        </w:rPr>
        <w:t>招 标 文 件</w:t>
      </w:r>
    </w:p>
    <w:p>
      <w:pPr>
        <w:snapToGrid w:val="0"/>
        <w:spacing w:before="165" w:beforeLines="50" w:line="360" w:lineRule="auto"/>
        <w:jc w:val="center"/>
        <w:rPr>
          <w:rFonts w:hint="eastAsia" w:ascii="宋体" w:hAnsi="宋体" w:cs="宋体"/>
          <w:color w:val="auto"/>
          <w:sz w:val="30"/>
          <w:szCs w:val="72"/>
          <w:highlight w:val="none"/>
        </w:rPr>
      </w:pPr>
      <w:r>
        <w:rPr>
          <w:rFonts w:hint="eastAsia" w:ascii="宋体" w:hAnsi="宋体" w:cs="宋体"/>
          <w:color w:val="auto"/>
          <w:sz w:val="30"/>
          <w:szCs w:val="72"/>
          <w:highlight w:val="none"/>
        </w:rPr>
        <w:t>（全流程电子化评标）</w:t>
      </w:r>
    </w:p>
    <w:p>
      <w:pPr>
        <w:snapToGrid w:val="0"/>
        <w:spacing w:before="165" w:beforeLines="50" w:line="360" w:lineRule="auto"/>
        <w:rPr>
          <w:rFonts w:hint="eastAsia" w:ascii="宋体" w:hAnsi="宋体" w:cs="宋体"/>
          <w:color w:val="auto"/>
          <w:sz w:val="30"/>
          <w:szCs w:val="72"/>
          <w:highlight w:val="none"/>
        </w:rPr>
      </w:pPr>
    </w:p>
    <w:p>
      <w:pPr>
        <w:pStyle w:val="13"/>
        <w:snapToGrid w:val="0"/>
        <w:spacing w:before="50" w:after="120" w:line="360" w:lineRule="auto"/>
        <w:ind w:firstLine="1506" w:firstLineChars="500"/>
        <w:rPr>
          <w:rFonts w:hint="eastAsia" w:hAnsi="宋体" w:cs="宋体"/>
          <w:b/>
          <w:bCs/>
          <w:color w:val="auto"/>
          <w:sz w:val="30"/>
          <w:szCs w:val="30"/>
          <w:highlight w:val="none"/>
        </w:rPr>
      </w:pPr>
      <w:r>
        <w:rPr>
          <w:rFonts w:hint="eastAsia" w:hAnsi="宋体" w:cs="宋体"/>
          <w:b/>
          <w:bCs/>
          <w:color w:val="auto"/>
          <w:sz w:val="30"/>
          <w:szCs w:val="30"/>
          <w:highlight w:val="none"/>
        </w:rPr>
        <w:t>项目</w:t>
      </w:r>
      <w:r>
        <w:rPr>
          <w:rFonts w:hint="eastAsia" w:hAnsi="宋体" w:cs="宋体"/>
          <w:b/>
          <w:bCs/>
          <w:color w:val="auto"/>
          <w:w w:val="95"/>
          <w:sz w:val="30"/>
          <w:szCs w:val="30"/>
          <w:highlight w:val="none"/>
        </w:rPr>
        <w:t>名称</w:t>
      </w:r>
      <w:r>
        <w:rPr>
          <w:rFonts w:hint="eastAsia" w:hAnsi="宋体" w:cs="宋体"/>
          <w:b/>
          <w:bCs/>
          <w:color w:val="auto"/>
          <w:sz w:val="30"/>
          <w:szCs w:val="30"/>
          <w:highlight w:val="none"/>
        </w:rPr>
        <w:t>：</w:t>
      </w:r>
      <w:bookmarkStart w:id="0" w:name="OLE_LINK1"/>
      <w:r>
        <w:rPr>
          <w:rFonts w:hint="eastAsia" w:hAnsi="宋体" w:cs="宋体"/>
          <w:b/>
          <w:bCs/>
          <w:color w:val="auto"/>
          <w:sz w:val="30"/>
          <w:szCs w:val="30"/>
          <w:highlight w:val="none"/>
        </w:rPr>
        <w:t>广西科技项目管理平台开发服务</w:t>
      </w:r>
      <w:bookmarkEnd w:id="0"/>
    </w:p>
    <w:p>
      <w:pPr>
        <w:snapToGrid w:val="0"/>
        <w:spacing w:before="165" w:beforeLines="50" w:line="360" w:lineRule="auto"/>
        <w:ind w:firstLine="1485" w:firstLineChars="519"/>
        <w:rPr>
          <w:rFonts w:hint="eastAsia" w:ascii="宋体" w:hAnsi="宋体" w:cs="宋体"/>
          <w:b/>
          <w:color w:val="auto"/>
          <w:sz w:val="30"/>
          <w:szCs w:val="48"/>
          <w:highlight w:val="none"/>
        </w:rPr>
      </w:pPr>
      <w:r>
        <w:rPr>
          <w:rFonts w:hint="eastAsia" w:ascii="宋体" w:hAnsi="宋体" w:cs="宋体"/>
          <w:b/>
          <w:bCs/>
          <w:color w:val="auto"/>
          <w:w w:val="95"/>
          <w:sz w:val="30"/>
          <w:szCs w:val="30"/>
          <w:highlight w:val="none"/>
        </w:rPr>
        <w:t>项目</w:t>
      </w:r>
      <w:r>
        <w:rPr>
          <w:rFonts w:hint="eastAsia" w:ascii="宋体" w:hAnsi="宋体" w:cs="宋体"/>
          <w:b/>
          <w:bCs/>
          <w:color w:val="auto"/>
          <w:sz w:val="30"/>
          <w:szCs w:val="30"/>
          <w:highlight w:val="none"/>
        </w:rPr>
        <w:t>编号</w:t>
      </w:r>
      <w:r>
        <w:rPr>
          <w:rFonts w:hint="eastAsia" w:ascii="宋体" w:hAnsi="宋体" w:cs="宋体"/>
          <w:b/>
          <w:bCs/>
          <w:color w:val="auto"/>
          <w:w w:val="95"/>
          <w:sz w:val="30"/>
          <w:szCs w:val="30"/>
          <w:highlight w:val="none"/>
        </w:rPr>
        <w:t>：</w:t>
      </w:r>
      <w:r>
        <w:rPr>
          <w:rFonts w:hint="eastAsia" w:ascii="宋体" w:hAnsi="宋体" w:cs="宋体"/>
          <w:b/>
          <w:bCs/>
          <w:color w:val="auto"/>
          <w:w w:val="95"/>
          <w:sz w:val="30"/>
          <w:szCs w:val="30"/>
          <w:highlight w:val="none"/>
          <w:lang w:eastAsia="zh-CN"/>
        </w:rPr>
        <w:t>GXZC2025-G3-003656-GXKL</w:t>
      </w:r>
      <w:r>
        <w:rPr>
          <w:rFonts w:hint="eastAsia" w:ascii="宋体" w:hAnsi="宋体" w:cs="宋体"/>
          <w:b/>
          <w:color w:val="auto"/>
          <w:sz w:val="30"/>
          <w:szCs w:val="48"/>
          <w:highlight w:val="none"/>
        </w:rPr>
        <w:t xml:space="preserve"> </w:t>
      </w:r>
    </w:p>
    <w:p>
      <w:pPr>
        <w:pStyle w:val="13"/>
        <w:snapToGrid w:val="0"/>
        <w:spacing w:before="50" w:after="120" w:line="360" w:lineRule="auto"/>
        <w:ind w:firstLine="1125" w:firstLineChars="393"/>
        <w:rPr>
          <w:rFonts w:hint="eastAsia" w:hAnsi="宋体" w:cs="宋体"/>
          <w:b/>
          <w:bCs/>
          <w:color w:val="auto"/>
          <w:w w:val="95"/>
          <w:sz w:val="30"/>
          <w:szCs w:val="30"/>
          <w:highlight w:val="none"/>
        </w:rPr>
      </w:pPr>
    </w:p>
    <w:p>
      <w:pPr>
        <w:pStyle w:val="13"/>
        <w:snapToGrid w:val="0"/>
        <w:spacing w:before="50" w:after="120" w:line="360" w:lineRule="auto"/>
        <w:ind w:firstLine="1125" w:firstLineChars="393"/>
        <w:rPr>
          <w:rFonts w:hint="eastAsia" w:hAnsi="宋体" w:cs="宋体"/>
          <w:b/>
          <w:bCs/>
          <w:color w:val="auto"/>
          <w:w w:val="95"/>
          <w:sz w:val="30"/>
          <w:szCs w:val="30"/>
          <w:highlight w:val="none"/>
        </w:rPr>
      </w:pPr>
    </w:p>
    <w:p>
      <w:pPr>
        <w:pStyle w:val="13"/>
        <w:snapToGrid w:val="0"/>
        <w:spacing w:before="50" w:after="120" w:line="360" w:lineRule="auto"/>
        <w:ind w:firstLine="1125" w:firstLineChars="393"/>
        <w:rPr>
          <w:rFonts w:hint="eastAsia" w:hAnsi="宋体" w:cs="宋体"/>
          <w:b/>
          <w:bCs/>
          <w:color w:val="auto"/>
          <w:w w:val="95"/>
          <w:sz w:val="30"/>
          <w:szCs w:val="30"/>
          <w:highlight w:val="none"/>
        </w:rPr>
      </w:pPr>
    </w:p>
    <w:p>
      <w:pPr>
        <w:pStyle w:val="13"/>
        <w:snapToGrid w:val="0"/>
        <w:spacing w:before="50" w:after="120" w:line="360" w:lineRule="auto"/>
        <w:ind w:firstLine="1694" w:firstLineChars="592"/>
        <w:rPr>
          <w:rFonts w:hint="eastAsia" w:hAnsi="宋体" w:cs="宋体"/>
          <w:b/>
          <w:bCs/>
          <w:color w:val="auto"/>
          <w:w w:val="95"/>
          <w:sz w:val="30"/>
          <w:szCs w:val="30"/>
          <w:highlight w:val="none"/>
        </w:rPr>
      </w:pPr>
      <w:r>
        <w:rPr>
          <w:rFonts w:hint="eastAsia" w:hAnsi="宋体" w:cs="宋体"/>
          <w:b/>
          <w:bCs/>
          <w:color w:val="auto"/>
          <w:w w:val="95"/>
          <w:sz w:val="30"/>
          <w:szCs w:val="30"/>
          <w:highlight w:val="none"/>
        </w:rPr>
        <w:t>采 购 人：</w:t>
      </w:r>
      <w:bookmarkStart w:id="1" w:name="OLE_LINK2"/>
      <w:r>
        <w:rPr>
          <w:rFonts w:hint="eastAsia" w:hAnsi="宋体" w:cs="宋体"/>
          <w:b/>
          <w:bCs/>
          <w:color w:val="auto"/>
          <w:sz w:val="30"/>
          <w:szCs w:val="30"/>
          <w:highlight w:val="none"/>
        </w:rPr>
        <w:t>广西科技信息网络中心</w:t>
      </w:r>
      <w:bookmarkEnd w:id="1"/>
      <w:r>
        <w:rPr>
          <w:rFonts w:hint="eastAsia" w:hAnsi="宋体" w:cs="宋体"/>
          <w:b/>
          <w:bCs/>
          <w:color w:val="auto"/>
          <w:w w:val="95"/>
          <w:sz w:val="30"/>
          <w:szCs w:val="30"/>
          <w:highlight w:val="none"/>
        </w:rPr>
        <w:t xml:space="preserve"> </w:t>
      </w:r>
    </w:p>
    <w:p>
      <w:pPr>
        <w:pStyle w:val="13"/>
        <w:snapToGrid w:val="0"/>
        <w:spacing w:before="50" w:after="120" w:line="360" w:lineRule="auto"/>
        <w:ind w:firstLine="1694" w:firstLineChars="592"/>
        <w:rPr>
          <w:rFonts w:hint="eastAsia" w:hAnsi="宋体" w:cs="宋体"/>
          <w:b/>
          <w:bCs/>
          <w:color w:val="auto"/>
          <w:w w:val="95"/>
          <w:sz w:val="30"/>
          <w:szCs w:val="30"/>
          <w:highlight w:val="none"/>
        </w:rPr>
      </w:pPr>
      <w:r>
        <w:rPr>
          <w:rFonts w:hint="eastAsia" w:hAnsi="宋体" w:cs="宋体"/>
          <w:b/>
          <w:bCs/>
          <w:color w:val="auto"/>
          <w:w w:val="95"/>
          <w:sz w:val="30"/>
          <w:szCs w:val="30"/>
          <w:highlight w:val="none"/>
        </w:rPr>
        <w:t>采购代理机构：</w:t>
      </w:r>
      <w:bookmarkStart w:id="2" w:name="PO_3000001867_PM031"/>
      <w:r>
        <w:rPr>
          <w:rFonts w:hint="eastAsia" w:hAnsi="宋体" w:cs="宋体"/>
          <w:b/>
          <w:bCs/>
          <w:color w:val="auto"/>
          <w:w w:val="95"/>
          <w:sz w:val="30"/>
          <w:szCs w:val="30"/>
          <w:highlight w:val="none"/>
        </w:rPr>
        <w:t>广西科联招标中心有限公司</w:t>
      </w:r>
      <w:bookmarkEnd w:id="2"/>
    </w:p>
    <w:p>
      <w:pPr>
        <w:pStyle w:val="13"/>
        <w:snapToGrid w:val="0"/>
        <w:spacing w:before="50" w:after="120" w:line="360" w:lineRule="auto"/>
        <w:ind w:firstLine="841" w:firstLineChars="294"/>
        <w:rPr>
          <w:rFonts w:hint="eastAsia" w:hAnsi="宋体" w:cs="宋体"/>
          <w:b/>
          <w:bCs/>
          <w:color w:val="auto"/>
          <w:w w:val="95"/>
          <w:sz w:val="30"/>
          <w:szCs w:val="30"/>
          <w:highlight w:val="none"/>
        </w:rPr>
      </w:pPr>
      <w:r>
        <w:rPr>
          <w:rFonts w:hint="eastAsia" w:hAnsi="宋体" w:cs="宋体"/>
          <w:b/>
          <w:bCs/>
          <w:color w:val="auto"/>
          <w:w w:val="95"/>
          <w:sz w:val="30"/>
          <w:szCs w:val="30"/>
          <w:highlight w:val="none"/>
        </w:rPr>
        <w:t xml:space="preserve">                   </w:t>
      </w:r>
    </w:p>
    <w:p>
      <w:pPr>
        <w:widowControl/>
        <w:spacing w:line="360" w:lineRule="auto"/>
        <w:jc w:val="left"/>
        <w:rPr>
          <w:rFonts w:hint="eastAsia" w:ascii="宋体" w:hAnsi="宋体" w:cs="宋体"/>
          <w:b/>
          <w:bCs/>
          <w:color w:val="auto"/>
          <w:w w:val="95"/>
          <w:sz w:val="30"/>
          <w:szCs w:val="30"/>
          <w:highlight w:val="none"/>
        </w:rPr>
      </w:pPr>
    </w:p>
    <w:p>
      <w:pPr>
        <w:widowControl/>
        <w:spacing w:line="360" w:lineRule="auto"/>
        <w:jc w:val="left"/>
        <w:rPr>
          <w:rFonts w:hint="eastAsia" w:ascii="宋体" w:hAnsi="宋体" w:cs="宋体"/>
          <w:b/>
          <w:bCs/>
          <w:color w:val="auto"/>
          <w:w w:val="95"/>
          <w:sz w:val="30"/>
          <w:szCs w:val="30"/>
          <w:highlight w:val="none"/>
        </w:rPr>
      </w:pPr>
    </w:p>
    <w:p>
      <w:pPr>
        <w:widowControl/>
        <w:spacing w:line="360" w:lineRule="auto"/>
        <w:jc w:val="center"/>
        <w:rPr>
          <w:rFonts w:hint="eastAsia" w:ascii="宋体" w:hAnsi="宋体" w:cs="宋体"/>
          <w:b/>
          <w:bCs/>
          <w:color w:val="auto"/>
          <w:w w:val="95"/>
          <w:sz w:val="30"/>
          <w:szCs w:val="30"/>
          <w:highlight w:val="none"/>
        </w:rPr>
        <w:sectPr>
          <w:pgSz w:w="11906" w:h="16838"/>
          <w:pgMar w:top="1134" w:right="1020" w:bottom="1020" w:left="1134" w:header="720" w:footer="720" w:gutter="0"/>
          <w:pgNumType w:start="1"/>
          <w:cols w:space="720" w:num="1"/>
          <w:docGrid w:type="lines" w:linePitch="331" w:charSpace="0"/>
        </w:sectPr>
      </w:pPr>
      <w:r>
        <w:rPr>
          <w:rFonts w:hint="eastAsia" w:ascii="宋体" w:hAnsi="宋体" w:cs="宋体"/>
          <w:b/>
          <w:bCs/>
          <w:color w:val="auto"/>
          <w:w w:val="95"/>
          <w:sz w:val="30"/>
          <w:szCs w:val="30"/>
          <w:highlight w:val="none"/>
        </w:rPr>
        <w:t>2025年 11月</w:t>
      </w:r>
    </w:p>
    <w:p>
      <w:pPr>
        <w:pStyle w:val="13"/>
        <w:snapToGrid w:val="0"/>
        <w:spacing w:before="50" w:after="120" w:line="360" w:lineRule="auto"/>
        <w:ind w:firstLine="617" w:firstLineChars="294"/>
        <w:rPr>
          <w:rFonts w:hint="eastAsia" w:hAnsi="宋体" w:cs="宋体"/>
          <w:color w:val="auto"/>
          <w:highlight w:val="none"/>
        </w:rPr>
      </w:pPr>
    </w:p>
    <w:p>
      <w:pPr>
        <w:pStyle w:val="13"/>
        <w:jc w:val="center"/>
        <w:rPr>
          <w:rFonts w:hint="eastAsia"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b/>
          <w:color w:val="auto"/>
          <w:sz w:val="44"/>
          <w:szCs w:val="44"/>
          <w:highlight w:val="none"/>
        </w:rPr>
        <w:t>目     录</w:t>
      </w:r>
    </w:p>
    <w:p>
      <w:pPr>
        <w:rPr>
          <w:color w:val="auto"/>
          <w:highlight w:val="none"/>
        </w:rPr>
      </w:pPr>
    </w:p>
    <w:p>
      <w:pPr>
        <w:pStyle w:val="17"/>
        <w:tabs>
          <w:tab w:val="right" w:leader="dot" w:pos="9638"/>
        </w:tabs>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fldChar w:fldCharType="begin"/>
      </w:r>
      <w:r>
        <w:rPr>
          <w:rFonts w:hint="eastAsia" w:ascii="宋体" w:hAnsi="宋体" w:eastAsia="宋体" w:cs="宋体"/>
          <w:b w:val="0"/>
          <w:bCs w:val="0"/>
          <w:color w:val="auto"/>
          <w:sz w:val="32"/>
          <w:szCs w:val="32"/>
          <w:highlight w:val="none"/>
        </w:rPr>
        <w:instrText xml:space="preserve">TOC \o "1-1" \h \u </w:instrText>
      </w:r>
      <w:r>
        <w:rPr>
          <w:rFonts w:hint="eastAsia" w:ascii="宋体" w:hAnsi="宋体" w:eastAsia="宋体" w:cs="宋体"/>
          <w:b w:val="0"/>
          <w:bCs w:val="0"/>
          <w:color w:val="auto"/>
          <w:sz w:val="32"/>
          <w:szCs w:val="32"/>
          <w:highlight w:val="none"/>
        </w:rPr>
        <w:fldChar w:fldCharType="separate"/>
      </w:r>
      <w:r>
        <w:rPr>
          <w:color w:val="auto"/>
          <w:highlight w:val="none"/>
        </w:rPr>
        <w:fldChar w:fldCharType="begin"/>
      </w:r>
      <w:r>
        <w:rPr>
          <w:color w:val="auto"/>
          <w:highlight w:val="none"/>
        </w:rPr>
        <w:instrText xml:space="preserve"> HYPERLINK \l "_Toc18386" </w:instrText>
      </w:r>
      <w:r>
        <w:rPr>
          <w:color w:val="auto"/>
          <w:highlight w:val="none"/>
        </w:rPr>
        <w:fldChar w:fldCharType="separate"/>
      </w:r>
      <w:r>
        <w:rPr>
          <w:rFonts w:hint="eastAsia" w:ascii="宋体" w:hAnsi="宋体" w:eastAsia="宋体" w:cs="宋体"/>
          <w:b w:val="0"/>
          <w:bCs w:val="0"/>
          <w:color w:val="auto"/>
          <w:sz w:val="32"/>
          <w:szCs w:val="32"/>
          <w:highlight w:val="none"/>
        </w:rPr>
        <w:t>第一章  招标公告</w:t>
      </w:r>
      <w:r>
        <w:rPr>
          <w:rFonts w:hint="eastAsia" w:ascii="宋体" w:hAnsi="宋体" w:eastAsia="宋体" w:cs="宋体"/>
          <w:b w:val="0"/>
          <w:bCs w:val="0"/>
          <w:color w:val="auto"/>
          <w:sz w:val="32"/>
          <w:szCs w:val="32"/>
          <w:highlight w:val="none"/>
        </w:rPr>
        <w:tab/>
      </w:r>
      <w:r>
        <w:rPr>
          <w:rFonts w:hint="eastAsia" w:ascii="宋体" w:hAnsi="宋体" w:eastAsia="宋体" w:cs="宋体"/>
          <w:b w:val="0"/>
          <w:bCs w:val="0"/>
          <w:color w:val="auto"/>
          <w:sz w:val="32"/>
          <w:szCs w:val="32"/>
          <w:highlight w:val="none"/>
        </w:rPr>
        <w:fldChar w:fldCharType="begin"/>
      </w:r>
      <w:r>
        <w:rPr>
          <w:rFonts w:hint="eastAsia" w:ascii="宋体" w:hAnsi="宋体" w:eastAsia="宋体" w:cs="宋体"/>
          <w:b w:val="0"/>
          <w:bCs w:val="0"/>
          <w:color w:val="auto"/>
          <w:sz w:val="32"/>
          <w:szCs w:val="32"/>
          <w:highlight w:val="none"/>
        </w:rPr>
        <w:instrText xml:space="preserve"> PAGEREF _Toc18386 </w:instrText>
      </w:r>
      <w:r>
        <w:rPr>
          <w:rFonts w:hint="eastAsia" w:ascii="宋体" w:hAnsi="宋体" w:eastAsia="宋体" w:cs="宋体"/>
          <w:b w:val="0"/>
          <w:bCs w:val="0"/>
          <w:color w:val="auto"/>
          <w:sz w:val="32"/>
          <w:szCs w:val="32"/>
          <w:highlight w:val="none"/>
        </w:rPr>
        <w:fldChar w:fldCharType="separate"/>
      </w:r>
      <w:r>
        <w:rPr>
          <w:rFonts w:hint="eastAsia" w:ascii="宋体" w:hAnsi="宋体" w:eastAsia="宋体" w:cs="宋体"/>
          <w:b w:val="0"/>
          <w:bCs w:val="0"/>
          <w:color w:val="auto"/>
          <w:sz w:val="32"/>
          <w:szCs w:val="32"/>
          <w:highlight w:val="none"/>
        </w:rPr>
        <w:t>3</w:t>
      </w:r>
      <w:r>
        <w:rPr>
          <w:rFonts w:hint="eastAsia" w:ascii="宋体" w:hAnsi="宋体" w:eastAsia="宋体" w:cs="宋体"/>
          <w:b w:val="0"/>
          <w:bCs w:val="0"/>
          <w:color w:val="auto"/>
          <w:sz w:val="32"/>
          <w:szCs w:val="32"/>
          <w:highlight w:val="none"/>
        </w:rPr>
        <w:fldChar w:fldCharType="end"/>
      </w:r>
      <w:r>
        <w:rPr>
          <w:rFonts w:hint="eastAsia" w:ascii="宋体" w:hAnsi="宋体" w:eastAsia="宋体" w:cs="宋体"/>
          <w:b w:val="0"/>
          <w:bCs w:val="0"/>
          <w:color w:val="auto"/>
          <w:sz w:val="32"/>
          <w:szCs w:val="32"/>
          <w:highlight w:val="none"/>
        </w:rPr>
        <w:fldChar w:fldCharType="end"/>
      </w:r>
    </w:p>
    <w:p>
      <w:pPr>
        <w:pStyle w:val="17"/>
        <w:tabs>
          <w:tab w:val="right" w:leader="dot" w:pos="9638"/>
        </w:tabs>
        <w:rPr>
          <w:rFonts w:hint="eastAsia" w:ascii="宋体" w:hAnsi="宋体" w:eastAsia="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"_Toc21791" </w:instrText>
      </w:r>
      <w:r>
        <w:rPr>
          <w:color w:val="auto"/>
          <w:highlight w:val="none"/>
        </w:rPr>
        <w:fldChar w:fldCharType="separate"/>
      </w:r>
      <w:r>
        <w:rPr>
          <w:rFonts w:hint="eastAsia" w:ascii="宋体" w:hAnsi="宋体" w:eastAsia="宋体" w:cs="宋体"/>
          <w:b w:val="0"/>
          <w:bCs w:val="0"/>
          <w:color w:val="auto"/>
          <w:sz w:val="32"/>
          <w:szCs w:val="32"/>
          <w:highlight w:val="none"/>
        </w:rPr>
        <w:t>第二章  采购需求</w:t>
      </w:r>
      <w:r>
        <w:rPr>
          <w:rFonts w:hint="eastAsia" w:ascii="宋体" w:hAnsi="宋体" w:eastAsia="宋体" w:cs="宋体"/>
          <w:b w:val="0"/>
          <w:bCs w:val="0"/>
          <w:color w:val="auto"/>
          <w:sz w:val="32"/>
          <w:szCs w:val="32"/>
          <w:highlight w:val="none"/>
        </w:rPr>
        <w:tab/>
      </w:r>
      <w:r>
        <w:rPr>
          <w:rFonts w:hint="eastAsia" w:ascii="宋体" w:hAnsi="宋体" w:eastAsia="宋体" w:cs="宋体"/>
          <w:b w:val="0"/>
          <w:bCs w:val="0"/>
          <w:color w:val="auto"/>
          <w:sz w:val="32"/>
          <w:szCs w:val="32"/>
          <w:highlight w:val="none"/>
        </w:rPr>
        <w:fldChar w:fldCharType="begin"/>
      </w:r>
      <w:r>
        <w:rPr>
          <w:rFonts w:hint="eastAsia" w:ascii="宋体" w:hAnsi="宋体" w:eastAsia="宋体" w:cs="宋体"/>
          <w:b w:val="0"/>
          <w:bCs w:val="0"/>
          <w:color w:val="auto"/>
          <w:sz w:val="32"/>
          <w:szCs w:val="32"/>
          <w:highlight w:val="none"/>
        </w:rPr>
        <w:instrText xml:space="preserve"> PAGEREF _Toc21791 </w:instrText>
      </w:r>
      <w:r>
        <w:rPr>
          <w:rFonts w:hint="eastAsia" w:ascii="宋体" w:hAnsi="宋体" w:eastAsia="宋体" w:cs="宋体"/>
          <w:b w:val="0"/>
          <w:bCs w:val="0"/>
          <w:color w:val="auto"/>
          <w:sz w:val="32"/>
          <w:szCs w:val="32"/>
          <w:highlight w:val="none"/>
        </w:rPr>
        <w:fldChar w:fldCharType="separate"/>
      </w:r>
      <w:r>
        <w:rPr>
          <w:rFonts w:hint="eastAsia" w:ascii="宋体" w:hAnsi="宋体" w:eastAsia="宋体" w:cs="宋体"/>
          <w:b w:val="0"/>
          <w:bCs w:val="0"/>
          <w:color w:val="auto"/>
          <w:sz w:val="32"/>
          <w:szCs w:val="32"/>
          <w:highlight w:val="none"/>
        </w:rPr>
        <w:t>7</w:t>
      </w:r>
      <w:r>
        <w:rPr>
          <w:rFonts w:hint="eastAsia" w:ascii="宋体" w:hAnsi="宋体" w:eastAsia="宋体" w:cs="宋体"/>
          <w:b w:val="0"/>
          <w:bCs w:val="0"/>
          <w:color w:val="auto"/>
          <w:sz w:val="32"/>
          <w:szCs w:val="32"/>
          <w:highlight w:val="none"/>
        </w:rPr>
        <w:fldChar w:fldCharType="end"/>
      </w:r>
      <w:r>
        <w:rPr>
          <w:rFonts w:hint="eastAsia" w:ascii="宋体" w:hAnsi="宋体" w:eastAsia="宋体" w:cs="宋体"/>
          <w:b w:val="0"/>
          <w:bCs w:val="0"/>
          <w:color w:val="auto"/>
          <w:sz w:val="32"/>
          <w:szCs w:val="32"/>
          <w:highlight w:val="none"/>
        </w:rPr>
        <w:fldChar w:fldCharType="end"/>
      </w:r>
    </w:p>
    <w:p>
      <w:pPr>
        <w:pStyle w:val="17"/>
        <w:tabs>
          <w:tab w:val="right" w:leader="dot" w:pos="9638"/>
        </w:tabs>
        <w:rPr>
          <w:rFonts w:hint="eastAsia" w:ascii="宋体" w:hAnsi="宋体" w:eastAsia="宋体" w:cs="宋体"/>
          <w:b w:val="0"/>
          <w:bCs w:val="0"/>
          <w:color w:val="auto"/>
          <w:sz w:val="32"/>
          <w:szCs w:val="32"/>
          <w:highlight w:val="none"/>
        </w:rPr>
      </w:pPr>
      <w:r>
        <w:rPr>
          <w:color w:val="auto"/>
          <w:highlight w:val="none"/>
        </w:rPr>
        <w:fldChar w:fldCharType="begin"/>
      </w:r>
      <w:r>
        <w:rPr>
          <w:color w:val="auto"/>
          <w:highlight w:val="none"/>
        </w:rPr>
        <w:instrText xml:space="preserve"> HYPERLINK \l "_Toc10316" </w:instrText>
      </w:r>
      <w:r>
        <w:rPr>
          <w:color w:val="auto"/>
          <w:highlight w:val="none"/>
        </w:rPr>
        <w:fldChar w:fldCharType="separate"/>
      </w:r>
      <w:r>
        <w:rPr>
          <w:rFonts w:hint="eastAsia" w:ascii="宋体" w:hAnsi="宋体" w:eastAsia="宋体" w:cs="宋体"/>
          <w:b w:val="0"/>
          <w:bCs w:val="0"/>
          <w:color w:val="auto"/>
          <w:sz w:val="32"/>
          <w:szCs w:val="32"/>
          <w:highlight w:val="none"/>
        </w:rPr>
        <w:t>第三章  投标人须知</w:t>
      </w:r>
      <w:r>
        <w:rPr>
          <w:rFonts w:hint="eastAsia" w:ascii="宋体" w:hAnsi="宋体" w:eastAsia="宋体" w:cs="宋体"/>
          <w:b w:val="0"/>
          <w:bCs w:val="0"/>
          <w:color w:val="auto"/>
          <w:sz w:val="32"/>
          <w:szCs w:val="32"/>
          <w:highlight w:val="none"/>
        </w:rPr>
        <w:tab/>
      </w:r>
      <w:r>
        <w:rPr>
          <w:rFonts w:hint="eastAsia" w:ascii="宋体" w:hAnsi="宋体" w:eastAsia="宋体" w:cs="宋体"/>
          <w:b w:val="0"/>
          <w:bCs w:val="0"/>
          <w:color w:val="auto"/>
          <w:sz w:val="32"/>
          <w:szCs w:val="32"/>
          <w:highlight w:val="none"/>
        </w:rPr>
        <w:fldChar w:fldCharType="begin"/>
      </w:r>
      <w:r>
        <w:rPr>
          <w:rFonts w:hint="eastAsia" w:ascii="宋体" w:hAnsi="宋体" w:eastAsia="宋体" w:cs="宋体"/>
          <w:b w:val="0"/>
          <w:bCs w:val="0"/>
          <w:color w:val="auto"/>
          <w:sz w:val="32"/>
          <w:szCs w:val="32"/>
          <w:highlight w:val="none"/>
        </w:rPr>
        <w:instrText xml:space="preserve"> PAGEREF _Toc10316 </w:instrText>
      </w:r>
      <w:r>
        <w:rPr>
          <w:rFonts w:hint="eastAsia" w:ascii="宋体" w:hAnsi="宋体" w:eastAsia="宋体" w:cs="宋体"/>
          <w:b w:val="0"/>
          <w:bCs w:val="0"/>
          <w:color w:val="auto"/>
          <w:sz w:val="32"/>
          <w:szCs w:val="32"/>
          <w:highlight w:val="none"/>
        </w:rPr>
        <w:fldChar w:fldCharType="separate"/>
      </w:r>
      <w:r>
        <w:rPr>
          <w:rFonts w:hint="eastAsia" w:ascii="宋体" w:hAnsi="宋体" w:eastAsia="宋体" w:cs="宋体"/>
          <w:b w:val="0"/>
          <w:bCs w:val="0"/>
          <w:color w:val="auto"/>
          <w:sz w:val="32"/>
          <w:szCs w:val="32"/>
          <w:highlight w:val="none"/>
        </w:rPr>
        <w:t>43</w:t>
      </w:r>
      <w:r>
        <w:rPr>
          <w:rFonts w:hint="eastAsia" w:ascii="宋体" w:hAnsi="宋体" w:eastAsia="宋体" w:cs="宋体"/>
          <w:b w:val="0"/>
          <w:bCs w:val="0"/>
          <w:color w:val="auto"/>
          <w:sz w:val="32"/>
          <w:szCs w:val="32"/>
          <w:highlight w:val="none"/>
        </w:rPr>
        <w:fldChar w:fldCharType="end"/>
      </w:r>
      <w:r>
        <w:rPr>
          <w:rFonts w:hint="eastAsia" w:ascii="宋体" w:hAnsi="宋体" w:eastAsia="宋体" w:cs="宋体"/>
          <w:b w:val="0"/>
          <w:bCs w:val="0"/>
          <w:color w:val="auto"/>
          <w:sz w:val="32"/>
          <w:szCs w:val="32"/>
          <w:highlight w:val="none"/>
        </w:rPr>
        <w:fldChar w:fldCharType="end"/>
      </w:r>
    </w:p>
    <w:p>
      <w:pPr>
        <w:pStyle w:val="17"/>
        <w:tabs>
          <w:tab w:val="right" w:leader="dot" w:pos="9638"/>
        </w:tabs>
        <w:rPr>
          <w:rFonts w:hint="eastAsia" w:ascii="宋体" w:hAnsi="宋体" w:eastAsia="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"_Toc28215" </w:instrText>
      </w:r>
      <w:r>
        <w:rPr>
          <w:color w:val="auto"/>
          <w:highlight w:val="none"/>
        </w:rPr>
        <w:fldChar w:fldCharType="separate"/>
      </w:r>
      <w:r>
        <w:rPr>
          <w:rFonts w:hint="eastAsia" w:ascii="宋体" w:hAnsi="宋体" w:eastAsia="宋体" w:cs="宋体"/>
          <w:b w:val="0"/>
          <w:bCs w:val="0"/>
          <w:color w:val="auto"/>
          <w:sz w:val="32"/>
          <w:szCs w:val="32"/>
          <w:highlight w:val="none"/>
        </w:rPr>
        <w:t>第四章  评标方法和评标标准</w:t>
      </w:r>
      <w:r>
        <w:rPr>
          <w:rFonts w:hint="eastAsia" w:ascii="宋体" w:hAnsi="宋体" w:eastAsia="宋体" w:cs="宋体"/>
          <w:b w:val="0"/>
          <w:bCs w:val="0"/>
          <w:color w:val="auto"/>
          <w:sz w:val="32"/>
          <w:szCs w:val="32"/>
          <w:highlight w:val="none"/>
        </w:rPr>
        <w:tab/>
      </w:r>
      <w:r>
        <w:rPr>
          <w:rFonts w:hint="eastAsia" w:ascii="宋体" w:hAnsi="宋体" w:eastAsia="宋体" w:cs="宋体"/>
          <w:b w:val="0"/>
          <w:bCs w:val="0"/>
          <w:color w:val="auto"/>
          <w:sz w:val="32"/>
          <w:szCs w:val="32"/>
          <w:highlight w:val="none"/>
        </w:rPr>
        <w:fldChar w:fldCharType="begin"/>
      </w:r>
      <w:r>
        <w:rPr>
          <w:rFonts w:hint="eastAsia" w:ascii="宋体" w:hAnsi="宋体" w:eastAsia="宋体" w:cs="宋体"/>
          <w:b w:val="0"/>
          <w:bCs w:val="0"/>
          <w:color w:val="auto"/>
          <w:sz w:val="32"/>
          <w:szCs w:val="32"/>
          <w:highlight w:val="none"/>
        </w:rPr>
        <w:instrText xml:space="preserve"> PAGEREF _Toc28215 </w:instrText>
      </w:r>
      <w:r>
        <w:rPr>
          <w:rFonts w:hint="eastAsia" w:ascii="宋体" w:hAnsi="宋体" w:eastAsia="宋体" w:cs="宋体"/>
          <w:b w:val="0"/>
          <w:bCs w:val="0"/>
          <w:color w:val="auto"/>
          <w:sz w:val="32"/>
          <w:szCs w:val="32"/>
          <w:highlight w:val="none"/>
        </w:rPr>
        <w:fldChar w:fldCharType="separate"/>
      </w:r>
      <w:r>
        <w:rPr>
          <w:rFonts w:hint="eastAsia" w:ascii="宋体" w:hAnsi="宋体" w:eastAsia="宋体" w:cs="宋体"/>
          <w:b w:val="0"/>
          <w:bCs w:val="0"/>
          <w:color w:val="auto"/>
          <w:sz w:val="32"/>
          <w:szCs w:val="32"/>
          <w:highlight w:val="none"/>
        </w:rPr>
        <w:t>68</w:t>
      </w:r>
      <w:r>
        <w:rPr>
          <w:rFonts w:hint="eastAsia" w:ascii="宋体" w:hAnsi="宋体" w:eastAsia="宋体" w:cs="宋体"/>
          <w:b w:val="0"/>
          <w:bCs w:val="0"/>
          <w:color w:val="auto"/>
          <w:sz w:val="32"/>
          <w:szCs w:val="32"/>
          <w:highlight w:val="none"/>
        </w:rPr>
        <w:fldChar w:fldCharType="end"/>
      </w:r>
      <w:r>
        <w:rPr>
          <w:rFonts w:hint="eastAsia" w:ascii="宋体" w:hAnsi="宋体" w:eastAsia="宋体" w:cs="宋体"/>
          <w:b w:val="0"/>
          <w:bCs w:val="0"/>
          <w:color w:val="auto"/>
          <w:sz w:val="32"/>
          <w:szCs w:val="32"/>
          <w:highlight w:val="none"/>
        </w:rPr>
        <w:fldChar w:fldCharType="end"/>
      </w:r>
    </w:p>
    <w:p>
      <w:pPr>
        <w:pStyle w:val="17"/>
        <w:tabs>
          <w:tab w:val="right" w:leader="dot" w:pos="9638"/>
        </w:tabs>
        <w:rPr>
          <w:rFonts w:hint="eastAsia" w:ascii="宋体" w:hAnsi="宋体" w:eastAsia="宋体" w:cs="宋体"/>
          <w:b w:val="0"/>
          <w:bCs w:val="0"/>
          <w:color w:val="auto"/>
          <w:sz w:val="32"/>
          <w:szCs w:val="32"/>
          <w:highlight w:val="none"/>
        </w:rPr>
      </w:pPr>
      <w:r>
        <w:rPr>
          <w:color w:val="auto"/>
          <w:highlight w:val="none"/>
        </w:rPr>
        <w:fldChar w:fldCharType="begin"/>
      </w:r>
      <w:r>
        <w:rPr>
          <w:color w:val="auto"/>
          <w:highlight w:val="none"/>
        </w:rPr>
        <w:instrText xml:space="preserve"> HYPERLINK \l "_Toc3087" </w:instrText>
      </w:r>
      <w:r>
        <w:rPr>
          <w:color w:val="auto"/>
          <w:highlight w:val="none"/>
        </w:rPr>
        <w:fldChar w:fldCharType="separate"/>
      </w:r>
      <w:r>
        <w:rPr>
          <w:rFonts w:hint="eastAsia" w:ascii="宋体" w:hAnsi="宋体" w:eastAsia="宋体" w:cs="宋体"/>
          <w:b w:val="0"/>
          <w:bCs w:val="0"/>
          <w:color w:val="auto"/>
          <w:sz w:val="32"/>
          <w:szCs w:val="32"/>
          <w:highlight w:val="none"/>
        </w:rPr>
        <w:t>第五章  拟签订的合同文本</w:t>
      </w:r>
      <w:r>
        <w:rPr>
          <w:rFonts w:hint="eastAsia" w:ascii="宋体" w:hAnsi="宋体" w:eastAsia="宋体" w:cs="宋体"/>
          <w:b w:val="0"/>
          <w:bCs w:val="0"/>
          <w:color w:val="auto"/>
          <w:sz w:val="32"/>
          <w:szCs w:val="32"/>
          <w:highlight w:val="none"/>
        </w:rPr>
        <w:tab/>
      </w:r>
      <w:r>
        <w:rPr>
          <w:rFonts w:hint="eastAsia" w:ascii="宋体" w:hAnsi="宋体" w:eastAsia="宋体" w:cs="宋体"/>
          <w:b w:val="0"/>
          <w:bCs w:val="0"/>
          <w:color w:val="auto"/>
          <w:sz w:val="32"/>
          <w:szCs w:val="32"/>
          <w:highlight w:val="none"/>
        </w:rPr>
        <w:fldChar w:fldCharType="begin"/>
      </w:r>
      <w:r>
        <w:rPr>
          <w:rFonts w:hint="eastAsia" w:ascii="宋体" w:hAnsi="宋体" w:eastAsia="宋体" w:cs="宋体"/>
          <w:b w:val="0"/>
          <w:bCs w:val="0"/>
          <w:color w:val="auto"/>
          <w:sz w:val="32"/>
          <w:szCs w:val="32"/>
          <w:highlight w:val="none"/>
        </w:rPr>
        <w:instrText xml:space="preserve"> PAGEREF _Toc3087 </w:instrText>
      </w:r>
      <w:r>
        <w:rPr>
          <w:rFonts w:hint="eastAsia" w:ascii="宋体" w:hAnsi="宋体" w:eastAsia="宋体" w:cs="宋体"/>
          <w:b w:val="0"/>
          <w:bCs w:val="0"/>
          <w:color w:val="auto"/>
          <w:sz w:val="32"/>
          <w:szCs w:val="32"/>
          <w:highlight w:val="none"/>
        </w:rPr>
        <w:fldChar w:fldCharType="separate"/>
      </w:r>
      <w:r>
        <w:rPr>
          <w:rFonts w:hint="eastAsia" w:ascii="宋体" w:hAnsi="宋体" w:eastAsia="宋体" w:cs="宋体"/>
          <w:b w:val="0"/>
          <w:bCs w:val="0"/>
          <w:color w:val="auto"/>
          <w:sz w:val="32"/>
          <w:szCs w:val="32"/>
          <w:highlight w:val="none"/>
        </w:rPr>
        <w:t>79</w:t>
      </w:r>
      <w:r>
        <w:rPr>
          <w:rFonts w:hint="eastAsia" w:ascii="宋体" w:hAnsi="宋体" w:eastAsia="宋体" w:cs="宋体"/>
          <w:b w:val="0"/>
          <w:bCs w:val="0"/>
          <w:color w:val="auto"/>
          <w:sz w:val="32"/>
          <w:szCs w:val="32"/>
          <w:highlight w:val="none"/>
        </w:rPr>
        <w:fldChar w:fldCharType="end"/>
      </w:r>
      <w:r>
        <w:rPr>
          <w:rFonts w:hint="eastAsia" w:ascii="宋体" w:hAnsi="宋体" w:eastAsia="宋体" w:cs="宋体"/>
          <w:b w:val="0"/>
          <w:bCs w:val="0"/>
          <w:color w:val="auto"/>
          <w:sz w:val="32"/>
          <w:szCs w:val="32"/>
          <w:highlight w:val="none"/>
        </w:rPr>
        <w:fldChar w:fldCharType="end"/>
      </w:r>
    </w:p>
    <w:p>
      <w:pPr>
        <w:pStyle w:val="17"/>
        <w:tabs>
          <w:tab w:val="right" w:leader="dot" w:pos="9638"/>
        </w:tabs>
        <w:rPr>
          <w:rFonts w:hint="eastAsia" w:ascii="宋体" w:hAnsi="宋体" w:eastAsia="宋体" w:cs="宋体"/>
          <w:b w:val="0"/>
          <w:bCs w:val="0"/>
          <w:color w:val="auto"/>
          <w:sz w:val="32"/>
          <w:szCs w:val="32"/>
          <w:highlight w:val="none"/>
        </w:rPr>
      </w:pPr>
      <w:r>
        <w:rPr>
          <w:color w:val="auto"/>
          <w:highlight w:val="none"/>
        </w:rPr>
        <w:fldChar w:fldCharType="begin"/>
      </w:r>
      <w:r>
        <w:rPr>
          <w:color w:val="auto"/>
          <w:highlight w:val="none"/>
        </w:rPr>
        <w:instrText xml:space="preserve"> HYPERLINK \l "_Toc6639" </w:instrText>
      </w:r>
      <w:r>
        <w:rPr>
          <w:color w:val="auto"/>
          <w:highlight w:val="none"/>
        </w:rPr>
        <w:fldChar w:fldCharType="separate"/>
      </w:r>
      <w:r>
        <w:rPr>
          <w:rFonts w:hint="eastAsia" w:ascii="宋体" w:hAnsi="宋体" w:eastAsia="宋体" w:cs="宋体"/>
          <w:b w:val="0"/>
          <w:bCs w:val="0"/>
          <w:color w:val="auto"/>
          <w:sz w:val="32"/>
          <w:szCs w:val="32"/>
          <w:highlight w:val="none"/>
        </w:rPr>
        <w:t>第六章  投标文件格式</w:t>
      </w:r>
      <w:r>
        <w:rPr>
          <w:rFonts w:hint="eastAsia" w:ascii="宋体" w:hAnsi="宋体" w:eastAsia="宋体" w:cs="宋体"/>
          <w:b w:val="0"/>
          <w:bCs w:val="0"/>
          <w:color w:val="auto"/>
          <w:sz w:val="32"/>
          <w:szCs w:val="32"/>
          <w:highlight w:val="none"/>
        </w:rPr>
        <w:tab/>
      </w:r>
      <w:r>
        <w:rPr>
          <w:rFonts w:hint="eastAsia" w:ascii="宋体" w:hAnsi="宋体" w:eastAsia="宋体" w:cs="宋体"/>
          <w:b w:val="0"/>
          <w:bCs w:val="0"/>
          <w:color w:val="auto"/>
          <w:sz w:val="32"/>
          <w:szCs w:val="32"/>
          <w:highlight w:val="none"/>
        </w:rPr>
        <w:fldChar w:fldCharType="begin"/>
      </w:r>
      <w:r>
        <w:rPr>
          <w:rFonts w:hint="eastAsia" w:ascii="宋体" w:hAnsi="宋体" w:eastAsia="宋体" w:cs="宋体"/>
          <w:b w:val="0"/>
          <w:bCs w:val="0"/>
          <w:color w:val="auto"/>
          <w:sz w:val="32"/>
          <w:szCs w:val="32"/>
          <w:highlight w:val="none"/>
        </w:rPr>
        <w:instrText xml:space="preserve"> PAGEREF _Toc6639 </w:instrText>
      </w:r>
      <w:r>
        <w:rPr>
          <w:rFonts w:hint="eastAsia" w:ascii="宋体" w:hAnsi="宋体" w:eastAsia="宋体" w:cs="宋体"/>
          <w:b w:val="0"/>
          <w:bCs w:val="0"/>
          <w:color w:val="auto"/>
          <w:sz w:val="32"/>
          <w:szCs w:val="32"/>
          <w:highlight w:val="none"/>
        </w:rPr>
        <w:fldChar w:fldCharType="separate"/>
      </w:r>
      <w:r>
        <w:rPr>
          <w:rFonts w:hint="eastAsia" w:ascii="宋体" w:hAnsi="宋体" w:eastAsia="宋体" w:cs="宋体"/>
          <w:b w:val="0"/>
          <w:bCs w:val="0"/>
          <w:color w:val="auto"/>
          <w:sz w:val="32"/>
          <w:szCs w:val="32"/>
          <w:highlight w:val="none"/>
        </w:rPr>
        <w:t>95</w:t>
      </w:r>
      <w:r>
        <w:rPr>
          <w:rFonts w:hint="eastAsia" w:ascii="宋体" w:hAnsi="宋体" w:eastAsia="宋体" w:cs="宋体"/>
          <w:b w:val="0"/>
          <w:bCs w:val="0"/>
          <w:color w:val="auto"/>
          <w:sz w:val="32"/>
          <w:szCs w:val="32"/>
          <w:highlight w:val="none"/>
        </w:rPr>
        <w:fldChar w:fldCharType="end"/>
      </w:r>
      <w:r>
        <w:rPr>
          <w:rFonts w:hint="eastAsia" w:ascii="宋体" w:hAnsi="宋体" w:eastAsia="宋体" w:cs="宋体"/>
          <w:b w:val="0"/>
          <w:bCs w:val="0"/>
          <w:color w:val="auto"/>
          <w:sz w:val="32"/>
          <w:szCs w:val="32"/>
          <w:highlight w:val="none"/>
        </w:rPr>
        <w:fldChar w:fldCharType="end"/>
      </w:r>
    </w:p>
    <w:p>
      <w:pPr>
        <w:pStyle w:val="17"/>
        <w:tabs>
          <w:tab w:val="right" w:leader="dot" w:pos="9638"/>
        </w:tabs>
        <w:rPr>
          <w:rFonts w:hint="eastAsia" w:ascii="宋体" w:hAnsi="宋体" w:eastAsia="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"_Toc22405" </w:instrText>
      </w:r>
      <w:r>
        <w:rPr>
          <w:color w:val="auto"/>
          <w:highlight w:val="none"/>
        </w:rPr>
        <w:fldChar w:fldCharType="separate"/>
      </w:r>
      <w:r>
        <w:rPr>
          <w:rFonts w:hint="eastAsia" w:ascii="宋体" w:hAnsi="宋体" w:eastAsia="宋体" w:cs="宋体"/>
          <w:b w:val="0"/>
          <w:bCs w:val="0"/>
          <w:color w:val="auto"/>
          <w:sz w:val="32"/>
          <w:szCs w:val="32"/>
          <w:highlight w:val="none"/>
        </w:rPr>
        <w:t>第七章  质疑、投诉材料格式</w:t>
      </w:r>
      <w:r>
        <w:rPr>
          <w:rFonts w:hint="eastAsia" w:ascii="宋体" w:hAnsi="宋体" w:eastAsia="宋体" w:cs="宋体"/>
          <w:b w:val="0"/>
          <w:bCs w:val="0"/>
          <w:color w:val="auto"/>
          <w:sz w:val="32"/>
          <w:szCs w:val="32"/>
          <w:highlight w:val="none"/>
        </w:rPr>
        <w:tab/>
      </w:r>
      <w:r>
        <w:rPr>
          <w:rFonts w:hint="eastAsia" w:ascii="宋体" w:hAnsi="宋体" w:eastAsia="宋体" w:cs="宋体"/>
          <w:b w:val="0"/>
          <w:bCs w:val="0"/>
          <w:color w:val="auto"/>
          <w:sz w:val="32"/>
          <w:szCs w:val="32"/>
          <w:highlight w:val="none"/>
        </w:rPr>
        <w:fldChar w:fldCharType="begin"/>
      </w:r>
      <w:r>
        <w:rPr>
          <w:rFonts w:hint="eastAsia" w:ascii="宋体" w:hAnsi="宋体" w:eastAsia="宋体" w:cs="宋体"/>
          <w:b w:val="0"/>
          <w:bCs w:val="0"/>
          <w:color w:val="auto"/>
          <w:sz w:val="32"/>
          <w:szCs w:val="32"/>
          <w:highlight w:val="none"/>
        </w:rPr>
        <w:instrText xml:space="preserve"> PAGEREF _Toc22405 </w:instrText>
      </w:r>
      <w:r>
        <w:rPr>
          <w:rFonts w:hint="eastAsia" w:ascii="宋体" w:hAnsi="宋体" w:eastAsia="宋体" w:cs="宋体"/>
          <w:b w:val="0"/>
          <w:bCs w:val="0"/>
          <w:color w:val="auto"/>
          <w:sz w:val="32"/>
          <w:szCs w:val="32"/>
          <w:highlight w:val="none"/>
        </w:rPr>
        <w:fldChar w:fldCharType="separate"/>
      </w:r>
      <w:r>
        <w:rPr>
          <w:rFonts w:hint="eastAsia" w:ascii="宋体" w:hAnsi="宋体" w:eastAsia="宋体" w:cs="宋体"/>
          <w:b w:val="0"/>
          <w:bCs w:val="0"/>
          <w:color w:val="auto"/>
          <w:sz w:val="32"/>
          <w:szCs w:val="32"/>
          <w:highlight w:val="none"/>
        </w:rPr>
        <w:t>124</w:t>
      </w:r>
      <w:r>
        <w:rPr>
          <w:rFonts w:hint="eastAsia" w:ascii="宋体" w:hAnsi="宋体" w:eastAsia="宋体" w:cs="宋体"/>
          <w:b w:val="0"/>
          <w:bCs w:val="0"/>
          <w:color w:val="auto"/>
          <w:sz w:val="32"/>
          <w:szCs w:val="32"/>
          <w:highlight w:val="none"/>
        </w:rPr>
        <w:fldChar w:fldCharType="end"/>
      </w:r>
      <w:r>
        <w:rPr>
          <w:rFonts w:hint="eastAsia" w:ascii="宋体" w:hAnsi="宋体" w:eastAsia="宋体" w:cs="宋体"/>
          <w:b w:val="0"/>
          <w:bCs w:val="0"/>
          <w:color w:val="auto"/>
          <w:sz w:val="32"/>
          <w:szCs w:val="32"/>
          <w:highlight w:val="none"/>
        </w:rPr>
        <w:fldChar w:fldCharType="end"/>
      </w:r>
    </w:p>
    <w:p>
      <w:pPr>
        <w:pStyle w:val="13"/>
        <w:jc w:val="center"/>
        <w:rPr>
          <w:rFonts w:hint="eastAsia" w:hAnsi="宋体" w:cs="宋体"/>
          <w:color w:val="auto"/>
          <w:highlight w:val="none"/>
        </w:rPr>
      </w:pPr>
      <w:r>
        <w:rPr>
          <w:rFonts w:hint="eastAsia" w:ascii="宋体" w:hAnsi="宋体" w:eastAsia="宋体" w:cs="宋体"/>
          <w:color w:val="auto"/>
          <w:sz w:val="32"/>
          <w:szCs w:val="32"/>
          <w:highlight w:val="none"/>
        </w:rPr>
        <w:fldChar w:fldCharType="end"/>
      </w:r>
      <w:r>
        <w:rPr>
          <w:rFonts w:hint="eastAsia" w:hAnsi="宋体" w:cs="宋体"/>
          <w:color w:val="auto"/>
          <w:highlight w:val="none"/>
        </w:rPr>
        <w:tab/>
      </w:r>
      <w:bookmarkStart w:id="3" w:name="_Toc532545041"/>
    </w:p>
    <w:p>
      <w:pPr>
        <w:pStyle w:val="13"/>
        <w:jc w:val="center"/>
        <w:outlineLvl w:val="0"/>
        <w:rPr>
          <w:rFonts w:hint="eastAsia" w:hAnsi="宋体" w:cs="宋体"/>
          <w:b/>
          <w:color w:val="auto"/>
          <w:sz w:val="36"/>
          <w:highlight w:val="none"/>
        </w:rPr>
      </w:pPr>
      <w:bookmarkStart w:id="4" w:name="_Toc23304"/>
      <w:bookmarkStart w:id="5" w:name="_Toc20152"/>
      <w:bookmarkStart w:id="6" w:name="_Toc19710"/>
      <w:bookmarkStart w:id="7" w:name="_Toc539"/>
      <w:bookmarkStart w:id="8" w:name="_Toc12135"/>
      <w:bookmarkStart w:id="9" w:name="_Toc22419"/>
      <w:r>
        <w:rPr>
          <w:rFonts w:hint="eastAsia" w:hAnsi="宋体" w:cs="宋体"/>
          <w:b/>
          <w:color w:val="auto"/>
          <w:sz w:val="36"/>
          <w:highlight w:val="none"/>
        </w:rPr>
        <w:br w:type="page"/>
      </w:r>
      <w:bookmarkStart w:id="10" w:name="_Toc2182"/>
      <w:bookmarkStart w:id="11" w:name="_Toc11023"/>
      <w:bookmarkStart w:id="12" w:name="_Toc14935"/>
      <w:bookmarkStart w:id="13" w:name="_Toc18386"/>
      <w:r>
        <w:rPr>
          <w:rFonts w:hint="eastAsia" w:hAnsi="宋体" w:cs="宋体"/>
          <w:b/>
          <w:color w:val="auto"/>
          <w:sz w:val="36"/>
          <w:highlight w:val="none"/>
        </w:rPr>
        <w:t>第一章  招标公告</w:t>
      </w:r>
      <w:bookmarkEnd w:id="3"/>
      <w:bookmarkEnd w:id="4"/>
      <w:bookmarkEnd w:id="5"/>
      <w:bookmarkEnd w:id="6"/>
      <w:bookmarkEnd w:id="7"/>
      <w:bookmarkEnd w:id="8"/>
      <w:bookmarkEnd w:id="9"/>
      <w:bookmarkEnd w:id="10"/>
      <w:bookmarkEnd w:id="11"/>
      <w:bookmarkEnd w:id="12"/>
      <w:bookmarkEnd w:id="13"/>
    </w:p>
    <w:p>
      <w:pPr>
        <w:pStyle w:val="13"/>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广西科联招标中心有限公司</w:t>
      </w:r>
    </w:p>
    <w:p>
      <w:pPr>
        <w:pStyle w:val="13"/>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广西科技项目管理平台开发服务项目</w:t>
      </w:r>
    </w:p>
    <w:p>
      <w:pPr>
        <w:pStyle w:val="13"/>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w:t>
      </w:r>
      <w:bookmarkStart w:id="14" w:name="OLE_LINK11"/>
      <w:r>
        <w:rPr>
          <w:rFonts w:hint="eastAsia" w:ascii="方正小标宋简体" w:hAnsi="方正小标宋简体" w:eastAsia="方正小标宋简体" w:cs="方正小标宋简体"/>
          <w:color w:val="auto"/>
          <w:sz w:val="32"/>
          <w:szCs w:val="32"/>
          <w:highlight w:val="none"/>
          <w:lang w:eastAsia="zh-CN"/>
        </w:rPr>
        <w:t>GXZC2025-G3-003656-GXKL</w:t>
      </w:r>
      <w:bookmarkEnd w:id="14"/>
      <w:r>
        <w:rPr>
          <w:rFonts w:hint="eastAsia" w:ascii="方正小标宋简体" w:hAnsi="方正小标宋简体" w:eastAsia="方正小标宋简体" w:cs="方正小标宋简体"/>
          <w:color w:val="auto"/>
          <w:sz w:val="32"/>
          <w:szCs w:val="32"/>
          <w:highlight w:val="none"/>
        </w:rPr>
        <w:t>）</w:t>
      </w:r>
    </w:p>
    <w:p>
      <w:pPr>
        <w:pStyle w:val="13"/>
        <w:jc w:val="center"/>
        <w:rPr>
          <w:rFonts w:hint="eastAsia" w:hAnsi="宋体" w:cs="宋体"/>
          <w:color w:val="auto"/>
          <w:sz w:val="30"/>
          <w:szCs w:val="30"/>
          <w:highlight w:val="none"/>
        </w:rPr>
      </w:pPr>
      <w:r>
        <w:rPr>
          <w:rFonts w:hint="eastAsia" w:ascii="方正小标宋简体" w:hAnsi="方正小标宋简体" w:eastAsia="方正小标宋简体" w:cs="方正小标宋简体"/>
          <w:color w:val="auto"/>
          <w:sz w:val="32"/>
          <w:szCs w:val="32"/>
          <w:highlight w:val="none"/>
        </w:rPr>
        <w:t>招标公告</w:t>
      </w:r>
    </w:p>
    <w:p>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525" w:firstLineChars="250"/>
        <w:rPr>
          <w:rFonts w:hint="eastAsia" w:ascii="宋体" w:hAnsi="宋体" w:cs="宋体"/>
          <w:color w:val="auto"/>
          <w:szCs w:val="21"/>
          <w:highlight w:val="none"/>
          <w:u w:val="single"/>
        </w:rPr>
      </w:pPr>
      <w:r>
        <w:rPr>
          <w:rFonts w:hint="eastAsia" w:ascii="宋体" w:hAnsi="宋体" w:cs="宋体"/>
          <w:color w:val="auto"/>
          <w:szCs w:val="21"/>
          <w:highlight w:val="none"/>
          <w:u w:val="single"/>
        </w:rPr>
        <w:t>广西科技项目管理平台开发服务</w:t>
      </w:r>
      <w:r>
        <w:rPr>
          <w:rFonts w:hint="eastAsia" w:ascii="宋体" w:hAnsi="宋体" w:cs="宋体"/>
          <w:color w:val="auto"/>
          <w:szCs w:val="21"/>
          <w:highlight w:val="none"/>
        </w:rPr>
        <w:t>项目的潜在投标人应在广西政府采购云平台（https://www.gcy.zfcg.gxzf.gov.cn/）获取招标文件，并于</w:t>
      </w:r>
      <w:bookmarkStart w:id="15" w:name="PO_3000001867_PM015"/>
      <w:r>
        <w:rPr>
          <w:rFonts w:hint="eastAsia" w:ascii="宋体" w:hAnsi="宋体" w:cs="宋体"/>
          <w:color w:val="auto"/>
          <w:szCs w:val="21"/>
          <w:highlight w:val="none"/>
        </w:rPr>
        <w:t>2025年</w:t>
      </w:r>
      <w:r>
        <w:rPr>
          <w:rFonts w:hint="eastAsia" w:ascii="宋体" w:hAnsi="宋体" w:cs="宋体"/>
          <w:color w:val="auto"/>
          <w:szCs w:val="21"/>
          <w:highlight w:val="none"/>
          <w:u w:val="single"/>
          <w:lang w:val="en-US" w:eastAsia="zh-CN"/>
        </w:rPr>
        <w:t>12</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22</w:t>
      </w:r>
      <w:r>
        <w:rPr>
          <w:rFonts w:hint="eastAsia" w:ascii="宋体" w:hAnsi="宋体" w:cs="宋体"/>
          <w:color w:val="auto"/>
          <w:szCs w:val="21"/>
          <w:highlight w:val="none"/>
        </w:rPr>
        <w:t>日</w:t>
      </w:r>
      <w:r>
        <w:rPr>
          <w:rFonts w:hint="eastAsia" w:ascii="宋体" w:hAnsi="宋体" w:cs="宋体"/>
          <w:bCs/>
          <w:color w:val="auto"/>
          <w:szCs w:val="21"/>
          <w:highlight w:val="none"/>
          <w:u w:val="single"/>
        </w:rPr>
        <w:t>09:30</w:t>
      </w:r>
      <w:bookmarkEnd w:id="15"/>
      <w:r>
        <w:rPr>
          <w:rFonts w:hint="eastAsia" w:ascii="宋体" w:hAnsi="宋体" w:cs="宋体"/>
          <w:bCs/>
          <w:color w:val="auto"/>
          <w:szCs w:val="21"/>
          <w:highlight w:val="none"/>
        </w:rPr>
        <w:t>（北京时间）前</w:t>
      </w:r>
      <w:r>
        <w:rPr>
          <w:rFonts w:hint="eastAsia" w:ascii="宋体" w:hAnsi="宋体" w:cs="宋体"/>
          <w:color w:val="auto"/>
          <w:szCs w:val="21"/>
          <w:highlight w:val="none"/>
        </w:rPr>
        <w:t>递交投标文件。</w:t>
      </w:r>
    </w:p>
    <w:p>
      <w:pPr>
        <w:spacing w:line="360" w:lineRule="auto"/>
        <w:rPr>
          <w:rFonts w:hint="eastAsia" w:ascii="宋体" w:hAnsi="宋体" w:cs="宋体"/>
          <w:b/>
          <w:bCs/>
          <w:color w:val="auto"/>
          <w:szCs w:val="21"/>
          <w:highlight w:val="none"/>
        </w:rPr>
      </w:pPr>
      <w:bookmarkStart w:id="16" w:name="_Toc28359002"/>
      <w:bookmarkStart w:id="17" w:name="_Toc28359079"/>
      <w:bookmarkStart w:id="18" w:name="_Toc35393790"/>
      <w:bookmarkStart w:id="19" w:name="_Toc35393621"/>
      <w:bookmarkStart w:id="20" w:name="_Hlk24379207"/>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一、项目基本情况</w:t>
      </w:r>
      <w:bookmarkEnd w:id="16"/>
      <w:bookmarkEnd w:id="17"/>
      <w:bookmarkEnd w:id="18"/>
      <w:bookmarkEnd w:id="19"/>
    </w:p>
    <w:p>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bookmarkStart w:id="21" w:name="PO_3000001867_PM001_1"/>
      <w:r>
        <w:rPr>
          <w:rFonts w:hint="eastAsia" w:ascii="宋体" w:hAnsi="宋体" w:cs="宋体"/>
          <w:color w:val="auto"/>
          <w:szCs w:val="21"/>
          <w:highlight w:val="none"/>
          <w:lang w:eastAsia="zh-CN"/>
        </w:rPr>
        <w:t>GXZC2025-G3-003656-GXKL</w:t>
      </w:r>
    </w:p>
    <w:bookmarkEnd w:id="21"/>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项目名称：广西科技项目管理平台开发服务</w:t>
      </w:r>
    </w:p>
    <w:bookmarkEnd w:id="20"/>
    <w:p>
      <w:pPr>
        <w:spacing w:line="360" w:lineRule="auto"/>
        <w:ind w:firstLine="420" w:firstLineChars="200"/>
        <w:rPr>
          <w:rFonts w:hint="eastAsia" w:ascii="宋体" w:hAnsi="宋体" w:cs="宋体"/>
          <w:color w:val="auto"/>
          <w:szCs w:val="21"/>
          <w:highlight w:val="none"/>
        </w:rPr>
      </w:pPr>
      <w:bookmarkStart w:id="22" w:name="_Toc35393622"/>
      <w:bookmarkStart w:id="23" w:name="_Toc28359003"/>
      <w:bookmarkStart w:id="24" w:name="_Toc28359080"/>
      <w:bookmarkStart w:id="25" w:name="_Toc35393791"/>
      <w:r>
        <w:rPr>
          <w:rFonts w:hint="eastAsia" w:ascii="宋体" w:hAnsi="宋体" w:cs="宋体"/>
          <w:color w:val="auto"/>
          <w:szCs w:val="21"/>
          <w:highlight w:val="none"/>
        </w:rPr>
        <w:t>采购需求：</w:t>
      </w:r>
    </w:p>
    <w:p>
      <w:pPr>
        <w:pStyle w:val="21"/>
        <w:spacing w:before="0" w:beforeAutospacing="0" w:after="0" w:afterAutospacing="0" w:line="360" w:lineRule="auto"/>
        <w:ind w:firstLine="630" w:firstLineChars="300"/>
        <w:rPr>
          <w:rFonts w:hint="eastAsia"/>
          <w:color w:val="auto"/>
          <w:sz w:val="21"/>
          <w:szCs w:val="21"/>
          <w:highlight w:val="none"/>
        </w:rPr>
      </w:pPr>
      <w:r>
        <w:rPr>
          <w:rFonts w:hint="eastAsia"/>
          <w:color w:val="auto"/>
          <w:sz w:val="21"/>
          <w:szCs w:val="21"/>
          <w:highlight w:val="none"/>
        </w:rPr>
        <w:t>标项名称:广西科技项目管理平台开发服务。 </w:t>
      </w:r>
    </w:p>
    <w:p>
      <w:pPr>
        <w:pStyle w:val="21"/>
        <w:spacing w:before="0" w:beforeAutospacing="0" w:after="0" w:afterAutospacing="0" w:line="360" w:lineRule="auto"/>
        <w:ind w:firstLine="630" w:firstLineChars="300"/>
        <w:rPr>
          <w:rFonts w:hint="eastAsia"/>
          <w:color w:val="auto"/>
          <w:sz w:val="21"/>
          <w:szCs w:val="21"/>
          <w:highlight w:val="none"/>
        </w:rPr>
      </w:pPr>
      <w:r>
        <w:rPr>
          <w:rFonts w:hint="eastAsia"/>
          <w:color w:val="auto"/>
          <w:sz w:val="21"/>
          <w:szCs w:val="21"/>
          <w:highlight w:val="none"/>
        </w:rPr>
        <w:t>数量:1 </w:t>
      </w:r>
    </w:p>
    <w:p>
      <w:pPr>
        <w:pStyle w:val="21"/>
        <w:spacing w:before="0" w:beforeAutospacing="0" w:after="0" w:afterAutospacing="0" w:line="360" w:lineRule="auto"/>
        <w:ind w:firstLine="630" w:firstLineChars="300"/>
        <w:rPr>
          <w:rFonts w:hint="eastAsia"/>
          <w:color w:val="auto"/>
          <w:sz w:val="21"/>
          <w:szCs w:val="21"/>
          <w:highlight w:val="none"/>
        </w:rPr>
      </w:pPr>
      <w:r>
        <w:rPr>
          <w:rFonts w:hint="eastAsia"/>
          <w:color w:val="auto"/>
          <w:sz w:val="21"/>
          <w:szCs w:val="21"/>
          <w:highlight w:val="none"/>
        </w:rPr>
        <w:t>预算金额（元）：5867000.00</w:t>
      </w:r>
    </w:p>
    <w:p>
      <w:pPr>
        <w:pStyle w:val="21"/>
        <w:spacing w:before="0" w:beforeAutospacing="0" w:after="0" w:afterAutospacing="0" w:line="360" w:lineRule="auto"/>
        <w:ind w:firstLine="630" w:firstLineChars="300"/>
        <w:rPr>
          <w:rFonts w:hint="eastAsia"/>
          <w:color w:val="auto"/>
          <w:sz w:val="21"/>
          <w:szCs w:val="21"/>
          <w:highlight w:val="none"/>
        </w:rPr>
      </w:pPr>
      <w:r>
        <w:rPr>
          <w:rFonts w:hint="eastAsia"/>
          <w:color w:val="auto"/>
          <w:sz w:val="21"/>
          <w:szCs w:val="21"/>
          <w:highlight w:val="none"/>
        </w:rPr>
        <w:t>简要规格描述或项目基本概况介绍、用途：</w:t>
      </w:r>
      <w:bookmarkStart w:id="26" w:name="OLE_LINK12"/>
      <w:r>
        <w:rPr>
          <w:rFonts w:hint="eastAsia"/>
          <w:color w:val="auto"/>
          <w:sz w:val="21"/>
          <w:szCs w:val="21"/>
          <w:highlight w:val="none"/>
        </w:rPr>
        <w:t>广西科技项目管理平台开发服务1项。详见本公告附件</w:t>
      </w:r>
      <w:bookmarkEnd w:id="26"/>
      <w:r>
        <w:rPr>
          <w:rFonts w:hint="eastAsia"/>
          <w:color w:val="auto"/>
          <w:sz w:val="21"/>
          <w:szCs w:val="21"/>
          <w:highlight w:val="none"/>
        </w:rPr>
        <w:t> </w:t>
      </w:r>
    </w:p>
    <w:p>
      <w:pPr>
        <w:pStyle w:val="21"/>
        <w:spacing w:before="0" w:beforeAutospacing="0" w:after="0" w:afterAutospacing="0" w:line="360" w:lineRule="auto"/>
        <w:ind w:firstLine="630" w:firstLineChars="300"/>
        <w:rPr>
          <w:rFonts w:hint="eastAsia"/>
          <w:color w:val="auto"/>
          <w:sz w:val="21"/>
          <w:szCs w:val="21"/>
          <w:highlight w:val="none"/>
        </w:rPr>
      </w:pPr>
      <w:r>
        <w:rPr>
          <w:rFonts w:hint="eastAsia"/>
          <w:color w:val="auto"/>
          <w:sz w:val="21"/>
          <w:szCs w:val="21"/>
          <w:highlight w:val="none"/>
        </w:rPr>
        <w:t>最高限价（如有）：/</w:t>
      </w:r>
    </w:p>
    <w:p>
      <w:pPr>
        <w:pStyle w:val="21"/>
        <w:spacing w:before="0" w:beforeAutospacing="0" w:after="0" w:afterAutospacing="0" w:line="360" w:lineRule="auto"/>
        <w:ind w:firstLine="630" w:firstLineChars="300"/>
        <w:rPr>
          <w:rFonts w:hint="eastAsia"/>
          <w:color w:val="auto"/>
          <w:sz w:val="21"/>
          <w:szCs w:val="21"/>
          <w:highlight w:val="none"/>
        </w:rPr>
      </w:pPr>
      <w:r>
        <w:rPr>
          <w:rFonts w:hint="eastAsia"/>
          <w:color w:val="auto"/>
          <w:sz w:val="21"/>
          <w:szCs w:val="21"/>
          <w:highlight w:val="none"/>
        </w:rPr>
        <w:t>交付时间：</w:t>
      </w:r>
    </w:p>
    <w:p>
      <w:pPr>
        <w:pStyle w:val="21"/>
        <w:spacing w:before="0" w:beforeAutospacing="0" w:after="0" w:afterAutospacing="0" w:line="360" w:lineRule="auto"/>
        <w:ind w:firstLine="630" w:firstLineChars="300"/>
        <w:rPr>
          <w:rFonts w:hint="eastAsia"/>
          <w:color w:val="auto"/>
          <w:sz w:val="21"/>
          <w:szCs w:val="21"/>
          <w:highlight w:val="none"/>
        </w:rPr>
      </w:pPr>
      <w:r>
        <w:rPr>
          <w:rFonts w:hint="eastAsia"/>
          <w:color w:val="auto"/>
          <w:sz w:val="21"/>
          <w:szCs w:val="21"/>
          <w:highlight w:val="none"/>
        </w:rPr>
        <w:t>合同签订后，中标人按以下时间交付系统建设工作成果：</w:t>
      </w:r>
    </w:p>
    <w:p>
      <w:pPr>
        <w:pStyle w:val="21"/>
        <w:spacing w:before="0" w:beforeAutospacing="0" w:after="0" w:afterAutospacing="0" w:line="360" w:lineRule="auto"/>
        <w:ind w:firstLine="630" w:firstLineChars="300"/>
        <w:rPr>
          <w:rFonts w:hint="eastAsia"/>
          <w:color w:val="auto"/>
          <w:sz w:val="21"/>
          <w:szCs w:val="21"/>
          <w:highlight w:val="none"/>
        </w:rPr>
      </w:pPr>
      <w:r>
        <w:rPr>
          <w:rFonts w:hint="eastAsia"/>
          <w:color w:val="auto"/>
          <w:sz w:val="21"/>
          <w:szCs w:val="21"/>
          <w:highlight w:val="none"/>
        </w:rPr>
        <w:t>（1）2026年5月底前，完成技术底座（即数据支撑平台和应用支撑平台）开发和部署工作。</w:t>
      </w:r>
    </w:p>
    <w:p>
      <w:pPr>
        <w:pStyle w:val="21"/>
        <w:spacing w:before="0" w:beforeAutospacing="0" w:after="0" w:afterAutospacing="0" w:line="360" w:lineRule="auto"/>
        <w:ind w:firstLine="630" w:firstLineChars="300"/>
        <w:rPr>
          <w:rFonts w:hint="eastAsia"/>
          <w:color w:val="auto"/>
          <w:sz w:val="21"/>
          <w:szCs w:val="21"/>
          <w:highlight w:val="none"/>
        </w:rPr>
      </w:pPr>
      <w:r>
        <w:rPr>
          <w:rFonts w:hint="eastAsia"/>
          <w:color w:val="auto"/>
          <w:sz w:val="21"/>
          <w:szCs w:val="21"/>
          <w:highlight w:val="none"/>
        </w:rPr>
        <w:t>（2）2026年11月底前，完成全部系统功能开发并上线运行，完成项目中期检查。</w:t>
      </w:r>
    </w:p>
    <w:p>
      <w:pPr>
        <w:pStyle w:val="21"/>
        <w:spacing w:before="0" w:beforeAutospacing="0" w:after="0" w:afterAutospacing="0" w:line="360" w:lineRule="auto"/>
        <w:ind w:firstLine="630" w:firstLineChars="300"/>
        <w:rPr>
          <w:rFonts w:hint="eastAsia"/>
          <w:color w:val="auto"/>
          <w:sz w:val="21"/>
          <w:szCs w:val="21"/>
          <w:highlight w:val="none"/>
        </w:rPr>
      </w:pPr>
      <w:r>
        <w:rPr>
          <w:rFonts w:hint="eastAsia"/>
          <w:color w:val="auto"/>
          <w:sz w:val="21"/>
          <w:szCs w:val="21"/>
          <w:highlight w:val="none"/>
        </w:rPr>
        <w:t>（3）2027年11月底前，根据系统运行情况，处理系统故障，完善系统功能；完成数据标准化、历史数据处理、数据标引、数据共享交换等数据治理工作；完成系统培训工作；完成项目初步验收。</w:t>
      </w:r>
    </w:p>
    <w:p>
      <w:pPr>
        <w:pStyle w:val="21"/>
        <w:spacing w:before="0" w:beforeAutospacing="0" w:after="0" w:afterAutospacing="0" w:line="360" w:lineRule="auto"/>
        <w:ind w:firstLine="630" w:firstLineChars="300"/>
        <w:rPr>
          <w:rFonts w:hint="eastAsia"/>
          <w:color w:val="auto"/>
          <w:sz w:val="21"/>
          <w:szCs w:val="21"/>
          <w:highlight w:val="none"/>
        </w:rPr>
      </w:pPr>
      <w:r>
        <w:rPr>
          <w:rFonts w:hint="eastAsia"/>
          <w:color w:val="auto"/>
          <w:sz w:val="21"/>
          <w:szCs w:val="21"/>
          <w:highlight w:val="none"/>
        </w:rPr>
        <w:t>（4）2028年5月底前完成项目终验。</w:t>
      </w:r>
    </w:p>
    <w:p>
      <w:pPr>
        <w:pStyle w:val="21"/>
        <w:spacing w:before="0" w:beforeAutospacing="0" w:after="0" w:afterAutospacing="0" w:line="360" w:lineRule="auto"/>
        <w:ind w:firstLine="630" w:firstLineChars="300"/>
        <w:rPr>
          <w:rFonts w:hint="eastAsia"/>
          <w:color w:val="auto"/>
          <w:sz w:val="21"/>
          <w:szCs w:val="21"/>
          <w:highlight w:val="none"/>
        </w:rPr>
      </w:pPr>
      <w:r>
        <w:rPr>
          <w:rFonts w:hint="eastAsia"/>
          <w:color w:val="auto"/>
          <w:sz w:val="21"/>
          <w:szCs w:val="21"/>
          <w:highlight w:val="none"/>
        </w:rPr>
        <w:t>本标项（否）接受联合体投标 </w:t>
      </w:r>
    </w:p>
    <w:p>
      <w:pPr>
        <w:pStyle w:val="21"/>
        <w:spacing w:before="0" w:beforeAutospacing="0" w:after="0" w:afterAutospacing="0" w:line="360" w:lineRule="auto"/>
        <w:ind w:firstLine="630" w:firstLineChars="300"/>
        <w:rPr>
          <w:rFonts w:hint="eastAsia"/>
          <w:color w:val="auto"/>
          <w:sz w:val="21"/>
          <w:szCs w:val="21"/>
          <w:highlight w:val="none"/>
        </w:rPr>
      </w:pPr>
      <w:r>
        <w:rPr>
          <w:rFonts w:hint="eastAsia"/>
          <w:color w:val="auto"/>
          <w:sz w:val="21"/>
          <w:szCs w:val="21"/>
          <w:highlight w:val="none"/>
        </w:rPr>
        <w:t>备注：/  </w:t>
      </w: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二、申请人的资格要求：</w:t>
      </w:r>
      <w:bookmarkEnd w:id="22"/>
      <w:bookmarkEnd w:id="23"/>
      <w:bookmarkEnd w:id="24"/>
      <w:bookmarkEnd w:id="25"/>
    </w:p>
    <w:p>
      <w:pPr>
        <w:spacing w:line="360" w:lineRule="auto"/>
        <w:ind w:firstLine="420" w:firstLineChars="200"/>
        <w:rPr>
          <w:rFonts w:hint="eastAsia" w:ascii="宋体" w:hAnsi="宋体" w:cs="宋体"/>
          <w:color w:val="auto"/>
          <w:szCs w:val="21"/>
          <w:highlight w:val="none"/>
        </w:rPr>
      </w:pPr>
      <w:bookmarkStart w:id="27" w:name="_Hlk51746371"/>
      <w:bookmarkStart w:id="28" w:name="_Toc28359004"/>
      <w:bookmarkStart w:id="29" w:name="_Toc28359081"/>
      <w:r>
        <w:rPr>
          <w:rFonts w:hint="eastAsia" w:ascii="宋体" w:hAnsi="宋体" w:cs="宋体"/>
          <w:color w:val="auto"/>
          <w:szCs w:val="21"/>
          <w:highlight w:val="none"/>
        </w:rPr>
        <w:t>1.满足《中华人民共和国政府采购法》第二十二条规定；</w:t>
      </w:r>
    </w:p>
    <w:p>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2.落实政府采购政策需满足的资格要求：无</w:t>
      </w:r>
    </w:p>
    <w:bookmarkEnd w:id="27"/>
    <w:p>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3.本项目的特定资格要求：无。</w:t>
      </w:r>
    </w:p>
    <w:p>
      <w:pPr>
        <w:spacing w:line="360" w:lineRule="auto"/>
        <w:rPr>
          <w:rFonts w:hint="eastAsia" w:ascii="宋体" w:hAnsi="宋体" w:cs="宋体"/>
          <w:b/>
          <w:bCs/>
          <w:color w:val="auto"/>
          <w:szCs w:val="21"/>
          <w:highlight w:val="none"/>
        </w:rPr>
      </w:pPr>
      <w:bookmarkStart w:id="30" w:name="_Toc35393792"/>
      <w:bookmarkStart w:id="31" w:name="_Toc35393623"/>
      <w:r>
        <w:rPr>
          <w:rFonts w:hint="eastAsia" w:ascii="宋体" w:hAnsi="宋体" w:cs="宋体"/>
          <w:b/>
          <w:bCs/>
          <w:color w:val="auto"/>
          <w:szCs w:val="21"/>
          <w:highlight w:val="none"/>
        </w:rPr>
        <w:t>三、获取招标文件</w:t>
      </w:r>
      <w:bookmarkEnd w:id="28"/>
      <w:bookmarkEnd w:id="29"/>
      <w:bookmarkEnd w:id="30"/>
      <w:bookmarkEnd w:id="31"/>
    </w:p>
    <w:p>
      <w:pPr>
        <w:spacing w:line="360" w:lineRule="auto"/>
        <w:ind w:firstLine="540"/>
        <w:rPr>
          <w:rFonts w:hint="eastAsia" w:ascii="宋体" w:hAnsi="宋体" w:cs="宋体"/>
          <w:color w:val="auto"/>
          <w:szCs w:val="21"/>
          <w:highlight w:val="none"/>
        </w:rPr>
      </w:pPr>
      <w:bookmarkStart w:id="32" w:name="_Toc28359082"/>
      <w:bookmarkStart w:id="33" w:name="_Toc28359005"/>
      <w:bookmarkStart w:id="34" w:name="_Toc35393793"/>
      <w:bookmarkStart w:id="35" w:name="_Toc35393624"/>
      <w:r>
        <w:rPr>
          <w:rFonts w:hint="eastAsia" w:ascii="宋体" w:hAnsi="宋体" w:cs="宋体"/>
          <w:color w:val="auto"/>
          <w:szCs w:val="21"/>
          <w:highlight w:val="none"/>
        </w:rPr>
        <w:t>时间：</w:t>
      </w:r>
      <w:r>
        <w:rPr>
          <w:rFonts w:hint="eastAsia" w:ascii="宋体" w:hAnsi="宋体" w:cs="宋体"/>
          <w:bCs/>
          <w:color w:val="auto"/>
          <w:kern w:val="0"/>
          <w:szCs w:val="21"/>
          <w:highlight w:val="none"/>
          <w:u w:val="single"/>
        </w:rPr>
        <w:t>2025年</w:t>
      </w:r>
      <w:r>
        <w:rPr>
          <w:rFonts w:hint="eastAsia" w:ascii="宋体" w:hAnsi="宋体" w:cs="宋体"/>
          <w:bCs/>
          <w:color w:val="auto"/>
          <w:kern w:val="0"/>
          <w:szCs w:val="21"/>
          <w:highlight w:val="none"/>
          <w:u w:val="single"/>
          <w:lang w:val="en-US" w:eastAsia="zh-CN"/>
        </w:rPr>
        <w:t>12</w:t>
      </w:r>
      <w:r>
        <w:rPr>
          <w:rFonts w:hint="eastAsia" w:ascii="宋体" w:hAnsi="宋体" w:cs="宋体"/>
          <w:bCs/>
          <w:color w:val="auto"/>
          <w:kern w:val="0"/>
          <w:szCs w:val="21"/>
          <w:highlight w:val="none"/>
          <w:u w:val="single"/>
        </w:rPr>
        <w:t>月</w:t>
      </w:r>
      <w:r>
        <w:rPr>
          <w:rFonts w:hint="eastAsia" w:ascii="宋体" w:hAnsi="宋体" w:cs="宋体"/>
          <w:bCs/>
          <w:color w:val="auto"/>
          <w:kern w:val="0"/>
          <w:szCs w:val="21"/>
          <w:highlight w:val="none"/>
          <w:u w:val="single"/>
          <w:lang w:val="en-US" w:eastAsia="zh-CN"/>
        </w:rPr>
        <w:t>1</w:t>
      </w:r>
      <w:r>
        <w:rPr>
          <w:rFonts w:hint="eastAsia" w:ascii="宋体" w:hAnsi="宋体" w:cs="宋体"/>
          <w:bCs/>
          <w:color w:val="auto"/>
          <w:kern w:val="0"/>
          <w:szCs w:val="21"/>
          <w:highlight w:val="none"/>
          <w:u w:val="single"/>
        </w:rPr>
        <w:t>日</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2025年</w:t>
      </w:r>
      <w:r>
        <w:rPr>
          <w:rFonts w:hint="eastAsia" w:ascii="宋体" w:hAnsi="宋体" w:cs="宋体"/>
          <w:bCs/>
          <w:color w:val="auto"/>
          <w:kern w:val="0"/>
          <w:szCs w:val="21"/>
          <w:highlight w:val="none"/>
          <w:u w:val="single"/>
          <w:lang w:val="en-US" w:eastAsia="zh-CN"/>
        </w:rPr>
        <w:t>12</w:t>
      </w:r>
      <w:r>
        <w:rPr>
          <w:rFonts w:hint="eastAsia" w:ascii="宋体" w:hAnsi="宋体" w:cs="宋体"/>
          <w:bCs/>
          <w:color w:val="auto"/>
          <w:kern w:val="0"/>
          <w:szCs w:val="21"/>
          <w:highlight w:val="none"/>
          <w:u w:val="single"/>
        </w:rPr>
        <w:t>月</w:t>
      </w:r>
      <w:r>
        <w:rPr>
          <w:rFonts w:hint="eastAsia" w:ascii="宋体" w:hAnsi="宋体" w:cs="宋体"/>
          <w:bCs/>
          <w:color w:val="auto"/>
          <w:kern w:val="0"/>
          <w:szCs w:val="21"/>
          <w:highlight w:val="none"/>
          <w:u w:val="single"/>
          <w:lang w:val="en-US" w:eastAsia="zh-CN"/>
        </w:rPr>
        <w:t>8</w:t>
      </w:r>
      <w:r>
        <w:rPr>
          <w:rFonts w:hint="eastAsia" w:ascii="宋体" w:hAnsi="宋体" w:cs="宋体"/>
          <w:bCs/>
          <w:color w:val="auto"/>
          <w:kern w:val="0"/>
          <w:szCs w:val="21"/>
          <w:highlight w:val="none"/>
          <w:u w:val="single"/>
        </w:rPr>
        <w:t>日</w:t>
      </w:r>
      <w:r>
        <w:rPr>
          <w:rFonts w:hint="eastAsia" w:ascii="宋体" w:hAnsi="宋体" w:cs="宋体"/>
          <w:bCs/>
          <w:color w:val="auto"/>
          <w:kern w:val="0"/>
          <w:szCs w:val="21"/>
          <w:highlight w:val="none"/>
        </w:rPr>
        <w:t>，每天上午</w:t>
      </w:r>
      <w:r>
        <w:rPr>
          <w:rFonts w:hint="eastAsia" w:ascii="宋体" w:hAnsi="宋体" w:cs="宋体"/>
          <w:bCs/>
          <w:color w:val="auto"/>
          <w:kern w:val="0"/>
          <w:szCs w:val="21"/>
          <w:highlight w:val="none"/>
          <w:u w:val="single"/>
        </w:rPr>
        <w:t>00：00</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12:00</w:t>
      </w:r>
      <w:r>
        <w:rPr>
          <w:rFonts w:hint="eastAsia" w:ascii="宋体" w:hAnsi="宋体" w:cs="宋体"/>
          <w:bCs/>
          <w:color w:val="auto"/>
          <w:kern w:val="0"/>
          <w:szCs w:val="21"/>
          <w:highlight w:val="none"/>
        </w:rPr>
        <w:t>，下午</w:t>
      </w:r>
      <w:r>
        <w:rPr>
          <w:rFonts w:hint="eastAsia" w:ascii="宋体" w:hAnsi="宋体" w:cs="宋体"/>
          <w:bCs/>
          <w:color w:val="auto"/>
          <w:kern w:val="0"/>
          <w:szCs w:val="21"/>
          <w:highlight w:val="none"/>
          <w:u w:val="single"/>
        </w:rPr>
        <w:t>12:00</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23:59</w:t>
      </w:r>
      <w:r>
        <w:rPr>
          <w:rFonts w:hint="eastAsia" w:ascii="宋体" w:hAnsi="宋体" w:cs="宋体"/>
          <w:bCs/>
          <w:color w:val="auto"/>
          <w:kern w:val="0"/>
          <w:szCs w:val="21"/>
          <w:highlight w:val="none"/>
        </w:rPr>
        <w:t>（北京时间，法定节假日除外）</w:t>
      </w:r>
      <w:r>
        <w:rPr>
          <w:rFonts w:hint="eastAsia" w:ascii="宋体" w:hAnsi="宋体" w:cs="宋体"/>
          <w:color w:val="auto"/>
          <w:szCs w:val="21"/>
          <w:highlight w:val="none"/>
        </w:rPr>
        <w:t>。</w:t>
      </w:r>
    </w:p>
    <w:p>
      <w:pPr>
        <w:pStyle w:val="10"/>
        <w:spacing w:after="0"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地点：广西政府采购云平台（</w:t>
      </w:r>
      <w:r>
        <w:rPr>
          <w:rStyle w:val="28"/>
          <w:rFonts w:hint="eastAsia" w:ascii="宋体" w:hAnsi="宋体" w:cs="宋体"/>
          <w:b w:val="0"/>
          <w:bCs w:val="0"/>
          <w:color w:val="auto"/>
          <w:szCs w:val="21"/>
          <w:highlight w:val="none"/>
        </w:rPr>
        <w:t>https://www.gcy.zfcg.gxzf.gov.cn/</w:t>
      </w:r>
      <w:r>
        <w:rPr>
          <w:rFonts w:hint="eastAsia" w:ascii="宋体" w:hAnsi="宋体" w:cs="宋体"/>
          <w:color w:val="auto"/>
          <w:szCs w:val="21"/>
          <w:highlight w:val="none"/>
        </w:rPr>
        <w:t>）</w:t>
      </w:r>
    </w:p>
    <w:p>
      <w:pPr>
        <w:spacing w:line="360" w:lineRule="auto"/>
        <w:ind w:firstLine="420" w:firstLineChars="200"/>
        <w:rPr>
          <w:rFonts w:hint="eastAsia" w:ascii="宋体" w:hAnsi="宋体" w:cs="宋体"/>
          <w:b/>
          <w:bCs/>
          <w:color w:val="auto"/>
          <w:szCs w:val="21"/>
          <w:highlight w:val="none"/>
        </w:rPr>
      </w:pPr>
      <w:r>
        <w:rPr>
          <w:rFonts w:hint="eastAsia" w:ascii="宋体" w:hAnsi="宋体" w:cs="宋体"/>
          <w:color w:val="auto"/>
          <w:szCs w:val="21"/>
          <w:highlight w:val="none"/>
        </w:rPr>
        <w:t>方式:网上下载。本项目不发放纸质文件，潜在投标人可自行在广西政府采购云平台（</w:t>
      </w:r>
      <w:r>
        <w:rPr>
          <w:rStyle w:val="28"/>
          <w:rFonts w:hint="eastAsia" w:ascii="宋体" w:hAnsi="宋体" w:cs="宋体"/>
          <w:b w:val="0"/>
          <w:bCs w:val="0"/>
          <w:color w:val="auto"/>
          <w:szCs w:val="21"/>
          <w:highlight w:val="none"/>
        </w:rPr>
        <w:t>https://www.gcy.zfcg.gxzf.gov.cn/</w:t>
      </w:r>
      <w:r>
        <w:rPr>
          <w:rFonts w:hint="eastAsia" w:ascii="宋体" w:hAnsi="宋体" w:cs="宋体"/>
          <w:color w:val="auto"/>
          <w:szCs w:val="21"/>
          <w:highlight w:val="none"/>
        </w:rPr>
        <w:t>）下载招标文件（操作路径：登录广西政府采购云平台-项目采购-获取采购文件-找到本项目-点击“申请获取采购文件”），电子投标文件制作需要基于广西政府采购云平台获取的招标文件编制。</w:t>
      </w:r>
    </w:p>
    <w:p>
      <w:pPr>
        <w:snapToGrid w:val="0"/>
        <w:spacing w:line="360" w:lineRule="auto"/>
        <w:ind w:firstLine="472" w:firstLineChars="225"/>
        <w:rPr>
          <w:rFonts w:hint="eastAsia" w:ascii="宋体" w:hAnsi="宋体" w:cs="宋体"/>
          <w:color w:val="auto"/>
          <w:szCs w:val="21"/>
          <w:highlight w:val="none"/>
        </w:rPr>
      </w:pPr>
      <w:r>
        <w:rPr>
          <w:rFonts w:hint="eastAsia" w:ascii="宋体" w:hAnsi="宋体" w:cs="宋体"/>
          <w:color w:val="auto"/>
          <w:szCs w:val="21"/>
          <w:highlight w:val="none"/>
        </w:rPr>
        <w:t>售价：人民币0元。</w:t>
      </w:r>
    </w:p>
    <w:p>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四、提交投标文件</w:t>
      </w:r>
      <w:bookmarkEnd w:id="32"/>
      <w:bookmarkEnd w:id="33"/>
      <w:r>
        <w:rPr>
          <w:rFonts w:hint="eastAsia" w:ascii="宋体" w:hAnsi="宋体" w:cs="宋体"/>
          <w:b/>
          <w:bCs/>
          <w:color w:val="auto"/>
          <w:szCs w:val="21"/>
          <w:highlight w:val="none"/>
        </w:rPr>
        <w:t>截止时间、开标时间和地点</w:t>
      </w:r>
      <w:bookmarkEnd w:id="34"/>
      <w:bookmarkEnd w:id="35"/>
    </w:p>
    <w:p>
      <w:pPr>
        <w:spacing w:line="360" w:lineRule="auto"/>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1.提交投标文件截止时间和开标时间：</w:t>
      </w:r>
      <w:bookmarkStart w:id="36" w:name="PO_3000001867_PM015_1"/>
      <w:r>
        <w:rPr>
          <w:rFonts w:hint="eastAsia" w:ascii="宋体" w:hAnsi="宋体" w:cs="宋体"/>
          <w:bCs/>
          <w:color w:val="auto"/>
          <w:szCs w:val="21"/>
          <w:highlight w:val="none"/>
          <w:u w:val="single"/>
        </w:rPr>
        <w:t>2025年</w:t>
      </w:r>
      <w:r>
        <w:rPr>
          <w:rFonts w:hint="eastAsia" w:ascii="宋体" w:hAnsi="宋体" w:cs="宋体"/>
          <w:bCs/>
          <w:color w:val="auto"/>
          <w:szCs w:val="21"/>
          <w:highlight w:val="none"/>
          <w:u w:val="single"/>
          <w:lang w:val="en-US" w:eastAsia="zh-CN"/>
        </w:rPr>
        <w:t>12</w:t>
      </w:r>
      <w:r>
        <w:rPr>
          <w:rFonts w:hint="eastAsia" w:ascii="宋体" w:hAnsi="宋体" w:cs="宋体"/>
          <w:bCs/>
          <w:color w:val="auto"/>
          <w:szCs w:val="21"/>
          <w:highlight w:val="none"/>
          <w:u w:val="single"/>
        </w:rPr>
        <w:t>月</w:t>
      </w:r>
      <w:r>
        <w:rPr>
          <w:rFonts w:hint="eastAsia" w:ascii="宋体" w:hAnsi="宋体" w:cs="宋体"/>
          <w:bCs/>
          <w:color w:val="auto"/>
          <w:szCs w:val="21"/>
          <w:highlight w:val="none"/>
          <w:u w:val="single"/>
          <w:lang w:val="en-US" w:eastAsia="zh-CN"/>
        </w:rPr>
        <w:t>22</w:t>
      </w:r>
      <w:bookmarkStart w:id="410" w:name="_GoBack"/>
      <w:bookmarkEnd w:id="410"/>
      <w:r>
        <w:rPr>
          <w:rFonts w:hint="eastAsia" w:ascii="宋体" w:hAnsi="宋体" w:cs="宋体"/>
          <w:bCs/>
          <w:color w:val="auto"/>
          <w:szCs w:val="21"/>
          <w:highlight w:val="none"/>
          <w:u w:val="single"/>
        </w:rPr>
        <w:t>日09:30</w:t>
      </w:r>
      <w:r>
        <w:rPr>
          <w:rFonts w:hint="eastAsia" w:ascii="宋体" w:hAnsi="宋体" w:cs="宋体"/>
          <w:bCs/>
          <w:color w:val="auto"/>
          <w:szCs w:val="21"/>
          <w:highlight w:val="none"/>
        </w:rPr>
        <w:t>（北京时间）</w:t>
      </w:r>
      <w:bookmarkEnd w:id="36"/>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2.提交投标文件和开标地点：广西政府采购云平台（</w:t>
      </w:r>
      <w:r>
        <w:rPr>
          <w:rStyle w:val="28"/>
          <w:rFonts w:hint="eastAsia" w:ascii="宋体" w:hAnsi="宋体" w:cs="宋体"/>
          <w:b w:val="0"/>
          <w:bCs w:val="0"/>
          <w:color w:val="auto"/>
          <w:szCs w:val="21"/>
          <w:highlight w:val="none"/>
        </w:rPr>
        <w:t>https://www.gcy.zfcg.gxzf.gov.cn/</w:t>
      </w:r>
      <w:r>
        <w:rPr>
          <w:rFonts w:hint="eastAsia" w:ascii="宋体" w:hAnsi="宋体" w:cs="宋体"/>
          <w:color w:val="auto"/>
          <w:szCs w:val="21"/>
          <w:highlight w:val="none"/>
        </w:rPr>
        <w:t>）</w:t>
      </w:r>
    </w:p>
    <w:p>
      <w:pPr>
        <w:spacing w:line="360" w:lineRule="auto"/>
        <w:rPr>
          <w:rFonts w:hint="eastAsia" w:ascii="宋体" w:hAnsi="宋体" w:cs="宋体"/>
          <w:b/>
          <w:bCs/>
          <w:color w:val="auto"/>
          <w:szCs w:val="21"/>
          <w:highlight w:val="none"/>
        </w:rPr>
      </w:pPr>
      <w:bookmarkStart w:id="37" w:name="_Toc28359084"/>
      <w:bookmarkStart w:id="38" w:name="_Toc35393625"/>
      <w:bookmarkStart w:id="39" w:name="_Toc35393794"/>
      <w:bookmarkStart w:id="40" w:name="_Toc28359007"/>
      <w:r>
        <w:rPr>
          <w:rFonts w:hint="eastAsia" w:ascii="宋体" w:hAnsi="宋体" w:cs="宋体"/>
          <w:b/>
          <w:bCs/>
          <w:color w:val="auto"/>
          <w:szCs w:val="21"/>
          <w:highlight w:val="none"/>
        </w:rPr>
        <w:t>五、公告期限</w:t>
      </w:r>
      <w:bookmarkEnd w:id="37"/>
      <w:bookmarkEnd w:id="38"/>
      <w:bookmarkEnd w:id="39"/>
      <w:bookmarkEnd w:id="40"/>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pPr>
        <w:spacing w:line="360" w:lineRule="auto"/>
        <w:rPr>
          <w:rFonts w:hint="eastAsia" w:ascii="宋体" w:hAnsi="宋体" w:cs="宋体"/>
          <w:b/>
          <w:bCs/>
          <w:color w:val="auto"/>
          <w:szCs w:val="21"/>
          <w:highlight w:val="none"/>
        </w:rPr>
      </w:pPr>
      <w:bookmarkStart w:id="41" w:name="_Toc35393626"/>
      <w:bookmarkStart w:id="42" w:name="_Toc35393795"/>
      <w:r>
        <w:rPr>
          <w:rFonts w:hint="eastAsia" w:ascii="宋体" w:hAnsi="宋体" w:cs="宋体"/>
          <w:b/>
          <w:bCs/>
          <w:color w:val="auto"/>
          <w:szCs w:val="21"/>
          <w:highlight w:val="none"/>
        </w:rPr>
        <w:t>六、其他补充事宜</w:t>
      </w:r>
      <w:bookmarkEnd w:id="41"/>
      <w:bookmarkEnd w:id="42"/>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1.投标保证金：</w:t>
      </w:r>
    </w:p>
    <w:p>
      <w:pPr>
        <w:spacing w:line="360" w:lineRule="auto"/>
        <w:ind w:firstLine="843" w:firstLineChars="400"/>
        <w:rPr>
          <w:rFonts w:hint="eastAsia" w:ascii="宋体" w:hAnsi="宋体" w:cs="宋体"/>
          <w:b/>
          <w:bCs/>
          <w:color w:val="auto"/>
          <w:szCs w:val="21"/>
          <w:highlight w:val="none"/>
        </w:rPr>
      </w:pPr>
      <w:r>
        <w:rPr>
          <w:rFonts w:hint="eastAsia" w:ascii="宋体" w:hAnsi="宋体" w:cs="宋体"/>
          <w:b/>
          <w:bCs/>
          <w:color w:val="auto"/>
          <w:szCs w:val="21"/>
          <w:highlight w:val="none"/>
        </w:rPr>
        <w:t>□ 本项目不需要缴</w:t>
      </w:r>
      <w:r>
        <w:rPr>
          <w:rFonts w:hint="eastAsia" w:ascii="宋体" w:hAnsi="宋体" w:cs="宋体"/>
          <w:b/>
          <w:bCs/>
          <w:color w:val="auto"/>
          <w:kern w:val="0"/>
          <w:szCs w:val="21"/>
          <w:highlight w:val="none"/>
        </w:rPr>
        <w:t>纳</w:t>
      </w:r>
      <w:r>
        <w:rPr>
          <w:rFonts w:hint="eastAsia" w:ascii="宋体" w:hAnsi="宋体" w:cs="宋体"/>
          <w:b/>
          <w:bCs/>
          <w:color w:val="auto"/>
          <w:szCs w:val="21"/>
          <w:highlight w:val="none"/>
        </w:rPr>
        <w:t>投标保证金。</w:t>
      </w:r>
    </w:p>
    <w:p>
      <w:pPr>
        <w:spacing w:line="360" w:lineRule="auto"/>
        <w:ind w:firstLine="843" w:firstLineChars="400"/>
        <w:rPr>
          <w:rFonts w:hint="eastAsia" w:ascii="宋体" w:hAnsi="宋体" w:cs="宋体"/>
          <w:b/>
          <w:bCs/>
          <w:color w:val="auto"/>
          <w:szCs w:val="21"/>
          <w:highlight w:val="none"/>
        </w:rPr>
      </w:pPr>
      <w:r>
        <w:rPr>
          <w:rFonts w:hint="eastAsia" w:ascii="宋体" w:hAnsi="宋体" w:cs="宋体"/>
          <w:b/>
          <w:bCs/>
          <w:color w:val="auto"/>
          <w:szCs w:val="21"/>
          <w:highlight w:val="none"/>
        </w:rPr>
        <w:sym w:font="Wingdings 2" w:char="0052"/>
      </w:r>
      <w:r>
        <w:rPr>
          <w:rFonts w:hint="eastAsia" w:ascii="宋体" w:hAnsi="宋体" w:cs="宋体"/>
          <w:b/>
          <w:bCs/>
          <w:color w:val="auto"/>
          <w:szCs w:val="21"/>
          <w:highlight w:val="none"/>
        </w:rPr>
        <w:t xml:space="preserve"> 本项目需要缴</w:t>
      </w:r>
      <w:r>
        <w:rPr>
          <w:rFonts w:hint="eastAsia" w:ascii="宋体" w:hAnsi="宋体" w:cs="宋体"/>
          <w:b/>
          <w:bCs/>
          <w:color w:val="auto"/>
          <w:kern w:val="0"/>
          <w:szCs w:val="21"/>
          <w:highlight w:val="none"/>
        </w:rPr>
        <w:t>纳</w:t>
      </w:r>
      <w:r>
        <w:rPr>
          <w:rFonts w:hint="eastAsia" w:ascii="宋体" w:hAnsi="宋体" w:cs="宋体"/>
          <w:b/>
          <w:bCs/>
          <w:color w:val="auto"/>
          <w:szCs w:val="21"/>
          <w:highlight w:val="none"/>
        </w:rPr>
        <w:t>投标保证金，相关要求：</w:t>
      </w:r>
    </w:p>
    <w:p>
      <w:pPr>
        <w:spacing w:line="360" w:lineRule="auto"/>
        <w:ind w:firstLine="420" w:firstLineChars="200"/>
        <w:rPr>
          <w:rFonts w:hint="eastAsia" w:ascii="宋体" w:hAnsi="宋体" w:cs="宋体"/>
          <w:b/>
          <w:bCs/>
          <w:i/>
          <w:iCs/>
          <w:color w:val="auto"/>
          <w:kern w:val="0"/>
          <w:szCs w:val="21"/>
          <w:highlight w:val="none"/>
        </w:rPr>
      </w:pPr>
      <w:r>
        <w:rPr>
          <w:rFonts w:hint="eastAsia" w:ascii="宋体" w:hAnsi="宋体" w:cs="宋体"/>
          <w:color w:val="auto"/>
          <w:kern w:val="0"/>
          <w:szCs w:val="21"/>
          <w:highlight w:val="none"/>
        </w:rPr>
        <w:t>投标保证金金额：5.0万元。</w:t>
      </w:r>
    </w:p>
    <w:p>
      <w:pPr>
        <w:pStyle w:val="55"/>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投标保证金的缴纳方式：以银行转账、支票、汇票、本票或者金融机构、担保机构出具的保函等非现金形式提交。采用银行转账方式的，在投标截止时间前交至采购代理机构指定账户并且到账。缴纳投标保证金指定账户的信息：</w:t>
      </w:r>
    </w:p>
    <w:p>
      <w:pPr>
        <w:pStyle w:val="55"/>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w:t>
      </w:r>
      <w:r>
        <w:rPr>
          <w:rFonts w:hint="eastAsia" w:ascii="宋体" w:hAnsi="宋体" w:cs="宋体"/>
          <w:bCs/>
          <w:color w:val="auto"/>
          <w:szCs w:val="21"/>
          <w:highlight w:val="none"/>
        </w:rPr>
        <w:t>招商银行南宁金浦路支行</w:t>
      </w:r>
    </w:p>
    <w:p>
      <w:pPr>
        <w:pStyle w:val="55"/>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开户名称：广西科联招标中心有限公司</w:t>
      </w:r>
    </w:p>
    <w:p>
      <w:pPr>
        <w:pStyle w:val="55"/>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银行账号：7719011969103333000011145</w:t>
      </w:r>
    </w:p>
    <w:p>
      <w:pPr>
        <w:pStyle w:val="55"/>
        <w:spacing w:line="360" w:lineRule="auto"/>
        <w:rPr>
          <w:rFonts w:hint="eastAsia" w:ascii="宋体" w:hAnsi="宋体" w:cs="宋体"/>
          <w:color w:val="auto"/>
          <w:szCs w:val="21"/>
          <w:highlight w:val="none"/>
        </w:rPr>
      </w:pPr>
      <w:r>
        <w:rPr>
          <w:rFonts w:hint="eastAsia" w:ascii="宋体" w:hAnsi="宋体" w:cs="宋体"/>
          <w:color w:val="auto"/>
          <w:kern w:val="0"/>
          <w:szCs w:val="21"/>
          <w:highlight w:val="none"/>
        </w:rPr>
        <w:t>采用支票、汇票、本票或者保函等方式的，在投标截止时间前，投标人必须递交单独密封的支票、汇票、本票或者保函（电子保函除外）等原件给采购代理机构。</w:t>
      </w:r>
      <w:r>
        <w:rPr>
          <w:rFonts w:hint="eastAsia" w:ascii="宋体" w:hAnsi="宋体" w:cs="宋体"/>
          <w:b/>
          <w:bCs/>
          <w:color w:val="auto"/>
          <w:kern w:val="0"/>
          <w:szCs w:val="21"/>
          <w:highlight w:val="none"/>
        </w:rPr>
        <w:t>否则视为无效投标保证金</w:t>
      </w:r>
      <w:r>
        <w:rPr>
          <w:rFonts w:hint="eastAsia" w:ascii="宋体" w:hAnsi="宋体" w:cs="宋体"/>
          <w:color w:val="auto"/>
          <w:kern w:val="0"/>
          <w:szCs w:val="21"/>
          <w:highlight w:val="none"/>
        </w:rPr>
        <w:t>。</w:t>
      </w:r>
    </w:p>
    <w:p>
      <w:pPr>
        <w:spacing w:line="360" w:lineRule="auto"/>
        <w:ind w:firstLine="525" w:firstLineChars="250"/>
        <w:rPr>
          <w:rFonts w:hint="eastAsia" w:ascii="宋体" w:hAnsi="宋体" w:cs="宋体"/>
          <w:color w:val="auto"/>
          <w:kern w:val="0"/>
          <w:szCs w:val="21"/>
          <w:highlight w:val="none"/>
        </w:rPr>
      </w:pPr>
      <w:bookmarkStart w:id="43" w:name="_Hlk37429585"/>
      <w:bookmarkStart w:id="44" w:name="_Hlk37429595"/>
      <w:r>
        <w:rPr>
          <w:rFonts w:hint="eastAsia" w:ascii="宋体" w:hAnsi="宋体" w:cs="宋体"/>
          <w:color w:val="auto"/>
          <w:kern w:val="0"/>
          <w:szCs w:val="21"/>
          <w:highlight w:val="none"/>
        </w:rPr>
        <w:t>2.网上查询地址</w:t>
      </w:r>
    </w:p>
    <w:bookmarkEnd w:id="43"/>
    <w:bookmarkEnd w:id="44"/>
    <w:p>
      <w:pPr>
        <w:spacing w:line="360" w:lineRule="auto"/>
        <w:ind w:firstLine="420" w:firstLineChars="200"/>
        <w:rPr>
          <w:rFonts w:hint="eastAsia" w:ascii="宋体" w:hAnsi="宋体" w:cs="宋体"/>
          <w:color w:val="auto"/>
          <w:kern w:val="0"/>
          <w:szCs w:val="21"/>
          <w:highlight w:val="none"/>
        </w:rPr>
      </w:pPr>
      <w:bookmarkStart w:id="45" w:name="_Hlk37429674"/>
      <w:r>
        <w:rPr>
          <w:rFonts w:hint="eastAsia" w:ascii="宋体" w:hAnsi="宋体" w:cs="宋体"/>
          <w:color w:val="auto"/>
          <w:szCs w:val="21"/>
          <w:highlight w:val="none"/>
        </w:rPr>
        <w:t>http://www.ccgp-guangxi.gov.cn/</w:t>
      </w:r>
      <w:r>
        <w:rPr>
          <w:rFonts w:hint="eastAsia" w:ascii="宋体" w:hAnsi="宋体" w:cs="宋体"/>
          <w:color w:val="auto"/>
          <w:kern w:val="0"/>
          <w:szCs w:val="21"/>
          <w:highlight w:val="none"/>
        </w:rPr>
        <w:t xml:space="preserve"> (中国政府采购网广西分网)、http://gxggzy.gxzf.gov.cn/（广西壮族自治区公共资源交易中心）</w:t>
      </w:r>
    </w:p>
    <w:p>
      <w:pPr>
        <w:spacing w:line="360" w:lineRule="auto"/>
        <w:ind w:firstLine="525" w:firstLineChars="250"/>
        <w:rPr>
          <w:rFonts w:hint="eastAsia" w:ascii="宋体" w:hAnsi="宋体" w:cs="宋体"/>
          <w:color w:val="auto"/>
          <w:kern w:val="0"/>
          <w:szCs w:val="21"/>
          <w:highlight w:val="none"/>
        </w:rPr>
      </w:pPr>
      <w:r>
        <w:rPr>
          <w:rFonts w:hint="eastAsia" w:ascii="宋体" w:hAnsi="宋体" w:cs="宋体"/>
          <w:color w:val="auto"/>
          <w:szCs w:val="21"/>
          <w:highlight w:val="none"/>
        </w:rPr>
        <w:t>3.</w:t>
      </w:r>
      <w:r>
        <w:rPr>
          <w:rFonts w:hint="eastAsia" w:ascii="宋体" w:hAnsi="宋体" w:cs="宋体"/>
          <w:color w:val="auto"/>
          <w:kern w:val="0"/>
          <w:szCs w:val="21"/>
          <w:highlight w:val="none"/>
        </w:rPr>
        <w:t>本项目需要落实的政府采购政策：</w:t>
      </w:r>
      <w:bookmarkStart w:id="46" w:name="PO_3000001867_PM023"/>
    </w:p>
    <w:bookmarkEnd w:id="46"/>
    <w:p>
      <w:pPr>
        <w:spacing w:line="360" w:lineRule="auto"/>
        <w:ind w:firstLine="735" w:firstLineChars="350"/>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pPr>
        <w:spacing w:line="360" w:lineRule="auto"/>
        <w:ind w:firstLine="735" w:firstLineChars="350"/>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pPr>
        <w:spacing w:line="360" w:lineRule="auto"/>
        <w:ind w:firstLine="735" w:firstLineChars="350"/>
        <w:rPr>
          <w:rFonts w:hint="eastAsia"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pPr>
        <w:spacing w:line="360" w:lineRule="auto"/>
        <w:ind w:firstLine="735" w:firstLineChars="350"/>
        <w:rPr>
          <w:rFonts w:hint="eastAsia"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pPr>
        <w:spacing w:line="360" w:lineRule="auto"/>
        <w:ind w:firstLine="735" w:firstLineChars="350"/>
        <w:rPr>
          <w:rFonts w:hint="eastAsia"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szCs w:val="21"/>
          <w:highlight w:val="none"/>
        </w:rPr>
        <w:t>5.对在“信用中国”网站(www.creditchina.gov.cn)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bookmarkEnd w:id="45"/>
    <w:p>
      <w:pPr>
        <w:spacing w:line="360" w:lineRule="auto"/>
        <w:ind w:firstLine="422" w:firstLineChars="200"/>
        <w:rPr>
          <w:rFonts w:hint="eastAsia" w:ascii="宋体" w:hAnsi="宋体" w:cs="宋体"/>
          <w:b/>
          <w:bCs/>
          <w:color w:val="auto"/>
          <w:kern w:val="0"/>
          <w:szCs w:val="21"/>
          <w:highlight w:val="none"/>
        </w:rPr>
      </w:pPr>
      <w:r>
        <w:rPr>
          <w:rFonts w:hint="eastAsia" w:ascii="宋体" w:hAnsi="宋体" w:cs="宋体"/>
          <w:b/>
          <w:bCs/>
          <w:color w:val="auto"/>
          <w:szCs w:val="21"/>
          <w:highlight w:val="none"/>
        </w:rPr>
        <w:t>6.在线投标的有关说明</w:t>
      </w:r>
      <w:r>
        <w:rPr>
          <w:rFonts w:hint="eastAsia" w:ascii="宋体" w:hAnsi="宋体" w:cs="宋体"/>
          <w:b/>
          <w:bCs/>
          <w:color w:val="auto"/>
          <w:kern w:val="0"/>
          <w:szCs w:val="21"/>
          <w:highlight w:val="none"/>
        </w:rPr>
        <w:t>：</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投标文件提交方式：本项目为全流程电子化项目，通过广西政府采购云平台（https://www.gcy.zfcg.gxzf.gov.cn/）实行在线电子投标，供应商应先安装广西政府采购云平台新版客户端（新版客户端下载路径：广西政府采购网（访问地址http://zfcg.gxzf.gov.cn/）—办事服务—下载专区），并按照本项目招标文件和广西政府采购云平台的要求编制、加密后在投标截止时间前通过网络上传至广西政府采购云平台，</w:t>
      </w:r>
      <w:r>
        <w:rPr>
          <w:rFonts w:hint="eastAsia" w:ascii="宋体" w:hAnsi="宋体" w:cs="宋体"/>
          <w:b/>
          <w:color w:val="auto"/>
          <w:szCs w:val="21"/>
          <w:highlight w:val="none"/>
        </w:rPr>
        <w:t>投标人在广西政府采购云平台提交电子版投标文件时，请填写参加远程开标活动经办人联系方式</w:t>
      </w:r>
      <w:r>
        <w:rPr>
          <w:rFonts w:hint="eastAsia" w:ascii="宋体" w:hAnsi="宋体" w:cs="宋体"/>
          <w:color w:val="auto"/>
          <w:szCs w:val="21"/>
          <w:highlight w:val="none"/>
        </w:rPr>
        <w:t>。</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（2）未进行网上注册并办理数字证书（CA认证）的供应商将无法参与本项目政府采购活动，潜在投标人应当在投标截止时间前，完成电子交易平台上的CA数字证书办理及投标文件的提交。</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（3）为确保网上操作合法、有效和安全，请投标人确保在电子投标过程中能够对相关数据电文进行加密和使用电子签章，妥善保管CA数字证书并使用有效的CA数字证书参与整个招标活动。</w:t>
      </w:r>
    </w:p>
    <w:p>
      <w:pPr>
        <w:spacing w:line="360" w:lineRule="auto"/>
        <w:ind w:firstLine="422" w:firstLineChars="200"/>
        <w:rPr>
          <w:rFonts w:hint="eastAsia" w:ascii="宋体" w:hAnsi="宋体" w:cs="宋体"/>
          <w:bCs/>
          <w:color w:val="auto"/>
          <w:szCs w:val="21"/>
          <w:highlight w:val="none"/>
          <w:u w:val="single"/>
        </w:rPr>
      </w:pPr>
      <w:r>
        <w:rPr>
          <w:rFonts w:hint="eastAsia" w:ascii="宋体" w:hAnsi="宋体" w:cs="宋体"/>
          <w:b/>
          <w:color w:val="auto"/>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（4）CA证书在线解密：投标人投标时，需携带制作投标文件时用来加密的有效数字证书（CA认证）登录</w:t>
      </w:r>
      <w:r>
        <w:rPr>
          <w:rFonts w:hint="eastAsia" w:ascii="宋体" w:hAnsi="宋体" w:cs="宋体"/>
          <w:color w:val="auto"/>
          <w:szCs w:val="21"/>
          <w:highlight w:val="none"/>
        </w:rPr>
        <w:t>广西政府采购云平台</w:t>
      </w:r>
      <w:r>
        <w:rPr>
          <w:rFonts w:hint="eastAsia" w:ascii="宋体" w:hAnsi="宋体" w:cs="宋体"/>
          <w:color w:val="auto"/>
          <w:kern w:val="0"/>
          <w:szCs w:val="21"/>
          <w:highlight w:val="none"/>
        </w:rPr>
        <w:t>电子开标大厅现场按规定时间对加密的投标文件进行解密。</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（5）若对项目采购电子交易系统操作有疑问，可登录</w:t>
      </w:r>
      <w:r>
        <w:rPr>
          <w:rFonts w:hint="eastAsia" w:ascii="宋体" w:hAnsi="宋体" w:cs="宋体"/>
          <w:color w:val="auto"/>
          <w:szCs w:val="21"/>
          <w:highlight w:val="none"/>
        </w:rPr>
        <w:t>广西政府采购云平台（https://www.gcy.zfcg.gxzf.gov.cn/）</w:t>
      </w:r>
      <w:r>
        <w:rPr>
          <w:rFonts w:hint="eastAsia" w:ascii="宋体" w:hAnsi="宋体" w:cs="宋体"/>
          <w:color w:val="auto"/>
          <w:kern w:val="0"/>
          <w:szCs w:val="21"/>
          <w:highlight w:val="none"/>
        </w:rPr>
        <w:t>，点击右侧咨询小采，获取采小蜜智能服务管家帮助，或拨打</w:t>
      </w:r>
      <w:r>
        <w:rPr>
          <w:rFonts w:hint="eastAsia" w:ascii="宋体" w:hAnsi="宋体" w:cs="宋体"/>
          <w:color w:val="auto"/>
          <w:szCs w:val="21"/>
          <w:highlight w:val="none"/>
        </w:rPr>
        <w:t>广西政府采购云平台</w:t>
      </w:r>
      <w:r>
        <w:rPr>
          <w:rFonts w:hint="eastAsia" w:ascii="宋体" w:hAnsi="宋体" w:cs="宋体"/>
          <w:color w:val="auto"/>
          <w:kern w:val="0"/>
          <w:szCs w:val="21"/>
          <w:highlight w:val="none"/>
        </w:rPr>
        <w:t>服务热线95763获取热线服务帮助。</w:t>
      </w:r>
    </w:p>
    <w:p>
      <w:pPr>
        <w:spacing w:line="360" w:lineRule="auto"/>
        <w:rPr>
          <w:rFonts w:hint="eastAsia" w:ascii="宋体" w:hAnsi="宋体" w:cs="宋体"/>
          <w:b/>
          <w:bCs/>
          <w:color w:val="auto"/>
          <w:szCs w:val="21"/>
          <w:highlight w:val="none"/>
        </w:rPr>
      </w:pPr>
      <w:bookmarkStart w:id="47" w:name="_Toc28359085"/>
      <w:bookmarkStart w:id="48" w:name="_Toc28359008"/>
      <w:bookmarkStart w:id="49" w:name="_Toc35393627"/>
      <w:bookmarkStart w:id="50" w:name="_Toc35393796"/>
      <w:r>
        <w:rPr>
          <w:rFonts w:hint="eastAsia" w:ascii="宋体" w:hAnsi="宋体" w:cs="宋体"/>
          <w:b/>
          <w:bCs/>
          <w:color w:val="auto"/>
          <w:szCs w:val="21"/>
          <w:highlight w:val="none"/>
        </w:rPr>
        <w:t>七、对本次招标提出询问，请按以下方式联系。</w:t>
      </w:r>
      <w:bookmarkEnd w:id="47"/>
      <w:bookmarkEnd w:id="48"/>
      <w:bookmarkEnd w:id="49"/>
      <w:bookmarkEnd w:id="50"/>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1.采购人信息</w:t>
      </w:r>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名  称：广西科技信息网络中心</w:t>
      </w:r>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地  址：广西南宁市新竹路20号</w:t>
      </w:r>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联系方式：</w:t>
      </w:r>
      <w:bookmarkStart w:id="51" w:name="OLE_LINK9"/>
      <w:r>
        <w:rPr>
          <w:rFonts w:hint="eastAsia" w:ascii="宋体" w:hAnsi="宋体" w:cs="宋体"/>
          <w:color w:val="auto"/>
          <w:szCs w:val="21"/>
          <w:highlight w:val="none"/>
        </w:rPr>
        <w:t>欧阳凤</w:t>
      </w:r>
      <w:bookmarkEnd w:id="51"/>
      <w:r>
        <w:rPr>
          <w:rFonts w:hint="eastAsia" w:ascii="宋体" w:hAnsi="宋体" w:cs="宋体"/>
          <w:color w:val="auto"/>
          <w:szCs w:val="21"/>
          <w:highlight w:val="none"/>
        </w:rPr>
        <w:t>，联系电话：0771-2613632</w:t>
      </w:r>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名称：</w:t>
      </w:r>
      <w:bookmarkStart w:id="52" w:name="PO_3000001867_PM031_1"/>
      <w:r>
        <w:rPr>
          <w:rFonts w:hint="eastAsia" w:ascii="宋体" w:hAnsi="宋体" w:cs="宋体"/>
          <w:color w:val="auto"/>
          <w:szCs w:val="21"/>
          <w:highlight w:val="none"/>
        </w:rPr>
        <w:t>广西科联招标中心有限公司</w:t>
      </w:r>
      <w:bookmarkEnd w:id="52"/>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地址：</w:t>
      </w:r>
      <w:bookmarkStart w:id="53" w:name="PO_3000001867_PM035"/>
      <w:r>
        <w:rPr>
          <w:rFonts w:hint="eastAsia" w:ascii="宋体" w:hAnsi="宋体" w:cs="宋体"/>
          <w:color w:val="auto"/>
          <w:szCs w:val="21"/>
          <w:highlight w:val="none"/>
        </w:rPr>
        <w:t>广西南宁市大学东路170号</w:t>
      </w:r>
      <w:bookmarkEnd w:id="53"/>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联系方式：</w:t>
      </w:r>
      <w:bookmarkStart w:id="54" w:name="PO_3000001867_PM033"/>
      <w:r>
        <w:rPr>
          <w:rFonts w:hint="eastAsia" w:ascii="宋体" w:hAnsi="宋体" w:cs="宋体"/>
          <w:color w:val="auto"/>
          <w:szCs w:val="21"/>
          <w:highlight w:val="none"/>
        </w:rPr>
        <w:t>0771-</w:t>
      </w:r>
      <w:bookmarkEnd w:id="54"/>
      <w:r>
        <w:rPr>
          <w:rFonts w:hint="eastAsia" w:ascii="宋体" w:hAnsi="宋体" w:cs="宋体"/>
          <w:color w:val="auto"/>
          <w:szCs w:val="21"/>
          <w:highlight w:val="none"/>
        </w:rPr>
        <w:t>3482237</w:t>
      </w:r>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3.项目联系方式</w:t>
      </w:r>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项目联系人：</w:t>
      </w:r>
      <w:bookmarkStart w:id="55" w:name="OLE_LINK10"/>
      <w:r>
        <w:rPr>
          <w:rFonts w:hint="eastAsia" w:ascii="宋体" w:hAnsi="宋体" w:cs="宋体"/>
          <w:color w:val="auto"/>
          <w:szCs w:val="21"/>
          <w:highlight w:val="none"/>
        </w:rPr>
        <w:t>黎旭华  欧明聪</w:t>
      </w:r>
      <w:bookmarkEnd w:id="55"/>
    </w:p>
    <w:p>
      <w:pPr>
        <w:spacing w:line="360" w:lineRule="auto"/>
        <w:ind w:firstLine="630" w:firstLineChars="300"/>
        <w:rPr>
          <w:rFonts w:hint="eastAsia" w:ascii="宋体" w:hAnsi="宋体" w:cs="宋体"/>
          <w:color w:val="auto"/>
          <w:szCs w:val="21"/>
          <w:highlight w:val="none"/>
        </w:rPr>
      </w:pPr>
      <w:r>
        <w:rPr>
          <w:rFonts w:hint="eastAsia" w:ascii="宋体" w:hAnsi="宋体" w:cs="宋体"/>
          <w:color w:val="auto"/>
          <w:szCs w:val="21"/>
          <w:highlight w:val="none"/>
        </w:rPr>
        <w:t>电话：</w:t>
      </w:r>
      <w:bookmarkStart w:id="56" w:name="OLE_LINK13"/>
      <w:r>
        <w:rPr>
          <w:rFonts w:hint="eastAsia" w:ascii="宋体" w:hAnsi="宋体" w:cs="宋体"/>
          <w:color w:val="auto"/>
          <w:szCs w:val="21"/>
          <w:highlight w:val="none"/>
        </w:rPr>
        <w:t>0771-3482237</w:t>
      </w:r>
      <w:bookmarkEnd w:id="56"/>
    </w:p>
    <w:p>
      <w:pPr>
        <w:spacing w:line="360" w:lineRule="auto"/>
        <w:ind w:firstLine="735" w:firstLineChars="350"/>
        <w:rPr>
          <w:rFonts w:hint="eastAsia" w:ascii="宋体" w:hAnsi="宋体" w:cs="宋体"/>
          <w:color w:val="auto"/>
          <w:szCs w:val="21"/>
          <w:highlight w:val="none"/>
        </w:rPr>
      </w:pPr>
    </w:p>
    <w:p>
      <w:pPr>
        <w:spacing w:line="360" w:lineRule="auto"/>
        <w:jc w:val="left"/>
        <w:rPr>
          <w:rFonts w:hint="eastAsia" w:ascii="宋体" w:hAnsi="宋体" w:cs="宋体"/>
          <w:color w:val="auto"/>
          <w:szCs w:val="21"/>
          <w:highlight w:val="none"/>
        </w:rPr>
      </w:pPr>
    </w:p>
    <w:p>
      <w:pPr>
        <w:pStyle w:val="13"/>
        <w:jc w:val="center"/>
        <w:outlineLvl w:val="0"/>
        <w:rPr>
          <w:rFonts w:hint="eastAsia" w:hAnsi="宋体" w:cs="宋体"/>
          <w:b/>
          <w:color w:val="auto"/>
          <w:sz w:val="36"/>
          <w:highlight w:val="none"/>
        </w:rPr>
      </w:pPr>
      <w:r>
        <w:rPr>
          <w:rFonts w:hint="eastAsia" w:hAnsi="宋体" w:cs="宋体"/>
          <w:color w:val="auto"/>
          <w:szCs w:val="21"/>
          <w:highlight w:val="none"/>
        </w:rPr>
        <w:br w:type="page"/>
      </w:r>
      <w:bookmarkStart w:id="57" w:name="_Toc532545042"/>
      <w:bookmarkStart w:id="58" w:name="_Toc12160"/>
      <w:bookmarkStart w:id="59" w:name="_Toc10599"/>
      <w:bookmarkStart w:id="60" w:name="_Toc21791"/>
      <w:bookmarkStart w:id="61" w:name="_Toc23540"/>
      <w:bookmarkStart w:id="62" w:name="_Toc10157"/>
      <w:bookmarkStart w:id="63" w:name="_Toc22518"/>
      <w:bookmarkStart w:id="64" w:name="_Toc4656"/>
      <w:bookmarkStart w:id="65" w:name="_Toc15135"/>
      <w:bookmarkStart w:id="66" w:name="_Toc32271"/>
      <w:bookmarkStart w:id="67" w:name="_Toc5131"/>
      <w:bookmarkStart w:id="68" w:name="_Toc28626"/>
      <w:r>
        <w:rPr>
          <w:rFonts w:hint="eastAsia" w:hAnsi="宋体" w:cs="宋体"/>
          <w:b/>
          <w:color w:val="auto"/>
          <w:sz w:val="36"/>
          <w:highlight w:val="none"/>
        </w:rPr>
        <w:t xml:space="preserve">第二章  </w:t>
      </w:r>
      <w:bookmarkEnd w:id="57"/>
      <w:r>
        <w:rPr>
          <w:rFonts w:hint="eastAsia" w:hAnsi="宋体" w:cs="宋体"/>
          <w:b/>
          <w:color w:val="auto"/>
          <w:sz w:val="36"/>
          <w:highlight w:val="none"/>
        </w:rPr>
        <w:t>采购需求</w:t>
      </w:r>
      <w:bookmarkEnd w:id="58"/>
      <w:bookmarkEnd w:id="59"/>
      <w:bookmarkEnd w:id="60"/>
      <w:bookmarkEnd w:id="61"/>
      <w:bookmarkEnd w:id="62"/>
      <w:bookmarkEnd w:id="63"/>
      <w:bookmarkEnd w:id="64"/>
      <w:bookmarkEnd w:id="65"/>
      <w:bookmarkEnd w:id="66"/>
      <w:bookmarkEnd w:id="67"/>
      <w:bookmarkEnd w:id="68"/>
    </w:p>
    <w:p>
      <w:pPr>
        <w:adjustRightInd w:val="0"/>
        <w:spacing w:line="340" w:lineRule="exact"/>
        <w:rPr>
          <w:rFonts w:hint="eastAsia" w:ascii="宋体" w:hAnsi="宋体" w:cs="宋体"/>
          <w:b/>
          <w:color w:val="auto"/>
          <w:szCs w:val="21"/>
          <w:highlight w:val="none"/>
        </w:rPr>
      </w:pPr>
      <w:r>
        <w:rPr>
          <w:rFonts w:hint="eastAsia" w:ascii="宋体" w:hAnsi="宋体" w:cs="宋体"/>
          <w:b/>
          <w:color w:val="auto"/>
          <w:szCs w:val="21"/>
          <w:highlight w:val="none"/>
        </w:rPr>
        <w:t>说明：</w:t>
      </w:r>
    </w:p>
    <w:p>
      <w:pPr>
        <w:spacing w:line="360" w:lineRule="auto"/>
        <w:ind w:firstLine="420" w:firstLineChars="200"/>
        <w:jc w:val="left"/>
        <w:rPr>
          <w:rFonts w:hint="eastAsia" w:ascii="宋体" w:hAnsi="宋体" w:cs="宋体"/>
          <w:i/>
          <w:iCs/>
          <w:color w:val="auto"/>
          <w:szCs w:val="21"/>
          <w:highlight w:val="none"/>
        </w:rPr>
      </w:pPr>
      <w:r>
        <w:rPr>
          <w:rFonts w:hint="eastAsia" w:ascii="宋体" w:hAnsi="宋体" w:cs="宋体"/>
          <w:color w:val="auto"/>
          <w:highlight w:val="none"/>
        </w:rPr>
        <w:t>1. 为落实政府采购政策需满足的要求</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（1）本招标文件所称中小企业必须符合《政府采购促进中小企业发展管理办法》（财库〔2020〕46号）的规定。</w:t>
      </w:r>
    </w:p>
    <w:p>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w:t>
      </w:r>
      <w:r>
        <w:rPr>
          <w:rFonts w:hint="eastAsia" w:ascii="宋体" w:hAnsi="宋体" w:cs="宋体"/>
          <w:b/>
          <w:bCs/>
          <w:color w:val="auto"/>
          <w:szCs w:val="21"/>
          <w:highlight w:val="none"/>
        </w:rPr>
        <w:t>投标人的投标货物必须使用政府强制采购的节能产品，投标人必须在投标文件中提供所投标产品有效期内的节能产品认证证书复印件（加盖投标人公章），否则投标文件作无效处理</w:t>
      </w:r>
      <w:r>
        <w:rPr>
          <w:rFonts w:hint="eastAsia" w:ascii="宋体" w:hAnsi="宋体" w:cs="宋体"/>
          <w:color w:val="auto"/>
          <w:szCs w:val="21"/>
          <w:highlight w:val="none"/>
        </w:rPr>
        <w:t>。如本项目包含的货物属于品目清单内非标注“★”的产品时，应优先采购，具体详见“第四章 评标方法和评标标准”。</w:t>
      </w:r>
    </w:p>
    <w:p>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2.“实质性要求”是指招标文件中已经指明不满足则投标无效的条款，或者不能负偏离的条款，或者采购需求中带“</w:t>
      </w:r>
      <w:r>
        <w:rPr>
          <w:rFonts w:hint="eastAsia" w:ascii="宋体" w:hAnsi="宋体" w:cs="宋体"/>
          <w:bCs/>
          <w:color w:val="auto"/>
          <w:highlight w:val="none"/>
        </w:rPr>
        <w:t>▲</w:t>
      </w:r>
      <w:r>
        <w:rPr>
          <w:rFonts w:hint="eastAsia" w:ascii="宋体" w:hAnsi="宋体" w:cs="宋体"/>
          <w:color w:val="auto"/>
          <w:szCs w:val="21"/>
          <w:highlight w:val="none"/>
        </w:rPr>
        <w:t>”的条款。</w:t>
      </w:r>
    </w:p>
    <w:p>
      <w:pPr>
        <w:spacing w:line="360" w:lineRule="auto"/>
        <w:ind w:firstLine="424" w:firstLineChars="202"/>
        <w:jc w:val="left"/>
        <w:rPr>
          <w:rFonts w:hint="eastAsia" w:ascii="宋体" w:hAnsi="宋体" w:cs="宋体"/>
          <w:color w:val="auto"/>
          <w:highlight w:val="none"/>
        </w:rPr>
      </w:pPr>
      <w:r>
        <w:rPr>
          <w:rFonts w:hint="eastAsia" w:ascii="宋体" w:hAnsi="宋体" w:cs="宋体"/>
          <w:color w:val="auto"/>
          <w:szCs w:val="21"/>
          <w:highlight w:val="none"/>
        </w:rPr>
        <w:t>3.投标人必须对投标文件中提供的证明材料和资质文件真实性负责，如出现虚假应标情况，投标人除了应接受有关部门的处罚外，还应依据《中华人民共和国民法典》的相关条款来进行赔偿。</w:t>
      </w:r>
    </w:p>
    <w:p>
      <w:pPr>
        <w:tabs>
          <w:tab w:val="left" w:pos="180"/>
          <w:tab w:val="left" w:pos="1620"/>
        </w:tabs>
        <w:spacing w:line="46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4.投标人应对投标内容所涉及的专利承担法律责任，并负责保护采购人的利益不受任何损害。一切由于文字、商标、技术和软件专利授权引起的法律裁决、诉讼和赔偿费用均由中标人负责。</w:t>
      </w:r>
    </w:p>
    <w:p>
      <w:pPr>
        <w:tabs>
          <w:tab w:val="left" w:pos="180"/>
          <w:tab w:val="left" w:pos="1620"/>
        </w:tabs>
        <w:spacing w:line="460" w:lineRule="exact"/>
        <w:ind w:firstLine="420" w:firstLineChars="200"/>
        <w:jc w:val="left"/>
        <w:rPr>
          <w:rFonts w:hint="eastAsia" w:ascii="宋体" w:hAnsi="宋体" w:cs="宋体"/>
          <w:color w:val="auto"/>
          <w:highlight w:val="none"/>
        </w:rPr>
      </w:pPr>
      <w:r>
        <w:rPr>
          <w:rFonts w:hint="eastAsia" w:ascii="宋体" w:hAnsi="宋体" w:cs="宋体"/>
          <w:color w:val="auto"/>
          <w:highlight w:val="none"/>
        </w:rPr>
        <w:t>5.本项目所有采购标的对应的中小企业划分标准所属行业：软件和信息技术服务业</w:t>
      </w:r>
    </w:p>
    <w:p>
      <w:pPr>
        <w:adjustRightInd w:val="0"/>
        <w:snapToGrid w:val="0"/>
        <w:spacing w:line="460" w:lineRule="exact"/>
        <w:ind w:firstLine="422" w:firstLineChars="200"/>
        <w:rPr>
          <w:rFonts w:hint="eastAsia" w:ascii="宋体" w:hAnsi="宋体" w:cs="宋体"/>
          <w:b/>
          <w:bCs/>
          <w:color w:val="auto"/>
          <w:szCs w:val="21"/>
          <w:highlight w:val="none"/>
        </w:rPr>
      </w:pPr>
    </w:p>
    <w:p>
      <w:pPr>
        <w:adjustRightInd w:val="0"/>
        <w:snapToGrid w:val="0"/>
        <w:spacing w:line="460" w:lineRule="exact"/>
        <w:jc w:val="center"/>
        <w:rPr>
          <w:rFonts w:hint="eastAsia" w:ascii="宋体" w:hAnsi="宋体" w:cs="宋体"/>
          <w:b/>
          <w:bCs/>
          <w:color w:val="auto"/>
          <w:szCs w:val="21"/>
          <w:highlight w:val="none"/>
        </w:rPr>
      </w:pPr>
      <w:r>
        <w:rPr>
          <w:rFonts w:hint="eastAsia" w:hAnsi="宋体" w:cs="宋体"/>
          <w:b/>
          <w:color w:val="auto"/>
          <w:sz w:val="36"/>
          <w:highlight w:val="none"/>
        </w:rPr>
        <w:t>采购需求</w:t>
      </w:r>
    </w:p>
    <w:p>
      <w:pPr>
        <w:adjustRightInd w:val="0"/>
        <w:snapToGrid w:val="0"/>
        <w:spacing w:line="46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一、</w:t>
      </w:r>
      <w:r>
        <w:rPr>
          <w:rFonts w:ascii="宋体" w:hAnsi="宋体" w:cs="宋体"/>
          <w:b/>
          <w:bCs/>
          <w:color w:val="auto"/>
          <w:szCs w:val="21"/>
          <w:highlight w:val="none"/>
        </w:rPr>
        <w:t>建设背景</w:t>
      </w:r>
    </w:p>
    <w:p>
      <w:pPr>
        <w:spacing w:line="480" w:lineRule="exact"/>
        <w:ind w:firstLine="420" w:firstLineChars="200"/>
        <w:rPr>
          <w:color w:val="auto"/>
          <w:szCs w:val="21"/>
          <w:highlight w:val="none"/>
        </w:rPr>
      </w:pPr>
      <w:bookmarkStart w:id="69" w:name="_Toc733"/>
      <w:r>
        <w:rPr>
          <w:color w:val="auto"/>
          <w:szCs w:val="21"/>
          <w:highlight w:val="none"/>
        </w:rPr>
        <w:t>根据《广西壮族自治区人民政府关于印发广西科技创新“十四五”规划的通知》（桂政发〔2021〕39号）《广西壮族自治区发展和改革委员会关于印发广西政务信息化建设发展“十四五”规划（公开版）的通知》（桂发改高技〔2021〕1196号）</w:t>
      </w:r>
      <w:bookmarkStart w:id="70" w:name="OLE_LINK5"/>
      <w:r>
        <w:rPr>
          <w:color w:val="auto"/>
          <w:szCs w:val="21"/>
          <w:highlight w:val="none"/>
        </w:rPr>
        <w:t>《自治区科技厅关于印发2022年自治区“6+2+N”体系科技项目组织方案的函》（桂科计函〔</w:t>
      </w:r>
      <w:r>
        <w:rPr>
          <w:rFonts w:hint="eastAsia"/>
          <w:color w:val="auto"/>
          <w:szCs w:val="21"/>
          <w:highlight w:val="none"/>
        </w:rPr>
        <w:t>2022</w:t>
      </w:r>
      <w:r>
        <w:rPr>
          <w:color w:val="auto"/>
          <w:szCs w:val="21"/>
          <w:highlight w:val="none"/>
        </w:rPr>
        <w:t>〕40号）</w:t>
      </w:r>
      <w:bookmarkEnd w:id="70"/>
      <w:r>
        <w:rPr>
          <w:color w:val="auto"/>
          <w:szCs w:val="21"/>
          <w:highlight w:val="none"/>
        </w:rPr>
        <w:t>等相关文件要求，为了有效支撑科技计划与科技投入改革，加强科技数据资源整合与工作统筹，推进科技业务管理从数字化向智能化转变，本项目</w:t>
      </w:r>
      <w:r>
        <w:rPr>
          <w:rFonts w:hint="eastAsia"/>
          <w:color w:val="auto"/>
          <w:szCs w:val="21"/>
          <w:highlight w:val="none"/>
        </w:rPr>
        <w:t>为</w:t>
      </w:r>
      <w:r>
        <w:rPr>
          <w:color w:val="auto"/>
          <w:szCs w:val="21"/>
          <w:highlight w:val="none"/>
        </w:rPr>
        <w:t>采用人工智能、</w:t>
      </w:r>
      <w:r>
        <w:rPr>
          <w:rFonts w:hint="eastAsia"/>
          <w:color w:val="auto"/>
          <w:szCs w:val="21"/>
          <w:highlight w:val="none"/>
        </w:rPr>
        <w:t>云计算、大数据、</w:t>
      </w:r>
      <w:r>
        <w:rPr>
          <w:color w:val="auto"/>
          <w:szCs w:val="21"/>
          <w:highlight w:val="none"/>
        </w:rPr>
        <w:t>低代码等新一代信息技术，按照“一门户一底座五应用一系统”业务架构，</w:t>
      </w:r>
      <w:r>
        <w:rPr>
          <w:rFonts w:hint="eastAsia"/>
          <w:color w:val="auto"/>
          <w:highlight w:val="none"/>
        </w:rPr>
        <w:t>建设一套集“科技计划项目管理、科研经费监管、专家管理、科研诚信管理、研发经费投入运行监控、科技项目监测分析”等功能于一体的</w:t>
      </w:r>
      <w:r>
        <w:rPr>
          <w:color w:val="auto"/>
          <w:szCs w:val="21"/>
          <w:highlight w:val="none"/>
        </w:rPr>
        <w:t>智能化科技项目管理平台</w:t>
      </w:r>
      <w:r>
        <w:rPr>
          <w:rFonts w:hint="eastAsia"/>
          <w:color w:val="auto"/>
          <w:szCs w:val="21"/>
          <w:highlight w:val="none"/>
        </w:rPr>
        <w:t>。</w:t>
      </w:r>
    </w:p>
    <w:p>
      <w:pPr>
        <w:adjustRightInd w:val="0"/>
        <w:snapToGrid w:val="0"/>
        <w:spacing w:line="46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二、</w:t>
      </w:r>
      <w:bookmarkEnd w:id="69"/>
      <w:r>
        <w:rPr>
          <w:rFonts w:hint="eastAsia" w:ascii="宋体" w:hAnsi="宋体" w:cs="宋体"/>
          <w:b/>
          <w:bCs/>
          <w:color w:val="auto"/>
          <w:szCs w:val="21"/>
          <w:highlight w:val="none"/>
        </w:rPr>
        <w:t>现状分析</w:t>
      </w:r>
    </w:p>
    <w:p>
      <w:pPr>
        <w:tabs>
          <w:tab w:val="left" w:pos="180"/>
          <w:tab w:val="left" w:pos="1620"/>
        </w:tabs>
        <w:spacing w:line="460" w:lineRule="exact"/>
        <w:ind w:firstLine="420" w:firstLineChars="200"/>
        <w:rPr>
          <w:color w:val="auto"/>
          <w:szCs w:val="21"/>
          <w:highlight w:val="none"/>
        </w:rPr>
      </w:pPr>
      <w:r>
        <w:rPr>
          <w:color w:val="auto"/>
          <w:szCs w:val="21"/>
          <w:highlight w:val="none"/>
        </w:rPr>
        <w:t>为深化“放管服”体制改革，推进“互联网+科技服务”模式创新，</w:t>
      </w:r>
      <w:r>
        <w:rPr>
          <w:rFonts w:hint="eastAsia"/>
          <w:color w:val="auto"/>
          <w:szCs w:val="21"/>
          <w:highlight w:val="none"/>
        </w:rPr>
        <w:t>广西科技信息网络中心</w:t>
      </w:r>
      <w:r>
        <w:rPr>
          <w:color w:val="auto"/>
          <w:szCs w:val="21"/>
          <w:highlight w:val="none"/>
        </w:rPr>
        <w:t>于 2015 年投入建设并建成广西科技管理信息平台，实现了科技项目从申报至结题全流程的一站式在线信息化服务。平台支撑广西五大类科技计划项目、中央引导地方科技发展专项、科技发展战略研究专项、科技智库项目等40余类业务的运行管理工作；服务对象覆盖全国1.6万家科研单位，4.2万名科研人员，6.8万名科技专家，以及自治区科技厅、各设区市科技管理部门及相关管理、验收机构的科技管理人员，为科技项目全流程规范化管理提供了有力的信息化保障。</w:t>
      </w:r>
    </w:p>
    <w:p>
      <w:pPr>
        <w:tabs>
          <w:tab w:val="left" w:pos="180"/>
          <w:tab w:val="left" w:pos="1620"/>
        </w:tabs>
        <w:spacing w:line="460" w:lineRule="exact"/>
        <w:ind w:firstLine="420" w:firstLineChars="200"/>
        <w:rPr>
          <w:color w:val="auto"/>
          <w:szCs w:val="21"/>
          <w:highlight w:val="none"/>
        </w:rPr>
      </w:pPr>
      <w:r>
        <w:rPr>
          <w:color w:val="auto"/>
          <w:szCs w:val="21"/>
          <w:highlight w:val="none"/>
        </w:rPr>
        <w:t>目前平台已运行近十年，面对当前日趋复杂的科技业务管理需求，平台在功能、架构等方面的适配性</w:t>
      </w:r>
      <w:r>
        <w:rPr>
          <w:rFonts w:hint="eastAsia"/>
          <w:color w:val="auto"/>
          <w:szCs w:val="21"/>
          <w:highlight w:val="none"/>
        </w:rPr>
        <w:t>已</w:t>
      </w:r>
      <w:r>
        <w:rPr>
          <w:color w:val="auto"/>
          <w:szCs w:val="21"/>
          <w:highlight w:val="none"/>
        </w:rPr>
        <w:t>难以满足实际需求，包括原有架构难以支撑多类型科技业务的精细化管控，业务审批环节缺乏智能化辅助功能、科研经费监管功能薄弱等。为有效支撑科技业务发展，提升系统智能化水平，</w:t>
      </w:r>
      <w:r>
        <w:rPr>
          <w:rFonts w:hint="eastAsia"/>
          <w:color w:val="auto"/>
          <w:szCs w:val="21"/>
          <w:highlight w:val="none"/>
        </w:rPr>
        <w:t>需</w:t>
      </w:r>
      <w:r>
        <w:rPr>
          <w:color w:val="auto"/>
          <w:szCs w:val="21"/>
          <w:highlight w:val="none"/>
        </w:rPr>
        <w:t>重新构建广西科技项目管理平台</w:t>
      </w:r>
      <w:r>
        <w:rPr>
          <w:rFonts w:hint="eastAsia"/>
          <w:color w:val="auto"/>
          <w:szCs w:val="21"/>
          <w:highlight w:val="none"/>
        </w:rPr>
        <w:t>。</w:t>
      </w:r>
    </w:p>
    <w:p>
      <w:pPr>
        <w:adjustRightInd w:val="0"/>
        <w:snapToGrid w:val="0"/>
        <w:spacing w:line="46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三、建设目标</w:t>
      </w:r>
    </w:p>
    <w:p>
      <w:pPr>
        <w:spacing w:line="480" w:lineRule="exact"/>
        <w:ind w:firstLine="420" w:firstLineChars="200"/>
        <w:rPr>
          <w:color w:val="auto"/>
          <w:szCs w:val="21"/>
          <w:highlight w:val="none"/>
        </w:rPr>
      </w:pPr>
      <w:r>
        <w:rPr>
          <w:color w:val="auto"/>
          <w:szCs w:val="21"/>
          <w:highlight w:val="none"/>
        </w:rPr>
        <w:t>本项目采用人工智能、</w:t>
      </w:r>
      <w:r>
        <w:rPr>
          <w:rFonts w:hint="eastAsia"/>
          <w:color w:val="auto"/>
          <w:szCs w:val="21"/>
          <w:highlight w:val="none"/>
        </w:rPr>
        <w:t>云计算、大数据、</w:t>
      </w:r>
      <w:r>
        <w:rPr>
          <w:color w:val="auto"/>
          <w:szCs w:val="21"/>
          <w:highlight w:val="none"/>
        </w:rPr>
        <w:t>低代码等新一代信息技术，</w:t>
      </w:r>
      <w:r>
        <w:rPr>
          <w:rFonts w:hint="eastAsia"/>
          <w:color w:val="auto"/>
          <w:szCs w:val="21"/>
          <w:highlight w:val="none"/>
        </w:rPr>
        <w:t>利用壮美广西政务云基础设施，构建广西科技项目管理平台，包括完成平台门户系统、应用支撑平台、数据支撑平台、广西科技计划项目管理子系统、广西项目科研经费监管子系统、广西科技专家库管理子系统、广西科研诚信管理信息系统、科技研发经费投入运行监控子系统、广西科技项目监测分析系统的建设，并提供数据标准化、历史数据处理、数据共享交换、数据接口开发等数据服务。建成后，平台将进一步实现广西</w:t>
      </w:r>
      <w:r>
        <w:rPr>
          <w:color w:val="auto"/>
          <w:szCs w:val="21"/>
          <w:highlight w:val="none"/>
        </w:rPr>
        <w:t>科技项目的规范化、高效化</w:t>
      </w:r>
      <w:r>
        <w:rPr>
          <w:rFonts w:hint="eastAsia"/>
          <w:color w:val="auto"/>
          <w:szCs w:val="21"/>
          <w:highlight w:val="none"/>
        </w:rPr>
        <w:t>、智慧化</w:t>
      </w:r>
      <w:r>
        <w:rPr>
          <w:color w:val="auto"/>
          <w:szCs w:val="21"/>
          <w:highlight w:val="none"/>
        </w:rPr>
        <w:t>管理</w:t>
      </w:r>
      <w:r>
        <w:rPr>
          <w:rFonts w:hint="eastAsia"/>
          <w:color w:val="auto"/>
          <w:szCs w:val="21"/>
          <w:highlight w:val="none"/>
        </w:rPr>
        <w:t>，</w:t>
      </w:r>
      <w:r>
        <w:rPr>
          <w:color w:val="auto"/>
          <w:szCs w:val="21"/>
          <w:highlight w:val="none"/>
        </w:rPr>
        <w:t>实现不同部门之间的数据互通和应用，助力科技管理部门准确把握科技项目动态信息，优化资源配置，为促进科技创新事业高质量发展提供决策支撑</w:t>
      </w:r>
      <w:r>
        <w:rPr>
          <w:rFonts w:hint="eastAsia"/>
          <w:color w:val="auto"/>
          <w:szCs w:val="21"/>
          <w:highlight w:val="none"/>
        </w:rPr>
        <w:t>。</w:t>
      </w:r>
    </w:p>
    <w:p>
      <w:pPr>
        <w:spacing w:line="480" w:lineRule="exact"/>
        <w:ind w:firstLine="422" w:firstLineChars="200"/>
        <w:rPr>
          <w:b/>
          <w:bCs/>
          <w:color w:val="auto"/>
          <w:szCs w:val="21"/>
          <w:highlight w:val="none"/>
        </w:rPr>
      </w:pPr>
      <w:r>
        <w:rPr>
          <w:rFonts w:hint="eastAsia"/>
          <w:b/>
          <w:bCs/>
          <w:color w:val="auto"/>
          <w:szCs w:val="21"/>
          <w:highlight w:val="none"/>
        </w:rPr>
        <w:t>四、系统架构</w:t>
      </w:r>
    </w:p>
    <w:p>
      <w:pPr>
        <w:spacing w:line="480" w:lineRule="exact"/>
        <w:ind w:firstLine="420" w:firstLineChars="200"/>
        <w:rPr>
          <w:color w:val="auto"/>
          <w:szCs w:val="21"/>
          <w:highlight w:val="none"/>
        </w:rPr>
      </w:pPr>
      <w:r>
        <w:rPr>
          <w:rFonts w:hint="eastAsia"/>
          <w:color w:val="auto"/>
          <w:szCs w:val="21"/>
          <w:highlight w:val="none"/>
        </w:rPr>
        <w:t>本项目按照</w:t>
      </w:r>
      <w:r>
        <w:rPr>
          <w:color w:val="auto"/>
          <w:szCs w:val="21"/>
          <w:highlight w:val="none"/>
        </w:rPr>
        <w:t>“一门户一底座五应用一系统”业务架构进行设计</w:t>
      </w:r>
      <w:r>
        <w:rPr>
          <w:rFonts w:hint="eastAsia"/>
          <w:color w:val="auto"/>
          <w:szCs w:val="21"/>
          <w:highlight w:val="none"/>
        </w:rPr>
        <w:t>，系统总体架构图如下：</w:t>
      </w:r>
    </w:p>
    <w:p>
      <w:pPr>
        <w:pStyle w:val="10"/>
        <w:spacing w:after="0"/>
        <w:jc w:val="center"/>
        <w:rPr>
          <w:color w:val="auto"/>
          <w:highlight w:val="none"/>
        </w:rPr>
      </w:pPr>
      <w:r>
        <w:rPr>
          <w:color w:val="auto"/>
          <w:highlight w:val="none"/>
        </w:rPr>
        <w:object>
          <v:shape id="_x0000_i1025" o:spt="75" type="#_x0000_t75" style="height:393.15pt;width:428pt;" o:ole="t" filled="f" stroked="f" coordsize="21600,21600">
            <v:path/>
            <v:fill on="f" focussize="0,0"/>
            <v:stroke on="f" joinstyle="miter"/>
            <v:imagedata r:id="rId11" embosscolor="#FFFFFF" o:title=""/>
            <o:lock v:ext="edit" aspectratio="t"/>
            <w10:wrap type="none"/>
            <w10:anchorlock/>
          </v:shape>
          <o:OLEObject Type="Embed" ProgID="Visio.Drawing.15" ShapeID="_x0000_i1025" DrawAspect="Content" ObjectID="_1468075725" r:id="rId10">
            <o:LockedField>false</o:LockedField>
          </o:OLEObject>
        </w:object>
      </w:r>
    </w:p>
    <w:p>
      <w:pPr>
        <w:pStyle w:val="10"/>
        <w:spacing w:after="0"/>
        <w:ind w:firstLine="422" w:firstLineChars="200"/>
        <w:jc w:val="center"/>
        <w:rPr>
          <w:rFonts w:eastAsia="楷体"/>
          <w:b/>
          <w:color w:val="auto"/>
          <w:highlight w:val="none"/>
        </w:rPr>
      </w:pPr>
      <w:r>
        <w:rPr>
          <w:rFonts w:eastAsia="楷体"/>
          <w:b/>
          <w:color w:val="auto"/>
          <w:highlight w:val="none"/>
        </w:rPr>
        <w:t xml:space="preserve">图 </w:t>
      </w:r>
      <w:r>
        <w:rPr>
          <w:rFonts w:eastAsia="楷体"/>
          <w:b/>
          <w:color w:val="auto"/>
          <w:highlight w:val="none"/>
        </w:rPr>
        <w:fldChar w:fldCharType="begin"/>
      </w:r>
      <w:r>
        <w:rPr>
          <w:rFonts w:eastAsia="楷体"/>
          <w:b/>
          <w:color w:val="auto"/>
          <w:highlight w:val="none"/>
        </w:rPr>
        <w:instrText xml:space="preserve"> SEQ 图 \* ARABIC \s 2 </w:instrText>
      </w:r>
      <w:r>
        <w:rPr>
          <w:rFonts w:eastAsia="楷体"/>
          <w:b/>
          <w:color w:val="auto"/>
          <w:highlight w:val="none"/>
        </w:rPr>
        <w:fldChar w:fldCharType="separate"/>
      </w:r>
      <w:r>
        <w:rPr>
          <w:rFonts w:eastAsia="楷体"/>
          <w:b/>
          <w:color w:val="auto"/>
          <w:highlight w:val="none"/>
        </w:rPr>
        <w:t>1</w:t>
      </w:r>
      <w:r>
        <w:rPr>
          <w:rFonts w:eastAsia="楷体"/>
          <w:b/>
          <w:color w:val="auto"/>
          <w:highlight w:val="none"/>
        </w:rPr>
        <w:fldChar w:fldCharType="end"/>
      </w:r>
      <w:r>
        <w:rPr>
          <w:rFonts w:eastAsia="楷体"/>
          <w:b/>
          <w:color w:val="auto"/>
          <w:highlight w:val="none"/>
        </w:rPr>
        <w:t>：系统总体架构</w:t>
      </w:r>
    </w:p>
    <w:p>
      <w:pPr>
        <w:spacing w:line="480" w:lineRule="exact"/>
        <w:ind w:firstLine="420" w:firstLineChars="200"/>
        <w:rPr>
          <w:color w:val="auto"/>
          <w:szCs w:val="21"/>
          <w:highlight w:val="none"/>
        </w:rPr>
      </w:pPr>
      <w:r>
        <w:rPr>
          <w:color w:val="auto"/>
          <w:szCs w:val="21"/>
          <w:highlight w:val="none"/>
        </w:rPr>
        <w:t>“一门户”：</w:t>
      </w:r>
      <w:r>
        <w:rPr>
          <w:rFonts w:hint="eastAsia"/>
          <w:color w:val="auto"/>
          <w:szCs w:val="21"/>
          <w:highlight w:val="none"/>
        </w:rPr>
        <w:t>即</w:t>
      </w:r>
      <w:r>
        <w:rPr>
          <w:color w:val="auto"/>
          <w:szCs w:val="21"/>
          <w:highlight w:val="none"/>
        </w:rPr>
        <w:t>门户系统</w:t>
      </w:r>
      <w:r>
        <w:rPr>
          <w:rFonts w:hint="eastAsia"/>
          <w:color w:val="auto"/>
          <w:szCs w:val="21"/>
          <w:highlight w:val="none"/>
        </w:rPr>
        <w:t>，</w:t>
      </w:r>
      <w:r>
        <w:rPr>
          <w:color w:val="auto"/>
          <w:szCs w:val="21"/>
          <w:highlight w:val="none"/>
        </w:rPr>
        <w:t>实现通过统一入口</w:t>
      </w:r>
      <w:r>
        <w:rPr>
          <w:rFonts w:hint="eastAsia"/>
          <w:color w:val="auto"/>
          <w:szCs w:val="21"/>
          <w:highlight w:val="none"/>
        </w:rPr>
        <w:t>、</w:t>
      </w:r>
      <w:r>
        <w:rPr>
          <w:color w:val="auto"/>
          <w:szCs w:val="21"/>
          <w:highlight w:val="none"/>
        </w:rPr>
        <w:t>统一账号登录各应用。</w:t>
      </w:r>
    </w:p>
    <w:p>
      <w:pPr>
        <w:spacing w:line="480" w:lineRule="exact"/>
        <w:ind w:firstLine="420" w:firstLineChars="200"/>
        <w:rPr>
          <w:color w:val="auto"/>
          <w:szCs w:val="21"/>
          <w:highlight w:val="none"/>
        </w:rPr>
      </w:pPr>
      <w:r>
        <w:rPr>
          <w:color w:val="auto"/>
          <w:szCs w:val="21"/>
          <w:highlight w:val="none"/>
        </w:rPr>
        <w:t>“一底座”：包括数据支撑平台和应用支撑平台。</w:t>
      </w:r>
    </w:p>
    <w:p>
      <w:pPr>
        <w:spacing w:line="480" w:lineRule="exact"/>
        <w:ind w:firstLine="420" w:firstLineChars="200"/>
        <w:rPr>
          <w:color w:val="auto"/>
          <w:szCs w:val="21"/>
          <w:highlight w:val="none"/>
        </w:rPr>
      </w:pPr>
      <w:r>
        <w:rPr>
          <w:color w:val="auto"/>
          <w:szCs w:val="21"/>
          <w:highlight w:val="none"/>
        </w:rPr>
        <w:t>“五应用”：包括广西</w:t>
      </w:r>
      <w:r>
        <w:rPr>
          <w:rFonts w:hint="eastAsia"/>
          <w:color w:val="auto"/>
          <w:szCs w:val="21"/>
          <w:highlight w:val="none"/>
        </w:rPr>
        <w:t>科技</w:t>
      </w:r>
      <w:r>
        <w:rPr>
          <w:color w:val="auto"/>
          <w:szCs w:val="21"/>
          <w:highlight w:val="none"/>
        </w:rPr>
        <w:t>计划项目管理子系统、广西项目科研经费监管子系统、广西科技专家库管理子系统、广西科研诚信管理信息子系统、广西科技研发经费投入运行监控子系统。</w:t>
      </w:r>
    </w:p>
    <w:p>
      <w:pPr>
        <w:spacing w:line="480" w:lineRule="exact"/>
        <w:ind w:firstLine="420" w:firstLineChars="200"/>
        <w:rPr>
          <w:color w:val="auto"/>
          <w:szCs w:val="21"/>
          <w:highlight w:val="none"/>
        </w:rPr>
      </w:pPr>
      <w:r>
        <w:rPr>
          <w:color w:val="auto"/>
          <w:szCs w:val="21"/>
          <w:highlight w:val="none"/>
        </w:rPr>
        <w:t>“一系统”：建设广西科技项目监测分析系统。</w:t>
      </w:r>
    </w:p>
    <w:p>
      <w:pPr>
        <w:spacing w:line="480" w:lineRule="exact"/>
        <w:jc w:val="center"/>
        <w:rPr>
          <w:b/>
          <w:bCs/>
          <w:color w:val="auto"/>
          <w:sz w:val="24"/>
          <w:highlight w:val="none"/>
        </w:rPr>
      </w:pPr>
      <w:r>
        <w:rPr>
          <w:rFonts w:hint="eastAsia"/>
          <w:b/>
          <w:bCs/>
          <w:color w:val="auto"/>
          <w:sz w:val="24"/>
          <w:highlight w:val="none"/>
        </w:rPr>
        <w:t>采购需求表</w:t>
      </w:r>
    </w:p>
    <w:tbl>
      <w:tblPr>
        <w:tblStyle w:val="25"/>
        <w:tblW w:w="977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10"/>
        <w:gridCol w:w="855"/>
        <w:gridCol w:w="525"/>
        <w:gridCol w:w="79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410"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szCs w:val="21"/>
                <w:highlight w:val="none"/>
              </w:rPr>
            </w:pPr>
            <w:r>
              <w:rPr>
                <w:color w:val="auto"/>
                <w:kern w:val="0"/>
                <w:szCs w:val="21"/>
                <w:highlight w:val="none"/>
              </w:rPr>
              <w:t>序号</w:t>
            </w:r>
          </w:p>
        </w:tc>
        <w:tc>
          <w:tcPr>
            <w:tcW w:w="855"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szCs w:val="21"/>
                <w:highlight w:val="none"/>
              </w:rPr>
            </w:pPr>
            <w:r>
              <w:rPr>
                <w:color w:val="auto"/>
                <w:kern w:val="0"/>
                <w:szCs w:val="21"/>
                <w:highlight w:val="none"/>
              </w:rPr>
              <w:t>标的的名称</w:t>
            </w:r>
          </w:p>
        </w:tc>
        <w:tc>
          <w:tcPr>
            <w:tcW w:w="525" w:type="dxa"/>
            <w:tcBorders>
              <w:top w:val="single" w:color="auto" w:sz="4" w:space="0"/>
              <w:left w:val="single" w:color="auto" w:sz="4" w:space="0"/>
              <w:bottom w:val="single" w:color="auto" w:sz="4" w:space="0"/>
              <w:right w:val="single" w:color="auto" w:sz="4" w:space="0"/>
            </w:tcBorders>
            <w:vAlign w:val="center"/>
          </w:tcPr>
          <w:p>
            <w:pPr>
              <w:widowControl/>
              <w:jc w:val="center"/>
              <w:rPr>
                <w:color w:val="auto"/>
                <w:szCs w:val="21"/>
                <w:highlight w:val="none"/>
              </w:rPr>
            </w:pPr>
            <w:r>
              <w:rPr>
                <w:color w:val="auto"/>
                <w:szCs w:val="21"/>
                <w:highlight w:val="none"/>
              </w:rPr>
              <w:t>数量</w:t>
            </w:r>
          </w:p>
        </w:tc>
        <w:tc>
          <w:tcPr>
            <w:tcW w:w="7980" w:type="dxa"/>
            <w:tcBorders>
              <w:top w:val="single" w:color="auto" w:sz="4" w:space="0"/>
              <w:left w:val="single" w:color="auto" w:sz="4" w:space="0"/>
              <w:bottom w:val="single" w:color="auto" w:sz="4" w:space="0"/>
              <w:right w:val="single" w:color="auto" w:sz="4" w:space="0"/>
            </w:tcBorders>
            <w:vAlign w:val="center"/>
          </w:tcPr>
          <w:p>
            <w:pPr>
              <w:widowControl/>
              <w:tabs>
                <w:tab w:val="left" w:pos="210"/>
                <w:tab w:val="left" w:pos="2100"/>
                <w:tab w:val="left" w:pos="2310"/>
              </w:tabs>
              <w:jc w:val="center"/>
              <w:rPr>
                <w:color w:val="auto"/>
                <w:szCs w:val="21"/>
                <w:highlight w:val="none"/>
              </w:rPr>
            </w:pPr>
            <w:r>
              <w:rPr>
                <w:color w:val="auto"/>
                <w:highlight w:val="none"/>
              </w:rPr>
              <w:t>服务参数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16" w:hRule="atLeast"/>
          <w:jc w:val="center"/>
        </w:trPr>
        <w:tc>
          <w:tcPr>
            <w:tcW w:w="410" w:type="dxa"/>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color w:val="auto"/>
                <w:kern w:val="0"/>
                <w:szCs w:val="21"/>
                <w:highlight w:val="none"/>
              </w:rPr>
            </w:pPr>
            <w:r>
              <w:rPr>
                <w:color w:val="auto"/>
                <w:kern w:val="0"/>
                <w:szCs w:val="21"/>
                <w:highlight w:val="none"/>
              </w:rPr>
              <w:t>1</w:t>
            </w: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color w:val="auto"/>
                <w:kern w:val="0"/>
                <w:szCs w:val="21"/>
                <w:highlight w:val="none"/>
              </w:rPr>
            </w:pPr>
            <w:r>
              <w:rPr>
                <w:color w:val="auto"/>
                <w:kern w:val="0"/>
                <w:szCs w:val="21"/>
                <w:highlight w:val="none"/>
              </w:rPr>
              <w:t>广西科技项目管理平台开发服务</w:t>
            </w:r>
          </w:p>
        </w:tc>
        <w:tc>
          <w:tcPr>
            <w:tcW w:w="525" w:type="dxa"/>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color w:val="auto"/>
                <w:szCs w:val="21"/>
                <w:highlight w:val="none"/>
              </w:rPr>
            </w:pPr>
            <w:r>
              <w:rPr>
                <w:color w:val="auto"/>
                <w:szCs w:val="21"/>
                <w:highlight w:val="none"/>
              </w:rPr>
              <w:t>1项</w:t>
            </w:r>
          </w:p>
        </w:tc>
        <w:tc>
          <w:tcPr>
            <w:tcW w:w="7980"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spacing w:line="440" w:lineRule="exact"/>
              <w:rPr>
                <w:b/>
                <w:bCs/>
                <w:color w:val="auto"/>
                <w:szCs w:val="21"/>
                <w:highlight w:val="none"/>
              </w:rPr>
            </w:pPr>
            <w:r>
              <w:rPr>
                <w:b/>
                <w:bCs/>
                <w:color w:val="auto"/>
                <w:szCs w:val="21"/>
                <w:highlight w:val="none"/>
              </w:rPr>
              <w:t>功能需求</w:t>
            </w:r>
          </w:p>
          <w:p>
            <w:pPr>
              <w:numPr>
                <w:ilvl w:val="0"/>
                <w:numId w:val="2"/>
              </w:numPr>
              <w:spacing w:line="440" w:lineRule="exact"/>
              <w:ind w:firstLine="420" w:firstLineChars="200"/>
              <w:outlineLvl w:val="2"/>
              <w:rPr>
                <w:rFonts w:eastAsia="宋体"/>
                <w:bCs/>
                <w:color w:val="auto"/>
                <w:szCs w:val="21"/>
                <w:highlight w:val="none"/>
              </w:rPr>
            </w:pPr>
            <w:r>
              <w:rPr>
                <w:rFonts w:eastAsia="宋体"/>
                <w:bCs/>
                <w:color w:val="auto"/>
                <w:szCs w:val="21"/>
                <w:highlight w:val="none"/>
              </w:rPr>
              <w:t>一门户</w:t>
            </w:r>
          </w:p>
          <w:p>
            <w:pPr>
              <w:spacing w:line="440" w:lineRule="exact"/>
              <w:ind w:firstLine="420" w:firstLineChars="200"/>
              <w:rPr>
                <w:rFonts w:eastAsia="宋体"/>
                <w:color w:val="auto"/>
                <w:szCs w:val="21"/>
                <w:highlight w:val="none"/>
              </w:rPr>
            </w:pPr>
            <w:r>
              <w:rPr>
                <w:rFonts w:eastAsia="宋体"/>
                <w:color w:val="auto"/>
                <w:szCs w:val="21"/>
                <w:highlight w:val="none"/>
              </w:rPr>
              <w:t>门户系统实现通过统一账号登录平台各应用，为应用入口、工作提醒、通知公告提供统一界面。</w:t>
            </w:r>
          </w:p>
          <w:p>
            <w:pPr>
              <w:numPr>
                <w:ilvl w:val="1"/>
                <w:numId w:val="2"/>
              </w:numPr>
              <w:tabs>
                <w:tab w:val="left" w:pos="0"/>
              </w:tabs>
              <w:spacing w:line="440" w:lineRule="exact"/>
              <w:ind w:left="0" w:firstLine="420" w:firstLineChars="200"/>
              <w:outlineLvl w:val="2"/>
              <w:rPr>
                <w:rFonts w:eastAsia="宋体"/>
                <w:bCs/>
                <w:color w:val="auto"/>
                <w:szCs w:val="21"/>
                <w:highlight w:val="none"/>
              </w:rPr>
            </w:pPr>
            <w:bookmarkStart w:id="71" w:name="_Toc29137"/>
            <w:bookmarkStart w:id="72" w:name="_Toc2431"/>
            <w:r>
              <w:rPr>
                <w:rFonts w:eastAsia="宋体"/>
                <w:bCs/>
                <w:color w:val="auto"/>
                <w:szCs w:val="21"/>
                <w:highlight w:val="none"/>
              </w:rPr>
              <w:t>未登录首页</w:t>
            </w:r>
            <w:bookmarkEnd w:id="71"/>
            <w:bookmarkEnd w:id="72"/>
          </w:p>
          <w:p>
            <w:pPr>
              <w:numPr>
                <w:ilvl w:val="0"/>
                <w:numId w:val="3"/>
              </w:numPr>
              <w:spacing w:line="440" w:lineRule="exact"/>
              <w:ind w:left="0" w:firstLine="420" w:firstLineChars="200"/>
              <w:rPr>
                <w:rFonts w:eastAsia="宋体"/>
                <w:color w:val="auto"/>
                <w:szCs w:val="21"/>
                <w:highlight w:val="none"/>
              </w:rPr>
            </w:pPr>
            <w:r>
              <w:rPr>
                <w:rFonts w:eastAsia="宋体"/>
                <w:color w:val="auto"/>
                <w:szCs w:val="21"/>
                <w:highlight w:val="none"/>
              </w:rPr>
              <w:t>申报</w:t>
            </w:r>
            <w:r>
              <w:rPr>
                <w:rFonts w:hint="eastAsia" w:eastAsia="宋体"/>
                <w:color w:val="auto"/>
                <w:szCs w:val="21"/>
                <w:highlight w:val="none"/>
                <w:lang w:val="en-US" w:eastAsia="zh-CN"/>
              </w:rPr>
              <w:t>信息</w:t>
            </w:r>
            <w:r>
              <w:rPr>
                <w:rFonts w:eastAsia="宋体"/>
                <w:color w:val="auto"/>
                <w:szCs w:val="21"/>
                <w:highlight w:val="none"/>
              </w:rPr>
              <w:t>发布：归类显示开通中的项目申报业务信息，包括业务名称、业务联系人、联系电话，支持用户下载申报指南、可行性报告模板。点击“进入申报”按钮，可快速进入业务申报页面，未登录用户先跳转登录页面。</w:t>
            </w:r>
          </w:p>
          <w:p>
            <w:pPr>
              <w:numPr>
                <w:ilvl w:val="0"/>
                <w:numId w:val="3"/>
              </w:numPr>
              <w:spacing w:line="440" w:lineRule="exact"/>
              <w:ind w:left="0" w:firstLine="420" w:firstLineChars="200"/>
              <w:rPr>
                <w:rFonts w:eastAsia="宋体"/>
                <w:color w:val="auto"/>
                <w:szCs w:val="21"/>
                <w:highlight w:val="none"/>
              </w:rPr>
            </w:pPr>
            <w:r>
              <w:rPr>
                <w:rFonts w:eastAsia="宋体"/>
                <w:color w:val="auto"/>
                <w:szCs w:val="21"/>
                <w:highlight w:val="none"/>
              </w:rPr>
              <w:t>通知公告：用户可在首页查看已发布的通知公告。通知公告管理员可在管理后台编辑、发布通知公告，设置公告有效期和启用状态。</w:t>
            </w:r>
          </w:p>
          <w:p>
            <w:pPr>
              <w:numPr>
                <w:ilvl w:val="0"/>
                <w:numId w:val="3"/>
              </w:numPr>
              <w:spacing w:line="440" w:lineRule="exact"/>
              <w:ind w:left="0" w:firstLine="420" w:firstLineChars="200"/>
              <w:rPr>
                <w:rFonts w:eastAsia="宋体"/>
                <w:color w:val="auto"/>
                <w:szCs w:val="21"/>
                <w:highlight w:val="none"/>
              </w:rPr>
            </w:pPr>
            <w:r>
              <w:rPr>
                <w:rFonts w:eastAsia="宋体"/>
                <w:color w:val="auto"/>
                <w:szCs w:val="21"/>
                <w:highlight w:val="none"/>
              </w:rPr>
              <w:t>公示信息：用于发布拟立项、拟验收、拟终止结题等科技项目公示信息。</w:t>
            </w:r>
          </w:p>
          <w:p>
            <w:pPr>
              <w:numPr>
                <w:ilvl w:val="0"/>
                <w:numId w:val="3"/>
              </w:numPr>
              <w:spacing w:line="440" w:lineRule="exact"/>
              <w:ind w:left="0" w:firstLine="420" w:firstLineChars="200"/>
              <w:rPr>
                <w:rFonts w:eastAsia="宋体"/>
                <w:color w:val="auto"/>
                <w:szCs w:val="21"/>
                <w:highlight w:val="none"/>
              </w:rPr>
            </w:pPr>
            <w:r>
              <w:rPr>
                <w:rFonts w:eastAsia="宋体"/>
                <w:color w:val="auto"/>
                <w:szCs w:val="21"/>
                <w:highlight w:val="none"/>
              </w:rPr>
              <w:t>账号注册：用户可注册项目负责人、承担单位、专家、评估机构等类型账号，用户注册需对手机号和邮箱进行认证；系统需检查注册账号的重复情况，避免重复注册；系统提供注册向导，引导用户注册操作，阅读并勾选用户协议；系统对用户填写的密码进行密码复杂度校验。</w:t>
            </w:r>
          </w:p>
          <w:p>
            <w:pPr>
              <w:numPr>
                <w:ilvl w:val="0"/>
                <w:numId w:val="3"/>
              </w:numPr>
              <w:spacing w:line="440" w:lineRule="exact"/>
              <w:ind w:left="0" w:firstLine="420" w:firstLineChars="200"/>
              <w:rPr>
                <w:rFonts w:eastAsia="宋体"/>
                <w:color w:val="auto"/>
                <w:szCs w:val="21"/>
                <w:highlight w:val="none"/>
              </w:rPr>
            </w:pPr>
            <w:r>
              <w:rPr>
                <w:rFonts w:eastAsia="宋体"/>
                <w:color w:val="auto"/>
                <w:szCs w:val="21"/>
                <w:highlight w:val="none"/>
              </w:rPr>
              <w:t>账号登录：支持手机号、邮箱号、用户名、统一社会信用代码等多种账号登录方式，系统校验用户密码</w:t>
            </w:r>
            <w:r>
              <w:rPr>
                <w:rFonts w:hint="eastAsia" w:eastAsia="宋体"/>
                <w:color w:val="auto"/>
                <w:szCs w:val="21"/>
                <w:highlight w:val="none"/>
                <w:lang w:eastAsia="zh-CN"/>
              </w:rPr>
              <w:t>、</w:t>
            </w:r>
            <w:r>
              <w:rPr>
                <w:rFonts w:eastAsia="宋体"/>
                <w:color w:val="auto"/>
                <w:szCs w:val="21"/>
                <w:highlight w:val="none"/>
              </w:rPr>
              <w:t>验证码</w:t>
            </w:r>
            <w:r>
              <w:rPr>
                <w:rFonts w:hint="eastAsia" w:eastAsia="宋体"/>
                <w:color w:val="auto"/>
                <w:szCs w:val="21"/>
                <w:highlight w:val="none"/>
                <w:lang w:eastAsia="zh-CN"/>
              </w:rPr>
              <w:t>、</w:t>
            </w:r>
            <w:r>
              <w:rPr>
                <w:rFonts w:hint="eastAsia" w:eastAsia="宋体"/>
                <w:color w:val="auto"/>
                <w:szCs w:val="21"/>
                <w:highlight w:val="none"/>
                <w:lang w:val="en-US" w:eastAsia="zh-CN"/>
              </w:rPr>
              <w:t>手机短信验证码</w:t>
            </w:r>
            <w:r>
              <w:rPr>
                <w:rFonts w:eastAsia="宋体"/>
                <w:color w:val="auto"/>
                <w:szCs w:val="21"/>
                <w:highlight w:val="none"/>
              </w:rPr>
              <w:t>。</w:t>
            </w:r>
            <w:r>
              <w:rPr>
                <w:rFonts w:hint="eastAsia" w:eastAsia="宋体"/>
                <w:color w:val="auto"/>
                <w:szCs w:val="21"/>
                <w:highlight w:val="none"/>
                <w:lang w:val="en-US" w:eastAsia="zh-CN"/>
              </w:rPr>
              <w:t>项目申报人登录，系统须校验手机短信验证码，防止冒名、代替申报。</w:t>
            </w:r>
          </w:p>
          <w:p>
            <w:pPr>
              <w:numPr>
                <w:ilvl w:val="0"/>
                <w:numId w:val="3"/>
              </w:numPr>
              <w:spacing w:line="440" w:lineRule="exact"/>
              <w:ind w:left="0" w:firstLine="420" w:firstLineChars="200"/>
              <w:rPr>
                <w:rFonts w:eastAsia="宋体"/>
                <w:color w:val="auto"/>
                <w:szCs w:val="21"/>
                <w:highlight w:val="none"/>
              </w:rPr>
            </w:pPr>
            <w:r>
              <w:rPr>
                <w:rFonts w:eastAsia="宋体"/>
                <w:color w:val="auto"/>
                <w:szCs w:val="21"/>
                <w:highlight w:val="none"/>
              </w:rPr>
              <w:t>密码重置：用户可通过短信验证码、邮箱验证、管理员重置等方式找回密码。</w:t>
            </w:r>
          </w:p>
          <w:p>
            <w:pPr>
              <w:numPr>
                <w:ilvl w:val="0"/>
                <w:numId w:val="3"/>
              </w:numPr>
              <w:spacing w:line="440" w:lineRule="exact"/>
              <w:ind w:left="0" w:firstLine="420" w:firstLineChars="200"/>
              <w:rPr>
                <w:rFonts w:eastAsia="宋体"/>
                <w:color w:val="auto"/>
                <w:szCs w:val="21"/>
                <w:highlight w:val="none"/>
              </w:rPr>
            </w:pPr>
            <w:r>
              <w:rPr>
                <w:rFonts w:eastAsia="宋体"/>
                <w:color w:val="auto"/>
                <w:szCs w:val="21"/>
                <w:highlight w:val="none"/>
              </w:rPr>
              <w:t>常用下载：提供用户手册、常用文档、工具插件的下载。</w:t>
            </w:r>
          </w:p>
          <w:p>
            <w:pPr>
              <w:numPr>
                <w:ilvl w:val="1"/>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登录后首页</w:t>
            </w:r>
          </w:p>
          <w:p>
            <w:pPr>
              <w:numPr>
                <w:ilvl w:val="0"/>
                <w:numId w:val="4"/>
              </w:numPr>
              <w:spacing w:line="440" w:lineRule="exact"/>
              <w:ind w:left="0" w:firstLine="420" w:firstLineChars="200"/>
              <w:rPr>
                <w:rFonts w:eastAsia="宋体"/>
                <w:color w:val="auto"/>
                <w:szCs w:val="21"/>
                <w:highlight w:val="none"/>
              </w:rPr>
            </w:pPr>
            <w:r>
              <w:rPr>
                <w:rFonts w:eastAsia="宋体"/>
                <w:color w:val="auto"/>
                <w:szCs w:val="21"/>
                <w:highlight w:val="none"/>
              </w:rPr>
              <w:t>应用中心：为用户提供各系统功能的便捷入口，用户可根据使用习惯设置常用应用。</w:t>
            </w:r>
          </w:p>
          <w:p>
            <w:pPr>
              <w:numPr>
                <w:ilvl w:val="0"/>
                <w:numId w:val="4"/>
              </w:numPr>
              <w:spacing w:line="440" w:lineRule="exact"/>
              <w:ind w:left="0" w:firstLine="420" w:firstLineChars="200"/>
              <w:rPr>
                <w:rFonts w:eastAsia="宋体"/>
                <w:color w:val="auto"/>
                <w:szCs w:val="21"/>
                <w:highlight w:val="none"/>
              </w:rPr>
            </w:pPr>
            <w:r>
              <w:rPr>
                <w:rFonts w:eastAsia="宋体"/>
                <w:color w:val="auto"/>
                <w:szCs w:val="21"/>
                <w:highlight w:val="none"/>
              </w:rPr>
              <w:t>工作中心：为申报人员、申报单位、评审专家、管理机构、科技管理部门等类型的用户提供待处理事务的工作提醒。点击待办提醒可进入相应的功能模块。</w:t>
            </w:r>
          </w:p>
          <w:p>
            <w:pPr>
              <w:numPr>
                <w:ilvl w:val="0"/>
                <w:numId w:val="4"/>
              </w:numPr>
              <w:spacing w:line="440" w:lineRule="exact"/>
              <w:ind w:left="0" w:firstLine="420" w:firstLineChars="200"/>
              <w:rPr>
                <w:rFonts w:eastAsia="宋体"/>
                <w:color w:val="auto"/>
                <w:szCs w:val="21"/>
                <w:highlight w:val="none"/>
              </w:rPr>
            </w:pPr>
            <w:r>
              <w:rPr>
                <w:rFonts w:eastAsia="宋体"/>
                <w:color w:val="auto"/>
                <w:szCs w:val="21"/>
                <w:highlight w:val="none"/>
              </w:rPr>
              <w:t>申报</w:t>
            </w:r>
            <w:r>
              <w:rPr>
                <w:rFonts w:hint="eastAsia" w:eastAsia="宋体"/>
                <w:color w:val="auto"/>
                <w:szCs w:val="21"/>
                <w:highlight w:val="none"/>
                <w:lang w:val="en-US" w:eastAsia="zh-CN"/>
              </w:rPr>
              <w:t>信息</w:t>
            </w:r>
            <w:r>
              <w:rPr>
                <w:rFonts w:eastAsia="宋体"/>
                <w:color w:val="auto"/>
                <w:szCs w:val="21"/>
                <w:highlight w:val="none"/>
              </w:rPr>
              <w:t>发布：归类显示开通中的项目申报业务信息，支持用户下载</w:t>
            </w:r>
            <w:r>
              <w:rPr>
                <w:rFonts w:hint="eastAsia" w:eastAsia="宋体"/>
                <w:color w:val="auto"/>
                <w:szCs w:val="21"/>
                <w:highlight w:val="none"/>
              </w:rPr>
              <w:t>申报指南、申报须知、形式审查要点清单</w:t>
            </w:r>
            <w:r>
              <w:rPr>
                <w:rFonts w:hint="eastAsia" w:eastAsia="宋体"/>
                <w:color w:val="auto"/>
                <w:szCs w:val="21"/>
                <w:highlight w:val="none"/>
                <w:lang w:eastAsia="zh-CN"/>
              </w:rPr>
              <w:t>、</w:t>
            </w:r>
            <w:r>
              <w:rPr>
                <w:rFonts w:eastAsia="宋体"/>
                <w:color w:val="auto"/>
                <w:szCs w:val="21"/>
                <w:highlight w:val="none"/>
              </w:rPr>
              <w:t>可行性报告模板</w:t>
            </w:r>
            <w:r>
              <w:rPr>
                <w:rFonts w:hint="eastAsia" w:eastAsia="宋体"/>
                <w:color w:val="auto"/>
                <w:szCs w:val="21"/>
                <w:highlight w:val="none"/>
                <w:lang w:val="en-US" w:eastAsia="zh-CN"/>
              </w:rPr>
              <w:t>等</w:t>
            </w:r>
            <w:r>
              <w:rPr>
                <w:rFonts w:eastAsia="宋体"/>
                <w:color w:val="auto"/>
                <w:szCs w:val="21"/>
                <w:highlight w:val="none"/>
              </w:rPr>
              <w:t>。</w:t>
            </w:r>
          </w:p>
          <w:p>
            <w:pPr>
              <w:numPr>
                <w:ilvl w:val="0"/>
                <w:numId w:val="4"/>
              </w:numPr>
              <w:spacing w:line="440" w:lineRule="exact"/>
              <w:ind w:left="0" w:firstLine="420" w:firstLineChars="200"/>
              <w:rPr>
                <w:rFonts w:eastAsia="宋体"/>
                <w:color w:val="auto"/>
                <w:szCs w:val="21"/>
                <w:highlight w:val="none"/>
              </w:rPr>
            </w:pPr>
            <w:r>
              <w:rPr>
                <w:rFonts w:hint="eastAsia" w:eastAsia="宋体"/>
                <w:color w:val="auto"/>
                <w:szCs w:val="21"/>
                <w:highlight w:val="none"/>
                <w:lang w:val="en-US" w:eastAsia="zh-CN"/>
              </w:rPr>
              <w:t>系统</w:t>
            </w:r>
            <w:r>
              <w:rPr>
                <w:rFonts w:eastAsia="宋体"/>
                <w:color w:val="auto"/>
                <w:szCs w:val="21"/>
                <w:highlight w:val="none"/>
              </w:rPr>
              <w:t>消息：系统管理员、管理机构、专家库管理员等可根据业务开展需要，给指定范围用户发送系统消息。系统支持发送消息的逐级审核；用户可查看本账号接收的系统消息。</w:t>
            </w:r>
          </w:p>
          <w:p>
            <w:pPr>
              <w:numPr>
                <w:ilvl w:val="0"/>
                <w:numId w:val="4"/>
              </w:numPr>
              <w:spacing w:line="440" w:lineRule="exact"/>
              <w:ind w:left="0" w:firstLine="420" w:firstLineChars="200"/>
              <w:rPr>
                <w:rFonts w:eastAsia="宋体"/>
                <w:color w:val="auto"/>
                <w:szCs w:val="21"/>
                <w:highlight w:val="none"/>
              </w:rPr>
            </w:pPr>
            <w:r>
              <w:rPr>
                <w:rFonts w:eastAsia="宋体"/>
                <w:color w:val="auto"/>
                <w:szCs w:val="21"/>
                <w:highlight w:val="none"/>
              </w:rPr>
              <w:t>个人中心：系统用户可以在个人中心查看用户信息，并能够对用户信息进行维护、申请变更。用户信息区分可自行修改的信息项和需要申请变更的信息项，需要申请变更的信息项需提交审核人员审核通过后，才能完成信息变更。</w:t>
            </w:r>
          </w:p>
          <w:p>
            <w:pPr>
              <w:numPr>
                <w:ilvl w:val="1"/>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智能客服</w:t>
            </w:r>
          </w:p>
          <w:p>
            <w:pPr>
              <w:spacing w:line="440" w:lineRule="exact"/>
              <w:ind w:firstLine="420" w:firstLineChars="200"/>
              <w:rPr>
                <w:rFonts w:eastAsia="宋体"/>
                <w:color w:val="auto"/>
                <w:szCs w:val="21"/>
                <w:highlight w:val="none"/>
              </w:rPr>
            </w:pPr>
            <w:r>
              <w:rPr>
                <w:rFonts w:eastAsia="宋体"/>
                <w:color w:val="auto"/>
                <w:szCs w:val="21"/>
                <w:highlight w:val="none"/>
              </w:rPr>
              <w:t>门户提供智能客服入口。账号登录前后，用户均可以进入智能客服进行操作咨询和政策咨询。</w:t>
            </w:r>
          </w:p>
          <w:p>
            <w:pPr>
              <w:numPr>
                <w:ilvl w:val="0"/>
                <w:numId w:val="2"/>
              </w:numPr>
              <w:spacing w:line="440" w:lineRule="exact"/>
              <w:ind w:firstLine="420" w:firstLineChars="200"/>
              <w:outlineLvl w:val="2"/>
              <w:rPr>
                <w:rFonts w:eastAsia="宋体"/>
                <w:bCs/>
                <w:color w:val="auto"/>
                <w:szCs w:val="21"/>
                <w:highlight w:val="none"/>
              </w:rPr>
            </w:pPr>
            <w:r>
              <w:rPr>
                <w:rFonts w:eastAsia="宋体"/>
                <w:bCs/>
                <w:color w:val="auto"/>
                <w:szCs w:val="21"/>
                <w:highlight w:val="none"/>
              </w:rPr>
              <w:t>一底座</w:t>
            </w:r>
          </w:p>
          <w:p>
            <w:pPr>
              <w:spacing w:line="440" w:lineRule="exact"/>
              <w:ind w:firstLine="420" w:firstLineChars="200"/>
              <w:rPr>
                <w:rFonts w:eastAsia="宋体"/>
                <w:color w:val="auto"/>
                <w:szCs w:val="21"/>
                <w:highlight w:val="none"/>
              </w:rPr>
            </w:pPr>
            <w:r>
              <w:rPr>
                <w:rFonts w:eastAsia="宋体"/>
                <w:color w:val="auto"/>
                <w:szCs w:val="21"/>
                <w:highlight w:val="none"/>
              </w:rPr>
              <w:t>包括建设一套“数据支撑平台”和一套“应用支撑平台”。</w:t>
            </w:r>
          </w:p>
          <w:p>
            <w:pPr>
              <w:numPr>
                <w:ilvl w:val="1"/>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数据支撑平台</w:t>
            </w:r>
          </w:p>
          <w:p>
            <w:pPr>
              <w:numPr>
                <w:ilvl w:val="2"/>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数据采集服务</w:t>
            </w:r>
          </w:p>
          <w:p>
            <w:pPr>
              <w:spacing w:line="440" w:lineRule="exact"/>
              <w:ind w:firstLine="420" w:firstLineChars="200"/>
              <w:rPr>
                <w:rFonts w:eastAsia="宋体"/>
                <w:color w:val="auto"/>
                <w:szCs w:val="21"/>
                <w:highlight w:val="none"/>
              </w:rPr>
            </w:pPr>
            <w:r>
              <w:rPr>
                <w:rFonts w:eastAsia="宋体"/>
                <w:color w:val="auto"/>
                <w:szCs w:val="21"/>
                <w:highlight w:val="none"/>
              </w:rPr>
              <w:t>提供多源异构数据资源的数据采集服务，确保数据的高效、安全接入，并实时更新数据资源目录和数据血缘信息。采集数据可用于项目画像、单位画像、项目负责人画像、专家画像构建，完善科研诚信数据等。</w:t>
            </w:r>
          </w:p>
          <w:p>
            <w:pPr>
              <w:numPr>
                <w:ilvl w:val="2"/>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数据共享服务</w:t>
            </w:r>
          </w:p>
          <w:p>
            <w:pPr>
              <w:spacing w:line="440" w:lineRule="exact"/>
              <w:ind w:firstLine="420" w:firstLineChars="200"/>
              <w:rPr>
                <w:rFonts w:eastAsia="宋体"/>
                <w:color w:val="auto"/>
                <w:szCs w:val="21"/>
                <w:highlight w:val="none"/>
              </w:rPr>
            </w:pPr>
            <w:r>
              <w:rPr>
                <w:rFonts w:eastAsia="宋体"/>
                <w:color w:val="auto"/>
                <w:szCs w:val="21"/>
                <w:highlight w:val="none"/>
              </w:rPr>
              <w:t>（1）梳理信息资源，建立信息资源目录，实现与广西政务数据共享交换平台进行数据交换和资源共享目录挂接。共享数据主要包括单位科技信息、科技人才信息、科技项目信息、科技创新平台信息、国内外人才智力引进情况、评审专家信息、科技成果信息等。</w:t>
            </w:r>
          </w:p>
          <w:p>
            <w:pPr>
              <w:spacing w:line="440" w:lineRule="exact"/>
              <w:ind w:firstLine="420" w:firstLineChars="200"/>
              <w:rPr>
                <w:rFonts w:eastAsia="宋体"/>
                <w:color w:val="auto"/>
                <w:szCs w:val="21"/>
                <w:highlight w:val="none"/>
              </w:rPr>
            </w:pPr>
            <w:r>
              <w:rPr>
                <w:rFonts w:eastAsia="宋体"/>
                <w:color w:val="auto"/>
                <w:szCs w:val="21"/>
                <w:highlight w:val="none"/>
              </w:rPr>
              <w:t>（2）构建业务数据标准规范及标准规范的数据接口，为专家、申报人、专家、申报单位、专业机构等数据提供共享交换接口。</w:t>
            </w:r>
          </w:p>
          <w:p>
            <w:pPr>
              <w:numPr>
                <w:ilvl w:val="2"/>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数据存储服务</w:t>
            </w:r>
          </w:p>
          <w:p>
            <w:pPr>
              <w:spacing w:line="440" w:lineRule="exact"/>
              <w:ind w:firstLine="420" w:firstLineChars="200"/>
              <w:rPr>
                <w:rFonts w:eastAsia="宋体"/>
                <w:color w:val="auto"/>
                <w:szCs w:val="21"/>
                <w:highlight w:val="none"/>
              </w:rPr>
            </w:pPr>
            <w:r>
              <w:rPr>
                <w:rFonts w:eastAsia="宋体"/>
                <w:color w:val="auto"/>
                <w:szCs w:val="21"/>
                <w:highlight w:val="none"/>
              </w:rPr>
              <w:t>本项目采用规范高效的数据存储结构构建数据库，实现各业务数据的统一汇聚、有序组织与集中存储。依托标准化、高效化的数据管理及存储机制，数据库可为上层应用提供稳定、可靠的数据存储服务。本项目建设的数据库主要包括：</w:t>
            </w:r>
          </w:p>
          <w:p>
            <w:pPr>
              <w:numPr>
                <w:ilvl w:val="0"/>
                <w:numId w:val="5"/>
              </w:numPr>
              <w:spacing w:line="440" w:lineRule="exact"/>
              <w:ind w:left="0" w:firstLine="420" w:firstLineChars="200"/>
              <w:rPr>
                <w:rFonts w:eastAsia="宋体"/>
                <w:color w:val="auto"/>
                <w:szCs w:val="21"/>
                <w:highlight w:val="none"/>
                <w:lang w:val="zh-CN"/>
              </w:rPr>
            </w:pPr>
            <w:r>
              <w:rPr>
                <w:rFonts w:eastAsia="宋体"/>
                <w:color w:val="auto"/>
                <w:szCs w:val="21"/>
                <w:highlight w:val="none"/>
                <w:lang w:val="zh-CN"/>
              </w:rPr>
              <w:t>专家库：构建科技专家库，为科技计划项目的立项、查定、验收等过程的评审提供科技专家评审服务。</w:t>
            </w:r>
          </w:p>
          <w:p>
            <w:pPr>
              <w:numPr>
                <w:ilvl w:val="0"/>
                <w:numId w:val="5"/>
              </w:numPr>
              <w:spacing w:line="440" w:lineRule="exact"/>
              <w:ind w:left="0" w:firstLine="420" w:firstLineChars="200"/>
              <w:rPr>
                <w:rFonts w:eastAsia="宋体"/>
                <w:color w:val="auto"/>
                <w:szCs w:val="21"/>
                <w:highlight w:val="none"/>
                <w:lang w:val="zh-CN"/>
              </w:rPr>
            </w:pPr>
            <w:r>
              <w:rPr>
                <w:rFonts w:eastAsia="宋体"/>
                <w:color w:val="auto"/>
                <w:szCs w:val="21"/>
                <w:highlight w:val="none"/>
                <w:lang w:val="zh-CN"/>
              </w:rPr>
              <w:t>项目库：构建项目库，存储科技项目业务管理数据、科技项目申报数据、</w:t>
            </w:r>
            <w:r>
              <w:rPr>
                <w:rFonts w:eastAsia="宋体"/>
                <w:color w:val="auto"/>
                <w:szCs w:val="21"/>
                <w:highlight w:val="none"/>
              </w:rPr>
              <w:t>项目</w:t>
            </w:r>
            <w:r>
              <w:rPr>
                <w:rFonts w:eastAsia="宋体"/>
                <w:color w:val="auto"/>
                <w:szCs w:val="21"/>
                <w:highlight w:val="none"/>
                <w:lang w:val="zh-CN"/>
              </w:rPr>
              <w:t>经费数据、项目验收数据等。</w:t>
            </w:r>
          </w:p>
          <w:p>
            <w:pPr>
              <w:numPr>
                <w:ilvl w:val="0"/>
                <w:numId w:val="5"/>
              </w:numPr>
              <w:spacing w:line="440" w:lineRule="exact"/>
              <w:ind w:left="0" w:firstLine="420" w:firstLineChars="200"/>
              <w:rPr>
                <w:rFonts w:eastAsia="宋体"/>
                <w:color w:val="auto"/>
                <w:szCs w:val="21"/>
                <w:highlight w:val="none"/>
                <w:lang w:val="zh-CN"/>
              </w:rPr>
            </w:pPr>
            <w:r>
              <w:rPr>
                <w:rFonts w:eastAsia="宋体"/>
                <w:color w:val="auto"/>
                <w:szCs w:val="21"/>
                <w:highlight w:val="none"/>
                <w:lang w:val="zh-CN"/>
              </w:rPr>
              <w:t>人员库：存储申报人员、单位管理员、评估机构人员、科技主管部门人员等各类人员数据。</w:t>
            </w:r>
          </w:p>
          <w:p>
            <w:pPr>
              <w:numPr>
                <w:ilvl w:val="0"/>
                <w:numId w:val="5"/>
              </w:numPr>
              <w:spacing w:line="440" w:lineRule="exact"/>
              <w:ind w:left="0" w:firstLine="420" w:firstLineChars="200"/>
              <w:rPr>
                <w:rFonts w:eastAsia="宋体"/>
                <w:color w:val="auto"/>
                <w:szCs w:val="21"/>
                <w:highlight w:val="none"/>
                <w:lang w:val="zh-CN"/>
              </w:rPr>
            </w:pPr>
            <w:r>
              <w:rPr>
                <w:rFonts w:eastAsia="宋体"/>
                <w:color w:val="auto"/>
                <w:szCs w:val="21"/>
                <w:highlight w:val="none"/>
                <w:lang w:val="zh-CN"/>
              </w:rPr>
              <w:t>单位库：存储申报单位、主管单位、推荐单位、评估机构、科技主管部门等数据。</w:t>
            </w:r>
          </w:p>
          <w:p>
            <w:pPr>
              <w:numPr>
                <w:ilvl w:val="0"/>
                <w:numId w:val="5"/>
              </w:numPr>
              <w:spacing w:line="440" w:lineRule="exact"/>
              <w:ind w:left="0" w:firstLine="420" w:firstLineChars="200"/>
              <w:rPr>
                <w:rFonts w:eastAsia="宋体"/>
                <w:color w:val="auto"/>
                <w:szCs w:val="21"/>
                <w:highlight w:val="none"/>
              </w:rPr>
            </w:pPr>
            <w:r>
              <w:rPr>
                <w:rFonts w:eastAsia="宋体"/>
                <w:color w:val="auto"/>
                <w:szCs w:val="21"/>
                <w:highlight w:val="none"/>
                <w:lang w:val="zh-CN"/>
              </w:rPr>
              <w:t>信用库：构建科研信用基础数据库，存储各类责任主体的科研诚信，用于实现诚信信息采集、信用评价、信用查询等功能。</w:t>
            </w:r>
          </w:p>
          <w:p>
            <w:pPr>
              <w:numPr>
                <w:ilvl w:val="1"/>
                <w:numId w:val="2"/>
              </w:numPr>
              <w:tabs>
                <w:tab w:val="left" w:pos="0"/>
              </w:tabs>
              <w:spacing w:line="440" w:lineRule="exact"/>
              <w:ind w:left="0" w:firstLine="420" w:firstLineChars="200"/>
              <w:outlineLvl w:val="2"/>
              <w:rPr>
                <w:rFonts w:eastAsia="宋体"/>
                <w:bCs/>
                <w:color w:val="auto"/>
                <w:szCs w:val="21"/>
                <w:highlight w:val="none"/>
              </w:rPr>
            </w:pPr>
            <w:bookmarkStart w:id="73" w:name="_Toc6677"/>
            <w:r>
              <w:rPr>
                <w:rFonts w:eastAsia="宋体"/>
                <w:bCs/>
                <w:color w:val="auto"/>
                <w:szCs w:val="21"/>
                <w:highlight w:val="none"/>
              </w:rPr>
              <w:t>应用支撑平台</w:t>
            </w:r>
          </w:p>
          <w:p>
            <w:pPr>
              <w:spacing w:line="440" w:lineRule="exact"/>
              <w:ind w:firstLine="420" w:firstLineChars="200"/>
              <w:rPr>
                <w:rFonts w:eastAsia="宋体"/>
                <w:color w:val="auto"/>
                <w:szCs w:val="21"/>
                <w:highlight w:val="none"/>
              </w:rPr>
            </w:pPr>
            <w:r>
              <w:rPr>
                <w:rFonts w:eastAsia="宋体"/>
                <w:color w:val="auto"/>
                <w:szCs w:val="21"/>
                <w:highlight w:val="none"/>
              </w:rPr>
              <w:t>构建低代码开发平台，搭建引擎式软件快速开发模式，实现工作流引擎、表单引擎、规则引擎、主题管理和基础服务管理。</w:t>
            </w:r>
          </w:p>
          <w:p>
            <w:pPr>
              <w:numPr>
                <w:ilvl w:val="2"/>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工作流引擎</w:t>
            </w:r>
          </w:p>
          <w:p>
            <w:pPr>
              <w:spacing w:line="440" w:lineRule="exact"/>
              <w:ind w:firstLine="420" w:firstLineChars="200"/>
              <w:rPr>
                <w:rFonts w:eastAsia="宋体"/>
                <w:color w:val="auto"/>
                <w:szCs w:val="21"/>
                <w:highlight w:val="none"/>
              </w:rPr>
            </w:pPr>
            <w:r>
              <w:rPr>
                <w:rFonts w:eastAsia="宋体"/>
                <w:color w:val="auto"/>
                <w:szCs w:val="21"/>
                <w:highlight w:val="none"/>
              </w:rPr>
              <w:t>构建可视化流程设计器，实现科技项目申报、立项、评审、合同签订、项目实施、验收结题等业务流程的快速构建和灵活调整。可实现工作流程根据角色、用户、数据权限等情况流转审批；支持查看业务流转情况，系统记录流转日志并可追溯。</w:t>
            </w:r>
          </w:p>
          <w:p>
            <w:pPr>
              <w:numPr>
                <w:ilvl w:val="2"/>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表单引擎</w:t>
            </w:r>
          </w:p>
          <w:p>
            <w:pPr>
              <w:spacing w:line="440" w:lineRule="exact"/>
              <w:ind w:firstLine="420" w:firstLineChars="200"/>
              <w:rPr>
                <w:rFonts w:eastAsia="宋体"/>
                <w:color w:val="auto"/>
                <w:szCs w:val="21"/>
                <w:highlight w:val="none"/>
              </w:rPr>
            </w:pPr>
            <w:r>
              <w:rPr>
                <w:rFonts w:eastAsia="宋体"/>
                <w:color w:val="auto"/>
                <w:szCs w:val="21"/>
                <w:highlight w:val="none"/>
              </w:rPr>
              <w:t>（1）系统具备低代码的科技项目管理领域业务组件开发能力，建立功能组件库，预置单位、人员、经费等业务组件。</w:t>
            </w:r>
          </w:p>
          <w:p>
            <w:pPr>
              <w:spacing w:line="440" w:lineRule="exact"/>
              <w:ind w:firstLine="420" w:firstLineChars="200"/>
              <w:rPr>
                <w:rFonts w:eastAsia="宋体"/>
                <w:color w:val="auto"/>
                <w:szCs w:val="21"/>
                <w:highlight w:val="none"/>
              </w:rPr>
            </w:pPr>
            <w:r>
              <w:rPr>
                <w:rFonts w:eastAsia="宋体"/>
                <w:color w:val="auto"/>
                <w:szCs w:val="21"/>
                <w:highlight w:val="none"/>
              </w:rPr>
              <w:t>（2）通过桌面式简单拖拽组件的方式，实现指南征集、申报书、任务书、绩效报告、结题报告等各类业务表单的快速制作。</w:t>
            </w:r>
          </w:p>
          <w:p>
            <w:pPr>
              <w:numPr>
                <w:ilvl w:val="2"/>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规则引擎</w:t>
            </w:r>
          </w:p>
          <w:p>
            <w:pPr>
              <w:spacing w:line="440" w:lineRule="exact"/>
              <w:ind w:firstLine="420" w:firstLineChars="200"/>
              <w:rPr>
                <w:rFonts w:eastAsia="宋体"/>
                <w:color w:val="auto"/>
                <w:szCs w:val="21"/>
                <w:highlight w:val="none"/>
              </w:rPr>
            </w:pPr>
            <w:r>
              <w:rPr>
                <w:rFonts w:eastAsia="宋体"/>
                <w:color w:val="auto"/>
                <w:szCs w:val="21"/>
                <w:highlight w:val="none"/>
              </w:rPr>
              <w:t>构建规则引擎，支持业务规则的可视化逻辑编排设计，实现业务决策与应用程序代码分离，简化业务逻辑的修改和维护过程。完成申报限项条件、评审打分计算规则、业务流程规则、统计决策规则、消息预警规则等规则库的快速构建、集中管理、自动运行和灵活调整。</w:t>
            </w:r>
          </w:p>
          <w:p>
            <w:pPr>
              <w:numPr>
                <w:ilvl w:val="2"/>
                <w:numId w:val="2"/>
              </w:numPr>
              <w:tabs>
                <w:tab w:val="left" w:pos="0"/>
              </w:tabs>
              <w:spacing w:line="440" w:lineRule="exact"/>
              <w:ind w:left="0" w:firstLine="420" w:firstLineChars="200"/>
              <w:jc w:val="left"/>
              <w:outlineLvl w:val="2"/>
              <w:rPr>
                <w:rFonts w:eastAsia="宋体"/>
                <w:bCs/>
                <w:color w:val="auto"/>
                <w:szCs w:val="21"/>
                <w:highlight w:val="none"/>
              </w:rPr>
            </w:pPr>
            <w:r>
              <w:rPr>
                <w:rFonts w:eastAsia="宋体"/>
                <w:bCs/>
                <w:color w:val="auto"/>
                <w:szCs w:val="21"/>
                <w:highlight w:val="none"/>
              </w:rPr>
              <w:t>主题管理</w:t>
            </w:r>
          </w:p>
          <w:p>
            <w:pPr>
              <w:keepNext w:val="0"/>
              <w:keepLines w:val="0"/>
              <w:pageBreakBefore w:val="0"/>
              <w:widowControl w:val="0"/>
              <w:numPr>
                <w:ilvl w:val="255"/>
                <w:numId w:val="0"/>
              </w:numPr>
              <w:tabs>
                <w:tab w:val="left" w:pos="0"/>
              </w:tabs>
              <w:kinsoku/>
              <w:wordWrap/>
              <w:overflowPunct/>
              <w:topLinePunct w:val="0"/>
              <w:autoSpaceDE/>
              <w:autoSpaceDN/>
              <w:bidi w:val="0"/>
              <w:adjustRightInd/>
              <w:snapToGrid/>
              <w:spacing w:line="440" w:lineRule="exact"/>
              <w:ind w:left="0" w:leftChars="0" w:firstLine="420" w:firstLineChars="200"/>
              <w:jc w:val="left"/>
              <w:textAlignment w:val="auto"/>
              <w:outlineLvl w:val="2"/>
              <w:rPr>
                <w:rFonts w:eastAsia="宋体"/>
                <w:bCs/>
                <w:color w:val="auto"/>
                <w:szCs w:val="21"/>
                <w:highlight w:val="none"/>
              </w:rPr>
            </w:pPr>
            <w:r>
              <w:rPr>
                <w:rFonts w:eastAsia="宋体"/>
                <w:bCs/>
                <w:color w:val="auto"/>
                <w:szCs w:val="21"/>
                <w:highlight w:val="none"/>
              </w:rPr>
              <w:t>支持系统主题动态切换，支持系统主题风格的颜色、字体大小、按钮风格及行间接动态设置，满足不同用户的使用习惯场景需求。</w:t>
            </w:r>
          </w:p>
          <w:p>
            <w:pPr>
              <w:numPr>
                <w:ilvl w:val="2"/>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基础服务管理</w:t>
            </w:r>
          </w:p>
          <w:p>
            <w:pPr>
              <w:numPr>
                <w:ilvl w:val="0"/>
                <w:numId w:val="6"/>
              </w:numPr>
              <w:spacing w:line="440" w:lineRule="exact"/>
              <w:ind w:left="0" w:firstLine="420" w:firstLineChars="200"/>
              <w:rPr>
                <w:rFonts w:eastAsia="宋体"/>
                <w:color w:val="auto"/>
                <w:szCs w:val="21"/>
                <w:highlight w:val="none"/>
              </w:rPr>
            </w:pPr>
            <w:r>
              <w:rPr>
                <w:rFonts w:eastAsia="宋体"/>
                <w:color w:val="auto"/>
                <w:szCs w:val="21"/>
                <w:highlight w:val="none"/>
              </w:rPr>
              <w:t>账号管理：系统管理员可对全平台用户账号进行管理。包括启用/禁用账号、初始化密码等。</w:t>
            </w:r>
          </w:p>
          <w:p>
            <w:pPr>
              <w:numPr>
                <w:ilvl w:val="0"/>
                <w:numId w:val="6"/>
              </w:numPr>
              <w:spacing w:line="440" w:lineRule="exact"/>
              <w:ind w:left="0" w:firstLine="420" w:firstLineChars="200"/>
              <w:rPr>
                <w:rFonts w:eastAsia="宋体"/>
                <w:color w:val="auto"/>
                <w:szCs w:val="21"/>
                <w:highlight w:val="none"/>
              </w:rPr>
            </w:pPr>
            <w:r>
              <w:rPr>
                <w:rFonts w:eastAsia="宋体"/>
                <w:color w:val="auto"/>
                <w:szCs w:val="21"/>
                <w:highlight w:val="none"/>
              </w:rPr>
              <w:t>人员管理：用户可维护个人信息，平台对个人敏感信息采用商密算法进行加密保护；管理员可对人员信息进行维护和导出，对用户申请变更的信息项进行审批。</w:t>
            </w:r>
          </w:p>
          <w:p>
            <w:pPr>
              <w:numPr>
                <w:ilvl w:val="0"/>
                <w:numId w:val="6"/>
              </w:numPr>
              <w:spacing w:line="440" w:lineRule="exact"/>
              <w:ind w:left="0" w:firstLine="420" w:firstLineChars="200"/>
              <w:rPr>
                <w:rFonts w:eastAsia="宋体"/>
                <w:color w:val="auto"/>
                <w:szCs w:val="21"/>
                <w:highlight w:val="none"/>
              </w:rPr>
            </w:pPr>
            <w:r>
              <w:rPr>
                <w:rFonts w:eastAsia="宋体"/>
                <w:color w:val="auto"/>
                <w:szCs w:val="21"/>
                <w:highlight w:val="none"/>
              </w:rPr>
              <w:t>单位管理：可实现推荐单位、县区科技管理部门、科技厅各处室、专业机构、项目申报单位、单位二级部门等类型的单位管理，具体包括：</w:t>
            </w:r>
            <w:bookmarkStart w:id="74" w:name="_Toc30272"/>
            <w:bookmarkStart w:id="75" w:name="_Toc2002"/>
            <w:bookmarkStart w:id="76" w:name="_Toc25608"/>
            <w:bookmarkStart w:id="77" w:name="_Toc1938"/>
            <w:r>
              <w:rPr>
                <w:rFonts w:eastAsia="宋体"/>
                <w:color w:val="auto"/>
                <w:szCs w:val="21"/>
                <w:highlight w:val="none"/>
              </w:rPr>
              <w:t>①项目申报单位管理员可维护本单位信息，包括单位基本信息、科研项目信息、科研成果信息、科研条件信息等；项目申报单位管理员可对本单位下辖的二级单位或部门进行管理，如高校对下辖的二级学院、系、研究所等部门的管理等。②单位信息区分可自行修改的信息项和需要申请变更的信息项，需要申请变更的信息项需提交审核人员审核通过后，才能完成信息变更；③项目申报单位信息可用于科技项目申报书的信息初始化。</w:t>
            </w:r>
          </w:p>
          <w:p>
            <w:pPr>
              <w:numPr>
                <w:ilvl w:val="0"/>
                <w:numId w:val="6"/>
              </w:numPr>
              <w:spacing w:line="440" w:lineRule="exact"/>
              <w:ind w:left="0" w:firstLine="420" w:firstLineChars="200"/>
              <w:rPr>
                <w:rFonts w:eastAsia="宋体"/>
                <w:color w:val="auto"/>
                <w:szCs w:val="21"/>
                <w:highlight w:val="none"/>
              </w:rPr>
            </w:pPr>
            <w:r>
              <w:rPr>
                <w:rFonts w:eastAsia="宋体"/>
                <w:color w:val="auto"/>
                <w:szCs w:val="21"/>
                <w:highlight w:val="none"/>
              </w:rPr>
              <w:t>电子证照管理：支持与电子证照系统对接，减少用户材料的提交与审核环节，缩短业务办理时间，实现少填少报。</w:t>
            </w:r>
          </w:p>
          <w:p>
            <w:pPr>
              <w:numPr>
                <w:ilvl w:val="0"/>
                <w:numId w:val="6"/>
              </w:numPr>
              <w:spacing w:line="440" w:lineRule="exact"/>
              <w:ind w:left="0" w:firstLine="420" w:firstLineChars="200"/>
              <w:rPr>
                <w:rFonts w:eastAsia="宋体"/>
                <w:color w:val="auto"/>
                <w:szCs w:val="21"/>
                <w:highlight w:val="none"/>
              </w:rPr>
            </w:pPr>
            <w:r>
              <w:rPr>
                <w:rFonts w:eastAsia="宋体"/>
                <w:color w:val="auto"/>
                <w:szCs w:val="21"/>
                <w:highlight w:val="none"/>
              </w:rPr>
              <w:t>电子签章管理：支持与电子印章系统对接，降低印章的合规风险、提升协作效率及简化管理流程。</w:t>
            </w:r>
          </w:p>
          <w:p>
            <w:pPr>
              <w:numPr>
                <w:ilvl w:val="0"/>
                <w:numId w:val="6"/>
              </w:numPr>
              <w:spacing w:line="440" w:lineRule="exact"/>
              <w:ind w:left="0" w:firstLine="420" w:firstLineChars="200"/>
              <w:rPr>
                <w:rFonts w:eastAsia="宋体"/>
                <w:color w:val="auto"/>
                <w:szCs w:val="21"/>
                <w:highlight w:val="none"/>
              </w:rPr>
            </w:pPr>
            <w:r>
              <w:rPr>
                <w:rFonts w:eastAsia="宋体"/>
                <w:color w:val="auto"/>
                <w:szCs w:val="21"/>
                <w:highlight w:val="none"/>
              </w:rPr>
              <w:t>消息管理</w:t>
            </w:r>
            <w:bookmarkEnd w:id="74"/>
            <w:bookmarkEnd w:id="75"/>
            <w:bookmarkEnd w:id="76"/>
            <w:bookmarkEnd w:id="77"/>
            <w:r>
              <w:rPr>
                <w:rFonts w:eastAsia="宋体"/>
                <w:color w:val="auto"/>
                <w:szCs w:val="21"/>
                <w:highlight w:val="none"/>
              </w:rPr>
              <w:t>：系统管理员可发送并管理系统消息。</w:t>
            </w:r>
          </w:p>
          <w:p>
            <w:pPr>
              <w:numPr>
                <w:ilvl w:val="0"/>
                <w:numId w:val="6"/>
              </w:numPr>
              <w:spacing w:line="440" w:lineRule="exact"/>
              <w:ind w:left="0" w:firstLine="420" w:firstLineChars="200"/>
              <w:rPr>
                <w:rFonts w:eastAsia="宋体"/>
                <w:color w:val="auto"/>
                <w:szCs w:val="21"/>
                <w:highlight w:val="none"/>
              </w:rPr>
            </w:pPr>
            <w:bookmarkStart w:id="78" w:name="_Toc6386"/>
            <w:bookmarkStart w:id="79" w:name="_Toc27434"/>
            <w:bookmarkStart w:id="80" w:name="_Toc15163"/>
            <w:bookmarkStart w:id="81" w:name="_Toc12507"/>
            <w:r>
              <w:rPr>
                <w:rFonts w:eastAsia="宋体"/>
                <w:color w:val="auto"/>
                <w:szCs w:val="21"/>
                <w:highlight w:val="none"/>
              </w:rPr>
              <w:t>接口管理</w:t>
            </w:r>
            <w:bookmarkEnd w:id="78"/>
            <w:bookmarkEnd w:id="79"/>
            <w:bookmarkEnd w:id="80"/>
            <w:bookmarkEnd w:id="81"/>
            <w:r>
              <w:rPr>
                <w:rFonts w:eastAsia="宋体"/>
                <w:color w:val="auto"/>
                <w:szCs w:val="21"/>
                <w:highlight w:val="none"/>
              </w:rPr>
              <w:t>：系统管理员可查看并管理外部接口信息。</w:t>
            </w:r>
          </w:p>
          <w:p>
            <w:pPr>
              <w:numPr>
                <w:ilvl w:val="0"/>
                <w:numId w:val="6"/>
              </w:numPr>
              <w:spacing w:line="440" w:lineRule="exact"/>
              <w:ind w:left="0" w:firstLine="420" w:firstLineChars="200"/>
              <w:rPr>
                <w:rFonts w:eastAsia="宋体"/>
                <w:color w:val="auto"/>
                <w:szCs w:val="21"/>
                <w:highlight w:val="none"/>
              </w:rPr>
            </w:pPr>
            <w:bookmarkStart w:id="82" w:name="_Toc4589"/>
            <w:bookmarkStart w:id="83" w:name="_Toc28176"/>
            <w:bookmarkStart w:id="84" w:name="_Toc5775"/>
            <w:r>
              <w:rPr>
                <w:rFonts w:eastAsia="宋体"/>
                <w:color w:val="auto"/>
                <w:szCs w:val="21"/>
                <w:highlight w:val="none"/>
              </w:rPr>
              <w:t>字典管理</w:t>
            </w:r>
            <w:bookmarkEnd w:id="82"/>
            <w:bookmarkEnd w:id="83"/>
            <w:bookmarkEnd w:id="84"/>
            <w:r>
              <w:rPr>
                <w:rFonts w:eastAsia="宋体"/>
                <w:color w:val="auto"/>
                <w:szCs w:val="21"/>
                <w:highlight w:val="none"/>
              </w:rPr>
              <w:t>：系统管理员可查看并管理字典常量信息，包括字典类型名称、字典来源依据、字典应用范围说明、字典常量枚举清单等信息。</w:t>
            </w:r>
          </w:p>
          <w:p>
            <w:pPr>
              <w:numPr>
                <w:ilvl w:val="0"/>
                <w:numId w:val="6"/>
              </w:numPr>
              <w:spacing w:line="440" w:lineRule="exact"/>
              <w:ind w:left="0" w:firstLine="420" w:firstLineChars="200"/>
              <w:rPr>
                <w:rFonts w:eastAsia="宋体"/>
                <w:color w:val="auto"/>
                <w:szCs w:val="21"/>
                <w:highlight w:val="none"/>
              </w:rPr>
            </w:pPr>
            <w:r>
              <w:rPr>
                <w:rFonts w:eastAsia="宋体"/>
                <w:color w:val="auto"/>
                <w:szCs w:val="21"/>
                <w:highlight w:val="none"/>
              </w:rPr>
              <w:t>角色管理：系统管理员可查看并管理各类角色信息，对用户进行角色授权。</w:t>
            </w:r>
          </w:p>
          <w:p>
            <w:pPr>
              <w:numPr>
                <w:ilvl w:val="0"/>
                <w:numId w:val="6"/>
              </w:numPr>
              <w:spacing w:line="440" w:lineRule="exact"/>
              <w:ind w:left="0" w:firstLine="420" w:firstLineChars="200"/>
              <w:rPr>
                <w:rFonts w:eastAsia="宋体"/>
                <w:color w:val="auto"/>
                <w:szCs w:val="21"/>
                <w:highlight w:val="none"/>
              </w:rPr>
            </w:pPr>
            <w:r>
              <w:rPr>
                <w:rFonts w:eastAsia="宋体"/>
                <w:color w:val="auto"/>
                <w:szCs w:val="21"/>
                <w:highlight w:val="none"/>
              </w:rPr>
              <w:t>日志管理：平台记录用户操作行为，系统管理员可查看重要操作日志。</w:t>
            </w:r>
          </w:p>
          <w:p>
            <w:pPr>
              <w:numPr>
                <w:ilvl w:val="0"/>
                <w:numId w:val="6"/>
              </w:numPr>
              <w:spacing w:line="440" w:lineRule="exact"/>
              <w:ind w:left="0" w:firstLine="420" w:firstLineChars="200"/>
              <w:rPr>
                <w:rFonts w:eastAsia="宋体"/>
                <w:color w:val="auto"/>
                <w:szCs w:val="21"/>
                <w:highlight w:val="none"/>
              </w:rPr>
            </w:pPr>
            <w:bookmarkStart w:id="85" w:name="_Toc217"/>
            <w:bookmarkStart w:id="86" w:name="_Toc27468"/>
            <w:bookmarkStart w:id="87" w:name="_Toc8566"/>
            <w:bookmarkStart w:id="88" w:name="_Toc2705"/>
            <w:r>
              <w:rPr>
                <w:rFonts w:eastAsia="宋体"/>
                <w:color w:val="auto"/>
                <w:szCs w:val="21"/>
                <w:highlight w:val="none"/>
              </w:rPr>
              <w:t>菜单授权管理</w:t>
            </w:r>
            <w:bookmarkEnd w:id="85"/>
            <w:bookmarkEnd w:id="86"/>
            <w:bookmarkEnd w:id="87"/>
            <w:bookmarkEnd w:id="88"/>
            <w:r>
              <w:rPr>
                <w:rFonts w:eastAsia="宋体"/>
                <w:color w:val="auto"/>
                <w:szCs w:val="21"/>
                <w:highlight w:val="none"/>
              </w:rPr>
              <w:t>：系统管理员可对指定角色、用户进行菜单授权管理。</w:t>
            </w:r>
          </w:p>
          <w:p>
            <w:pPr>
              <w:numPr>
                <w:ilvl w:val="0"/>
                <w:numId w:val="6"/>
              </w:numPr>
              <w:spacing w:line="440" w:lineRule="exact"/>
              <w:ind w:left="0" w:firstLine="420" w:firstLineChars="200"/>
              <w:rPr>
                <w:rFonts w:eastAsia="宋体"/>
                <w:color w:val="auto"/>
                <w:szCs w:val="21"/>
                <w:highlight w:val="none"/>
              </w:rPr>
            </w:pPr>
            <w:bookmarkStart w:id="89" w:name="_Toc17823"/>
            <w:bookmarkStart w:id="90" w:name="_Toc23910"/>
            <w:bookmarkStart w:id="91" w:name="_Toc4852"/>
            <w:bookmarkStart w:id="92" w:name="_Toc21554"/>
            <w:r>
              <w:rPr>
                <w:rFonts w:eastAsia="宋体"/>
                <w:color w:val="auto"/>
                <w:szCs w:val="21"/>
                <w:highlight w:val="none"/>
              </w:rPr>
              <w:t>业务权限授权管理</w:t>
            </w:r>
            <w:bookmarkEnd w:id="89"/>
            <w:bookmarkEnd w:id="90"/>
            <w:bookmarkEnd w:id="91"/>
            <w:bookmarkEnd w:id="92"/>
            <w:r>
              <w:rPr>
                <w:rFonts w:eastAsia="宋体"/>
                <w:color w:val="auto"/>
                <w:szCs w:val="21"/>
                <w:highlight w:val="none"/>
              </w:rPr>
              <w:t>：支持系统管理员对指定用户进行业务权限授权，授权后用户可在平台内查看该科技业务的相关项目信息。如市（县）科技管理部门只能查看本市（县）申报项目，自治区科技管理部门可以查看全部申报项目信息。</w:t>
            </w:r>
          </w:p>
          <w:p>
            <w:pPr>
              <w:numPr>
                <w:ilvl w:val="0"/>
                <w:numId w:val="6"/>
              </w:numPr>
              <w:spacing w:line="440" w:lineRule="exact"/>
              <w:ind w:left="0" w:firstLine="420" w:firstLineChars="200"/>
              <w:rPr>
                <w:rFonts w:eastAsia="宋体"/>
                <w:color w:val="auto"/>
                <w:szCs w:val="21"/>
                <w:highlight w:val="none"/>
              </w:rPr>
            </w:pPr>
            <w:bookmarkStart w:id="93" w:name="_Toc27346"/>
            <w:bookmarkStart w:id="94" w:name="_Toc30761"/>
            <w:bookmarkStart w:id="95" w:name="_Toc4918"/>
            <w:bookmarkStart w:id="96" w:name="_Toc27515"/>
            <w:r>
              <w:rPr>
                <w:rFonts w:eastAsia="宋体"/>
                <w:color w:val="auto"/>
                <w:szCs w:val="21"/>
                <w:highlight w:val="none"/>
              </w:rPr>
              <w:t>任务管理</w:t>
            </w:r>
            <w:bookmarkEnd w:id="93"/>
            <w:bookmarkEnd w:id="94"/>
            <w:bookmarkEnd w:id="95"/>
            <w:bookmarkEnd w:id="96"/>
            <w:r>
              <w:rPr>
                <w:rFonts w:eastAsia="宋体"/>
                <w:color w:val="auto"/>
                <w:szCs w:val="21"/>
                <w:highlight w:val="none"/>
              </w:rPr>
              <w:t>：系统管理员可新建并管理各类定时任务。</w:t>
            </w:r>
          </w:p>
          <w:p>
            <w:pPr>
              <w:numPr>
                <w:ilvl w:val="0"/>
                <w:numId w:val="6"/>
              </w:numPr>
              <w:spacing w:line="440" w:lineRule="exact"/>
              <w:ind w:left="0" w:firstLine="420" w:firstLineChars="200"/>
              <w:rPr>
                <w:rFonts w:eastAsia="宋体"/>
                <w:color w:val="auto"/>
                <w:szCs w:val="21"/>
                <w:highlight w:val="none"/>
              </w:rPr>
            </w:pPr>
            <w:bookmarkStart w:id="97" w:name="_Toc10508"/>
            <w:bookmarkStart w:id="98" w:name="_Toc19780"/>
            <w:bookmarkStart w:id="99" w:name="_Toc6581"/>
            <w:bookmarkStart w:id="100" w:name="_Toc29659"/>
            <w:r>
              <w:rPr>
                <w:rFonts w:eastAsia="宋体"/>
                <w:color w:val="auto"/>
                <w:szCs w:val="21"/>
                <w:highlight w:val="none"/>
              </w:rPr>
              <w:t>缓存管理</w:t>
            </w:r>
            <w:bookmarkEnd w:id="97"/>
            <w:bookmarkEnd w:id="98"/>
            <w:bookmarkEnd w:id="99"/>
            <w:bookmarkEnd w:id="100"/>
            <w:r>
              <w:rPr>
                <w:rFonts w:eastAsia="宋体"/>
                <w:color w:val="auto"/>
                <w:szCs w:val="21"/>
                <w:highlight w:val="none"/>
              </w:rPr>
              <w:t>：系统管理员可查看并管理平台缓存。</w:t>
            </w:r>
          </w:p>
          <w:p>
            <w:pPr>
              <w:numPr>
                <w:ilvl w:val="0"/>
                <w:numId w:val="6"/>
              </w:numPr>
              <w:spacing w:line="440" w:lineRule="exact"/>
              <w:ind w:left="0" w:firstLine="420" w:firstLineChars="200"/>
              <w:rPr>
                <w:rFonts w:eastAsia="宋体"/>
                <w:color w:val="auto"/>
                <w:szCs w:val="21"/>
                <w:highlight w:val="none"/>
              </w:rPr>
            </w:pPr>
            <w:r>
              <w:rPr>
                <w:rFonts w:eastAsia="宋体"/>
                <w:color w:val="auto"/>
                <w:szCs w:val="21"/>
                <w:highlight w:val="none"/>
              </w:rPr>
              <w:t>密钥管理：系统管理员可查看并管理平台商密密钥。</w:t>
            </w:r>
          </w:p>
          <w:p>
            <w:pPr>
              <w:numPr>
                <w:ilvl w:val="2"/>
                <w:numId w:val="2"/>
              </w:numPr>
              <w:tabs>
                <w:tab w:val="left" w:pos="0"/>
              </w:tabs>
              <w:spacing w:line="440" w:lineRule="exact"/>
              <w:ind w:left="0" w:firstLine="420" w:firstLineChars="200"/>
              <w:outlineLvl w:val="2"/>
              <w:rPr>
                <w:rFonts w:eastAsia="宋体"/>
                <w:bCs/>
                <w:color w:val="auto"/>
                <w:szCs w:val="21"/>
                <w:highlight w:val="none"/>
              </w:rPr>
            </w:pPr>
            <w:r>
              <w:rPr>
                <w:rFonts w:hint="eastAsia"/>
                <w:bCs/>
                <w:color w:val="auto"/>
                <w:szCs w:val="21"/>
                <w:highlight w:val="none"/>
                <w:lang w:val="en-US" w:eastAsia="zh-CN"/>
              </w:rPr>
              <w:t>应用拓展</w:t>
            </w:r>
          </w:p>
          <w:p>
            <w:pPr>
              <w:numPr>
                <w:ilvl w:val="0"/>
                <w:numId w:val="0"/>
              </w:numPr>
              <w:spacing w:line="440" w:lineRule="exact"/>
              <w:ind w:leftChars="200"/>
              <w:rPr>
                <w:rFonts w:hint="eastAsia" w:eastAsia="宋体"/>
                <w:color w:val="auto"/>
                <w:szCs w:val="21"/>
                <w:highlight w:val="none"/>
                <w:lang w:eastAsia="zh-CN"/>
              </w:rPr>
            </w:pPr>
            <w:r>
              <w:rPr>
                <w:rFonts w:hint="eastAsia" w:eastAsia="宋体"/>
                <w:color w:val="auto"/>
                <w:szCs w:val="21"/>
                <w:highlight w:val="none"/>
              </w:rPr>
              <w:t>系统支持新业务（如：</w:t>
            </w:r>
            <w:r>
              <w:rPr>
                <w:rFonts w:hint="eastAsia"/>
                <w:color w:val="auto"/>
                <w:szCs w:val="21"/>
                <w:highlight w:val="none"/>
                <w:lang w:val="en-US" w:eastAsia="zh-CN"/>
              </w:rPr>
              <w:t>广西</w:t>
            </w:r>
            <w:r>
              <w:rPr>
                <w:rFonts w:hint="eastAsia" w:eastAsia="宋体"/>
                <w:color w:val="auto"/>
                <w:szCs w:val="21"/>
                <w:highlight w:val="none"/>
              </w:rPr>
              <w:t>科技创新平台基地）的扩展</w:t>
            </w:r>
            <w:r>
              <w:rPr>
                <w:rFonts w:hint="eastAsia"/>
                <w:color w:val="auto"/>
                <w:szCs w:val="21"/>
                <w:highlight w:val="none"/>
                <w:lang w:eastAsia="zh-CN"/>
              </w:rPr>
              <w:t>。</w:t>
            </w:r>
          </w:p>
          <w:p>
            <w:pPr>
              <w:numPr>
                <w:ilvl w:val="0"/>
                <w:numId w:val="2"/>
              </w:numPr>
              <w:spacing w:line="440" w:lineRule="exact"/>
              <w:ind w:firstLine="420" w:firstLineChars="200"/>
              <w:outlineLvl w:val="2"/>
              <w:rPr>
                <w:rFonts w:eastAsia="宋体"/>
                <w:bCs/>
                <w:color w:val="auto"/>
                <w:szCs w:val="21"/>
                <w:highlight w:val="none"/>
              </w:rPr>
            </w:pPr>
            <w:r>
              <w:rPr>
                <w:rFonts w:eastAsia="宋体"/>
                <w:bCs/>
                <w:color w:val="auto"/>
                <w:szCs w:val="21"/>
                <w:highlight w:val="none"/>
              </w:rPr>
              <w:t>五应用</w:t>
            </w:r>
            <w:bookmarkEnd w:id="73"/>
          </w:p>
          <w:p>
            <w:pPr>
              <w:numPr>
                <w:ilvl w:val="1"/>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广西科技计划项目管理子系统</w:t>
            </w:r>
          </w:p>
          <w:p>
            <w:pPr>
              <w:numPr>
                <w:ilvl w:val="2"/>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指南管理</w:t>
            </w:r>
          </w:p>
          <w:p>
            <w:pPr>
              <w:numPr>
                <w:ilvl w:val="0"/>
                <w:numId w:val="7"/>
              </w:numPr>
              <w:tabs>
                <w:tab w:val="left" w:pos="0"/>
              </w:tabs>
              <w:spacing w:line="440" w:lineRule="exact"/>
              <w:ind w:left="0" w:firstLine="420" w:firstLineChars="200"/>
              <w:outlineLvl w:val="3"/>
              <w:rPr>
                <w:rFonts w:eastAsia="宋体"/>
                <w:color w:val="auto"/>
                <w:szCs w:val="21"/>
                <w:highlight w:val="none"/>
              </w:rPr>
            </w:pPr>
            <w:r>
              <w:rPr>
                <w:rFonts w:eastAsia="宋体"/>
                <w:color w:val="auto"/>
                <w:szCs w:val="21"/>
                <w:highlight w:val="none"/>
              </w:rPr>
              <w:t>指南征集</w:t>
            </w:r>
          </w:p>
          <w:p>
            <w:pPr>
              <w:spacing w:line="440" w:lineRule="exact"/>
              <w:ind w:firstLine="420" w:firstLineChars="200"/>
              <w:rPr>
                <w:rFonts w:eastAsia="宋体"/>
                <w:color w:val="auto"/>
                <w:szCs w:val="21"/>
                <w:highlight w:val="none"/>
              </w:rPr>
            </w:pPr>
            <w:r>
              <w:rPr>
                <w:rFonts w:eastAsia="宋体"/>
                <w:color w:val="auto"/>
                <w:szCs w:val="21"/>
                <w:highlight w:val="none"/>
              </w:rPr>
              <w:t>指南征集管理：管理员可设置指南征集类型，开通/关闭各类型的指南征集，设置征集起止时间和征集说明；平台门户页面可展示已开通的指南征集信息。</w:t>
            </w:r>
          </w:p>
          <w:p>
            <w:pPr>
              <w:tabs>
                <w:tab w:val="left" w:pos="0"/>
              </w:tabs>
              <w:spacing w:line="440" w:lineRule="exact"/>
              <w:ind w:left="420" w:leftChars="200"/>
              <w:outlineLvl w:val="3"/>
              <w:rPr>
                <w:rFonts w:eastAsia="宋体"/>
                <w:color w:val="auto"/>
                <w:szCs w:val="21"/>
                <w:highlight w:val="none"/>
              </w:rPr>
            </w:pPr>
            <w:r>
              <w:rPr>
                <w:rFonts w:eastAsia="宋体"/>
                <w:color w:val="auto"/>
                <w:szCs w:val="21"/>
                <w:highlight w:val="none"/>
              </w:rPr>
              <w:t>指南建议表设计：管理员可应用表单引擎灵活设置指南建议表。</w:t>
            </w:r>
          </w:p>
          <w:p>
            <w:pPr>
              <w:spacing w:line="440" w:lineRule="exact"/>
              <w:ind w:firstLine="420" w:firstLineChars="200"/>
              <w:rPr>
                <w:rFonts w:eastAsia="宋体"/>
                <w:color w:val="auto"/>
                <w:szCs w:val="21"/>
                <w:highlight w:val="none"/>
              </w:rPr>
            </w:pPr>
            <w:r>
              <w:rPr>
                <w:rFonts w:eastAsia="宋体"/>
                <w:color w:val="auto"/>
                <w:szCs w:val="21"/>
                <w:highlight w:val="none"/>
              </w:rPr>
              <w:t>指南建议表填报：建议者根据已发布的指南征集信息，填写指南建议表，系统根据填写规则，对填写信息进行检查校验，若校验失败，在填报页面显示规则违反说明，提醒用户调整所输入的内容。</w:t>
            </w:r>
          </w:p>
          <w:p>
            <w:pPr>
              <w:spacing w:line="440" w:lineRule="exact"/>
              <w:ind w:firstLine="420" w:firstLineChars="200"/>
              <w:rPr>
                <w:rFonts w:eastAsia="宋体"/>
                <w:color w:val="auto"/>
                <w:szCs w:val="21"/>
                <w:highlight w:val="none"/>
              </w:rPr>
            </w:pPr>
            <w:r>
              <w:rPr>
                <w:rFonts w:eastAsia="宋体"/>
                <w:color w:val="auto"/>
                <w:szCs w:val="21"/>
                <w:highlight w:val="none"/>
              </w:rPr>
              <w:t>指南建议表汇总：管理人员可汇总导出各指南建议表的填报信息。</w:t>
            </w:r>
          </w:p>
          <w:p>
            <w:pPr>
              <w:numPr>
                <w:ilvl w:val="0"/>
                <w:numId w:val="7"/>
              </w:numPr>
              <w:tabs>
                <w:tab w:val="left" w:pos="0"/>
              </w:tabs>
              <w:spacing w:line="440" w:lineRule="exact"/>
              <w:ind w:left="0" w:firstLine="420" w:firstLineChars="200"/>
              <w:outlineLvl w:val="3"/>
              <w:rPr>
                <w:rFonts w:eastAsia="宋体"/>
                <w:color w:val="auto"/>
                <w:szCs w:val="21"/>
                <w:highlight w:val="none"/>
              </w:rPr>
            </w:pPr>
            <w:r>
              <w:rPr>
                <w:rFonts w:eastAsia="宋体"/>
                <w:color w:val="auto"/>
                <w:szCs w:val="21"/>
                <w:highlight w:val="none"/>
              </w:rPr>
              <w:t>指南管理</w:t>
            </w:r>
          </w:p>
          <w:p>
            <w:pPr>
              <w:spacing w:line="440" w:lineRule="exact"/>
              <w:ind w:firstLine="420" w:firstLineChars="200"/>
              <w:rPr>
                <w:rFonts w:eastAsia="宋体"/>
                <w:color w:val="auto"/>
                <w:szCs w:val="21"/>
                <w:highlight w:val="none"/>
              </w:rPr>
            </w:pPr>
            <w:r>
              <w:rPr>
                <w:rFonts w:eastAsia="宋体"/>
                <w:color w:val="auto"/>
                <w:szCs w:val="21"/>
                <w:highlight w:val="none"/>
              </w:rPr>
              <w:t>支持指南的手动录入、批量导入和分类归集；可设置各指南的类别、申报起止时间、研究内容、考核指标、申报书模板等；支持对历史申报指南的管理，可汇总显示各指南申报情况。</w:t>
            </w:r>
          </w:p>
          <w:p>
            <w:pPr>
              <w:numPr>
                <w:ilvl w:val="0"/>
                <w:numId w:val="7"/>
              </w:numPr>
              <w:tabs>
                <w:tab w:val="left" w:pos="0"/>
              </w:tabs>
              <w:spacing w:line="440" w:lineRule="exact"/>
              <w:ind w:left="0" w:firstLine="420" w:firstLineChars="200"/>
              <w:outlineLvl w:val="3"/>
              <w:rPr>
                <w:rFonts w:eastAsia="宋体"/>
                <w:color w:val="auto"/>
                <w:szCs w:val="21"/>
                <w:highlight w:val="none"/>
              </w:rPr>
            </w:pPr>
            <w:r>
              <w:rPr>
                <w:rFonts w:eastAsia="宋体"/>
                <w:color w:val="auto"/>
                <w:szCs w:val="21"/>
                <w:highlight w:val="none"/>
              </w:rPr>
              <w:t>指南发布</w:t>
            </w:r>
          </w:p>
          <w:p>
            <w:pPr>
              <w:spacing w:line="440" w:lineRule="exact"/>
              <w:ind w:firstLine="420" w:firstLineChars="200"/>
              <w:rPr>
                <w:rFonts w:eastAsia="宋体"/>
                <w:color w:val="auto"/>
                <w:szCs w:val="21"/>
                <w:highlight w:val="none"/>
              </w:rPr>
            </w:pPr>
            <w:r>
              <w:rPr>
                <w:rFonts w:eastAsia="宋体"/>
                <w:color w:val="auto"/>
                <w:szCs w:val="21"/>
                <w:highlight w:val="none"/>
              </w:rPr>
              <w:t>管理员可发布或关闭指南，平台门户页面、项目申报书填报页面可展示已发布的指南信息。项目申报人员进入项目申报书填报页面，可选择已发布的指南填报项目申报书。</w:t>
            </w:r>
          </w:p>
          <w:p>
            <w:pPr>
              <w:numPr>
                <w:ilvl w:val="2"/>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科技项目申报管理</w:t>
            </w:r>
          </w:p>
          <w:p>
            <w:pPr>
              <w:numPr>
                <w:ilvl w:val="0"/>
                <w:numId w:val="8"/>
              </w:numPr>
              <w:tabs>
                <w:tab w:val="left" w:pos="0"/>
              </w:tabs>
              <w:spacing w:line="440" w:lineRule="exact"/>
              <w:ind w:left="0" w:firstLine="420" w:firstLineChars="200"/>
              <w:outlineLvl w:val="3"/>
              <w:rPr>
                <w:rFonts w:eastAsia="宋体"/>
                <w:color w:val="auto"/>
                <w:szCs w:val="21"/>
                <w:highlight w:val="none"/>
              </w:rPr>
            </w:pPr>
            <w:r>
              <w:rPr>
                <w:rFonts w:eastAsia="宋体"/>
                <w:color w:val="auto"/>
                <w:szCs w:val="21"/>
                <w:highlight w:val="none"/>
              </w:rPr>
              <w:t>项目申报书设计</w:t>
            </w:r>
          </w:p>
          <w:p>
            <w:pPr>
              <w:spacing w:line="440" w:lineRule="exact"/>
              <w:ind w:firstLine="420" w:firstLineChars="200"/>
              <w:rPr>
                <w:rFonts w:eastAsia="宋体"/>
                <w:color w:val="auto"/>
                <w:szCs w:val="21"/>
                <w:highlight w:val="none"/>
              </w:rPr>
            </w:pPr>
            <w:r>
              <w:rPr>
                <w:rFonts w:eastAsia="宋体"/>
                <w:color w:val="auto"/>
                <w:szCs w:val="21"/>
                <w:highlight w:val="none"/>
              </w:rPr>
              <w:t>管理员可应用表单引擎灵活设置项目申报书，设置各填报字段填写规则。项目申报书由项目基本信息、考核指标、申报单位信息、预期成果及经济效益、经费预算、项目组研究基础、其他科研活动状况、项目组成员信息、可行性研究报告、附件材料上传等子页面构成。</w:t>
            </w:r>
          </w:p>
          <w:p>
            <w:pPr>
              <w:numPr>
                <w:ilvl w:val="0"/>
                <w:numId w:val="8"/>
              </w:numPr>
              <w:tabs>
                <w:tab w:val="left" w:pos="0"/>
              </w:tabs>
              <w:spacing w:line="440" w:lineRule="exact"/>
              <w:ind w:left="0" w:firstLine="420" w:firstLineChars="200"/>
              <w:outlineLvl w:val="3"/>
              <w:rPr>
                <w:rFonts w:eastAsia="宋体"/>
                <w:color w:val="auto"/>
                <w:szCs w:val="21"/>
                <w:highlight w:val="none"/>
              </w:rPr>
            </w:pPr>
            <w:r>
              <w:rPr>
                <w:rFonts w:eastAsia="宋体"/>
                <w:color w:val="auto"/>
                <w:szCs w:val="21"/>
                <w:highlight w:val="none"/>
              </w:rPr>
              <w:t>项目申报书模板生成</w:t>
            </w:r>
          </w:p>
          <w:p>
            <w:pPr>
              <w:spacing w:line="440" w:lineRule="exact"/>
              <w:ind w:firstLine="420" w:firstLineChars="200"/>
              <w:rPr>
                <w:rFonts w:eastAsia="宋体"/>
                <w:color w:val="auto"/>
                <w:szCs w:val="21"/>
                <w:highlight w:val="none"/>
              </w:rPr>
            </w:pPr>
            <w:r>
              <w:rPr>
                <w:rFonts w:eastAsia="宋体"/>
                <w:color w:val="auto"/>
                <w:szCs w:val="21"/>
                <w:highlight w:val="none"/>
              </w:rPr>
              <w:t>系统可设计项目申报书导出模板，包括字体样式、内容排版、数据项展示方式等，支持将申报人填写内容导出至版式文件。</w:t>
            </w:r>
          </w:p>
          <w:p>
            <w:pPr>
              <w:numPr>
                <w:ilvl w:val="0"/>
                <w:numId w:val="8"/>
              </w:numPr>
              <w:tabs>
                <w:tab w:val="left" w:pos="0"/>
              </w:tabs>
              <w:spacing w:line="440" w:lineRule="exact"/>
              <w:ind w:left="0" w:firstLine="420" w:firstLineChars="200"/>
              <w:outlineLvl w:val="3"/>
              <w:rPr>
                <w:rFonts w:eastAsia="宋体"/>
                <w:color w:val="auto"/>
                <w:szCs w:val="21"/>
                <w:highlight w:val="none"/>
              </w:rPr>
            </w:pPr>
            <w:r>
              <w:rPr>
                <w:rFonts w:eastAsia="宋体"/>
                <w:color w:val="auto"/>
                <w:szCs w:val="21"/>
                <w:highlight w:val="none"/>
              </w:rPr>
              <w:t>申报条件校验</w:t>
            </w:r>
          </w:p>
          <w:p>
            <w:pPr>
              <w:spacing w:line="440" w:lineRule="exact"/>
              <w:ind w:firstLine="420" w:firstLineChars="200"/>
              <w:rPr>
                <w:rFonts w:eastAsia="宋体"/>
                <w:color w:val="auto"/>
                <w:szCs w:val="21"/>
                <w:highlight w:val="none"/>
              </w:rPr>
            </w:pPr>
            <w:r>
              <w:rPr>
                <w:rFonts w:eastAsia="宋体"/>
                <w:color w:val="auto"/>
                <w:szCs w:val="21"/>
                <w:highlight w:val="none"/>
              </w:rPr>
              <w:t>申报规则设定：管理员可应用规则引擎设定申报规则及条件。在项目填报前及申报过程中，对申报单位及申报人是否具备申报资格进行自动审查，对不符合要求的单位或个人限制申报。</w:t>
            </w:r>
          </w:p>
          <w:p>
            <w:pPr>
              <w:spacing w:line="440" w:lineRule="exact"/>
              <w:ind w:firstLine="420" w:firstLineChars="200"/>
              <w:rPr>
                <w:rFonts w:eastAsia="宋体"/>
                <w:color w:val="auto"/>
                <w:szCs w:val="21"/>
                <w:highlight w:val="none"/>
              </w:rPr>
            </w:pPr>
            <w:r>
              <w:rPr>
                <w:rFonts w:eastAsia="宋体"/>
                <w:color w:val="auto"/>
                <w:szCs w:val="21"/>
                <w:highlight w:val="none"/>
              </w:rPr>
              <w:t>诚信数据调用：申报功能与</w:t>
            </w:r>
            <w:r>
              <w:rPr>
                <w:rFonts w:hint="eastAsia" w:eastAsia="宋体"/>
                <w:color w:val="auto"/>
                <w:szCs w:val="21"/>
                <w:highlight w:val="none"/>
              </w:rPr>
              <w:t>广西</w:t>
            </w:r>
            <w:r>
              <w:rPr>
                <w:rFonts w:eastAsia="宋体"/>
                <w:color w:val="auto"/>
                <w:szCs w:val="21"/>
                <w:highlight w:val="none"/>
              </w:rPr>
              <w:t>科研诚信管理信息子系统数据对接。在申报过程中，系统可对申报人、申报单位等科研诚信进行自动审核校验，对失信人员及单位自动限制申报。</w:t>
            </w:r>
          </w:p>
          <w:p>
            <w:pPr>
              <w:numPr>
                <w:ilvl w:val="0"/>
                <w:numId w:val="8"/>
              </w:numPr>
              <w:tabs>
                <w:tab w:val="left" w:pos="0"/>
              </w:tabs>
              <w:spacing w:line="440" w:lineRule="exact"/>
              <w:ind w:left="0" w:firstLine="420" w:firstLineChars="200"/>
              <w:outlineLvl w:val="3"/>
              <w:rPr>
                <w:rFonts w:eastAsia="宋体"/>
                <w:color w:val="auto"/>
                <w:szCs w:val="21"/>
                <w:highlight w:val="none"/>
              </w:rPr>
            </w:pPr>
            <w:r>
              <w:rPr>
                <w:rFonts w:eastAsia="宋体"/>
                <w:color w:val="auto"/>
                <w:szCs w:val="21"/>
                <w:highlight w:val="none"/>
              </w:rPr>
              <w:t>项目申报书填报</w:t>
            </w:r>
          </w:p>
          <w:p>
            <w:pPr>
              <w:spacing w:line="440" w:lineRule="exact"/>
              <w:ind w:firstLine="420" w:firstLineChars="200"/>
              <w:rPr>
                <w:rFonts w:eastAsia="宋体"/>
                <w:b/>
                <w:bCs/>
                <w:color w:val="auto"/>
                <w:szCs w:val="21"/>
                <w:highlight w:val="none"/>
              </w:rPr>
            </w:pPr>
            <w:r>
              <w:rPr>
                <w:rFonts w:eastAsia="宋体"/>
                <w:color w:val="auto"/>
                <w:szCs w:val="21"/>
                <w:highlight w:val="none"/>
              </w:rPr>
              <w:t>申报人选择项目类别并阅读项目申报须知后，填写项目申请书并上传附件材料，系统支持暂存功能。系统可根据各填报字段的填写规则进行检查校验，若校验失败，在填报页面显示规则违反说明，提醒申报人调整所输入的内容。</w:t>
            </w:r>
            <w:r>
              <w:rPr>
                <w:rFonts w:eastAsia="宋体"/>
                <w:color w:val="auto"/>
                <w:szCs w:val="21"/>
                <w:highlight w:val="none"/>
                <w:lang w:val="zh-CN"/>
              </w:rPr>
              <w:t>支持</w:t>
            </w:r>
            <w:r>
              <w:rPr>
                <w:rFonts w:hint="eastAsia" w:eastAsia="宋体"/>
                <w:color w:val="auto"/>
                <w:szCs w:val="21"/>
                <w:highlight w:val="none"/>
              </w:rPr>
              <w:t>应用AI技术实现</w:t>
            </w:r>
            <w:r>
              <w:rPr>
                <w:rFonts w:eastAsia="宋体"/>
                <w:color w:val="auto"/>
                <w:szCs w:val="21"/>
                <w:highlight w:val="none"/>
              </w:rPr>
              <w:t>离线</w:t>
            </w:r>
            <w:r>
              <w:rPr>
                <w:rFonts w:hint="eastAsia" w:eastAsia="宋体"/>
                <w:color w:val="auto"/>
                <w:szCs w:val="21"/>
                <w:highlight w:val="none"/>
              </w:rPr>
              <w:t>申报书（即.doc、.wps等文本格式申报书文档）的导入</w:t>
            </w:r>
            <w:r>
              <w:rPr>
                <w:rFonts w:eastAsia="宋体"/>
                <w:color w:val="auto"/>
                <w:szCs w:val="21"/>
                <w:highlight w:val="none"/>
                <w:lang w:val="zh-CN"/>
              </w:rPr>
              <w:t>，</w:t>
            </w:r>
            <w:r>
              <w:rPr>
                <w:rFonts w:hint="eastAsia" w:eastAsia="宋体"/>
                <w:color w:val="auto"/>
                <w:szCs w:val="21"/>
                <w:highlight w:val="none"/>
              </w:rPr>
              <w:t>可</w:t>
            </w:r>
            <w:r>
              <w:rPr>
                <w:rFonts w:eastAsia="宋体"/>
                <w:color w:val="auto"/>
                <w:szCs w:val="21"/>
                <w:highlight w:val="none"/>
                <w:lang w:val="zh-CN"/>
              </w:rPr>
              <w:t>完整读取离线申报书表单信息。</w:t>
            </w:r>
            <w:r>
              <w:rPr>
                <w:rFonts w:hint="eastAsia" w:ascii="宋体" w:hAnsi="宋体" w:eastAsia="宋体" w:cs="宋体"/>
                <w:color w:val="auto"/>
                <w:szCs w:val="21"/>
                <w:highlight w:val="none"/>
              </w:rPr>
              <w:t>支持与第三方平台对接（投标报价应当包含对接费用），实现成果数据的导入与成果真实性的动态验证，简化用户操作并确保成果数据的真实可靠性。</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项目申报书审核</w:t>
            </w:r>
          </w:p>
          <w:p>
            <w:pPr>
              <w:numPr>
                <w:ilvl w:val="0"/>
                <w:numId w:val="9"/>
              </w:numPr>
              <w:tabs>
                <w:tab w:val="left" w:pos="0"/>
              </w:tabs>
              <w:spacing w:line="440" w:lineRule="exact"/>
              <w:ind w:left="0" w:firstLine="420" w:firstLineChars="200"/>
              <w:outlineLvl w:val="3"/>
              <w:rPr>
                <w:rFonts w:eastAsia="宋体"/>
                <w:color w:val="auto"/>
                <w:szCs w:val="21"/>
                <w:highlight w:val="none"/>
              </w:rPr>
            </w:pPr>
            <w:r>
              <w:rPr>
                <w:rFonts w:eastAsia="宋体"/>
                <w:color w:val="auto"/>
                <w:szCs w:val="21"/>
                <w:highlight w:val="none"/>
              </w:rPr>
              <w:t>审核意见录入：支持申报单位、推荐单位、管理机构、科技管理部门</w:t>
            </w:r>
            <w:r>
              <w:rPr>
                <w:rFonts w:hint="eastAsia" w:eastAsia="宋体"/>
                <w:color w:val="auto"/>
                <w:szCs w:val="21"/>
                <w:highlight w:val="none"/>
                <w:lang w:val="en-US" w:eastAsia="zh-CN"/>
              </w:rPr>
              <w:t>对项目申报书进行审核，</w:t>
            </w:r>
            <w:r>
              <w:rPr>
                <w:rFonts w:eastAsia="宋体"/>
                <w:color w:val="auto"/>
                <w:szCs w:val="21"/>
                <w:highlight w:val="none"/>
              </w:rPr>
              <w:t>审核人员可查询待审核项目申报书清单</w:t>
            </w:r>
            <w:r>
              <w:rPr>
                <w:rFonts w:hint="eastAsia" w:eastAsia="宋体"/>
                <w:color w:val="auto"/>
                <w:szCs w:val="21"/>
                <w:highlight w:val="none"/>
                <w:lang w:eastAsia="zh-CN"/>
              </w:rPr>
              <w:t>，</w:t>
            </w:r>
            <w:r>
              <w:rPr>
                <w:rFonts w:hint="eastAsia" w:eastAsia="宋体"/>
                <w:color w:val="auto"/>
                <w:szCs w:val="21"/>
                <w:highlight w:val="none"/>
                <w:lang w:val="en-US" w:eastAsia="zh-CN"/>
              </w:rPr>
              <w:t>查看项目申报书内容及相关附件</w:t>
            </w:r>
            <w:r>
              <w:rPr>
                <w:rFonts w:eastAsia="宋体"/>
                <w:color w:val="auto"/>
                <w:szCs w:val="21"/>
                <w:highlight w:val="none"/>
              </w:rPr>
              <w:t>；可录入待审核项目申报书的审核意见，支持选择常用审核意见选择录入；审核时可上传佐证材料。</w:t>
            </w:r>
          </w:p>
          <w:p>
            <w:pPr>
              <w:numPr>
                <w:ilvl w:val="0"/>
                <w:numId w:val="9"/>
              </w:numPr>
              <w:tabs>
                <w:tab w:val="left" w:pos="0"/>
              </w:tabs>
              <w:spacing w:line="440" w:lineRule="exact"/>
              <w:ind w:left="0" w:firstLine="420" w:firstLineChars="200"/>
              <w:outlineLvl w:val="3"/>
              <w:rPr>
                <w:rFonts w:eastAsia="宋体"/>
                <w:color w:val="auto"/>
                <w:szCs w:val="21"/>
                <w:highlight w:val="none"/>
              </w:rPr>
            </w:pPr>
            <w:r>
              <w:rPr>
                <w:rFonts w:eastAsia="宋体"/>
                <w:color w:val="auto"/>
                <w:szCs w:val="21"/>
                <w:highlight w:val="none"/>
              </w:rPr>
              <w:t>审核流程管理：管理员可应用</w:t>
            </w:r>
            <w:r>
              <w:rPr>
                <w:rFonts w:eastAsia="宋体"/>
                <w:bCs/>
                <w:color w:val="auto"/>
                <w:szCs w:val="21"/>
                <w:highlight w:val="none"/>
              </w:rPr>
              <w:t>工作流引擎</w:t>
            </w:r>
            <w:r>
              <w:rPr>
                <w:rFonts w:eastAsia="宋体"/>
                <w:color w:val="auto"/>
                <w:szCs w:val="21"/>
                <w:highlight w:val="none"/>
              </w:rPr>
              <w:t>配置项目申报书审核流程，支持申报单位、推荐单位、管理机构、科技管理部门在线完成项目申报书审核流程；系统根据审核人员操作，完成审核通过、退回修改、终止申报、审核完成等流程流转；页面展示审核流程图，以图示方式展示申报书的各个审核环节和当前所处环节，各审核流程关联该环节的审核意见。</w:t>
            </w:r>
          </w:p>
          <w:p>
            <w:pPr>
              <w:numPr>
                <w:ilvl w:val="0"/>
                <w:numId w:val="9"/>
              </w:numPr>
              <w:tabs>
                <w:tab w:val="left" w:pos="0"/>
              </w:tabs>
              <w:spacing w:line="440" w:lineRule="exact"/>
              <w:ind w:left="0" w:firstLine="420" w:firstLineChars="200"/>
              <w:outlineLvl w:val="3"/>
              <w:rPr>
                <w:rFonts w:eastAsia="宋体"/>
                <w:color w:val="auto"/>
                <w:szCs w:val="21"/>
                <w:highlight w:val="none"/>
              </w:rPr>
            </w:pPr>
            <w:r>
              <w:rPr>
                <w:rFonts w:eastAsia="宋体"/>
                <w:color w:val="auto"/>
                <w:szCs w:val="21"/>
                <w:highlight w:val="none"/>
              </w:rPr>
              <w:t>审核意见查看：各级用户（申报人、申报单位、推荐单位、管理机构、科技管理部门等）可查阅账户权限范围内的审核意见，包括审核意见、审核单位、审核人、审核时间及佐证材料等。</w:t>
            </w:r>
          </w:p>
          <w:p>
            <w:pPr>
              <w:numPr>
                <w:ilvl w:val="2"/>
                <w:numId w:val="2"/>
              </w:numPr>
              <w:tabs>
                <w:tab w:val="left" w:pos="0"/>
              </w:tabs>
              <w:spacing w:line="440" w:lineRule="exact"/>
              <w:ind w:left="0" w:firstLine="420" w:firstLineChars="200"/>
              <w:outlineLvl w:val="2"/>
              <w:rPr>
                <w:rFonts w:eastAsia="宋体"/>
                <w:bCs/>
                <w:color w:val="auto"/>
                <w:szCs w:val="21"/>
                <w:highlight w:val="none"/>
              </w:rPr>
            </w:pPr>
            <w:r>
              <w:rPr>
                <w:rFonts w:eastAsia="宋体"/>
                <w:color w:val="auto"/>
                <w:szCs w:val="21"/>
                <w:highlight w:val="none"/>
              </w:rPr>
              <w:t>项目评审</w:t>
            </w:r>
          </w:p>
          <w:p>
            <w:pPr>
              <w:numPr>
                <w:ilvl w:val="0"/>
                <w:numId w:val="10"/>
              </w:numPr>
              <w:tabs>
                <w:tab w:val="left" w:pos="0"/>
              </w:tabs>
              <w:spacing w:line="440" w:lineRule="exact"/>
              <w:ind w:left="0" w:firstLine="420" w:firstLineChars="200"/>
              <w:outlineLvl w:val="3"/>
              <w:rPr>
                <w:rFonts w:eastAsia="宋体"/>
                <w:color w:val="auto"/>
                <w:szCs w:val="21"/>
                <w:highlight w:val="none"/>
              </w:rPr>
            </w:pPr>
            <w:r>
              <w:rPr>
                <w:rFonts w:eastAsia="宋体"/>
                <w:color w:val="auto"/>
                <w:szCs w:val="21"/>
                <w:highlight w:val="none"/>
              </w:rPr>
              <w:t>评审表管理</w:t>
            </w:r>
          </w:p>
          <w:p>
            <w:pPr>
              <w:spacing w:line="440" w:lineRule="exact"/>
              <w:ind w:firstLine="420" w:firstLineChars="200"/>
              <w:rPr>
                <w:rFonts w:eastAsia="宋体"/>
                <w:color w:val="auto"/>
                <w:szCs w:val="21"/>
                <w:highlight w:val="none"/>
              </w:rPr>
            </w:pPr>
            <w:r>
              <w:rPr>
                <w:rFonts w:eastAsia="宋体"/>
                <w:color w:val="auto"/>
                <w:szCs w:val="21"/>
                <w:highlight w:val="none"/>
              </w:rPr>
              <w:t>评审指标管理：支持评审指标的管理，包括指标名称、权重、最低分、最高分、评分说明等。</w:t>
            </w:r>
          </w:p>
          <w:p>
            <w:pPr>
              <w:spacing w:line="440" w:lineRule="exact"/>
              <w:ind w:firstLine="420" w:firstLineChars="200"/>
              <w:rPr>
                <w:rFonts w:eastAsia="宋体"/>
                <w:color w:val="auto"/>
                <w:szCs w:val="21"/>
                <w:highlight w:val="none"/>
              </w:rPr>
            </w:pPr>
            <w:r>
              <w:rPr>
                <w:rFonts w:eastAsia="宋体"/>
                <w:color w:val="auto"/>
                <w:szCs w:val="21"/>
                <w:highlight w:val="none"/>
              </w:rPr>
              <w:t>评审表设计：管理员可应用表单引擎灵活设置评审表。评审表包含评审指标、指标分值、总分、专家综合结论等填写项。</w:t>
            </w:r>
          </w:p>
          <w:p>
            <w:pPr>
              <w:spacing w:line="440" w:lineRule="exact"/>
              <w:ind w:firstLine="420" w:firstLineChars="200"/>
              <w:rPr>
                <w:rFonts w:eastAsia="宋体"/>
                <w:color w:val="auto"/>
                <w:szCs w:val="21"/>
                <w:highlight w:val="none"/>
              </w:rPr>
            </w:pPr>
            <w:r>
              <w:rPr>
                <w:rFonts w:eastAsia="宋体"/>
                <w:color w:val="auto"/>
                <w:szCs w:val="21"/>
                <w:highlight w:val="none"/>
              </w:rPr>
              <w:t>评审表管理：可对已生成的评审表进行管理。支持评审表复制，复制后可基于原有评审表进行调整形成新的评审表。</w:t>
            </w:r>
          </w:p>
          <w:p>
            <w:pPr>
              <w:numPr>
                <w:ilvl w:val="0"/>
                <w:numId w:val="10"/>
              </w:numPr>
              <w:tabs>
                <w:tab w:val="left" w:pos="0"/>
              </w:tabs>
              <w:spacing w:line="440" w:lineRule="exact"/>
              <w:ind w:left="0" w:firstLine="420" w:firstLineChars="200"/>
              <w:outlineLvl w:val="3"/>
              <w:rPr>
                <w:rFonts w:eastAsia="宋体"/>
                <w:color w:val="auto"/>
                <w:szCs w:val="21"/>
                <w:highlight w:val="none"/>
              </w:rPr>
            </w:pPr>
            <w:r>
              <w:rPr>
                <w:rFonts w:eastAsia="宋体"/>
                <w:color w:val="auto"/>
                <w:szCs w:val="21"/>
                <w:highlight w:val="none"/>
              </w:rPr>
              <w:t>评审分组</w:t>
            </w:r>
          </w:p>
          <w:p>
            <w:pPr>
              <w:spacing w:line="440" w:lineRule="exact"/>
              <w:ind w:firstLine="420" w:firstLineChars="200"/>
              <w:rPr>
                <w:rFonts w:eastAsia="宋体"/>
                <w:color w:val="auto"/>
                <w:szCs w:val="21"/>
                <w:highlight w:val="none"/>
              </w:rPr>
            </w:pPr>
            <w:r>
              <w:rPr>
                <w:rFonts w:eastAsia="宋体"/>
                <w:color w:val="auto"/>
                <w:szCs w:val="21"/>
                <w:highlight w:val="none"/>
              </w:rPr>
              <w:t>根据项目类型或评审要求，将待评项目划分到不同的分组，支持手动分组和自动分组。可按项目分组指定评审表、评审专家。</w:t>
            </w:r>
          </w:p>
          <w:p>
            <w:pPr>
              <w:numPr>
                <w:ilvl w:val="0"/>
                <w:numId w:val="10"/>
              </w:numPr>
              <w:tabs>
                <w:tab w:val="left" w:pos="0"/>
              </w:tabs>
              <w:spacing w:line="440" w:lineRule="exact"/>
              <w:ind w:left="0" w:firstLine="420" w:firstLineChars="200"/>
              <w:outlineLvl w:val="3"/>
              <w:rPr>
                <w:rFonts w:eastAsia="宋体"/>
                <w:color w:val="auto"/>
                <w:szCs w:val="21"/>
                <w:highlight w:val="none"/>
              </w:rPr>
            </w:pPr>
            <w:r>
              <w:rPr>
                <w:rFonts w:eastAsia="宋体"/>
                <w:color w:val="auto"/>
                <w:szCs w:val="21"/>
                <w:highlight w:val="none"/>
              </w:rPr>
              <w:t>评审活动管理</w:t>
            </w:r>
          </w:p>
          <w:p>
            <w:pPr>
              <w:spacing w:line="440" w:lineRule="exact"/>
              <w:ind w:firstLine="420" w:firstLineChars="200"/>
              <w:rPr>
                <w:rFonts w:eastAsia="宋体"/>
                <w:color w:val="auto"/>
                <w:szCs w:val="21"/>
                <w:highlight w:val="none"/>
              </w:rPr>
            </w:pPr>
            <w:r>
              <w:rPr>
                <w:rFonts w:eastAsia="宋体"/>
                <w:color w:val="auto"/>
                <w:szCs w:val="21"/>
                <w:highlight w:val="none"/>
              </w:rPr>
              <w:t>可创建评审活动，实现评审轮次、评审方式、评审阶段、评审模式、待评项目的设置：①评审活动轮次可设置一轮评审或多轮评审；②评审方式可设置网评、会评、现场考察等；③评审阶段可设置立项评审、验收评审等；④评审模式可设置双盲评审，双盲评审模式中，专家评议时仅可查看项目研究相关内容，系统屏蔽项目涉及的单位和人员信息，同时评审专家信息对项目申报单位和申报人保密。⑤可在评审活动中加入或移除待评项目。</w:t>
            </w:r>
          </w:p>
          <w:p>
            <w:pPr>
              <w:numPr>
                <w:ilvl w:val="0"/>
                <w:numId w:val="10"/>
              </w:numPr>
              <w:tabs>
                <w:tab w:val="left" w:pos="0"/>
              </w:tabs>
              <w:spacing w:line="440" w:lineRule="exact"/>
              <w:ind w:left="0" w:firstLine="420" w:firstLineChars="200"/>
              <w:outlineLvl w:val="3"/>
              <w:rPr>
                <w:rFonts w:eastAsia="宋体"/>
                <w:color w:val="auto"/>
                <w:szCs w:val="21"/>
                <w:highlight w:val="none"/>
              </w:rPr>
            </w:pPr>
            <w:r>
              <w:rPr>
                <w:rFonts w:eastAsia="宋体"/>
                <w:color w:val="auto"/>
                <w:szCs w:val="21"/>
                <w:highlight w:val="none"/>
              </w:rPr>
              <w:t>专家评审</w:t>
            </w:r>
          </w:p>
          <w:p>
            <w:pPr>
              <w:spacing w:line="440" w:lineRule="exact"/>
              <w:ind w:firstLine="420" w:firstLineChars="200"/>
              <w:rPr>
                <w:rFonts w:eastAsia="宋体"/>
                <w:color w:val="auto"/>
                <w:szCs w:val="21"/>
                <w:highlight w:val="none"/>
              </w:rPr>
            </w:pPr>
            <w:r>
              <w:rPr>
                <w:rFonts w:eastAsia="宋体"/>
                <w:color w:val="auto"/>
                <w:szCs w:val="21"/>
                <w:highlight w:val="none"/>
              </w:rPr>
              <w:t>专家抽取：①专家数据调取广西科技专家库管理子系统，并调用广西科技项目监测分析系统中的智能专家抽取功能，辅助完成专家抽取、专家回避等功能。②可按单一项目或项目分组抽取专家。③专家抽取时可根据所设查询条件、回避规则、专家可用性等要求抽取。④可应用规则引擎灵活配置回避规则，实现专家抽取时回避待评审项目关联的单位、项目组成员，或指定回避专家。⑤</w:t>
            </w:r>
            <w:r>
              <w:rPr>
                <w:rFonts w:hint="eastAsia" w:ascii="宋体" w:hAnsi="宋体" w:eastAsia="宋体" w:cs="宋体"/>
                <w:color w:val="auto"/>
                <w:szCs w:val="21"/>
                <w:highlight w:val="none"/>
              </w:rPr>
              <w:t>支持通过自然语言的方式智能抽取专家，并支持验证指派的正确性；</w:t>
            </w:r>
            <w:r>
              <w:rPr>
                <w:rFonts w:eastAsia="宋体"/>
                <w:color w:val="auto"/>
                <w:szCs w:val="21"/>
                <w:highlight w:val="none"/>
              </w:rPr>
              <w:t>⑥抽取后展示专家清单，并可查看专家详细信息；可在专家抽取清单中，通过邀请功能发送邀请短信；系统记录邀请结果，如专家回复拒绝参评，或未在系统设置的回复有效期内确认参加，则记录为不接受评审。</w:t>
            </w:r>
            <w:r>
              <w:rPr>
                <w:rFonts w:hint="eastAsia" w:ascii="微软雅黑" w:hAnsi="微软雅黑" w:eastAsia="微软雅黑" w:cs="微软雅黑"/>
                <w:color w:val="auto"/>
                <w:sz w:val="19"/>
                <w:szCs w:val="19"/>
                <w:highlight w:val="none"/>
                <w:shd w:val="clear" w:color="auto" w:fill="FFFFFF"/>
              </w:rPr>
              <w:t>⑦</w:t>
            </w:r>
            <w:r>
              <w:rPr>
                <w:rFonts w:eastAsia="宋体"/>
                <w:color w:val="auto"/>
                <w:szCs w:val="21"/>
                <w:highlight w:val="none"/>
              </w:rPr>
              <w:t>可以重复抽取、邀请直至完成评审组专家抽取。</w:t>
            </w:r>
          </w:p>
          <w:p>
            <w:pPr>
              <w:spacing w:line="440" w:lineRule="exact"/>
              <w:ind w:firstLine="420" w:firstLineChars="200"/>
              <w:rPr>
                <w:rFonts w:eastAsia="宋体"/>
                <w:color w:val="auto"/>
                <w:szCs w:val="21"/>
                <w:highlight w:val="none"/>
              </w:rPr>
            </w:pPr>
            <w:r>
              <w:rPr>
                <w:rFonts w:eastAsia="宋体"/>
                <w:color w:val="auto"/>
                <w:szCs w:val="21"/>
                <w:highlight w:val="none"/>
              </w:rPr>
              <w:t>专家指派：完成专家抽取后，可对一个或多个专家进行指派，将评审专家分配到评审分组中参与评审工作。</w:t>
            </w:r>
          </w:p>
          <w:p>
            <w:pPr>
              <w:spacing w:line="440" w:lineRule="exact"/>
              <w:ind w:firstLine="420" w:firstLineChars="200"/>
              <w:rPr>
                <w:rFonts w:eastAsia="宋体"/>
                <w:color w:val="auto"/>
                <w:szCs w:val="21"/>
                <w:highlight w:val="none"/>
              </w:rPr>
            </w:pPr>
            <w:r>
              <w:rPr>
                <w:rFonts w:eastAsia="宋体"/>
                <w:color w:val="auto"/>
                <w:szCs w:val="21"/>
                <w:highlight w:val="none"/>
              </w:rPr>
              <w:t>专家评审：①专家可查阅待评项目材料，设置盲评的项目，系统需屏蔽项目中单位和人员信息。②专家填写评审表，对表中各评审指标逐个打分，填写专家综合结论，系统自动计算总分，并支持暂存功能；可实现财务专家、技术专家按照不同的评审表进行评审。③评审结束后，将专家评审项目情况同步到</w:t>
            </w:r>
            <w:r>
              <w:rPr>
                <w:rFonts w:hint="eastAsia" w:eastAsia="宋体"/>
                <w:color w:val="auto"/>
                <w:szCs w:val="21"/>
                <w:highlight w:val="none"/>
              </w:rPr>
              <w:t>广西科技</w:t>
            </w:r>
            <w:r>
              <w:rPr>
                <w:rFonts w:eastAsia="宋体"/>
                <w:color w:val="auto"/>
                <w:szCs w:val="21"/>
                <w:highlight w:val="none"/>
              </w:rPr>
              <w:t>专家库</w:t>
            </w:r>
            <w:r>
              <w:rPr>
                <w:rFonts w:hint="eastAsia" w:eastAsia="宋体"/>
                <w:color w:val="auto"/>
                <w:szCs w:val="21"/>
                <w:highlight w:val="none"/>
              </w:rPr>
              <w:t>管理</w:t>
            </w:r>
            <w:r>
              <w:rPr>
                <w:rFonts w:eastAsia="宋体"/>
                <w:color w:val="auto"/>
                <w:szCs w:val="21"/>
                <w:highlight w:val="none"/>
              </w:rPr>
              <w:t>子系统，用于专家活动行为评估。</w:t>
            </w:r>
          </w:p>
          <w:p>
            <w:pPr>
              <w:spacing w:line="440" w:lineRule="exact"/>
              <w:ind w:firstLine="420" w:firstLineChars="200"/>
              <w:rPr>
                <w:rFonts w:eastAsia="宋体"/>
                <w:color w:val="auto"/>
                <w:szCs w:val="21"/>
                <w:highlight w:val="none"/>
              </w:rPr>
            </w:pPr>
            <w:r>
              <w:rPr>
                <w:rFonts w:eastAsia="宋体"/>
                <w:color w:val="auto"/>
                <w:szCs w:val="21"/>
                <w:highlight w:val="none"/>
              </w:rPr>
              <w:t>评审情况管理：评审主管部门可查看各评审分组、评审项目的评审进度和评审结果，并提供评审数据报表生成、评审结果统计、专家汇款表生成等功能。</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立项管理</w:t>
            </w:r>
          </w:p>
          <w:p>
            <w:pPr>
              <w:numPr>
                <w:ilvl w:val="0"/>
                <w:numId w:val="11"/>
              </w:numPr>
              <w:spacing w:line="440" w:lineRule="exact"/>
              <w:ind w:left="0" w:firstLine="420" w:firstLineChars="200"/>
              <w:rPr>
                <w:rFonts w:eastAsia="宋体"/>
                <w:color w:val="auto"/>
                <w:szCs w:val="21"/>
                <w:highlight w:val="none"/>
              </w:rPr>
            </w:pPr>
            <w:r>
              <w:rPr>
                <w:rFonts w:eastAsia="宋体"/>
                <w:color w:val="auto"/>
                <w:szCs w:val="21"/>
                <w:highlight w:val="none"/>
              </w:rPr>
              <w:t>立项建议管理。专业机构确定项目立项建议清单。系统支持用户输入立项建议意见和依据。</w:t>
            </w:r>
          </w:p>
          <w:p>
            <w:pPr>
              <w:numPr>
                <w:ilvl w:val="0"/>
                <w:numId w:val="11"/>
              </w:numPr>
              <w:spacing w:line="440" w:lineRule="exact"/>
              <w:ind w:left="0" w:firstLine="420" w:firstLineChars="200"/>
              <w:rPr>
                <w:rFonts w:eastAsia="宋体"/>
                <w:color w:val="auto"/>
                <w:szCs w:val="21"/>
                <w:highlight w:val="none"/>
              </w:rPr>
            </w:pPr>
            <w:r>
              <w:rPr>
                <w:rFonts w:eastAsia="宋体"/>
                <w:color w:val="auto"/>
                <w:szCs w:val="21"/>
                <w:highlight w:val="none"/>
              </w:rPr>
              <w:t>拟立项项目管理。业务处室确定拟立项项目清单。系统支持用户输入拟立项意见、依据、建议金额、拟立项年度、项目简要内容等信息。</w:t>
            </w:r>
          </w:p>
          <w:p>
            <w:pPr>
              <w:numPr>
                <w:ilvl w:val="0"/>
                <w:numId w:val="11"/>
              </w:numPr>
              <w:spacing w:line="440" w:lineRule="exact"/>
              <w:ind w:left="0" w:firstLine="420" w:firstLineChars="200"/>
              <w:rPr>
                <w:rFonts w:eastAsia="宋体"/>
                <w:color w:val="auto"/>
                <w:szCs w:val="21"/>
                <w:highlight w:val="none"/>
              </w:rPr>
            </w:pPr>
            <w:r>
              <w:rPr>
                <w:rFonts w:eastAsia="宋体"/>
                <w:color w:val="auto"/>
                <w:szCs w:val="21"/>
                <w:highlight w:val="none"/>
              </w:rPr>
              <w:t>立项管理。主管部门确定最终立项清单，立项项目公示后，系统支持用户录入立项项目信息。各级用户可查阅和导出账户权限范围内的立项、不立项项目清单。</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任务书管理</w:t>
            </w:r>
          </w:p>
          <w:p>
            <w:pPr>
              <w:numPr>
                <w:ilvl w:val="0"/>
                <w:numId w:val="12"/>
              </w:numPr>
              <w:spacing w:line="440" w:lineRule="exact"/>
              <w:ind w:left="0" w:firstLine="420" w:firstLineChars="200"/>
              <w:rPr>
                <w:rFonts w:eastAsia="宋体"/>
                <w:color w:val="auto"/>
                <w:szCs w:val="21"/>
                <w:highlight w:val="none"/>
              </w:rPr>
            </w:pPr>
            <w:r>
              <w:rPr>
                <w:rFonts w:eastAsia="宋体"/>
                <w:color w:val="auto"/>
                <w:szCs w:val="21"/>
                <w:highlight w:val="none"/>
              </w:rPr>
              <w:t>任务书生成。项目立项下达后，由系统根据项目申报书填报信息，自动初始化生成任务书，并将任务书分配至项目负责人账号。</w:t>
            </w:r>
          </w:p>
          <w:p>
            <w:pPr>
              <w:numPr>
                <w:ilvl w:val="0"/>
                <w:numId w:val="12"/>
              </w:numPr>
              <w:spacing w:line="440" w:lineRule="exact"/>
              <w:ind w:left="0" w:firstLine="420" w:firstLineChars="200"/>
              <w:rPr>
                <w:rFonts w:eastAsia="宋体"/>
                <w:color w:val="auto"/>
                <w:szCs w:val="21"/>
                <w:highlight w:val="none"/>
              </w:rPr>
            </w:pPr>
            <w:r>
              <w:rPr>
                <w:rFonts w:eastAsia="宋体"/>
                <w:color w:val="auto"/>
                <w:szCs w:val="21"/>
                <w:highlight w:val="none"/>
              </w:rPr>
              <w:t>任务书填写。支持逐个或者按下达批次发送短信或邮件提醒项目负责人填写任务书，填写时需提供填写规则检查校验功能、暂存功能。填写完成后，可导出任务书版式文件。</w:t>
            </w:r>
          </w:p>
          <w:p>
            <w:pPr>
              <w:numPr>
                <w:ilvl w:val="0"/>
                <w:numId w:val="12"/>
              </w:numPr>
              <w:spacing w:line="440" w:lineRule="exact"/>
              <w:ind w:left="0" w:firstLine="420" w:firstLineChars="200"/>
              <w:rPr>
                <w:rFonts w:eastAsia="宋体"/>
                <w:color w:val="auto"/>
                <w:szCs w:val="21"/>
                <w:highlight w:val="none"/>
              </w:rPr>
            </w:pPr>
            <w:r>
              <w:rPr>
                <w:rFonts w:eastAsia="宋体"/>
                <w:color w:val="auto"/>
                <w:szCs w:val="21"/>
                <w:highlight w:val="none"/>
              </w:rPr>
              <w:t>任务书审核。任务书审核时，管理机构、业务处室可查看项目任务书详情，填写审核意见</w:t>
            </w:r>
            <w:r>
              <w:rPr>
                <w:rFonts w:hint="eastAsia" w:eastAsia="宋体"/>
                <w:color w:val="auto"/>
                <w:szCs w:val="21"/>
                <w:highlight w:val="none"/>
                <w:lang w:eastAsia="zh-CN"/>
              </w:rPr>
              <w:t>；</w:t>
            </w:r>
            <w:r>
              <w:rPr>
                <w:rFonts w:eastAsia="宋体"/>
                <w:color w:val="auto"/>
                <w:szCs w:val="21"/>
                <w:highlight w:val="none"/>
              </w:rPr>
              <w:t>页面中关联显示该项目申报书信息</w:t>
            </w:r>
            <w:r>
              <w:rPr>
                <w:rFonts w:hint="eastAsia" w:eastAsia="宋体"/>
                <w:color w:val="auto"/>
                <w:szCs w:val="21"/>
                <w:highlight w:val="none"/>
                <w:lang w:eastAsia="zh-CN"/>
              </w:rPr>
              <w:t>，</w:t>
            </w:r>
            <w:r>
              <w:rPr>
                <w:rFonts w:hint="eastAsia" w:eastAsia="宋体"/>
                <w:color w:val="auto"/>
                <w:szCs w:val="21"/>
                <w:highlight w:val="none"/>
                <w:lang w:val="en-US" w:eastAsia="zh-CN"/>
              </w:rPr>
              <w:t>并将任务书和申报书的填报数据进行比对，显示两者不一致的填写内容，便于审核人员有效审查不一致内容；任务书审核结束后，系统自动检查该项目填写的开始实施时间，若项目开始实施时间早于项目审核通过时间，可允许项目承担单位或责任处室修改。</w:t>
            </w:r>
          </w:p>
          <w:p>
            <w:pPr>
              <w:numPr>
                <w:ilvl w:val="0"/>
                <w:numId w:val="12"/>
              </w:numPr>
              <w:spacing w:line="440" w:lineRule="exact"/>
              <w:ind w:left="0" w:firstLine="420" w:firstLineChars="200"/>
              <w:rPr>
                <w:rFonts w:eastAsia="宋体"/>
                <w:color w:val="auto"/>
                <w:szCs w:val="21"/>
                <w:highlight w:val="none"/>
              </w:rPr>
            </w:pPr>
            <w:r>
              <w:rPr>
                <w:rFonts w:eastAsia="宋体"/>
                <w:color w:val="auto"/>
                <w:szCs w:val="21"/>
                <w:highlight w:val="none"/>
              </w:rPr>
              <w:t>任务书查询。支持管理机构、业务处室按下达时间、下达批次等查询任务书，页面展示各任务书填报状态，以便管理人员跟进任务书填报进度。</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项目实施管理</w:t>
            </w:r>
          </w:p>
          <w:p>
            <w:pPr>
              <w:numPr>
                <w:ilvl w:val="0"/>
                <w:numId w:val="13"/>
              </w:numPr>
              <w:spacing w:line="440" w:lineRule="exact"/>
              <w:ind w:left="0" w:firstLine="420" w:firstLineChars="200"/>
              <w:rPr>
                <w:rFonts w:eastAsia="宋体"/>
                <w:color w:val="auto"/>
                <w:szCs w:val="21"/>
                <w:highlight w:val="none"/>
              </w:rPr>
            </w:pPr>
            <w:r>
              <w:rPr>
                <w:rFonts w:eastAsia="宋体"/>
                <w:color w:val="auto"/>
                <w:szCs w:val="21"/>
                <w:highlight w:val="none"/>
              </w:rPr>
              <w:t>项目实施过程包括年度执行报告、中期检查报告、科技报告、项目变更等业务。其中，年度执行报告、中期检查报告需由项目负责人填报项目实施进度、资金使用、指标完成等相关信息，以便专业机构或业务处室掌握项目实施情况；科技报告根据科技部科技报告填报要求设置填报页面，包括进展报告、专题报告、最终报告三个部分；项目变更可实现项目名称、经费、单位、负责人、参与人员、实施期限、完成指标、研究内容等信息的变更。</w:t>
            </w:r>
          </w:p>
          <w:p>
            <w:pPr>
              <w:numPr>
                <w:ilvl w:val="0"/>
                <w:numId w:val="13"/>
              </w:numPr>
              <w:spacing w:line="440" w:lineRule="exact"/>
              <w:ind w:left="0" w:firstLine="420" w:firstLineChars="200"/>
              <w:rPr>
                <w:rFonts w:eastAsia="宋体"/>
                <w:color w:val="auto"/>
                <w:szCs w:val="21"/>
                <w:highlight w:val="none"/>
              </w:rPr>
            </w:pPr>
            <w:r>
              <w:rPr>
                <w:rFonts w:eastAsia="宋体"/>
                <w:color w:val="auto"/>
                <w:szCs w:val="21"/>
                <w:highlight w:val="none"/>
              </w:rPr>
              <w:t>系统支持年度执行报告、中期检查报告、科技报告、项目变更的表单生成、在线填报、逐级审核及业务查询。</w:t>
            </w:r>
            <w:r>
              <w:rPr>
                <w:rFonts w:hint="eastAsia" w:eastAsia="宋体"/>
                <w:color w:val="auto"/>
                <w:szCs w:val="21"/>
                <w:highlight w:val="none"/>
                <w:lang w:eastAsia="zh-CN"/>
              </w:rPr>
              <w:t>管理机构可对年度执行报告、中期检查报告审核中存在风险的项目</w:t>
            </w:r>
            <w:r>
              <w:rPr>
                <w:rFonts w:hint="eastAsia"/>
                <w:color w:val="auto"/>
                <w:szCs w:val="21"/>
                <w:highlight w:val="none"/>
                <w:lang w:eastAsia="zh-CN"/>
              </w:rPr>
              <w:t>，</w:t>
            </w:r>
            <w:r>
              <w:rPr>
                <w:rFonts w:hint="eastAsia" w:eastAsia="宋体"/>
                <w:color w:val="auto"/>
                <w:szCs w:val="21"/>
                <w:highlight w:val="none"/>
                <w:lang w:eastAsia="zh-CN"/>
              </w:rPr>
              <w:t>设置风险等级与提醒颜色（如高风险-红色、中风险-橙色、正常-绿色），便于管理人员识别风险项目，管理后续经费拨付。</w:t>
            </w:r>
          </w:p>
          <w:p>
            <w:pPr>
              <w:numPr>
                <w:ilvl w:val="0"/>
                <w:numId w:val="13"/>
              </w:numPr>
              <w:spacing w:line="440" w:lineRule="exact"/>
              <w:ind w:left="0" w:firstLine="420" w:firstLineChars="200"/>
              <w:rPr>
                <w:rFonts w:eastAsia="宋体"/>
                <w:color w:val="auto"/>
                <w:szCs w:val="21"/>
                <w:highlight w:val="none"/>
              </w:rPr>
            </w:pPr>
            <w:r>
              <w:rPr>
                <w:rFonts w:eastAsia="宋体"/>
                <w:color w:val="auto"/>
                <w:szCs w:val="21"/>
                <w:highlight w:val="none"/>
              </w:rPr>
              <w:t>系统对接。科技报告模块与科技报告系统对接，项目承担单位将科技报告提交管理机构审核通过后，本模块将报告推送至科技报告系统进行审改审核。</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项目查定</w:t>
            </w:r>
          </w:p>
          <w:p>
            <w:pPr>
              <w:numPr>
                <w:ilvl w:val="0"/>
                <w:numId w:val="14"/>
              </w:numPr>
              <w:spacing w:line="440" w:lineRule="exact"/>
              <w:ind w:left="0" w:firstLine="420" w:firstLineChars="200"/>
              <w:rPr>
                <w:rFonts w:eastAsia="宋体"/>
                <w:color w:val="auto"/>
                <w:szCs w:val="21"/>
                <w:highlight w:val="none"/>
              </w:rPr>
            </w:pPr>
            <w:r>
              <w:rPr>
                <w:rFonts w:eastAsia="宋体"/>
                <w:color w:val="auto"/>
                <w:szCs w:val="21"/>
                <w:highlight w:val="none"/>
              </w:rPr>
              <w:t>查定申报书生成：查定类型分为过程查定和验收查定。管理员可应用表单引擎灵活设置过程查定申报书和验收查定申报书。</w:t>
            </w:r>
          </w:p>
          <w:p>
            <w:pPr>
              <w:numPr>
                <w:ilvl w:val="0"/>
                <w:numId w:val="14"/>
              </w:numPr>
              <w:spacing w:line="440" w:lineRule="exact"/>
              <w:ind w:left="0" w:firstLine="420" w:firstLineChars="200"/>
              <w:rPr>
                <w:rFonts w:eastAsia="宋体"/>
                <w:color w:val="auto"/>
                <w:szCs w:val="21"/>
                <w:highlight w:val="none"/>
              </w:rPr>
            </w:pPr>
            <w:r>
              <w:rPr>
                <w:rFonts w:eastAsia="宋体"/>
                <w:color w:val="auto"/>
                <w:szCs w:val="21"/>
                <w:highlight w:val="none"/>
              </w:rPr>
              <w:t>填报查定申请：项目负责人根据项目实施情况填写并提交查定申请；填写时系统提供填写规则检查校验功能、暂存功能。</w:t>
            </w:r>
          </w:p>
          <w:p>
            <w:pPr>
              <w:numPr>
                <w:ilvl w:val="0"/>
                <w:numId w:val="14"/>
              </w:numPr>
              <w:spacing w:line="440" w:lineRule="exact"/>
              <w:ind w:left="0" w:firstLine="420" w:firstLineChars="200"/>
              <w:rPr>
                <w:rFonts w:eastAsia="宋体"/>
                <w:color w:val="auto"/>
                <w:szCs w:val="21"/>
                <w:highlight w:val="none"/>
              </w:rPr>
            </w:pPr>
            <w:r>
              <w:rPr>
                <w:rFonts w:eastAsia="宋体"/>
                <w:color w:val="auto"/>
                <w:szCs w:val="21"/>
                <w:highlight w:val="none"/>
              </w:rPr>
              <w:t>查定签批：验收机构审核项目查定申报书，录入签批意见、查定要求等，确定待查定项目清单。待查定项目可分批次进行管理。</w:t>
            </w:r>
          </w:p>
          <w:p>
            <w:pPr>
              <w:numPr>
                <w:ilvl w:val="0"/>
                <w:numId w:val="14"/>
              </w:numPr>
              <w:spacing w:line="440" w:lineRule="exact"/>
              <w:ind w:left="0" w:firstLine="420" w:firstLineChars="200"/>
              <w:rPr>
                <w:rFonts w:eastAsia="宋体"/>
                <w:color w:val="auto"/>
                <w:szCs w:val="21"/>
                <w:highlight w:val="none"/>
              </w:rPr>
            </w:pPr>
            <w:r>
              <w:rPr>
                <w:rFonts w:eastAsia="宋体"/>
                <w:color w:val="auto"/>
                <w:szCs w:val="21"/>
                <w:highlight w:val="none"/>
              </w:rPr>
              <w:t>查定大纲：可实现查定大纲编制，查定大纲包括查定时间、查定地点、查定目的、查定依据、查定内容、查定方法等信息。</w:t>
            </w:r>
          </w:p>
          <w:p>
            <w:pPr>
              <w:numPr>
                <w:ilvl w:val="0"/>
                <w:numId w:val="14"/>
              </w:numPr>
              <w:spacing w:line="440" w:lineRule="exact"/>
              <w:ind w:left="0" w:firstLine="420" w:firstLineChars="200"/>
              <w:rPr>
                <w:rFonts w:eastAsia="宋体"/>
                <w:color w:val="auto"/>
                <w:szCs w:val="21"/>
                <w:highlight w:val="none"/>
              </w:rPr>
            </w:pPr>
            <w:r>
              <w:rPr>
                <w:rFonts w:eastAsia="宋体"/>
                <w:color w:val="auto"/>
                <w:szCs w:val="21"/>
                <w:highlight w:val="none"/>
              </w:rPr>
              <w:t>查定评审：对待查定项目分组并抽取专家开展项目查定评审。功能关联广西科技专家库管理子系统实现专家抽取。</w:t>
            </w:r>
          </w:p>
          <w:p>
            <w:pPr>
              <w:numPr>
                <w:ilvl w:val="0"/>
                <w:numId w:val="14"/>
              </w:numPr>
              <w:spacing w:line="440" w:lineRule="exact"/>
              <w:ind w:left="0" w:firstLine="420" w:firstLineChars="200"/>
              <w:rPr>
                <w:rFonts w:eastAsia="宋体"/>
                <w:color w:val="auto"/>
                <w:szCs w:val="21"/>
                <w:highlight w:val="none"/>
              </w:rPr>
            </w:pPr>
            <w:r>
              <w:rPr>
                <w:rFonts w:eastAsia="宋体"/>
                <w:color w:val="auto"/>
                <w:szCs w:val="21"/>
                <w:highlight w:val="none"/>
              </w:rPr>
              <w:t>评审结果管理：支持验收机构人员录入专家组查定结果，上传查定大纲、查定报告等附件；支持项目查定结果查询、导出、汇总等。</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项目验收</w:t>
            </w:r>
          </w:p>
          <w:p>
            <w:pPr>
              <w:numPr>
                <w:ilvl w:val="0"/>
                <w:numId w:val="15"/>
              </w:numPr>
              <w:spacing w:line="440" w:lineRule="exact"/>
              <w:ind w:left="0" w:firstLine="420" w:firstLineChars="200"/>
              <w:rPr>
                <w:rFonts w:eastAsia="宋体"/>
                <w:color w:val="auto"/>
                <w:szCs w:val="21"/>
                <w:highlight w:val="none"/>
              </w:rPr>
            </w:pPr>
            <w:r>
              <w:rPr>
                <w:rFonts w:eastAsia="宋体"/>
                <w:color w:val="auto"/>
                <w:szCs w:val="21"/>
                <w:highlight w:val="none"/>
              </w:rPr>
              <w:t>短信提醒：在项目到期前，系统提醒项目承担单位开展项目结题验收工作。</w:t>
            </w:r>
          </w:p>
          <w:p>
            <w:pPr>
              <w:numPr>
                <w:ilvl w:val="0"/>
                <w:numId w:val="15"/>
              </w:numPr>
              <w:spacing w:line="440" w:lineRule="exact"/>
              <w:ind w:left="0" w:firstLine="420" w:firstLineChars="200"/>
              <w:rPr>
                <w:rFonts w:eastAsia="宋体"/>
                <w:color w:val="auto"/>
                <w:szCs w:val="21"/>
                <w:highlight w:val="none"/>
              </w:rPr>
            </w:pPr>
            <w:r>
              <w:rPr>
                <w:rFonts w:eastAsia="宋体"/>
                <w:color w:val="auto"/>
                <w:szCs w:val="21"/>
                <w:highlight w:val="none"/>
              </w:rPr>
              <w:t>验收申请：管理员可应用表单引擎灵活设置验收申请书。项目负责人填写并提交验收申请书，填写时需提供填写规则检查校验功能、暂存功能，填写完成后可导出版式文件。</w:t>
            </w:r>
          </w:p>
          <w:p>
            <w:pPr>
              <w:numPr>
                <w:ilvl w:val="0"/>
                <w:numId w:val="15"/>
              </w:numPr>
              <w:spacing w:line="440" w:lineRule="exact"/>
              <w:ind w:left="0" w:firstLine="420" w:firstLineChars="200"/>
              <w:rPr>
                <w:rFonts w:eastAsia="宋体"/>
                <w:color w:val="auto"/>
                <w:szCs w:val="21"/>
                <w:highlight w:val="none"/>
              </w:rPr>
            </w:pPr>
            <w:r>
              <w:rPr>
                <w:rFonts w:eastAsia="宋体"/>
                <w:color w:val="auto"/>
                <w:szCs w:val="21"/>
                <w:highlight w:val="none"/>
              </w:rPr>
              <w:t>验收材料受理：各级部门逐级审核验收申请书，确定进入验收的项目清单。待验收项目可分批次进行管理，系统支持批次名称、评审年度、验收机构部门、验收任务、验收要求等信息管理。</w:t>
            </w:r>
          </w:p>
          <w:p>
            <w:pPr>
              <w:numPr>
                <w:ilvl w:val="0"/>
                <w:numId w:val="15"/>
              </w:numPr>
              <w:spacing w:line="440" w:lineRule="exact"/>
              <w:ind w:left="0" w:firstLine="420" w:firstLineChars="200"/>
              <w:rPr>
                <w:rFonts w:eastAsia="宋体"/>
                <w:color w:val="auto"/>
                <w:szCs w:val="21"/>
                <w:highlight w:val="none"/>
              </w:rPr>
            </w:pPr>
            <w:r>
              <w:rPr>
                <w:rFonts w:eastAsia="宋体"/>
                <w:color w:val="auto"/>
                <w:szCs w:val="21"/>
                <w:highlight w:val="none"/>
              </w:rPr>
              <w:t>验收评审：①验收机构设置，验收材料受理后，可设置项目验收机构。②设置验收形式。由验收机构设置验收评审形式，支持会议评审和线上评审。③专家评审功能关联广西科技专家库管理子系统实现专家抽取，由验收机构邀请专家开展项目验收评审。</w:t>
            </w:r>
          </w:p>
          <w:p>
            <w:pPr>
              <w:numPr>
                <w:ilvl w:val="0"/>
                <w:numId w:val="15"/>
              </w:numPr>
              <w:spacing w:line="440" w:lineRule="exact"/>
              <w:ind w:left="0" w:firstLine="420" w:firstLineChars="200"/>
              <w:rPr>
                <w:rFonts w:eastAsia="宋体"/>
                <w:color w:val="auto"/>
                <w:szCs w:val="21"/>
                <w:highlight w:val="none"/>
              </w:rPr>
            </w:pPr>
            <w:r>
              <w:rPr>
                <w:rFonts w:eastAsia="宋体"/>
                <w:color w:val="auto"/>
                <w:szCs w:val="21"/>
                <w:highlight w:val="none"/>
              </w:rPr>
              <w:t>验收意见管理：①会议评审的项目，由验收机构录入专家验收意见；线上评审的项目，在专家网评完成后，系统可将专家评审结果同步到审核验收意见页面。②系统支持验收意见的逐级审核，确定各项目最终验收结论。</w:t>
            </w:r>
          </w:p>
          <w:p>
            <w:pPr>
              <w:numPr>
                <w:ilvl w:val="0"/>
                <w:numId w:val="15"/>
              </w:numPr>
              <w:spacing w:line="440" w:lineRule="exact"/>
              <w:ind w:left="0" w:firstLine="420" w:firstLineChars="200"/>
              <w:rPr>
                <w:rFonts w:eastAsia="宋体"/>
                <w:color w:val="auto"/>
                <w:szCs w:val="21"/>
                <w:highlight w:val="none"/>
              </w:rPr>
            </w:pPr>
            <w:r>
              <w:rPr>
                <w:rFonts w:eastAsia="宋体"/>
                <w:color w:val="auto"/>
                <w:szCs w:val="21"/>
                <w:highlight w:val="none"/>
              </w:rPr>
              <w:t>验收证书管理。支持验收证书基本信息填写；支持验收证书模板设置，系统可生成统一规范的验收证书板式文件。</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项目终止</w:t>
            </w:r>
          </w:p>
          <w:p>
            <w:pPr>
              <w:numPr>
                <w:ilvl w:val="0"/>
                <w:numId w:val="16"/>
              </w:numPr>
              <w:spacing w:line="440" w:lineRule="exact"/>
              <w:ind w:left="0" w:firstLine="420" w:firstLineChars="200"/>
              <w:rPr>
                <w:rFonts w:eastAsia="宋体"/>
                <w:color w:val="auto"/>
                <w:szCs w:val="21"/>
                <w:highlight w:val="none"/>
              </w:rPr>
            </w:pPr>
            <w:r>
              <w:rPr>
                <w:rFonts w:eastAsia="宋体"/>
                <w:color w:val="auto"/>
                <w:szCs w:val="21"/>
                <w:highlight w:val="none"/>
              </w:rPr>
              <w:t>终止申请：对达不到验收条件的项目，系统可实现项目主动终止和被动终止。主动终止由项目承担单位或项目负责人主动提出终止申请。被动终止由专业机构发起终止申请。</w:t>
            </w:r>
          </w:p>
          <w:p>
            <w:pPr>
              <w:numPr>
                <w:ilvl w:val="0"/>
                <w:numId w:val="16"/>
              </w:numPr>
              <w:spacing w:line="440" w:lineRule="exact"/>
              <w:ind w:left="0" w:firstLine="420" w:firstLineChars="200"/>
              <w:rPr>
                <w:rFonts w:eastAsia="宋体"/>
                <w:color w:val="auto"/>
                <w:szCs w:val="21"/>
                <w:highlight w:val="none"/>
              </w:rPr>
            </w:pPr>
            <w:r>
              <w:rPr>
                <w:rFonts w:eastAsia="宋体"/>
                <w:color w:val="auto"/>
                <w:szCs w:val="21"/>
                <w:highlight w:val="none"/>
              </w:rPr>
              <w:t>终止评估：专业机构组织项目终止评估，提出项目终止建议。如需安排专家评审，可在终止评估调用广西科技专家库管理子系统实现专家抽取，邀请专家开展项目终止评审，终止评审支持会议评审和线上评审。</w:t>
            </w:r>
          </w:p>
          <w:p>
            <w:pPr>
              <w:numPr>
                <w:ilvl w:val="0"/>
                <w:numId w:val="16"/>
              </w:numPr>
              <w:spacing w:line="440" w:lineRule="exact"/>
              <w:ind w:left="0" w:firstLine="420" w:firstLineChars="200"/>
              <w:rPr>
                <w:rFonts w:eastAsia="宋体"/>
                <w:color w:val="auto"/>
                <w:szCs w:val="21"/>
                <w:highlight w:val="none"/>
              </w:rPr>
            </w:pPr>
            <w:r>
              <w:rPr>
                <w:rFonts w:eastAsia="宋体"/>
                <w:color w:val="auto"/>
                <w:szCs w:val="21"/>
                <w:highlight w:val="none"/>
              </w:rPr>
              <w:t>终止意见管理：①会议评审的项目，由验收机构录入专家评审意见；线上评审的项目，在专家网评完成后，系统可将专家评审意见同步到审核终止意见页面。②专业机构汇总专家评审意见，录入终止意见，系统支持终止意见的逐级审核，确定各项目最终终止结论。</w:t>
            </w:r>
          </w:p>
          <w:p>
            <w:pPr>
              <w:numPr>
                <w:ilvl w:val="0"/>
                <w:numId w:val="16"/>
              </w:numPr>
              <w:spacing w:line="440" w:lineRule="exact"/>
              <w:ind w:left="0" w:firstLine="420" w:firstLineChars="200"/>
              <w:rPr>
                <w:rFonts w:eastAsia="宋体"/>
                <w:color w:val="auto"/>
                <w:szCs w:val="21"/>
                <w:highlight w:val="none"/>
              </w:rPr>
            </w:pPr>
            <w:r>
              <w:rPr>
                <w:rFonts w:eastAsia="宋体"/>
                <w:color w:val="auto"/>
                <w:szCs w:val="21"/>
                <w:highlight w:val="none"/>
              </w:rPr>
              <w:t>终止意见书管理。支持终止意见书基本信息填写；支持终止意见书模板设置，系统可生成统一规范的终止意见书板式文件。</w:t>
            </w:r>
          </w:p>
          <w:p>
            <w:pPr>
              <w:numPr>
                <w:ilvl w:val="2"/>
                <w:numId w:val="2"/>
              </w:numPr>
              <w:tabs>
                <w:tab w:val="left" w:pos="0"/>
              </w:tabs>
              <w:spacing w:line="440" w:lineRule="exact"/>
              <w:ind w:left="0" w:firstLine="420" w:firstLineChars="200"/>
              <w:outlineLvl w:val="2"/>
              <w:rPr>
                <w:rFonts w:hint="eastAsia" w:eastAsia="宋体"/>
                <w:color w:val="auto"/>
                <w:szCs w:val="21"/>
                <w:highlight w:val="none"/>
                <w:lang w:val="en-US" w:eastAsia="zh-CN"/>
              </w:rPr>
            </w:pPr>
            <w:r>
              <w:rPr>
                <w:rFonts w:eastAsia="宋体"/>
                <w:color w:val="auto"/>
                <w:szCs w:val="21"/>
                <w:highlight w:val="none"/>
              </w:rPr>
              <w:t>项目全景</w:t>
            </w:r>
            <w:r>
              <w:rPr>
                <w:rFonts w:hint="eastAsia" w:eastAsia="宋体"/>
                <w:color w:val="auto"/>
                <w:szCs w:val="21"/>
                <w:highlight w:val="none"/>
                <w:lang w:val="en-US" w:eastAsia="zh-CN"/>
              </w:rPr>
              <w:t>展示</w:t>
            </w:r>
          </w:p>
          <w:p>
            <w:pPr>
              <w:numPr>
                <w:ilvl w:val="0"/>
                <w:numId w:val="17"/>
              </w:numPr>
              <w:spacing w:line="440" w:lineRule="exact"/>
              <w:ind w:left="0" w:firstLine="420" w:firstLineChars="200"/>
              <w:rPr>
                <w:rFonts w:hint="default" w:eastAsia="宋体"/>
                <w:color w:val="auto"/>
                <w:szCs w:val="21"/>
                <w:highlight w:val="none"/>
                <w:lang w:val="en-US" w:eastAsia="zh-CN"/>
              </w:rPr>
            </w:pPr>
            <w:r>
              <w:rPr>
                <w:rFonts w:hint="eastAsia" w:eastAsia="宋体"/>
                <w:color w:val="auto"/>
                <w:szCs w:val="21"/>
                <w:highlight w:val="none"/>
                <w:lang w:val="en-US" w:eastAsia="zh-CN"/>
              </w:rPr>
              <w:t>该模块可全流程展示科技项目在项目申报、形式审核、专家评审、合同签订、项目实施</w:t>
            </w:r>
            <w:r>
              <w:rPr>
                <w:rFonts w:hint="eastAsia" w:eastAsia="宋体"/>
                <w:color w:val="auto"/>
                <w:szCs w:val="21"/>
                <w:highlight w:val="none"/>
                <w:lang w:eastAsia="zh-CN"/>
              </w:rPr>
              <w:t>、</w:t>
            </w:r>
            <w:r>
              <w:rPr>
                <w:rFonts w:hint="eastAsia" w:eastAsia="宋体"/>
                <w:color w:val="auto"/>
                <w:szCs w:val="21"/>
                <w:highlight w:val="none"/>
                <w:lang w:val="en-US" w:eastAsia="zh-CN"/>
              </w:rPr>
              <w:t>项目查定、项目验收、项目终止等阶段的项目信息，管理人员可详细查看该项目在各个阶段中的填报信息、审核信息等。</w:t>
            </w:r>
          </w:p>
          <w:p>
            <w:pPr>
              <w:numPr>
                <w:ilvl w:val="0"/>
                <w:numId w:val="17"/>
              </w:numPr>
              <w:spacing w:line="440" w:lineRule="exact"/>
              <w:ind w:left="0" w:firstLine="420" w:firstLineChars="200"/>
              <w:rPr>
                <w:rFonts w:eastAsia="宋体"/>
                <w:color w:val="auto"/>
                <w:szCs w:val="21"/>
                <w:highlight w:val="none"/>
              </w:rPr>
            </w:pPr>
            <w:r>
              <w:rPr>
                <w:rFonts w:hint="eastAsia" w:eastAsia="宋体"/>
                <w:color w:val="auto"/>
                <w:szCs w:val="21"/>
                <w:highlight w:val="none"/>
                <w:lang w:val="en-US" w:eastAsia="zh-CN"/>
              </w:rPr>
              <w:t>项目数据检索：</w:t>
            </w:r>
            <w:r>
              <w:rPr>
                <w:rFonts w:eastAsia="宋体"/>
                <w:color w:val="auto"/>
                <w:szCs w:val="21"/>
                <w:highlight w:val="none"/>
              </w:rPr>
              <w:t>①</w:t>
            </w:r>
            <w:r>
              <w:rPr>
                <w:rFonts w:hint="eastAsia" w:eastAsia="宋体"/>
                <w:color w:val="auto"/>
                <w:szCs w:val="21"/>
                <w:highlight w:val="none"/>
                <w:lang w:val="en-US" w:eastAsia="zh-CN"/>
              </w:rPr>
              <w:t>高级检索：可按项目类别、项目名称、年度、验收状态、验收时间、单位名称、项目负责人等设置检索条件，可设置检索条件之间的“或”“并”等检索逻辑，实现复杂检索条件下的项目检索。</w:t>
            </w:r>
            <w:r>
              <w:rPr>
                <w:rFonts w:eastAsia="宋体"/>
                <w:color w:val="auto"/>
                <w:szCs w:val="21"/>
                <w:highlight w:val="none"/>
              </w:rPr>
              <w:t>②</w:t>
            </w:r>
            <w:r>
              <w:rPr>
                <w:rFonts w:hint="eastAsia" w:eastAsia="宋体"/>
                <w:color w:val="auto"/>
                <w:szCs w:val="21"/>
                <w:highlight w:val="none"/>
                <w:lang w:val="en-US" w:eastAsia="zh-CN"/>
              </w:rPr>
              <w:t>智能化检索：可基于自然语言方式检索项目数据。</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项目成果跟踪</w:t>
            </w:r>
          </w:p>
          <w:p>
            <w:pPr>
              <w:spacing w:line="440" w:lineRule="exact"/>
              <w:ind w:firstLine="420" w:firstLineChars="200"/>
              <w:rPr>
                <w:rFonts w:eastAsia="宋体"/>
                <w:color w:val="auto"/>
                <w:szCs w:val="21"/>
                <w:highlight w:val="none"/>
              </w:rPr>
            </w:pPr>
            <w:r>
              <w:rPr>
                <w:rFonts w:eastAsia="宋体"/>
                <w:color w:val="auto"/>
                <w:szCs w:val="21"/>
                <w:highlight w:val="none"/>
              </w:rPr>
              <w:t>对验收通过后的项目实施常态化跟踪评估。项目负责人进入项目成果跟踪填报页面，填写提交项目实施后产生的专利、论文、经济产值、利税、推广技术、解决就业等数据。支持与第三方平台对接，实现成果数据的导入与成果真实性的动态验证，简化用户操作并确保成果数据的真实可靠性。本模块还支持项目成果和成果转化相关数据的查询、分析、统计等功能。</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hint="eastAsia" w:eastAsia="宋体"/>
                <w:color w:val="auto"/>
                <w:szCs w:val="21"/>
                <w:highlight w:val="none"/>
              </w:rPr>
              <w:t>广西科技创新平台基地管理系统</w:t>
            </w:r>
            <w:r>
              <w:rPr>
                <w:rFonts w:hint="eastAsia"/>
                <w:color w:val="auto"/>
                <w:szCs w:val="21"/>
                <w:highlight w:val="none"/>
                <w:lang w:val="en-US" w:eastAsia="zh-CN"/>
              </w:rPr>
              <w:t>集成</w:t>
            </w:r>
          </w:p>
          <w:p>
            <w:pPr>
              <w:spacing w:line="440" w:lineRule="exact"/>
              <w:ind w:firstLine="420" w:firstLineChars="200"/>
              <w:rPr>
                <w:rFonts w:hint="eastAsia" w:eastAsia="宋体"/>
                <w:color w:val="auto"/>
                <w:szCs w:val="21"/>
                <w:highlight w:val="none"/>
                <w:lang w:eastAsia="zh-CN"/>
              </w:rPr>
            </w:pPr>
            <w:r>
              <w:rPr>
                <w:rFonts w:hint="eastAsia" w:eastAsia="宋体"/>
                <w:color w:val="auto"/>
                <w:szCs w:val="21"/>
                <w:highlight w:val="none"/>
              </w:rPr>
              <w:t>开发</w:t>
            </w:r>
            <w:r>
              <w:rPr>
                <w:rFonts w:hint="eastAsia"/>
                <w:color w:val="auto"/>
                <w:szCs w:val="21"/>
                <w:highlight w:val="none"/>
                <w:lang w:val="en-US" w:eastAsia="zh-CN"/>
              </w:rPr>
              <w:t>数据接口，可实现与“</w:t>
            </w:r>
            <w:r>
              <w:rPr>
                <w:rFonts w:hint="eastAsia" w:eastAsia="宋体"/>
                <w:color w:val="auto"/>
                <w:szCs w:val="21"/>
                <w:highlight w:val="none"/>
              </w:rPr>
              <w:t>广西科技创新平台基地管理系统</w:t>
            </w:r>
            <w:r>
              <w:rPr>
                <w:rFonts w:hint="eastAsia"/>
                <w:color w:val="auto"/>
                <w:szCs w:val="21"/>
                <w:highlight w:val="none"/>
                <w:lang w:val="en-US" w:eastAsia="zh-CN"/>
              </w:rPr>
              <w:t>”数据对接</w:t>
            </w:r>
            <w:r>
              <w:rPr>
                <w:rFonts w:hint="eastAsia" w:eastAsia="宋体"/>
                <w:color w:val="auto"/>
                <w:szCs w:val="21"/>
                <w:highlight w:val="none"/>
              </w:rPr>
              <w:t>，</w:t>
            </w:r>
            <w:r>
              <w:rPr>
                <w:rFonts w:hint="eastAsia"/>
                <w:color w:val="auto"/>
                <w:szCs w:val="21"/>
                <w:highlight w:val="none"/>
                <w:lang w:val="en-US" w:eastAsia="zh-CN"/>
              </w:rPr>
              <w:t>可在</w:t>
            </w:r>
            <w:r>
              <w:rPr>
                <w:rFonts w:eastAsia="宋体"/>
                <w:bCs/>
                <w:color w:val="auto"/>
                <w:szCs w:val="21"/>
                <w:highlight w:val="none"/>
              </w:rPr>
              <w:t>广西科技计划项目管理子系统</w:t>
            </w:r>
            <w:r>
              <w:rPr>
                <w:rFonts w:hint="eastAsia"/>
                <w:bCs/>
                <w:color w:val="auto"/>
                <w:szCs w:val="21"/>
                <w:highlight w:val="none"/>
                <w:lang w:val="en-US" w:eastAsia="zh-CN"/>
              </w:rPr>
              <w:t>中</w:t>
            </w:r>
            <w:r>
              <w:rPr>
                <w:rFonts w:hint="eastAsia" w:eastAsia="宋体"/>
                <w:color w:val="auto"/>
                <w:szCs w:val="21"/>
                <w:highlight w:val="none"/>
              </w:rPr>
              <w:t>对各级科技创新平台基地“白名单”的平台进行</w:t>
            </w:r>
            <w:r>
              <w:rPr>
                <w:rFonts w:hint="eastAsia"/>
                <w:color w:val="auto"/>
                <w:szCs w:val="21"/>
                <w:highlight w:val="none"/>
                <w:lang w:val="en-US" w:eastAsia="zh-CN"/>
              </w:rPr>
              <w:t>新增、基本信息维护及数据</w:t>
            </w:r>
            <w:r>
              <w:rPr>
                <w:rFonts w:hint="eastAsia" w:eastAsia="宋体"/>
                <w:color w:val="auto"/>
                <w:szCs w:val="21"/>
                <w:highlight w:val="none"/>
              </w:rPr>
              <w:t>汇总</w:t>
            </w:r>
            <w:r>
              <w:rPr>
                <w:rFonts w:hint="eastAsia"/>
                <w:color w:val="auto"/>
                <w:szCs w:val="21"/>
                <w:highlight w:val="none"/>
                <w:lang w:val="en-US" w:eastAsia="zh-CN"/>
              </w:rPr>
              <w:t>导出</w:t>
            </w:r>
            <w:r>
              <w:rPr>
                <w:rFonts w:hint="eastAsia"/>
                <w:color w:val="auto"/>
                <w:szCs w:val="21"/>
                <w:highlight w:val="none"/>
                <w:lang w:eastAsia="zh-CN"/>
              </w:rPr>
              <w:t>。</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通用功能</w:t>
            </w:r>
          </w:p>
          <w:p>
            <w:pPr>
              <w:numPr>
                <w:ilvl w:val="0"/>
                <w:numId w:val="18"/>
              </w:numPr>
              <w:spacing w:line="440" w:lineRule="exact"/>
              <w:ind w:left="0" w:firstLine="420" w:firstLineChars="200"/>
              <w:rPr>
                <w:rFonts w:eastAsia="宋体"/>
                <w:color w:val="auto"/>
                <w:szCs w:val="21"/>
                <w:highlight w:val="none"/>
              </w:rPr>
            </w:pPr>
            <w:r>
              <w:rPr>
                <w:rFonts w:eastAsia="宋体"/>
                <w:color w:val="auto"/>
                <w:szCs w:val="21"/>
                <w:highlight w:val="none"/>
              </w:rPr>
              <w:t>表单生成：构建低代码开发平台，借助表单引擎，通过拖拽表单功能控件生成各类填报表单。</w:t>
            </w:r>
          </w:p>
          <w:p>
            <w:pPr>
              <w:numPr>
                <w:ilvl w:val="0"/>
                <w:numId w:val="18"/>
              </w:numPr>
              <w:spacing w:line="440" w:lineRule="exact"/>
              <w:ind w:left="0" w:firstLine="420" w:firstLineChars="200"/>
              <w:rPr>
                <w:rFonts w:eastAsia="宋体"/>
                <w:color w:val="auto"/>
                <w:szCs w:val="21"/>
                <w:highlight w:val="none"/>
              </w:rPr>
            </w:pPr>
            <w:r>
              <w:rPr>
                <w:rFonts w:eastAsia="宋体"/>
                <w:color w:val="auto"/>
                <w:szCs w:val="21"/>
                <w:highlight w:val="none"/>
              </w:rPr>
              <w:t>填写检查：应用表单引擎，实现各填报表单中字段的填写规则设置。用户填写表单可进行检查校验，若校验失败，在填报页面显示规则违反说明，提醒申报人调整所输入的内容。</w:t>
            </w:r>
          </w:p>
          <w:p>
            <w:pPr>
              <w:numPr>
                <w:ilvl w:val="0"/>
                <w:numId w:val="18"/>
              </w:numPr>
              <w:spacing w:line="440" w:lineRule="exact"/>
              <w:ind w:left="0" w:firstLine="420" w:firstLineChars="200"/>
              <w:rPr>
                <w:rFonts w:eastAsia="宋体"/>
                <w:color w:val="auto"/>
                <w:szCs w:val="21"/>
                <w:highlight w:val="none"/>
              </w:rPr>
            </w:pPr>
            <w:r>
              <w:rPr>
                <w:rFonts w:eastAsia="宋体"/>
                <w:color w:val="auto"/>
                <w:szCs w:val="21"/>
                <w:highlight w:val="none"/>
              </w:rPr>
              <w:t>暂存：表单提交下一步审核前，用户可使用暂存功能保存已填写的信息。用户重新进入填写界面，系统展示其最近一次保存的数据。</w:t>
            </w:r>
          </w:p>
          <w:p>
            <w:pPr>
              <w:numPr>
                <w:ilvl w:val="0"/>
                <w:numId w:val="18"/>
              </w:numPr>
              <w:spacing w:line="440" w:lineRule="exact"/>
              <w:ind w:left="0" w:firstLine="420" w:firstLineChars="200"/>
              <w:rPr>
                <w:rFonts w:eastAsia="宋体"/>
                <w:color w:val="auto"/>
                <w:szCs w:val="21"/>
                <w:highlight w:val="none"/>
              </w:rPr>
            </w:pPr>
            <w:r>
              <w:rPr>
                <w:rFonts w:eastAsia="宋体"/>
                <w:color w:val="auto"/>
                <w:szCs w:val="21"/>
                <w:highlight w:val="none"/>
              </w:rPr>
              <w:t>板式文件：系统可实现申报书、合同书、项目变更、执行报告、中期报告、验收申请、验收证书等文档导出模板设置，系统通过调用已设置的模板生成统一规范的板式文件，支持文档水印、统一页码、数字签名、防伪防篡改等功能。</w:t>
            </w:r>
          </w:p>
          <w:p>
            <w:pPr>
              <w:numPr>
                <w:ilvl w:val="0"/>
                <w:numId w:val="18"/>
              </w:numPr>
              <w:spacing w:line="440" w:lineRule="exact"/>
              <w:ind w:left="0" w:firstLine="420" w:firstLineChars="200"/>
              <w:rPr>
                <w:rFonts w:eastAsia="宋体"/>
                <w:color w:val="auto"/>
                <w:szCs w:val="21"/>
                <w:highlight w:val="none"/>
              </w:rPr>
            </w:pPr>
            <w:r>
              <w:rPr>
                <w:rFonts w:eastAsia="宋体"/>
                <w:color w:val="auto"/>
                <w:szCs w:val="21"/>
                <w:highlight w:val="none"/>
              </w:rPr>
              <w:t>数据关联：①在项目申报、实施环节中，系统可将同一项目上一阶段填报的数据自动同步到下一阶段填报环节，例如在任务书填写页面，系统自动关联该项目申报书中项目名称、项目负责人、项目承担单位等字段内容，避免申报人多次填写相同信息。②项目管理中，管理部门查看项目可关联显示该项目申报书、合同书、项目变更、执行报告、中期报告、验收申请、验收证书等信息，方便管理人员掌握项目整体情况。</w:t>
            </w:r>
          </w:p>
          <w:p>
            <w:pPr>
              <w:numPr>
                <w:ilvl w:val="0"/>
                <w:numId w:val="18"/>
              </w:numPr>
              <w:spacing w:line="440" w:lineRule="exact"/>
              <w:ind w:left="0" w:firstLine="420" w:firstLineChars="200"/>
              <w:rPr>
                <w:rFonts w:eastAsia="宋体"/>
                <w:color w:val="auto"/>
                <w:szCs w:val="21"/>
                <w:highlight w:val="none"/>
              </w:rPr>
            </w:pPr>
            <w:r>
              <w:rPr>
                <w:rFonts w:eastAsia="宋体"/>
                <w:color w:val="auto"/>
                <w:szCs w:val="21"/>
                <w:highlight w:val="none"/>
              </w:rPr>
              <w:t>消息提醒管理：系统支持提醒功能，针对合同签订、年度执行报告、中期报告、验收结题、专家评审等有时限要求的业务流程，系统可设置提醒时间，提供倒计时提醒功能。消息提醒通过统一消息服务，可以系统消息、短信、邮件等方式发送。</w:t>
            </w:r>
          </w:p>
          <w:p>
            <w:pPr>
              <w:numPr>
                <w:ilvl w:val="0"/>
                <w:numId w:val="18"/>
              </w:numPr>
              <w:spacing w:line="440" w:lineRule="exact"/>
              <w:ind w:left="0" w:firstLine="420" w:firstLineChars="200"/>
              <w:rPr>
                <w:rFonts w:eastAsia="宋体"/>
                <w:color w:val="auto"/>
                <w:szCs w:val="21"/>
                <w:highlight w:val="none"/>
              </w:rPr>
            </w:pPr>
            <w:r>
              <w:rPr>
                <w:rFonts w:hint="eastAsia" w:eastAsia="宋体"/>
                <w:color w:val="auto"/>
                <w:szCs w:val="21"/>
                <w:highlight w:val="none"/>
              </w:rPr>
              <w:t>审核意见撤回功能</w:t>
            </w:r>
            <w:r>
              <w:rPr>
                <w:rFonts w:hint="eastAsia" w:eastAsia="宋体"/>
                <w:color w:val="auto"/>
                <w:szCs w:val="21"/>
                <w:highlight w:val="none"/>
                <w:lang w:eastAsia="zh-CN"/>
              </w:rPr>
              <w:t>：</w:t>
            </w:r>
            <w:r>
              <w:rPr>
                <w:rFonts w:hint="eastAsia" w:eastAsia="宋体"/>
                <w:color w:val="auto"/>
                <w:szCs w:val="21"/>
                <w:highlight w:val="none"/>
                <w:lang w:val="en-US" w:eastAsia="zh-CN"/>
              </w:rPr>
              <w:t>管理机构、科技管理部门相关工作人员提交审核意见后，可在下一审核人员填写审核意见前，</w:t>
            </w:r>
            <w:r>
              <w:rPr>
                <w:rFonts w:eastAsia="宋体"/>
                <w:color w:val="auto"/>
                <w:szCs w:val="21"/>
                <w:highlight w:val="none"/>
              </w:rPr>
              <w:t>撤回已提交的审核意见</w:t>
            </w:r>
            <w:r>
              <w:rPr>
                <w:rFonts w:hint="eastAsia" w:eastAsia="宋体"/>
                <w:color w:val="auto"/>
                <w:szCs w:val="21"/>
                <w:highlight w:val="none"/>
                <w:lang w:eastAsia="zh-CN"/>
              </w:rPr>
              <w:t>；</w:t>
            </w:r>
            <w:r>
              <w:rPr>
                <w:rFonts w:eastAsia="宋体"/>
                <w:color w:val="auto"/>
                <w:szCs w:val="21"/>
                <w:highlight w:val="none"/>
              </w:rPr>
              <w:t>系统将审核节点自动退回至上一审核环节，工作人员可重新填报审核意见。</w:t>
            </w:r>
          </w:p>
          <w:p>
            <w:pPr>
              <w:numPr>
                <w:ilvl w:val="1"/>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广西项目科研经费监管子系统</w:t>
            </w:r>
          </w:p>
          <w:p>
            <w:pPr>
              <w:spacing w:line="440" w:lineRule="exact"/>
              <w:ind w:firstLine="420" w:firstLineChars="200"/>
              <w:rPr>
                <w:rFonts w:eastAsia="宋体"/>
                <w:color w:val="auto"/>
                <w:szCs w:val="21"/>
                <w:highlight w:val="none"/>
              </w:rPr>
            </w:pPr>
            <w:r>
              <w:rPr>
                <w:rFonts w:eastAsia="宋体"/>
                <w:color w:val="auto"/>
                <w:szCs w:val="21"/>
                <w:highlight w:val="none"/>
              </w:rPr>
              <w:t>建设广西项目科研经费监管子系统，实现对广西科技发展专项资金、创新驱动发展专项资金及其他渠道支持项目资金的监控和管理。</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预算管理</w:t>
            </w:r>
          </w:p>
          <w:p>
            <w:pPr>
              <w:spacing w:line="440" w:lineRule="exact"/>
              <w:ind w:firstLine="420" w:firstLineChars="200"/>
              <w:rPr>
                <w:rFonts w:eastAsia="宋体"/>
                <w:color w:val="auto"/>
                <w:szCs w:val="21"/>
                <w:highlight w:val="none"/>
              </w:rPr>
            </w:pPr>
            <w:r>
              <w:rPr>
                <w:rFonts w:eastAsia="宋体"/>
                <w:color w:val="auto"/>
                <w:szCs w:val="21"/>
                <w:highlight w:val="none"/>
              </w:rPr>
              <w:t>实现专项资金预算管理，包括经费专项名称、项目名称、资金来源、预算金额等。</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科研经费拨款管理</w:t>
            </w:r>
          </w:p>
          <w:p>
            <w:pPr>
              <w:numPr>
                <w:ilvl w:val="0"/>
                <w:numId w:val="19"/>
              </w:numPr>
              <w:spacing w:line="440" w:lineRule="exact"/>
              <w:ind w:left="0" w:firstLine="420" w:firstLineChars="200"/>
              <w:rPr>
                <w:rFonts w:eastAsia="宋体"/>
                <w:color w:val="auto"/>
                <w:szCs w:val="21"/>
                <w:highlight w:val="none"/>
              </w:rPr>
            </w:pPr>
            <w:r>
              <w:rPr>
                <w:rFonts w:eastAsia="宋体"/>
                <w:color w:val="auto"/>
                <w:szCs w:val="21"/>
                <w:highlight w:val="none"/>
              </w:rPr>
              <w:t>设置拨款计划。可设置拨款类型（可分为一次性拨款、分期拨款）、拨款总金额、拨款时间、拨款说明、拨付状态等；分期拨款可设置每期拨款时间和金额等信息；可设置拨付计划中的项目清单，项目数据通过关联广西计划项目管理子系统获取。</w:t>
            </w:r>
          </w:p>
          <w:p>
            <w:pPr>
              <w:numPr>
                <w:ilvl w:val="0"/>
                <w:numId w:val="19"/>
              </w:numPr>
              <w:spacing w:line="440" w:lineRule="exact"/>
              <w:ind w:left="0" w:firstLine="420" w:firstLineChars="200"/>
              <w:rPr>
                <w:rFonts w:eastAsia="宋体"/>
                <w:color w:val="auto"/>
                <w:szCs w:val="21"/>
                <w:highlight w:val="none"/>
              </w:rPr>
            </w:pPr>
            <w:r>
              <w:rPr>
                <w:rFonts w:eastAsia="宋体"/>
                <w:color w:val="auto"/>
                <w:szCs w:val="21"/>
                <w:highlight w:val="none"/>
              </w:rPr>
              <w:t>拨付计划审批。可实现拨付计划的逐级审批；系统按时间顺序展示审批记录。</w:t>
            </w:r>
          </w:p>
          <w:p>
            <w:pPr>
              <w:numPr>
                <w:ilvl w:val="0"/>
                <w:numId w:val="19"/>
              </w:numPr>
              <w:spacing w:line="440" w:lineRule="exact"/>
              <w:ind w:left="0" w:firstLine="420" w:firstLineChars="200"/>
              <w:rPr>
                <w:rFonts w:eastAsia="宋体"/>
                <w:color w:val="auto"/>
                <w:szCs w:val="21"/>
                <w:highlight w:val="none"/>
              </w:rPr>
            </w:pPr>
            <w:r>
              <w:rPr>
                <w:rFonts w:eastAsia="宋体"/>
                <w:color w:val="auto"/>
                <w:szCs w:val="21"/>
                <w:highlight w:val="none"/>
              </w:rPr>
              <w:t>项目拨款管理。实现对项目拨款金额、项目拨款时间、剩余拨款金额等信息的管理。</w:t>
            </w:r>
          </w:p>
          <w:p>
            <w:pPr>
              <w:numPr>
                <w:ilvl w:val="0"/>
                <w:numId w:val="19"/>
              </w:numPr>
              <w:spacing w:line="440" w:lineRule="exact"/>
              <w:ind w:left="0" w:firstLine="420" w:firstLineChars="200"/>
              <w:rPr>
                <w:rFonts w:eastAsia="宋体"/>
                <w:color w:val="auto"/>
                <w:szCs w:val="21"/>
                <w:highlight w:val="none"/>
              </w:rPr>
            </w:pPr>
            <w:r>
              <w:rPr>
                <w:rFonts w:eastAsia="宋体"/>
                <w:color w:val="auto"/>
                <w:szCs w:val="21"/>
                <w:highlight w:val="none"/>
              </w:rPr>
              <w:t>数据分析与报表。支持按业务类型、项目立项年度等多维度统计拨款金额、立项项目数量，支持数据可视化展示，并提供数据导出功能。</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科研经费使用管理</w:t>
            </w:r>
          </w:p>
          <w:p>
            <w:pPr>
              <w:numPr>
                <w:ilvl w:val="0"/>
                <w:numId w:val="20"/>
              </w:numPr>
              <w:spacing w:line="440" w:lineRule="exact"/>
              <w:ind w:left="0" w:firstLine="420" w:firstLineChars="200"/>
              <w:rPr>
                <w:rFonts w:eastAsia="宋体"/>
                <w:color w:val="auto"/>
                <w:szCs w:val="21"/>
                <w:highlight w:val="none"/>
              </w:rPr>
            </w:pPr>
            <w:r>
              <w:rPr>
                <w:rFonts w:eastAsia="宋体"/>
                <w:color w:val="auto"/>
                <w:szCs w:val="21"/>
                <w:highlight w:val="none"/>
              </w:rPr>
              <w:t>预算科目管理。建立多级经费科目库，如人员费、设备费、差旅费等。</w:t>
            </w:r>
          </w:p>
          <w:p>
            <w:pPr>
              <w:numPr>
                <w:ilvl w:val="0"/>
                <w:numId w:val="20"/>
              </w:numPr>
              <w:spacing w:line="440" w:lineRule="exact"/>
              <w:ind w:left="0" w:firstLine="420" w:firstLineChars="200"/>
              <w:rPr>
                <w:rFonts w:eastAsia="宋体"/>
                <w:color w:val="auto"/>
                <w:szCs w:val="21"/>
                <w:highlight w:val="none"/>
              </w:rPr>
            </w:pPr>
            <w:r>
              <w:rPr>
                <w:rFonts w:eastAsia="宋体"/>
                <w:color w:val="auto"/>
                <w:szCs w:val="21"/>
                <w:highlight w:val="none"/>
              </w:rPr>
              <w:t>项目科研经费使用情况管理。该功能主要为管理部门提供项目科研经费使用数据。项目负责人录入项目科研经费使用信息，包括经费科目类型、使用金额、时间、使用用途，按需上传佐证材料。平台根据录入的经费使用数据，计算项目剩余的科研经费。</w:t>
            </w:r>
          </w:p>
          <w:p>
            <w:pPr>
              <w:numPr>
                <w:ilvl w:val="0"/>
                <w:numId w:val="20"/>
              </w:numPr>
              <w:spacing w:line="440" w:lineRule="exact"/>
              <w:ind w:left="0" w:firstLine="420" w:firstLineChars="200"/>
              <w:rPr>
                <w:rFonts w:eastAsia="宋体"/>
                <w:color w:val="auto"/>
                <w:szCs w:val="21"/>
                <w:highlight w:val="none"/>
              </w:rPr>
            </w:pPr>
            <w:r>
              <w:rPr>
                <w:rFonts w:eastAsia="宋体"/>
                <w:color w:val="auto"/>
                <w:szCs w:val="21"/>
                <w:highlight w:val="none"/>
              </w:rPr>
              <w:t>数据分析与报表。系统可实现项目科研经费使用情况的多维度统计，支持数据可视化展示，并提供数据导出功能。</w:t>
            </w:r>
          </w:p>
          <w:p>
            <w:pPr>
              <w:numPr>
                <w:ilvl w:val="0"/>
                <w:numId w:val="20"/>
              </w:numPr>
              <w:spacing w:line="440" w:lineRule="exact"/>
              <w:ind w:left="0" w:firstLine="420" w:firstLineChars="200"/>
              <w:rPr>
                <w:rFonts w:eastAsia="宋体"/>
                <w:color w:val="auto"/>
                <w:szCs w:val="21"/>
                <w:highlight w:val="none"/>
              </w:rPr>
            </w:pPr>
            <w:r>
              <w:rPr>
                <w:rFonts w:eastAsia="宋体"/>
                <w:color w:val="auto"/>
                <w:szCs w:val="21"/>
                <w:highlight w:val="none"/>
              </w:rPr>
              <w:t>科研经费智能化管理。系统智能识别异常科研经费使用单位、科研项目、项目负责人，汇总异常清单。</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科研经费结余管理</w:t>
            </w:r>
          </w:p>
          <w:p>
            <w:pPr>
              <w:numPr>
                <w:ilvl w:val="0"/>
                <w:numId w:val="21"/>
              </w:numPr>
              <w:spacing w:line="440" w:lineRule="exact"/>
              <w:ind w:left="0" w:firstLine="420" w:firstLineChars="200"/>
              <w:rPr>
                <w:rFonts w:eastAsia="宋体"/>
                <w:color w:val="auto"/>
                <w:szCs w:val="21"/>
                <w:highlight w:val="none"/>
              </w:rPr>
            </w:pPr>
            <w:r>
              <w:rPr>
                <w:rFonts w:eastAsia="宋体"/>
                <w:color w:val="auto"/>
                <w:szCs w:val="21"/>
                <w:highlight w:val="none"/>
              </w:rPr>
              <w:t>项目完成任务目标并通过验收的，项目承担单位和项目负责人无不良科研诚信记录的，结余资金留归项目承担单位使用。项目终止、撤销或验收结论未结题、不通过，以及项目承担单位、项目负责人存在科研诚信不良记录的，结余资金按原渠道退回。</w:t>
            </w:r>
          </w:p>
          <w:p>
            <w:pPr>
              <w:numPr>
                <w:ilvl w:val="0"/>
                <w:numId w:val="21"/>
              </w:numPr>
              <w:spacing w:line="440" w:lineRule="exact"/>
              <w:ind w:left="0" w:firstLine="420" w:firstLineChars="200"/>
              <w:rPr>
                <w:rFonts w:eastAsia="宋体"/>
                <w:color w:val="auto"/>
                <w:szCs w:val="21"/>
                <w:highlight w:val="none"/>
              </w:rPr>
            </w:pPr>
            <w:r>
              <w:rPr>
                <w:rFonts w:eastAsia="宋体"/>
                <w:color w:val="auto"/>
                <w:szCs w:val="21"/>
                <w:highlight w:val="none"/>
              </w:rPr>
              <w:t>科研经费结余填报。①用于项目负责人填报科研经费结余资金情况，包括经费科目、结余金额、情况说明及佐证材料等。②系统支持项目承担单位、专业机构、科技管理部门对科研经费结余填报的逐级审批。本功能关联广西科研诚信管理信息子系统，专业机构、科技管理部门查看项目承担单位、项目负责人的科研诚信档案，辅助审批操作。</w:t>
            </w:r>
          </w:p>
          <w:p>
            <w:pPr>
              <w:numPr>
                <w:ilvl w:val="0"/>
                <w:numId w:val="21"/>
              </w:numPr>
              <w:spacing w:line="440" w:lineRule="exact"/>
              <w:ind w:left="0" w:firstLine="420" w:firstLineChars="200"/>
              <w:rPr>
                <w:rFonts w:eastAsia="宋体"/>
                <w:color w:val="auto"/>
                <w:szCs w:val="21"/>
                <w:highlight w:val="none"/>
              </w:rPr>
            </w:pPr>
            <w:r>
              <w:rPr>
                <w:rFonts w:eastAsia="宋体"/>
                <w:color w:val="auto"/>
                <w:szCs w:val="21"/>
                <w:highlight w:val="none"/>
              </w:rPr>
              <w:t>结余科研经费管理。本功能用于项目完成并通过验收后，对留归项目承担单位使用的结余资金管理。可实现项目名称、结余金额等信息的录入和统计。</w:t>
            </w:r>
          </w:p>
          <w:p>
            <w:pPr>
              <w:numPr>
                <w:ilvl w:val="0"/>
                <w:numId w:val="21"/>
              </w:numPr>
              <w:spacing w:line="440" w:lineRule="exact"/>
              <w:ind w:left="0" w:firstLine="420" w:firstLineChars="200"/>
              <w:rPr>
                <w:rFonts w:eastAsia="宋体"/>
                <w:color w:val="auto"/>
                <w:szCs w:val="21"/>
                <w:highlight w:val="none"/>
              </w:rPr>
            </w:pPr>
            <w:r>
              <w:rPr>
                <w:rFonts w:eastAsia="宋体"/>
                <w:color w:val="auto"/>
                <w:szCs w:val="21"/>
                <w:highlight w:val="none"/>
              </w:rPr>
              <w:t>结余经费退回管理。本功能适用于需退回结余经费的项目，可实现项目名称、退回金额、退回时间、原因、佐证附件等信息的录入和统计。</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项目评审专家费管理</w:t>
            </w:r>
          </w:p>
          <w:p>
            <w:pPr>
              <w:numPr>
                <w:ilvl w:val="0"/>
                <w:numId w:val="22"/>
              </w:numPr>
              <w:spacing w:line="440" w:lineRule="exact"/>
              <w:ind w:left="0" w:firstLine="420" w:firstLineChars="200"/>
              <w:rPr>
                <w:rFonts w:eastAsia="宋体"/>
                <w:color w:val="auto"/>
                <w:szCs w:val="21"/>
                <w:highlight w:val="none"/>
              </w:rPr>
            </w:pPr>
            <w:r>
              <w:rPr>
                <w:rFonts w:eastAsia="宋体"/>
                <w:color w:val="auto"/>
                <w:szCs w:val="21"/>
                <w:highlight w:val="none"/>
              </w:rPr>
              <w:t>专家费计算管理。① 可根据评审方式类型（如立项网评、立项会评、现场考察、验收会评、终止会评等）、计算类型（如按时长、按评审项目数等）设置专家费计算规则。②根据设定的专家费计算规则，计算每名专家应发放的专家费费用。</w:t>
            </w:r>
          </w:p>
          <w:p>
            <w:pPr>
              <w:numPr>
                <w:ilvl w:val="0"/>
                <w:numId w:val="22"/>
              </w:numPr>
              <w:spacing w:line="440" w:lineRule="exact"/>
              <w:ind w:left="0" w:firstLine="420" w:firstLineChars="200"/>
              <w:rPr>
                <w:rFonts w:eastAsia="宋体"/>
                <w:color w:val="auto"/>
                <w:szCs w:val="21"/>
                <w:highlight w:val="none"/>
              </w:rPr>
            </w:pPr>
            <w:r>
              <w:rPr>
                <w:rFonts w:eastAsia="宋体"/>
                <w:color w:val="auto"/>
                <w:szCs w:val="21"/>
                <w:highlight w:val="none"/>
              </w:rPr>
              <w:t>专家费发放清单管理。①可汇总展示专家费清单，包括待发放和已发放清单，可查询各笔专家费用发放状态。②可根据待发放专家费清单，按评审活动、评审分组、评审时间设定本次需发放专家费清单。③专家费发放完毕后，可录入已发放的专家费记录。④管理部门可查看各笔待发放和已发放专家费详情信息，包括专家姓名、专家单位、专家参评详情信息、应发专家费金额等信息。⑤可实现专家费发放数据的统计和导出功能。</w:t>
            </w:r>
          </w:p>
          <w:p>
            <w:pPr>
              <w:numPr>
                <w:ilvl w:val="0"/>
                <w:numId w:val="22"/>
              </w:numPr>
              <w:spacing w:line="440" w:lineRule="exact"/>
              <w:ind w:left="0" w:firstLine="420" w:firstLineChars="200"/>
              <w:rPr>
                <w:rFonts w:eastAsia="宋体"/>
                <w:color w:val="auto"/>
                <w:szCs w:val="21"/>
                <w:highlight w:val="none"/>
              </w:rPr>
            </w:pPr>
            <w:r>
              <w:rPr>
                <w:rFonts w:eastAsia="宋体"/>
                <w:color w:val="auto"/>
                <w:szCs w:val="21"/>
                <w:highlight w:val="none"/>
              </w:rPr>
              <w:t>专家查询发放信息。完成专家费发放后，平台向评审专家发送短信或邮件通知；专家可登录平台查看参评项目的专家费发放详情。</w:t>
            </w:r>
          </w:p>
          <w:p>
            <w:pPr>
              <w:numPr>
                <w:ilvl w:val="1"/>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广西科技专家库管理子系统</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专家入库</w:t>
            </w:r>
          </w:p>
          <w:p>
            <w:pPr>
              <w:numPr>
                <w:ilvl w:val="0"/>
                <w:numId w:val="23"/>
              </w:numPr>
              <w:spacing w:line="440" w:lineRule="exact"/>
              <w:ind w:left="0" w:firstLine="420" w:firstLineChars="200"/>
              <w:rPr>
                <w:rFonts w:eastAsia="宋体"/>
                <w:color w:val="auto"/>
                <w:szCs w:val="21"/>
                <w:highlight w:val="none"/>
              </w:rPr>
            </w:pPr>
            <w:r>
              <w:rPr>
                <w:rFonts w:eastAsia="宋体"/>
                <w:color w:val="auto"/>
                <w:szCs w:val="21"/>
                <w:highlight w:val="none"/>
              </w:rPr>
              <w:t>专家入库申请。申请入库人员可填写提交专家入库申请表，包括个人基本信息、简介、研究成果、佐证材料等。填写时需提供填写规则检查校验功能、暂存功能。填写完成后，可导出版式文件。</w:t>
            </w:r>
          </w:p>
          <w:p>
            <w:pPr>
              <w:numPr>
                <w:ilvl w:val="0"/>
                <w:numId w:val="23"/>
              </w:numPr>
              <w:spacing w:line="440" w:lineRule="exact"/>
              <w:ind w:left="0" w:firstLine="420" w:firstLineChars="200"/>
              <w:rPr>
                <w:rFonts w:eastAsia="宋体"/>
                <w:color w:val="auto"/>
                <w:szCs w:val="21"/>
                <w:highlight w:val="none"/>
              </w:rPr>
            </w:pPr>
            <w:bookmarkStart w:id="101" w:name="_Toc22739"/>
            <w:r>
              <w:rPr>
                <w:rFonts w:eastAsia="宋体"/>
                <w:color w:val="auto"/>
                <w:szCs w:val="21"/>
                <w:highlight w:val="none"/>
              </w:rPr>
              <w:t>专家入库审核</w:t>
            </w:r>
            <w:bookmarkEnd w:id="101"/>
            <w:r>
              <w:rPr>
                <w:rFonts w:eastAsia="宋体"/>
                <w:color w:val="auto"/>
                <w:szCs w:val="21"/>
                <w:highlight w:val="none"/>
              </w:rPr>
              <w:t>。可实现专家入库申请的逐级审核，确定最终入库名单。审核通过后，系统自动向专家发送短信或邮件通知提醒。</w:t>
            </w:r>
          </w:p>
          <w:p>
            <w:pPr>
              <w:numPr>
                <w:ilvl w:val="0"/>
                <w:numId w:val="23"/>
              </w:numPr>
              <w:spacing w:line="440" w:lineRule="exact"/>
              <w:ind w:left="0" w:firstLine="420" w:firstLineChars="200"/>
              <w:rPr>
                <w:rFonts w:eastAsia="宋体"/>
                <w:color w:val="auto"/>
                <w:szCs w:val="21"/>
                <w:highlight w:val="none"/>
              </w:rPr>
            </w:pPr>
            <w:r>
              <w:rPr>
                <w:rFonts w:eastAsia="宋体"/>
                <w:color w:val="auto"/>
                <w:szCs w:val="21"/>
                <w:highlight w:val="none"/>
              </w:rPr>
              <w:t>专家邀请入库。①单个或批量邀请。由专家库管理员主动发出专家入库邀请。可在平台中录入或导入专家信息，操作邀请后，平台向专家发送邀请入库短信通知。②专家回复识别。专家收到入库邀请通知后，可基于通知回复是否入库，平台可识别专家回复信息，标记邀请结果。若邀请成功，系统为其创建专家角色账号。③可查询入库邀请结果。</w:t>
            </w:r>
          </w:p>
          <w:p>
            <w:pPr>
              <w:numPr>
                <w:ilvl w:val="0"/>
                <w:numId w:val="23"/>
              </w:numPr>
              <w:spacing w:line="440" w:lineRule="exact"/>
              <w:ind w:left="0" w:firstLine="420" w:firstLineChars="200"/>
              <w:rPr>
                <w:rFonts w:eastAsia="宋体"/>
                <w:color w:val="auto"/>
                <w:szCs w:val="21"/>
                <w:highlight w:val="none"/>
              </w:rPr>
            </w:pPr>
            <w:r>
              <w:rPr>
                <w:rFonts w:eastAsia="宋体"/>
                <w:color w:val="auto"/>
                <w:szCs w:val="21"/>
                <w:highlight w:val="none"/>
              </w:rPr>
              <w:t>专家查重。平台可对申请入库的专家和邀请名单中的专家进行查重，展示查重结果，包括已有专家角色账号、未有专家角色但已有项目负责人角色账号、未有账号等。</w:t>
            </w:r>
          </w:p>
          <w:p>
            <w:pPr>
              <w:numPr>
                <w:ilvl w:val="2"/>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专家出库</w:t>
            </w:r>
          </w:p>
          <w:p>
            <w:pPr>
              <w:numPr>
                <w:ilvl w:val="0"/>
                <w:numId w:val="24"/>
              </w:numPr>
              <w:spacing w:line="440" w:lineRule="exact"/>
              <w:ind w:left="0" w:firstLine="420" w:firstLineChars="200"/>
              <w:rPr>
                <w:rFonts w:eastAsia="宋体"/>
                <w:color w:val="auto"/>
                <w:szCs w:val="21"/>
                <w:highlight w:val="none"/>
              </w:rPr>
            </w:pPr>
            <w:r>
              <w:rPr>
                <w:rFonts w:eastAsia="宋体"/>
                <w:color w:val="auto"/>
                <w:szCs w:val="21"/>
                <w:highlight w:val="none"/>
              </w:rPr>
              <w:t>专家出库申请。申请出库人员可填写提交专家出库申请表，包括出库理由、佐证材料等。</w:t>
            </w:r>
          </w:p>
          <w:p>
            <w:pPr>
              <w:numPr>
                <w:ilvl w:val="0"/>
                <w:numId w:val="24"/>
              </w:numPr>
              <w:spacing w:line="440" w:lineRule="exact"/>
              <w:ind w:left="0" w:firstLine="420" w:firstLineChars="200"/>
              <w:rPr>
                <w:rFonts w:eastAsia="宋体"/>
                <w:color w:val="auto"/>
                <w:szCs w:val="21"/>
                <w:highlight w:val="none"/>
              </w:rPr>
            </w:pPr>
            <w:r>
              <w:rPr>
                <w:rFonts w:eastAsia="宋体"/>
                <w:color w:val="auto"/>
                <w:szCs w:val="21"/>
                <w:highlight w:val="none"/>
              </w:rPr>
              <w:t>专家</w:t>
            </w:r>
            <w:r>
              <w:rPr>
                <w:rFonts w:hint="eastAsia" w:eastAsia="宋体"/>
                <w:color w:val="auto"/>
                <w:szCs w:val="21"/>
                <w:highlight w:val="none"/>
              </w:rPr>
              <w:t>出库</w:t>
            </w:r>
            <w:r>
              <w:rPr>
                <w:rFonts w:eastAsia="宋体"/>
                <w:color w:val="auto"/>
                <w:szCs w:val="21"/>
                <w:highlight w:val="none"/>
              </w:rPr>
              <w:t>审核。可实现专家出库申请的逐级审核。出库后，系统标记该专家的出库状态，无法被抽取参加各类评审工作。</w:t>
            </w:r>
          </w:p>
          <w:p>
            <w:pPr>
              <w:numPr>
                <w:ilvl w:val="0"/>
                <w:numId w:val="24"/>
              </w:numPr>
              <w:spacing w:line="440" w:lineRule="exact"/>
              <w:ind w:left="0" w:firstLine="420" w:firstLineChars="200"/>
              <w:rPr>
                <w:rFonts w:eastAsia="宋体"/>
                <w:color w:val="auto"/>
                <w:szCs w:val="21"/>
                <w:highlight w:val="none"/>
              </w:rPr>
            </w:pPr>
            <w:bookmarkStart w:id="102" w:name="_Toc23390"/>
            <w:r>
              <w:rPr>
                <w:rFonts w:eastAsia="宋体"/>
                <w:color w:val="auto"/>
                <w:szCs w:val="21"/>
                <w:highlight w:val="none"/>
              </w:rPr>
              <w:t>专家自动出库</w:t>
            </w:r>
            <w:bookmarkEnd w:id="102"/>
            <w:r>
              <w:rPr>
                <w:rFonts w:eastAsia="宋体"/>
                <w:color w:val="auto"/>
                <w:szCs w:val="21"/>
                <w:highlight w:val="none"/>
              </w:rPr>
              <w:t>。可</w:t>
            </w:r>
            <w:r>
              <w:rPr>
                <w:rFonts w:hint="eastAsia" w:eastAsia="宋体"/>
                <w:color w:val="auto"/>
                <w:szCs w:val="21"/>
                <w:highlight w:val="none"/>
                <w:lang w:val="en-US" w:eastAsia="zh-CN"/>
              </w:rPr>
              <w:t>根据专家参评、拒评及专家评价数据等情况，</w:t>
            </w:r>
            <w:r>
              <w:rPr>
                <w:rFonts w:eastAsia="宋体"/>
                <w:color w:val="auto"/>
                <w:szCs w:val="21"/>
                <w:highlight w:val="none"/>
              </w:rPr>
              <w:t>设置专家自动出库规则；当评审专家达到设置的规则条件时，系统自动将专家标识为“出库”，并向专家发送短信或邮件通知提醒。</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专家数据共享交换</w:t>
            </w:r>
          </w:p>
          <w:p>
            <w:pPr>
              <w:numPr>
                <w:ilvl w:val="0"/>
                <w:numId w:val="25"/>
              </w:numPr>
              <w:spacing w:line="440" w:lineRule="exact"/>
              <w:ind w:left="0" w:firstLine="420" w:firstLineChars="200"/>
              <w:rPr>
                <w:rFonts w:eastAsia="宋体"/>
                <w:color w:val="auto"/>
                <w:szCs w:val="21"/>
                <w:highlight w:val="none"/>
              </w:rPr>
            </w:pPr>
            <w:r>
              <w:rPr>
                <w:rFonts w:eastAsia="宋体"/>
                <w:color w:val="auto"/>
                <w:szCs w:val="21"/>
                <w:highlight w:val="none"/>
              </w:rPr>
              <w:t>对外共享评审专家。接口可根据传递评审专家类型、年龄、职称、研究领域、数量等信息，返回评审专家名单。</w:t>
            </w:r>
          </w:p>
          <w:p>
            <w:pPr>
              <w:numPr>
                <w:ilvl w:val="0"/>
                <w:numId w:val="25"/>
              </w:numPr>
              <w:spacing w:line="440" w:lineRule="exact"/>
              <w:ind w:left="0" w:firstLine="420" w:firstLineChars="200"/>
              <w:rPr>
                <w:rFonts w:eastAsia="宋体"/>
                <w:color w:val="auto"/>
                <w:szCs w:val="21"/>
                <w:highlight w:val="none"/>
              </w:rPr>
            </w:pPr>
            <w:r>
              <w:rPr>
                <w:rFonts w:eastAsia="宋体"/>
                <w:color w:val="auto"/>
                <w:szCs w:val="21"/>
                <w:highlight w:val="none"/>
              </w:rPr>
              <w:t>评审专家获取。支持外部系统通过接口，将专家数据推送本平台进行专家信息入库。</w:t>
            </w:r>
          </w:p>
          <w:p>
            <w:pPr>
              <w:numPr>
                <w:ilvl w:val="2"/>
                <w:numId w:val="2"/>
              </w:numPr>
              <w:tabs>
                <w:tab w:val="left" w:pos="0"/>
              </w:tabs>
              <w:spacing w:line="440" w:lineRule="exact"/>
              <w:ind w:left="0" w:firstLine="420" w:firstLineChars="200"/>
              <w:outlineLvl w:val="2"/>
              <w:rPr>
                <w:rFonts w:eastAsia="宋体"/>
                <w:color w:val="auto"/>
                <w:szCs w:val="21"/>
                <w:highlight w:val="none"/>
              </w:rPr>
            </w:pPr>
            <w:bookmarkStart w:id="103" w:name="_Toc8828"/>
            <w:r>
              <w:rPr>
                <w:rFonts w:eastAsia="宋体"/>
                <w:color w:val="auto"/>
                <w:szCs w:val="21"/>
                <w:highlight w:val="none"/>
              </w:rPr>
              <w:t>专家个人信息维护</w:t>
            </w:r>
            <w:bookmarkEnd w:id="103"/>
          </w:p>
          <w:p>
            <w:pPr>
              <w:spacing w:line="440" w:lineRule="exact"/>
              <w:ind w:firstLine="420" w:firstLineChars="200"/>
              <w:rPr>
                <w:rFonts w:hint="default" w:eastAsia="宋体"/>
                <w:color w:val="auto"/>
                <w:szCs w:val="21"/>
                <w:highlight w:val="none"/>
                <w:lang w:val="en-US"/>
              </w:rPr>
            </w:pPr>
            <w:r>
              <w:rPr>
                <w:rFonts w:eastAsia="宋体"/>
                <w:color w:val="auto"/>
                <w:szCs w:val="21"/>
                <w:highlight w:val="none"/>
              </w:rPr>
              <w:t>入库后专家可维护个人信息。个人信息区分普通信息和重要信息，系统限制专家只能修改个人普通信息。专家库管理员可对专家个人信息进行维护，包括专家个人重要信息。</w:t>
            </w:r>
            <w:r>
              <w:rPr>
                <w:rFonts w:hint="eastAsia" w:eastAsia="宋体"/>
                <w:color w:val="auto"/>
                <w:szCs w:val="21"/>
                <w:highlight w:val="none"/>
                <w:lang w:val="en-US" w:eastAsia="zh-CN"/>
              </w:rPr>
              <w:t>专家</w:t>
            </w:r>
            <w:r>
              <w:rPr>
                <w:rFonts w:hint="eastAsia" w:eastAsia="宋体"/>
                <w:color w:val="auto"/>
                <w:szCs w:val="21"/>
                <w:highlight w:val="none"/>
              </w:rPr>
              <w:t>每年维护个人信息</w:t>
            </w:r>
            <w:r>
              <w:rPr>
                <w:rFonts w:hint="eastAsia" w:eastAsia="宋体"/>
                <w:color w:val="auto"/>
                <w:szCs w:val="21"/>
                <w:highlight w:val="none"/>
                <w:lang w:val="en-US" w:eastAsia="zh-CN"/>
              </w:rPr>
              <w:t>后，系统标记该年度已维护。</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专家统计管理</w:t>
            </w:r>
          </w:p>
          <w:p>
            <w:pPr>
              <w:spacing w:line="440" w:lineRule="exact"/>
              <w:ind w:firstLine="420" w:firstLineChars="200"/>
              <w:rPr>
                <w:rFonts w:eastAsia="宋体"/>
                <w:color w:val="auto"/>
                <w:szCs w:val="21"/>
                <w:highlight w:val="none"/>
              </w:rPr>
            </w:pPr>
            <w:r>
              <w:rPr>
                <w:rFonts w:eastAsia="宋体"/>
                <w:color w:val="auto"/>
                <w:szCs w:val="21"/>
                <w:highlight w:val="none"/>
              </w:rPr>
              <w:t>支持专家数据多维度汇总统计，生成统计图示</w:t>
            </w:r>
            <w:r>
              <w:rPr>
                <w:rFonts w:hint="eastAsia" w:eastAsia="宋体"/>
                <w:color w:val="auto"/>
                <w:szCs w:val="21"/>
                <w:highlight w:val="none"/>
                <w:lang w:eastAsia="zh-CN"/>
              </w:rPr>
              <w:t>；</w:t>
            </w:r>
            <w:r>
              <w:rPr>
                <w:rFonts w:hint="eastAsia" w:eastAsia="宋体"/>
                <w:color w:val="auto"/>
                <w:szCs w:val="21"/>
                <w:highlight w:val="none"/>
                <w:lang w:val="en-US" w:eastAsia="zh-CN"/>
              </w:rPr>
              <w:t>可统计专家类型、评审类型等统计专家参评数据；</w:t>
            </w:r>
            <w:r>
              <w:rPr>
                <w:rFonts w:eastAsia="宋体"/>
                <w:color w:val="auto"/>
                <w:szCs w:val="21"/>
                <w:highlight w:val="none"/>
              </w:rPr>
              <w:t>可</w:t>
            </w:r>
            <w:r>
              <w:rPr>
                <w:rFonts w:hint="eastAsia" w:eastAsia="宋体"/>
                <w:color w:val="auto"/>
                <w:szCs w:val="21"/>
                <w:highlight w:val="none"/>
                <w:lang w:val="en-US" w:eastAsia="zh-CN"/>
              </w:rPr>
              <w:t>按专家类型、研究领域、所在地区、单位类型等维度统计导出</w:t>
            </w:r>
            <w:r>
              <w:rPr>
                <w:rFonts w:eastAsia="宋体"/>
                <w:color w:val="auto"/>
                <w:szCs w:val="21"/>
                <w:highlight w:val="none"/>
              </w:rPr>
              <w:t>专家数据</w:t>
            </w:r>
            <w:r>
              <w:rPr>
                <w:rFonts w:hint="eastAsia" w:ascii="方正仿宋_GBK" w:hAnsi="方正仿宋_GBK" w:eastAsia="方正仿宋_GBK" w:cs="方正仿宋_GBK"/>
                <w:b w:val="0"/>
                <w:bCs w:val="0"/>
                <w:color w:val="auto"/>
                <w:sz w:val="28"/>
                <w:szCs w:val="28"/>
                <w:highlight w:val="none"/>
                <w:lang w:val="en-US" w:eastAsia="zh-CN"/>
              </w:rPr>
              <w:t>。</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专家评价管理</w:t>
            </w:r>
          </w:p>
          <w:p>
            <w:pPr>
              <w:numPr>
                <w:ilvl w:val="0"/>
                <w:numId w:val="26"/>
              </w:numPr>
              <w:spacing w:line="440" w:lineRule="exact"/>
              <w:ind w:left="0" w:firstLine="420" w:firstLineChars="200"/>
              <w:rPr>
                <w:rFonts w:eastAsia="宋体"/>
                <w:color w:val="auto"/>
                <w:szCs w:val="21"/>
                <w:highlight w:val="none"/>
              </w:rPr>
            </w:pPr>
            <w:r>
              <w:rPr>
                <w:rFonts w:eastAsia="宋体"/>
                <w:color w:val="auto"/>
                <w:szCs w:val="21"/>
                <w:highlight w:val="none"/>
              </w:rPr>
              <w:t>专家评价填写。系统可配置专家评价表单，设计评价指标。专家参评项目后，系统自动生成专家评价表，评审管理部门可根据专家参评情况填写评价表，系统根据各评价指标确定专家本次评审的评价等级。</w:t>
            </w:r>
          </w:p>
          <w:p>
            <w:pPr>
              <w:numPr>
                <w:ilvl w:val="0"/>
                <w:numId w:val="26"/>
              </w:numPr>
              <w:spacing w:line="440" w:lineRule="exact"/>
              <w:ind w:left="0" w:firstLine="420" w:firstLineChars="200"/>
              <w:rPr>
                <w:rFonts w:eastAsia="宋体"/>
                <w:color w:val="auto"/>
                <w:szCs w:val="21"/>
                <w:highlight w:val="none"/>
              </w:rPr>
            </w:pPr>
            <w:r>
              <w:rPr>
                <w:rFonts w:eastAsia="宋体"/>
                <w:color w:val="auto"/>
                <w:szCs w:val="21"/>
                <w:highlight w:val="none"/>
              </w:rPr>
              <w:t>专家评价结果计算和查询。制定专家评价结果计算规则，系统根据计算规则，结合评审管理部门填写的评价表信息，计算专家评价结果。系统可查询各专家评价结果。</w:t>
            </w:r>
          </w:p>
          <w:p>
            <w:pPr>
              <w:numPr>
                <w:ilvl w:val="0"/>
                <w:numId w:val="26"/>
              </w:numPr>
              <w:spacing w:line="440" w:lineRule="exact"/>
              <w:ind w:left="0" w:firstLine="420" w:firstLineChars="200"/>
              <w:rPr>
                <w:rFonts w:eastAsia="宋体"/>
                <w:color w:val="auto"/>
                <w:szCs w:val="21"/>
                <w:highlight w:val="none"/>
              </w:rPr>
            </w:pPr>
            <w:r>
              <w:rPr>
                <w:rFonts w:eastAsia="宋体"/>
                <w:color w:val="auto"/>
                <w:szCs w:val="21"/>
                <w:highlight w:val="none"/>
              </w:rPr>
              <w:t>评价结果应用。广西计划项目管理子系统可获取专家评价数据，辅助评审管理部门在抽取专家时了解专家情况。</w:t>
            </w:r>
            <w:r>
              <w:rPr>
                <w:rFonts w:hint="eastAsia" w:eastAsia="宋体"/>
                <w:color w:val="auto"/>
                <w:szCs w:val="21"/>
                <w:highlight w:val="none"/>
                <w:lang w:val="en-US" w:eastAsia="zh-CN"/>
              </w:rPr>
              <w:t>专家评价数据应用于</w:t>
            </w:r>
            <w:r>
              <w:rPr>
                <w:rFonts w:hint="eastAsia" w:eastAsia="宋体"/>
                <w:color w:val="auto"/>
                <w:szCs w:val="21"/>
                <w:highlight w:val="none"/>
              </w:rPr>
              <w:t>评审</w:t>
            </w:r>
            <w:r>
              <w:rPr>
                <w:rFonts w:hint="eastAsia" w:eastAsia="宋体"/>
                <w:color w:val="auto"/>
                <w:szCs w:val="21"/>
                <w:highlight w:val="none"/>
                <w:lang w:val="en-US" w:eastAsia="zh-CN"/>
              </w:rPr>
              <w:t>专家</w:t>
            </w:r>
            <w:r>
              <w:rPr>
                <w:rFonts w:hint="eastAsia" w:eastAsia="宋体"/>
                <w:color w:val="auto"/>
                <w:szCs w:val="21"/>
                <w:highlight w:val="none"/>
              </w:rPr>
              <w:t>抽取权重</w:t>
            </w:r>
            <w:r>
              <w:rPr>
                <w:rFonts w:hint="eastAsia" w:eastAsia="宋体"/>
                <w:color w:val="auto"/>
                <w:szCs w:val="21"/>
                <w:highlight w:val="none"/>
                <w:lang w:val="en-US" w:eastAsia="zh-CN"/>
              </w:rPr>
              <w:t>计算中。</w:t>
            </w:r>
          </w:p>
          <w:p>
            <w:pPr>
              <w:numPr>
                <w:ilvl w:val="2"/>
                <w:numId w:val="2"/>
              </w:numPr>
              <w:tabs>
                <w:tab w:val="left" w:pos="0"/>
              </w:tabs>
              <w:spacing w:line="440" w:lineRule="exact"/>
              <w:ind w:left="0" w:firstLine="420" w:firstLineChars="200"/>
              <w:outlineLvl w:val="2"/>
              <w:rPr>
                <w:rFonts w:eastAsia="宋体"/>
                <w:color w:val="auto"/>
                <w:szCs w:val="21"/>
                <w:highlight w:val="none"/>
              </w:rPr>
            </w:pPr>
            <w:bookmarkStart w:id="104" w:name="_Toc25850"/>
            <w:r>
              <w:rPr>
                <w:rFonts w:eastAsia="宋体"/>
                <w:color w:val="auto"/>
                <w:szCs w:val="21"/>
                <w:highlight w:val="none"/>
              </w:rPr>
              <w:t>专家培训管理</w:t>
            </w:r>
            <w:bookmarkEnd w:id="104"/>
          </w:p>
          <w:p>
            <w:pPr>
              <w:numPr>
                <w:ilvl w:val="0"/>
                <w:numId w:val="27"/>
              </w:numPr>
              <w:spacing w:line="440" w:lineRule="exact"/>
              <w:ind w:left="0" w:firstLine="420" w:firstLineChars="200"/>
              <w:rPr>
                <w:rFonts w:eastAsia="宋体"/>
                <w:color w:val="auto"/>
                <w:szCs w:val="21"/>
                <w:highlight w:val="none"/>
              </w:rPr>
            </w:pPr>
            <w:r>
              <w:rPr>
                <w:rFonts w:eastAsia="宋体"/>
                <w:color w:val="auto"/>
                <w:szCs w:val="21"/>
                <w:highlight w:val="none"/>
              </w:rPr>
              <w:t>专家培训视频管理。可上传专家培训视频，可管理已上传的视频，包括管理培训标题、培训说明、培训视频、已观看人数等信息，下架视频。</w:t>
            </w:r>
          </w:p>
          <w:p>
            <w:pPr>
              <w:numPr>
                <w:ilvl w:val="0"/>
                <w:numId w:val="27"/>
              </w:numPr>
              <w:spacing w:line="440" w:lineRule="exact"/>
              <w:ind w:left="0" w:firstLine="420" w:firstLineChars="200"/>
              <w:rPr>
                <w:rFonts w:eastAsia="宋体"/>
                <w:color w:val="auto"/>
                <w:szCs w:val="21"/>
                <w:highlight w:val="none"/>
              </w:rPr>
            </w:pPr>
            <w:r>
              <w:rPr>
                <w:rFonts w:eastAsia="宋体"/>
                <w:color w:val="auto"/>
                <w:szCs w:val="21"/>
                <w:highlight w:val="none"/>
              </w:rPr>
              <w:t>专家培训测试。专家完成培训后，可在线答题，专家答题后系统自动打分；专家需测试通过才能继续参评；评审专家本人、专家库管理人员、评审管理部门等可查看权限范围内的专家测试结果。</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专家活跃度分析</w:t>
            </w:r>
          </w:p>
          <w:p>
            <w:pPr>
              <w:numPr>
                <w:ilvl w:val="0"/>
                <w:numId w:val="28"/>
              </w:numPr>
              <w:spacing w:line="440" w:lineRule="exact"/>
              <w:ind w:left="0" w:firstLine="420" w:firstLineChars="200"/>
              <w:rPr>
                <w:rFonts w:eastAsia="宋体"/>
                <w:color w:val="auto"/>
                <w:szCs w:val="21"/>
                <w:highlight w:val="none"/>
              </w:rPr>
            </w:pPr>
            <w:r>
              <w:rPr>
                <w:rFonts w:eastAsia="宋体"/>
                <w:color w:val="auto"/>
                <w:szCs w:val="21"/>
                <w:highlight w:val="none"/>
              </w:rPr>
              <w:t>专家活跃度计算。根据专家参评次数、接受评审占比、专家成果产出情况、项目申报立项情况等设计专家活跃度计算规则，系统依据计算规则计算各专家活跃度评分。</w:t>
            </w:r>
          </w:p>
          <w:p>
            <w:pPr>
              <w:numPr>
                <w:ilvl w:val="0"/>
                <w:numId w:val="28"/>
              </w:numPr>
              <w:spacing w:line="440" w:lineRule="exact"/>
              <w:ind w:left="0" w:firstLine="420" w:firstLineChars="200"/>
              <w:rPr>
                <w:rFonts w:eastAsia="宋体"/>
                <w:color w:val="auto"/>
                <w:szCs w:val="21"/>
                <w:highlight w:val="none"/>
              </w:rPr>
            </w:pPr>
            <w:r>
              <w:rPr>
                <w:rFonts w:eastAsia="宋体"/>
                <w:color w:val="auto"/>
                <w:szCs w:val="21"/>
                <w:highlight w:val="none"/>
              </w:rPr>
              <w:t>专家活跃度查询。评审专家本人、专家库管理人员、评审管理部门可查看权限范围内的专家活跃度评分。</w:t>
            </w:r>
          </w:p>
          <w:p>
            <w:pPr>
              <w:numPr>
                <w:ilvl w:val="0"/>
                <w:numId w:val="28"/>
              </w:numPr>
              <w:spacing w:line="440" w:lineRule="exact"/>
              <w:ind w:left="0" w:firstLine="420" w:firstLineChars="200"/>
              <w:rPr>
                <w:rFonts w:eastAsia="宋体"/>
                <w:color w:val="auto"/>
                <w:szCs w:val="21"/>
                <w:highlight w:val="none"/>
              </w:rPr>
            </w:pPr>
            <w:r>
              <w:rPr>
                <w:rFonts w:eastAsia="宋体"/>
                <w:color w:val="auto"/>
                <w:szCs w:val="21"/>
                <w:highlight w:val="none"/>
              </w:rPr>
              <w:t>专家活跃度应用。广西计划项目管理子系统可获取专家活跃度评分数据，辅助评审管理部门在抽取专家时了解专家情况。</w:t>
            </w:r>
          </w:p>
          <w:p>
            <w:pPr>
              <w:numPr>
                <w:ilvl w:val="0"/>
                <w:numId w:val="0"/>
              </w:numPr>
              <w:spacing w:line="440" w:lineRule="exact"/>
              <w:rPr>
                <w:rFonts w:eastAsia="宋体"/>
                <w:color w:val="auto"/>
                <w:szCs w:val="21"/>
                <w:highlight w:val="none"/>
              </w:rPr>
            </w:pPr>
          </w:p>
          <w:p>
            <w:pPr>
              <w:numPr>
                <w:ilvl w:val="1"/>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广西科研诚信管理信息子系统</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信用主体类型管理</w:t>
            </w:r>
          </w:p>
          <w:p>
            <w:pPr>
              <w:spacing w:line="440" w:lineRule="exact"/>
              <w:ind w:firstLine="420" w:firstLineChars="200"/>
              <w:rPr>
                <w:rFonts w:eastAsia="宋体"/>
                <w:color w:val="auto"/>
                <w:szCs w:val="21"/>
                <w:highlight w:val="none"/>
              </w:rPr>
            </w:pPr>
            <w:r>
              <w:rPr>
                <w:rFonts w:eastAsia="宋体"/>
                <w:color w:val="auto"/>
                <w:szCs w:val="21"/>
                <w:highlight w:val="none"/>
              </w:rPr>
              <w:t>可对申报人、专家、申报单位、专业机构等信用主体的失信行为进行管理。</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失信行为管理</w:t>
            </w:r>
          </w:p>
          <w:p>
            <w:pPr>
              <w:numPr>
                <w:ilvl w:val="0"/>
                <w:numId w:val="29"/>
              </w:numPr>
              <w:spacing w:line="440" w:lineRule="exact"/>
              <w:ind w:left="0" w:firstLine="420" w:firstLineChars="200"/>
              <w:rPr>
                <w:rFonts w:eastAsia="宋体"/>
                <w:color w:val="auto"/>
                <w:szCs w:val="21"/>
                <w:highlight w:val="none"/>
              </w:rPr>
            </w:pPr>
            <w:r>
              <w:rPr>
                <w:rFonts w:eastAsia="宋体"/>
                <w:color w:val="auto"/>
                <w:szCs w:val="21"/>
                <w:highlight w:val="none"/>
              </w:rPr>
              <w:t>失信行为类型管理。管理信用行为类型，包括信用行为名称、行为说明、信用主体类型、失信行为等级等。</w:t>
            </w:r>
          </w:p>
          <w:p>
            <w:pPr>
              <w:numPr>
                <w:ilvl w:val="0"/>
                <w:numId w:val="29"/>
              </w:numPr>
              <w:spacing w:line="440" w:lineRule="exact"/>
              <w:ind w:left="0" w:firstLine="420" w:firstLineChars="200"/>
              <w:rPr>
                <w:rFonts w:eastAsia="宋体"/>
                <w:color w:val="auto"/>
                <w:szCs w:val="21"/>
                <w:highlight w:val="none"/>
              </w:rPr>
            </w:pPr>
            <w:r>
              <w:rPr>
                <w:rFonts w:eastAsia="宋体"/>
                <w:color w:val="auto"/>
                <w:szCs w:val="21"/>
                <w:highlight w:val="none"/>
              </w:rPr>
              <w:t>失信行为录入：诚信管理部门人员可录入各类信用主体的失信行为，选择失信行为类型，确定失信行为等级，录入具体失信行为问题，上传佐证材料等。</w:t>
            </w:r>
          </w:p>
          <w:p>
            <w:pPr>
              <w:numPr>
                <w:ilvl w:val="0"/>
                <w:numId w:val="29"/>
              </w:numPr>
              <w:spacing w:line="440" w:lineRule="exact"/>
              <w:ind w:left="0" w:firstLine="420" w:firstLineChars="200"/>
              <w:rPr>
                <w:rFonts w:eastAsia="宋体"/>
                <w:color w:val="auto"/>
                <w:szCs w:val="21"/>
                <w:highlight w:val="none"/>
              </w:rPr>
            </w:pPr>
            <w:r>
              <w:rPr>
                <w:rFonts w:eastAsia="宋体"/>
                <w:color w:val="auto"/>
                <w:szCs w:val="21"/>
                <w:highlight w:val="none"/>
              </w:rPr>
              <w:t>失信行为推送：关联广西计划项目管理子系统、广西科技专家库子系统等系统，从外部系统推送失信行为数据至本模块。</w:t>
            </w:r>
          </w:p>
          <w:p>
            <w:pPr>
              <w:numPr>
                <w:ilvl w:val="0"/>
                <w:numId w:val="29"/>
              </w:numPr>
              <w:spacing w:line="440" w:lineRule="exact"/>
              <w:ind w:left="0" w:firstLine="420" w:firstLineChars="200"/>
              <w:rPr>
                <w:rFonts w:eastAsia="宋体"/>
                <w:color w:val="auto"/>
                <w:szCs w:val="21"/>
                <w:highlight w:val="none"/>
              </w:rPr>
            </w:pPr>
            <w:r>
              <w:rPr>
                <w:rFonts w:eastAsia="宋体"/>
                <w:color w:val="auto"/>
                <w:szCs w:val="21"/>
                <w:highlight w:val="none"/>
              </w:rPr>
              <w:t>失信行为举报：系统支持举报人录入信用主体信息基础信息（人员姓名或单位名称）、失信行为描述、佐证材料等信息后提交；可撤回举报操作。</w:t>
            </w:r>
          </w:p>
          <w:p>
            <w:pPr>
              <w:numPr>
                <w:ilvl w:val="0"/>
                <w:numId w:val="29"/>
              </w:numPr>
              <w:spacing w:line="440" w:lineRule="exact"/>
              <w:ind w:left="0" w:firstLine="420" w:firstLineChars="200"/>
              <w:rPr>
                <w:rFonts w:eastAsia="宋体"/>
                <w:color w:val="auto"/>
                <w:szCs w:val="21"/>
                <w:highlight w:val="none"/>
              </w:rPr>
            </w:pPr>
            <w:r>
              <w:rPr>
                <w:rFonts w:eastAsia="宋体"/>
                <w:color w:val="auto"/>
                <w:szCs w:val="21"/>
                <w:highlight w:val="none"/>
              </w:rPr>
              <w:t>失信行为调查：可建立信用主体的失信行为调查档案。录入调查过程、调查结果，上传佐证材料。</w:t>
            </w:r>
          </w:p>
          <w:p>
            <w:pPr>
              <w:numPr>
                <w:ilvl w:val="0"/>
                <w:numId w:val="29"/>
              </w:numPr>
              <w:spacing w:line="440" w:lineRule="exact"/>
              <w:ind w:left="0" w:firstLine="420" w:firstLineChars="200"/>
              <w:rPr>
                <w:rFonts w:eastAsia="宋体"/>
                <w:color w:val="auto"/>
                <w:szCs w:val="21"/>
                <w:highlight w:val="none"/>
              </w:rPr>
            </w:pPr>
            <w:r>
              <w:rPr>
                <w:rFonts w:eastAsia="宋体"/>
                <w:color w:val="auto"/>
                <w:szCs w:val="21"/>
                <w:highlight w:val="none"/>
              </w:rPr>
              <w:t>失信行为审核。支持对录入和推送至本平台的失信行为进行逐级审核。</w:t>
            </w:r>
          </w:p>
          <w:p>
            <w:pPr>
              <w:numPr>
                <w:ilvl w:val="0"/>
                <w:numId w:val="29"/>
              </w:numPr>
              <w:spacing w:line="440" w:lineRule="exact"/>
              <w:ind w:left="0" w:firstLine="420" w:firstLineChars="200"/>
              <w:rPr>
                <w:rFonts w:eastAsia="宋体"/>
                <w:color w:val="auto"/>
                <w:szCs w:val="21"/>
                <w:highlight w:val="none"/>
              </w:rPr>
            </w:pPr>
            <w:r>
              <w:rPr>
                <w:rFonts w:eastAsia="宋体"/>
                <w:color w:val="auto"/>
                <w:szCs w:val="21"/>
                <w:highlight w:val="none"/>
              </w:rPr>
              <w:t>失信行为申诉：被录入失信行为的信用主体可在平台中提出申诉，录入申诉原因、佐证材料等信息。诚信管理部门可受理申诉，开展情况核实工作。平台支持核实结果录入和佐证材料上传，如核实通过则可撤回该失信行为记录；如核实失败则保留该失信行为记录。</w:t>
            </w:r>
          </w:p>
          <w:p>
            <w:pPr>
              <w:numPr>
                <w:ilvl w:val="0"/>
                <w:numId w:val="29"/>
              </w:numPr>
              <w:spacing w:line="440" w:lineRule="exact"/>
              <w:ind w:left="0" w:firstLine="420" w:firstLineChars="200"/>
              <w:rPr>
                <w:rFonts w:eastAsia="宋体"/>
                <w:color w:val="auto"/>
                <w:szCs w:val="21"/>
                <w:highlight w:val="none"/>
              </w:rPr>
            </w:pPr>
            <w:r>
              <w:rPr>
                <w:rFonts w:eastAsia="宋体"/>
                <w:color w:val="auto"/>
                <w:szCs w:val="21"/>
                <w:highlight w:val="none"/>
              </w:rPr>
              <w:t>失信惩戒规则管理。根据信用主体类型、失信行为类型、失信行为等级，制订具体的惩戒规则。</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守信行为管理</w:t>
            </w:r>
          </w:p>
          <w:p>
            <w:pPr>
              <w:spacing w:line="440" w:lineRule="exact"/>
              <w:ind w:firstLine="420" w:firstLineChars="200"/>
              <w:rPr>
                <w:rFonts w:eastAsia="宋体"/>
                <w:color w:val="auto"/>
                <w:szCs w:val="21"/>
                <w:highlight w:val="none"/>
              </w:rPr>
            </w:pPr>
            <w:r>
              <w:rPr>
                <w:rFonts w:eastAsia="宋体"/>
                <w:color w:val="auto"/>
                <w:szCs w:val="21"/>
                <w:highlight w:val="none"/>
              </w:rPr>
              <w:t>参照“失信行为管理”，本模块提供守信行为类型管理、守信行为录入、守信行为推送、守信行为审核等功能。</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诚信数据共享交换</w:t>
            </w:r>
          </w:p>
          <w:p>
            <w:pPr>
              <w:numPr>
                <w:ilvl w:val="0"/>
                <w:numId w:val="30"/>
              </w:numPr>
              <w:spacing w:line="440" w:lineRule="exact"/>
              <w:ind w:left="0" w:firstLine="420" w:firstLineChars="200"/>
              <w:rPr>
                <w:rFonts w:eastAsia="宋体"/>
                <w:color w:val="auto"/>
                <w:szCs w:val="21"/>
                <w:highlight w:val="none"/>
              </w:rPr>
            </w:pPr>
            <w:r>
              <w:rPr>
                <w:rFonts w:eastAsia="宋体"/>
                <w:color w:val="auto"/>
                <w:szCs w:val="21"/>
                <w:highlight w:val="none"/>
              </w:rPr>
              <w:t>对外共享诚信数据。支持外部系统通过接口获取人员或单位的科研诚信数据。</w:t>
            </w:r>
          </w:p>
          <w:p>
            <w:pPr>
              <w:numPr>
                <w:ilvl w:val="0"/>
                <w:numId w:val="30"/>
              </w:numPr>
              <w:spacing w:line="440" w:lineRule="exact"/>
              <w:ind w:left="0" w:firstLine="420" w:firstLineChars="200"/>
              <w:rPr>
                <w:rFonts w:eastAsia="宋体"/>
                <w:color w:val="auto"/>
                <w:szCs w:val="21"/>
                <w:highlight w:val="none"/>
              </w:rPr>
            </w:pPr>
            <w:r>
              <w:rPr>
                <w:rFonts w:eastAsia="宋体"/>
                <w:color w:val="auto"/>
                <w:szCs w:val="21"/>
                <w:highlight w:val="none"/>
              </w:rPr>
              <w:t>诚信数据获取。支持外部系统通过接口，将申报人、专家、申报单位、专业机构的科研诚信信息推送至本系统。</w:t>
            </w:r>
          </w:p>
          <w:p>
            <w:pPr>
              <w:numPr>
                <w:ilvl w:val="0"/>
                <w:numId w:val="30"/>
              </w:numPr>
              <w:spacing w:line="440" w:lineRule="exact"/>
              <w:ind w:left="0" w:firstLine="420" w:firstLineChars="200"/>
              <w:rPr>
                <w:rFonts w:eastAsia="宋体"/>
                <w:color w:val="auto"/>
                <w:szCs w:val="21"/>
                <w:highlight w:val="none"/>
              </w:rPr>
            </w:pPr>
            <w:r>
              <w:rPr>
                <w:rFonts w:eastAsia="宋体"/>
                <w:color w:val="auto"/>
                <w:szCs w:val="21"/>
                <w:highlight w:val="none"/>
              </w:rPr>
              <w:t>社会信用获取。支持从外部系统获取申报人、专家、申报单位、专业机构的社会信用诚信信息。</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信用黑白名单管理</w:t>
            </w:r>
          </w:p>
          <w:p>
            <w:pPr>
              <w:spacing w:line="440" w:lineRule="exact"/>
              <w:ind w:firstLine="420" w:firstLineChars="200"/>
              <w:rPr>
                <w:rFonts w:eastAsia="宋体"/>
                <w:color w:val="auto"/>
                <w:szCs w:val="21"/>
                <w:highlight w:val="none"/>
              </w:rPr>
            </w:pPr>
            <w:r>
              <w:rPr>
                <w:rFonts w:eastAsia="宋体"/>
                <w:color w:val="auto"/>
                <w:szCs w:val="21"/>
                <w:highlight w:val="none"/>
              </w:rPr>
              <w:t>诚信管理部门可维护各类信用主体的守信白名单和失信黑名单。</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bCs/>
                <w:color w:val="auto"/>
                <w:szCs w:val="21"/>
                <w:highlight w:val="none"/>
              </w:rPr>
              <w:t>信用评价管理</w:t>
            </w:r>
          </w:p>
          <w:p>
            <w:pPr>
              <w:numPr>
                <w:ilvl w:val="0"/>
                <w:numId w:val="31"/>
              </w:numPr>
              <w:spacing w:line="440" w:lineRule="exact"/>
              <w:ind w:left="0" w:firstLine="420" w:firstLineChars="200"/>
              <w:rPr>
                <w:rFonts w:eastAsia="宋体"/>
                <w:color w:val="auto"/>
                <w:szCs w:val="21"/>
                <w:highlight w:val="none"/>
              </w:rPr>
            </w:pPr>
            <w:r>
              <w:rPr>
                <w:rFonts w:eastAsia="宋体"/>
                <w:color w:val="auto"/>
                <w:szCs w:val="21"/>
                <w:highlight w:val="none"/>
              </w:rPr>
              <w:t>信用指标管理。根据学位、职称、获奖、项目验收、科研成果等情况建立守信行为信用指标；根据科技项目未按期执行、项目终止、造假、科研经费管理问题等失信行为建立失信行为信用指标。</w:t>
            </w:r>
          </w:p>
          <w:p>
            <w:pPr>
              <w:numPr>
                <w:ilvl w:val="0"/>
                <w:numId w:val="31"/>
              </w:numPr>
              <w:spacing w:line="440" w:lineRule="exact"/>
              <w:ind w:left="0" w:firstLine="420" w:firstLineChars="200"/>
              <w:rPr>
                <w:rFonts w:eastAsia="宋体"/>
                <w:color w:val="auto"/>
                <w:szCs w:val="21"/>
                <w:highlight w:val="none"/>
              </w:rPr>
            </w:pPr>
            <w:r>
              <w:rPr>
                <w:rFonts w:eastAsia="宋体"/>
                <w:color w:val="auto"/>
                <w:szCs w:val="21"/>
                <w:highlight w:val="none"/>
              </w:rPr>
              <w:t>信用评分管理。针对不同的信用指标，指定信用分值。</w:t>
            </w:r>
          </w:p>
          <w:p>
            <w:pPr>
              <w:numPr>
                <w:ilvl w:val="0"/>
                <w:numId w:val="31"/>
              </w:numPr>
              <w:spacing w:line="440" w:lineRule="exact"/>
              <w:ind w:left="0" w:firstLine="420" w:firstLineChars="200"/>
              <w:rPr>
                <w:rFonts w:eastAsia="宋体"/>
                <w:color w:val="auto"/>
                <w:szCs w:val="21"/>
                <w:highlight w:val="none"/>
              </w:rPr>
            </w:pPr>
            <w:r>
              <w:rPr>
                <w:rFonts w:eastAsia="宋体"/>
                <w:color w:val="auto"/>
                <w:szCs w:val="21"/>
                <w:highlight w:val="none"/>
              </w:rPr>
              <w:t>信用评分计算。可根据失信、守信行为经审核通过后，按照信用指标和评分，自动计算各信用主体的信用分。</w:t>
            </w:r>
          </w:p>
          <w:p>
            <w:pPr>
              <w:numPr>
                <w:ilvl w:val="1"/>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广西科技研发经费投入运行监控子系统</w:t>
            </w:r>
          </w:p>
          <w:p>
            <w:pPr>
              <w:spacing w:line="440" w:lineRule="exact"/>
              <w:ind w:firstLine="420" w:firstLineChars="200"/>
              <w:rPr>
                <w:rFonts w:eastAsia="宋体"/>
                <w:color w:val="auto"/>
                <w:szCs w:val="21"/>
                <w:highlight w:val="none"/>
              </w:rPr>
            </w:pPr>
            <w:r>
              <w:rPr>
                <w:rFonts w:eastAsia="宋体"/>
                <w:bCs/>
                <w:color w:val="auto"/>
                <w:szCs w:val="21"/>
                <w:highlight w:val="none"/>
              </w:rPr>
              <w:t>本子</w:t>
            </w:r>
            <w:r>
              <w:rPr>
                <w:rFonts w:eastAsia="宋体"/>
                <w:color w:val="auto"/>
                <w:szCs w:val="21"/>
                <w:highlight w:val="none"/>
                <w:shd w:val="clear" w:color="auto" w:fill="FFFFFF"/>
              </w:rPr>
              <w:t>系统用于实现对科技研发经费投入和使用情况进行实时监控和评估，主要功能包括：科技项目研发经费投入信息填报，第三方平台经费及产出数据整合，经费投入与产出情况分析及监测等。</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生产经营情况管理</w:t>
            </w:r>
          </w:p>
          <w:p>
            <w:pPr>
              <w:spacing w:line="440" w:lineRule="exact"/>
              <w:ind w:firstLine="420" w:firstLineChars="200"/>
              <w:rPr>
                <w:rFonts w:eastAsia="宋体"/>
                <w:color w:val="auto"/>
                <w:szCs w:val="21"/>
                <w:highlight w:val="none"/>
              </w:rPr>
            </w:pPr>
            <w:r>
              <w:rPr>
                <w:rFonts w:eastAsia="宋体"/>
                <w:color w:val="auto"/>
                <w:szCs w:val="21"/>
                <w:highlight w:val="none"/>
              </w:rPr>
              <w:t>支持用户填写企业</w:t>
            </w:r>
            <w:r>
              <w:rPr>
                <w:rFonts w:eastAsia="宋体"/>
                <w:color w:val="auto"/>
                <w:szCs w:val="21"/>
                <w:highlight w:val="none"/>
                <w:shd w:val="clear" w:color="auto" w:fill="FFFFFF"/>
              </w:rPr>
              <w:t>生产经营情况信息，包括填报年度、营业收入、主营业务收入、利润总额、职工总数、研发人员总数、技术改造支出总额等。</w:t>
            </w:r>
          </w:p>
          <w:p>
            <w:pPr>
              <w:numPr>
                <w:ilvl w:val="2"/>
                <w:numId w:val="2"/>
              </w:numPr>
              <w:tabs>
                <w:tab w:val="left" w:pos="0"/>
              </w:tabs>
              <w:spacing w:line="440" w:lineRule="exact"/>
              <w:ind w:left="0" w:firstLine="420" w:firstLineChars="200"/>
              <w:outlineLvl w:val="2"/>
              <w:rPr>
                <w:rFonts w:eastAsia="宋体"/>
                <w:color w:val="auto"/>
                <w:szCs w:val="21"/>
                <w:highlight w:val="none"/>
              </w:rPr>
            </w:pPr>
            <w:bookmarkStart w:id="105" w:name="_Toc191135245"/>
            <w:bookmarkStart w:id="106" w:name="_Toc9821"/>
            <w:r>
              <w:rPr>
                <w:rFonts w:eastAsia="宋体"/>
                <w:color w:val="auto"/>
                <w:szCs w:val="21"/>
                <w:highlight w:val="none"/>
              </w:rPr>
              <w:t>科技创新活动管理</w:t>
            </w:r>
            <w:bookmarkEnd w:id="105"/>
            <w:bookmarkEnd w:id="106"/>
          </w:p>
          <w:p>
            <w:pPr>
              <w:spacing w:line="440" w:lineRule="exact"/>
              <w:ind w:firstLine="420" w:firstLineChars="200"/>
              <w:rPr>
                <w:rFonts w:eastAsia="宋体"/>
                <w:color w:val="auto"/>
                <w:szCs w:val="21"/>
                <w:highlight w:val="none"/>
              </w:rPr>
            </w:pPr>
            <w:r>
              <w:rPr>
                <w:rFonts w:eastAsia="宋体"/>
                <w:color w:val="auto"/>
                <w:szCs w:val="21"/>
                <w:highlight w:val="none"/>
              </w:rPr>
              <w:t>支持用户填报本单位开展的研发项目信息，包括</w:t>
            </w:r>
            <w:r>
              <w:rPr>
                <w:rFonts w:eastAsia="宋体"/>
                <w:color w:val="auto"/>
                <w:szCs w:val="21"/>
                <w:highlight w:val="none"/>
                <w:shd w:val="clear" w:color="auto" w:fill="FFFFFF"/>
              </w:rPr>
              <w:t>填报</w:t>
            </w:r>
            <w:r>
              <w:rPr>
                <w:rFonts w:eastAsia="宋体"/>
                <w:color w:val="auto"/>
                <w:szCs w:val="21"/>
                <w:highlight w:val="none"/>
              </w:rPr>
              <w:t>年度、项目名称、项目来源、项目成果、技术经济目标、研究人员、项目经费等信息填报。</w:t>
            </w:r>
          </w:p>
          <w:p>
            <w:pPr>
              <w:numPr>
                <w:ilvl w:val="2"/>
                <w:numId w:val="2"/>
              </w:numPr>
              <w:tabs>
                <w:tab w:val="left" w:pos="0"/>
              </w:tabs>
              <w:spacing w:line="440" w:lineRule="exact"/>
              <w:ind w:left="0" w:firstLine="420" w:firstLineChars="200"/>
              <w:outlineLvl w:val="2"/>
              <w:rPr>
                <w:rFonts w:eastAsia="宋体"/>
                <w:color w:val="auto"/>
                <w:szCs w:val="21"/>
                <w:highlight w:val="none"/>
              </w:rPr>
            </w:pPr>
            <w:bookmarkStart w:id="107" w:name="_Toc9341"/>
            <w:bookmarkStart w:id="108" w:name="_Toc191135255"/>
            <w:r>
              <w:rPr>
                <w:rFonts w:eastAsia="宋体"/>
                <w:color w:val="auto"/>
                <w:szCs w:val="21"/>
                <w:highlight w:val="none"/>
              </w:rPr>
              <w:t>研发费用管理</w:t>
            </w:r>
            <w:bookmarkEnd w:id="107"/>
            <w:bookmarkEnd w:id="108"/>
          </w:p>
          <w:p>
            <w:pPr>
              <w:numPr>
                <w:ilvl w:val="0"/>
                <w:numId w:val="32"/>
              </w:numPr>
              <w:spacing w:line="440" w:lineRule="exact"/>
              <w:ind w:left="0" w:firstLine="420" w:firstLineChars="200"/>
              <w:rPr>
                <w:rFonts w:eastAsia="宋体"/>
                <w:color w:val="auto"/>
                <w:szCs w:val="21"/>
                <w:highlight w:val="none"/>
              </w:rPr>
            </w:pPr>
            <w:r>
              <w:rPr>
                <w:rFonts w:eastAsia="宋体"/>
                <w:color w:val="auto"/>
                <w:szCs w:val="21"/>
                <w:highlight w:val="none"/>
              </w:rPr>
              <w:t>项目序时账信息管理</w:t>
            </w:r>
          </w:p>
          <w:p>
            <w:pPr>
              <w:spacing w:line="440" w:lineRule="exact"/>
              <w:ind w:firstLine="420" w:firstLineChars="200"/>
              <w:rPr>
                <w:rFonts w:eastAsia="宋体"/>
                <w:color w:val="auto"/>
                <w:szCs w:val="21"/>
                <w:highlight w:val="none"/>
              </w:rPr>
            </w:pPr>
            <w:r>
              <w:rPr>
                <w:rFonts w:eastAsia="宋体"/>
                <w:color w:val="auto"/>
                <w:szCs w:val="21"/>
                <w:highlight w:val="none"/>
              </w:rPr>
              <w:t>提供企业序时账信息导入功能，包括项目编号、日期、凭证字、凭证号、摘要、一级科目、二级科目、未级科目、借贷方向、金额、资金来源等。</w:t>
            </w:r>
          </w:p>
          <w:p>
            <w:pPr>
              <w:spacing w:line="440" w:lineRule="exact"/>
              <w:ind w:firstLine="420" w:firstLineChars="200"/>
              <w:rPr>
                <w:rFonts w:eastAsia="宋体"/>
                <w:color w:val="auto"/>
                <w:szCs w:val="21"/>
                <w:highlight w:val="none"/>
              </w:rPr>
            </w:pPr>
            <w:r>
              <w:rPr>
                <w:rFonts w:eastAsia="宋体"/>
                <w:color w:val="auto"/>
                <w:szCs w:val="21"/>
                <w:highlight w:val="none"/>
              </w:rPr>
              <w:t>可实现会计序时账中的科目和系统辅助账标准科目匹配，实现科目数据同步并生成序时账。</w:t>
            </w:r>
          </w:p>
          <w:p>
            <w:pPr>
              <w:spacing w:line="440" w:lineRule="exact"/>
              <w:ind w:firstLine="420" w:firstLineChars="200"/>
              <w:rPr>
                <w:rFonts w:eastAsia="宋体"/>
                <w:color w:val="auto"/>
                <w:szCs w:val="21"/>
                <w:highlight w:val="none"/>
              </w:rPr>
            </w:pPr>
            <w:r>
              <w:rPr>
                <w:rFonts w:eastAsia="宋体"/>
                <w:color w:val="auto"/>
                <w:szCs w:val="21"/>
                <w:highlight w:val="none"/>
              </w:rPr>
              <w:t>可根据导入的序时账，自动生成研发项目的辅助账并提供预览功能。</w:t>
            </w:r>
          </w:p>
          <w:p>
            <w:pPr>
              <w:numPr>
                <w:ilvl w:val="0"/>
                <w:numId w:val="32"/>
              </w:numPr>
              <w:spacing w:line="440" w:lineRule="exact"/>
              <w:ind w:left="0" w:firstLine="420" w:firstLineChars="200"/>
              <w:rPr>
                <w:rFonts w:eastAsia="宋体"/>
                <w:color w:val="auto"/>
                <w:szCs w:val="21"/>
                <w:highlight w:val="none"/>
              </w:rPr>
            </w:pPr>
            <w:r>
              <w:rPr>
                <w:rFonts w:eastAsia="宋体"/>
                <w:color w:val="auto"/>
                <w:szCs w:val="21"/>
                <w:highlight w:val="none"/>
              </w:rPr>
              <w:t>研发支出多口径报表管理</w:t>
            </w:r>
          </w:p>
          <w:p>
            <w:pPr>
              <w:spacing w:line="440" w:lineRule="exact"/>
              <w:ind w:firstLine="420" w:firstLineChars="200"/>
              <w:rPr>
                <w:rFonts w:eastAsia="宋体"/>
                <w:color w:val="auto"/>
                <w:szCs w:val="21"/>
                <w:highlight w:val="none"/>
              </w:rPr>
            </w:pPr>
            <w:r>
              <w:rPr>
                <w:rFonts w:eastAsia="宋体"/>
                <w:color w:val="auto"/>
                <w:szCs w:val="21"/>
                <w:highlight w:val="none"/>
              </w:rPr>
              <w:t>税务口径报表功能，包括研发支出辅助账数据、可加计扣除的研发费用数据导出功能。</w:t>
            </w:r>
          </w:p>
          <w:p>
            <w:pPr>
              <w:spacing w:line="440" w:lineRule="exact"/>
              <w:ind w:firstLine="420" w:firstLineChars="200"/>
              <w:rPr>
                <w:rFonts w:eastAsia="宋体"/>
                <w:color w:val="auto"/>
                <w:szCs w:val="21"/>
                <w:highlight w:val="none"/>
              </w:rPr>
            </w:pPr>
            <w:r>
              <w:rPr>
                <w:rFonts w:eastAsia="宋体"/>
                <w:color w:val="auto"/>
                <w:szCs w:val="21"/>
                <w:highlight w:val="none"/>
              </w:rPr>
              <w:t>高企口径报表功能，高企认定所需的研发费用数据导出功能。</w:t>
            </w:r>
          </w:p>
          <w:p>
            <w:pPr>
              <w:spacing w:line="440" w:lineRule="exact"/>
              <w:ind w:firstLine="420" w:firstLineChars="200"/>
              <w:rPr>
                <w:rFonts w:eastAsia="宋体"/>
                <w:color w:val="auto"/>
                <w:szCs w:val="21"/>
                <w:highlight w:val="none"/>
              </w:rPr>
            </w:pPr>
            <w:r>
              <w:rPr>
                <w:rFonts w:eastAsia="宋体"/>
                <w:color w:val="auto"/>
                <w:szCs w:val="21"/>
                <w:highlight w:val="none"/>
              </w:rPr>
              <w:t>统计口径报表功能，用于企业研究开发活动相关情况填报。</w:t>
            </w:r>
          </w:p>
          <w:p>
            <w:pPr>
              <w:numPr>
                <w:ilvl w:val="2"/>
                <w:numId w:val="2"/>
              </w:numPr>
              <w:tabs>
                <w:tab w:val="left" w:pos="0"/>
              </w:tabs>
              <w:spacing w:line="440" w:lineRule="exact"/>
              <w:ind w:left="0" w:firstLine="420" w:firstLineChars="200"/>
              <w:outlineLvl w:val="2"/>
              <w:rPr>
                <w:rFonts w:eastAsia="宋体"/>
                <w:color w:val="auto"/>
                <w:szCs w:val="21"/>
                <w:highlight w:val="none"/>
              </w:rPr>
            </w:pPr>
            <w:bookmarkStart w:id="109" w:name="_Toc191135256"/>
            <w:r>
              <w:rPr>
                <w:rFonts w:eastAsia="宋体"/>
                <w:color w:val="auto"/>
                <w:szCs w:val="21"/>
                <w:highlight w:val="none"/>
              </w:rPr>
              <w:t>科技研发经费投入运行监控</w:t>
            </w:r>
            <w:bookmarkEnd w:id="109"/>
          </w:p>
          <w:p>
            <w:pPr>
              <w:numPr>
                <w:ilvl w:val="0"/>
                <w:numId w:val="33"/>
              </w:numPr>
              <w:spacing w:line="440" w:lineRule="exact"/>
              <w:ind w:left="0" w:firstLine="420" w:firstLineChars="200"/>
              <w:rPr>
                <w:rFonts w:eastAsia="宋体"/>
                <w:color w:val="auto"/>
                <w:szCs w:val="21"/>
                <w:highlight w:val="none"/>
              </w:rPr>
            </w:pPr>
            <w:bookmarkStart w:id="110" w:name="_Toc191135257"/>
            <w:r>
              <w:rPr>
                <w:rFonts w:eastAsia="宋体"/>
                <w:color w:val="auto"/>
                <w:szCs w:val="21"/>
                <w:highlight w:val="none"/>
              </w:rPr>
              <w:t>研发申报统计</w:t>
            </w:r>
            <w:bookmarkEnd w:id="110"/>
            <w:r>
              <w:rPr>
                <w:rFonts w:eastAsia="宋体"/>
                <w:color w:val="auto"/>
                <w:szCs w:val="21"/>
                <w:highlight w:val="none"/>
              </w:rPr>
              <w:t>。用于科技主管部门统计研发项目申报情况，包括企业填报数量、填报率、审核数量、审核率等数据，并实现图表展示。</w:t>
            </w:r>
          </w:p>
          <w:p>
            <w:pPr>
              <w:numPr>
                <w:ilvl w:val="0"/>
                <w:numId w:val="33"/>
              </w:numPr>
              <w:spacing w:line="440" w:lineRule="exact"/>
              <w:ind w:left="0" w:firstLine="420" w:firstLineChars="200"/>
              <w:rPr>
                <w:rFonts w:eastAsia="宋体"/>
                <w:color w:val="auto"/>
                <w:szCs w:val="21"/>
                <w:highlight w:val="none"/>
              </w:rPr>
            </w:pPr>
            <w:bookmarkStart w:id="111" w:name="_Toc191135258"/>
            <w:r>
              <w:rPr>
                <w:rFonts w:eastAsia="宋体"/>
                <w:color w:val="auto"/>
                <w:szCs w:val="21"/>
                <w:highlight w:val="none"/>
              </w:rPr>
              <w:t>研发费用统计</w:t>
            </w:r>
            <w:bookmarkEnd w:id="111"/>
            <w:r>
              <w:rPr>
                <w:rFonts w:eastAsia="宋体"/>
                <w:color w:val="auto"/>
                <w:szCs w:val="21"/>
                <w:highlight w:val="none"/>
              </w:rPr>
              <w:t>。用于科技主管部门统计企业、高校、科研院所的研发费用情况，计算各类研发费用的占比数据，并实现图表展示。</w:t>
            </w:r>
          </w:p>
          <w:p>
            <w:pPr>
              <w:numPr>
                <w:ilvl w:val="0"/>
                <w:numId w:val="33"/>
              </w:numPr>
              <w:spacing w:line="440" w:lineRule="exact"/>
              <w:ind w:left="0" w:firstLine="420" w:firstLineChars="200"/>
              <w:rPr>
                <w:rFonts w:eastAsia="宋体"/>
                <w:color w:val="auto"/>
                <w:szCs w:val="21"/>
                <w:highlight w:val="none"/>
              </w:rPr>
            </w:pPr>
            <w:bookmarkStart w:id="112" w:name="_Toc191135259"/>
            <w:r>
              <w:rPr>
                <w:rFonts w:eastAsia="宋体"/>
                <w:color w:val="auto"/>
                <w:szCs w:val="21"/>
                <w:highlight w:val="none"/>
              </w:rPr>
              <w:t>自动预警提醒</w:t>
            </w:r>
            <w:bookmarkEnd w:id="112"/>
            <w:r>
              <w:rPr>
                <w:rFonts w:eastAsia="宋体"/>
                <w:color w:val="auto"/>
                <w:szCs w:val="21"/>
                <w:highlight w:val="none"/>
              </w:rPr>
              <w:t>。根据预设规则（如：研发投入下降等），对企业填报内容进行监测，生成预警提醒消息。</w:t>
            </w:r>
          </w:p>
          <w:p>
            <w:pPr>
              <w:numPr>
                <w:ilvl w:val="0"/>
                <w:numId w:val="33"/>
              </w:numPr>
              <w:spacing w:line="440" w:lineRule="exact"/>
              <w:ind w:left="0" w:firstLine="420" w:firstLineChars="200"/>
              <w:rPr>
                <w:rFonts w:eastAsia="宋体"/>
                <w:color w:val="auto"/>
                <w:szCs w:val="21"/>
                <w:highlight w:val="none"/>
              </w:rPr>
            </w:pPr>
            <w:bookmarkStart w:id="113" w:name="_Toc191135260"/>
            <w:r>
              <w:rPr>
                <w:rFonts w:eastAsia="宋体"/>
                <w:color w:val="auto"/>
                <w:szCs w:val="21"/>
                <w:highlight w:val="none"/>
              </w:rPr>
              <w:t>多口径研发费用同期对比</w:t>
            </w:r>
            <w:bookmarkEnd w:id="113"/>
            <w:r>
              <w:rPr>
                <w:rFonts w:eastAsia="宋体"/>
                <w:color w:val="auto"/>
                <w:szCs w:val="21"/>
                <w:highlight w:val="none"/>
              </w:rPr>
              <w:t>。用于科技主管部门对指定企业、对比年度，计算各口径研发费用的同期增长量和增长率，实现图表展示。</w:t>
            </w:r>
          </w:p>
          <w:p>
            <w:pPr>
              <w:numPr>
                <w:ilvl w:val="0"/>
                <w:numId w:val="33"/>
              </w:numPr>
              <w:spacing w:line="440" w:lineRule="exact"/>
              <w:ind w:left="0" w:firstLine="420" w:firstLineChars="200"/>
              <w:rPr>
                <w:rFonts w:eastAsia="宋体"/>
                <w:color w:val="auto"/>
                <w:szCs w:val="21"/>
                <w:highlight w:val="none"/>
              </w:rPr>
            </w:pPr>
            <w:bookmarkStart w:id="114" w:name="_Toc191135261"/>
            <w:r>
              <w:rPr>
                <w:rFonts w:eastAsia="宋体"/>
                <w:color w:val="auto"/>
                <w:szCs w:val="21"/>
                <w:highlight w:val="none"/>
              </w:rPr>
              <w:t>研发经费报表分析</w:t>
            </w:r>
            <w:bookmarkEnd w:id="114"/>
            <w:r>
              <w:rPr>
                <w:rFonts w:eastAsia="宋体"/>
                <w:color w:val="auto"/>
                <w:szCs w:val="21"/>
                <w:highlight w:val="none"/>
              </w:rPr>
              <w:t>。按产业、行业、地市等维度展示研发经费投入情况报表。支持对不同产业、行业、地区的研发经费投入对比数据的优化展示，分析经费投入的合理性和有效性。</w:t>
            </w:r>
          </w:p>
          <w:p>
            <w:pPr>
              <w:numPr>
                <w:ilvl w:val="0"/>
                <w:numId w:val="33"/>
              </w:numPr>
              <w:spacing w:line="440" w:lineRule="exact"/>
              <w:ind w:left="0" w:firstLine="420" w:firstLineChars="200"/>
              <w:rPr>
                <w:rFonts w:eastAsia="宋体"/>
                <w:color w:val="auto"/>
                <w:szCs w:val="21"/>
                <w:highlight w:val="none"/>
              </w:rPr>
            </w:pPr>
            <w:bookmarkStart w:id="115" w:name="_Toc191135262"/>
            <w:r>
              <w:rPr>
                <w:rFonts w:eastAsia="宋体"/>
                <w:color w:val="auto"/>
                <w:szCs w:val="21"/>
                <w:highlight w:val="none"/>
              </w:rPr>
              <w:t>营收利润报表分析</w:t>
            </w:r>
            <w:bookmarkEnd w:id="115"/>
            <w:r>
              <w:rPr>
                <w:rFonts w:eastAsia="宋体"/>
                <w:color w:val="auto"/>
                <w:szCs w:val="21"/>
                <w:highlight w:val="none"/>
              </w:rPr>
              <w:t>。显示营业收入排名情况、营收利润情况表。同时支持企业研发投入与经营效益的数据分析，支持从多个维度统计分析营收规模、利润水平以及行业内企业的分化情况等。</w:t>
            </w:r>
          </w:p>
          <w:p>
            <w:pPr>
              <w:numPr>
                <w:ilvl w:val="0"/>
                <w:numId w:val="33"/>
              </w:numPr>
              <w:spacing w:line="440" w:lineRule="exact"/>
              <w:ind w:left="0" w:firstLine="420" w:firstLineChars="200"/>
              <w:rPr>
                <w:rFonts w:eastAsia="宋体"/>
                <w:color w:val="auto"/>
                <w:szCs w:val="21"/>
                <w:highlight w:val="none"/>
              </w:rPr>
            </w:pPr>
            <w:bookmarkStart w:id="116" w:name="_Toc191135263"/>
            <w:r>
              <w:rPr>
                <w:rFonts w:eastAsia="宋体"/>
                <w:color w:val="auto"/>
                <w:szCs w:val="21"/>
                <w:highlight w:val="none"/>
              </w:rPr>
              <w:t>名义强度报表分析</w:t>
            </w:r>
            <w:bookmarkEnd w:id="116"/>
            <w:r>
              <w:rPr>
                <w:rFonts w:eastAsia="宋体"/>
                <w:color w:val="auto"/>
                <w:szCs w:val="21"/>
                <w:highlight w:val="none"/>
              </w:rPr>
              <w:t>。按产业、行业、地市等维度展示名义强度表。科技主管部门可评估企业研发投入强度在不同层面（企业、产业、行业、地市）的表现，通过对比不同层面的名义强度数据，了解研发投入强度的分布特征和差异情况。</w:t>
            </w:r>
          </w:p>
          <w:p>
            <w:pPr>
              <w:numPr>
                <w:ilvl w:val="0"/>
                <w:numId w:val="2"/>
              </w:numPr>
              <w:spacing w:line="440" w:lineRule="exact"/>
              <w:ind w:firstLine="420" w:firstLineChars="200"/>
              <w:outlineLvl w:val="2"/>
              <w:rPr>
                <w:rFonts w:eastAsia="宋体"/>
                <w:bCs/>
                <w:color w:val="auto"/>
                <w:szCs w:val="21"/>
                <w:highlight w:val="none"/>
              </w:rPr>
            </w:pPr>
            <w:r>
              <w:rPr>
                <w:rFonts w:eastAsia="宋体"/>
                <w:bCs/>
                <w:color w:val="auto"/>
                <w:szCs w:val="21"/>
                <w:highlight w:val="none"/>
              </w:rPr>
              <w:t>一系统</w:t>
            </w:r>
          </w:p>
          <w:p>
            <w:pPr>
              <w:tabs>
                <w:tab w:val="left" w:pos="0"/>
              </w:tabs>
              <w:spacing w:line="440" w:lineRule="exact"/>
              <w:ind w:firstLine="420" w:firstLineChars="200"/>
              <w:outlineLvl w:val="2"/>
              <w:rPr>
                <w:rFonts w:eastAsia="宋体"/>
                <w:color w:val="auto"/>
                <w:szCs w:val="21"/>
                <w:highlight w:val="none"/>
              </w:rPr>
            </w:pPr>
            <w:r>
              <w:rPr>
                <w:rFonts w:eastAsia="宋体"/>
                <w:color w:val="auto"/>
                <w:szCs w:val="21"/>
                <w:highlight w:val="none"/>
              </w:rPr>
              <w:t>建设广西科技项目监测分析系统，实现</w:t>
            </w:r>
            <w:r>
              <w:rPr>
                <w:rFonts w:eastAsia="宋体"/>
                <w:bCs/>
                <w:color w:val="auto"/>
                <w:szCs w:val="21"/>
                <w:highlight w:val="none"/>
              </w:rPr>
              <w:t>科研项目监管综合分析、科技数据统计分析和可视化展示、并通过智能化应用辅助智能客服、项目查重、专家指派、项目评审等业务开展</w:t>
            </w:r>
            <w:r>
              <w:rPr>
                <w:rFonts w:eastAsia="宋体"/>
                <w:color w:val="auto"/>
                <w:szCs w:val="21"/>
                <w:highlight w:val="none"/>
              </w:rPr>
              <w:t>。</w:t>
            </w:r>
          </w:p>
          <w:p>
            <w:pPr>
              <w:numPr>
                <w:ilvl w:val="1"/>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科研项目监管综合分析</w:t>
            </w:r>
          </w:p>
          <w:p>
            <w:pPr>
              <w:numPr>
                <w:ilvl w:val="0"/>
                <w:numId w:val="34"/>
              </w:numPr>
              <w:spacing w:line="440" w:lineRule="exact"/>
              <w:ind w:left="0" w:firstLine="420" w:firstLineChars="200"/>
              <w:rPr>
                <w:rFonts w:eastAsia="宋体"/>
                <w:color w:val="auto"/>
                <w:szCs w:val="21"/>
                <w:highlight w:val="none"/>
              </w:rPr>
            </w:pPr>
            <w:r>
              <w:rPr>
                <w:rFonts w:eastAsia="宋体"/>
                <w:color w:val="auto"/>
                <w:szCs w:val="21"/>
                <w:highlight w:val="none"/>
              </w:rPr>
              <w:t>项目管理过程信用风险监控。建立项目信用审查规则，在项目申报、立项、实施、验收等阶段，对项目人员、单位启动信用审查，对异常人员和单位进行预警标识；系统可查看审查详情。</w:t>
            </w:r>
          </w:p>
          <w:p>
            <w:pPr>
              <w:numPr>
                <w:ilvl w:val="0"/>
                <w:numId w:val="34"/>
              </w:numPr>
              <w:spacing w:line="440" w:lineRule="exact"/>
              <w:ind w:left="0" w:firstLine="420" w:firstLineChars="200"/>
              <w:rPr>
                <w:rFonts w:eastAsia="宋体"/>
                <w:color w:val="auto"/>
                <w:szCs w:val="21"/>
                <w:highlight w:val="none"/>
              </w:rPr>
            </w:pPr>
            <w:r>
              <w:rPr>
                <w:rFonts w:eastAsia="宋体"/>
                <w:color w:val="auto"/>
                <w:szCs w:val="21"/>
                <w:highlight w:val="none"/>
              </w:rPr>
              <w:t>项目科研经费使用风险监控。建立科研经费使用审查规则，当项目负责人录入的项目科研经费使用情况违反项目科研经费使用规则时，平台将拦截其填报的信息，并提示经费使用规则说明。</w:t>
            </w:r>
          </w:p>
          <w:p>
            <w:pPr>
              <w:numPr>
                <w:ilvl w:val="0"/>
                <w:numId w:val="34"/>
              </w:numPr>
              <w:spacing w:line="440" w:lineRule="exact"/>
              <w:ind w:left="0" w:firstLine="420" w:firstLineChars="200"/>
              <w:rPr>
                <w:rFonts w:eastAsia="宋体"/>
                <w:color w:val="auto"/>
                <w:szCs w:val="21"/>
                <w:highlight w:val="none"/>
              </w:rPr>
            </w:pPr>
            <w:r>
              <w:rPr>
                <w:rFonts w:eastAsia="宋体"/>
                <w:color w:val="auto"/>
                <w:szCs w:val="21"/>
                <w:highlight w:val="none"/>
              </w:rPr>
              <w:t>项目执行进度风险监控。建立项目执行进度风险评估规则，系统根据项目年度执行报告、中期检查报告、项目查定申请表、项目验收申请书等数据，评估项目执行总体情况，生成项目成果完成情况、经费使用情况报告；对执行进度异常的项目进行预警标识；系统可查看审查详情。</w:t>
            </w:r>
          </w:p>
          <w:p>
            <w:pPr>
              <w:numPr>
                <w:ilvl w:val="0"/>
                <w:numId w:val="34"/>
              </w:numPr>
              <w:spacing w:line="440" w:lineRule="exact"/>
              <w:ind w:left="0" w:firstLine="420" w:firstLineChars="200"/>
              <w:rPr>
                <w:rFonts w:eastAsia="宋体"/>
                <w:color w:val="auto"/>
                <w:szCs w:val="21"/>
                <w:highlight w:val="none"/>
              </w:rPr>
            </w:pPr>
            <w:r>
              <w:rPr>
                <w:rFonts w:eastAsia="宋体"/>
                <w:color w:val="auto"/>
                <w:szCs w:val="21"/>
                <w:highlight w:val="none"/>
              </w:rPr>
              <w:t>用户风险操作监控。建立用户风险操作识别规则，自动识别项目申报人员、评审专家、管理机构、验收机构、科技管理部门人员的风险操作行为，进行操作拦截，并提示风险操作规则说明。</w:t>
            </w:r>
          </w:p>
          <w:p>
            <w:pPr>
              <w:numPr>
                <w:ilvl w:val="1"/>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科技数据统计分析</w:t>
            </w:r>
          </w:p>
          <w:p>
            <w:pPr>
              <w:numPr>
                <w:ilvl w:val="0"/>
                <w:numId w:val="35"/>
              </w:numPr>
              <w:spacing w:line="440" w:lineRule="exact"/>
              <w:ind w:left="0" w:firstLine="420" w:firstLineChars="200"/>
              <w:rPr>
                <w:rFonts w:eastAsia="宋体"/>
                <w:color w:val="auto"/>
                <w:szCs w:val="21"/>
                <w:highlight w:val="none"/>
              </w:rPr>
            </w:pPr>
            <w:r>
              <w:rPr>
                <w:rFonts w:eastAsia="宋体"/>
                <w:color w:val="auto"/>
                <w:szCs w:val="21"/>
                <w:highlight w:val="none"/>
              </w:rPr>
              <w:t>数据抽取。关联广西计划项目管理子系统，抽取项目产出成果、科技项目等数据。</w:t>
            </w:r>
          </w:p>
          <w:p>
            <w:pPr>
              <w:numPr>
                <w:ilvl w:val="0"/>
                <w:numId w:val="35"/>
              </w:numPr>
              <w:spacing w:line="440" w:lineRule="exact"/>
              <w:ind w:left="0" w:firstLine="420" w:firstLineChars="200"/>
              <w:rPr>
                <w:rFonts w:eastAsia="宋体"/>
                <w:color w:val="auto"/>
                <w:szCs w:val="21"/>
                <w:highlight w:val="none"/>
              </w:rPr>
            </w:pPr>
            <w:r>
              <w:rPr>
                <w:rFonts w:eastAsia="宋体"/>
                <w:color w:val="auto"/>
                <w:szCs w:val="21"/>
                <w:highlight w:val="none"/>
              </w:rPr>
              <w:t>数据处理。实现数据清洗、转换、整合，可预设各类数据统计规则。</w:t>
            </w:r>
          </w:p>
          <w:p>
            <w:pPr>
              <w:numPr>
                <w:ilvl w:val="0"/>
                <w:numId w:val="35"/>
              </w:numPr>
              <w:spacing w:line="440" w:lineRule="exact"/>
              <w:ind w:left="0" w:firstLine="420" w:firstLineChars="200"/>
              <w:rPr>
                <w:rFonts w:eastAsia="宋体"/>
                <w:color w:val="auto"/>
                <w:szCs w:val="21"/>
                <w:highlight w:val="none"/>
              </w:rPr>
            </w:pPr>
            <w:r>
              <w:rPr>
                <w:rFonts w:eastAsia="宋体"/>
                <w:color w:val="auto"/>
                <w:szCs w:val="21"/>
                <w:highlight w:val="none"/>
              </w:rPr>
              <w:t>数据统计分析。①数据统计内容设置：可以统计科技项目申报、立项、验收等数据内容，也可以统计项目负责人、申报单位、评审专家等相关数据；②数据统计范围选定：科技项目数据统计范围可按项目类型、申报年度、单位性质、申报单位所在地区、项目推荐单位等条件确定；③数据统计维度选定：科技项目数据统计维度包括项目类型、申报年度、单位性质、申报单位所在地区、项目推荐单位等；④统计结果计算：平台数据统计内容、范围、维度，生成申报项目数据统计结果。</w:t>
            </w:r>
          </w:p>
          <w:p>
            <w:pPr>
              <w:numPr>
                <w:ilvl w:val="1"/>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数据可视化展示</w:t>
            </w:r>
          </w:p>
          <w:p>
            <w:pPr>
              <w:spacing w:line="440" w:lineRule="exact"/>
              <w:ind w:firstLine="420" w:firstLineChars="200"/>
              <w:rPr>
                <w:rFonts w:eastAsia="宋体"/>
                <w:color w:val="auto"/>
                <w:szCs w:val="21"/>
                <w:highlight w:val="none"/>
              </w:rPr>
            </w:pPr>
            <w:r>
              <w:rPr>
                <w:rFonts w:eastAsia="宋体"/>
                <w:color w:val="auto"/>
                <w:szCs w:val="21"/>
                <w:highlight w:val="none"/>
              </w:rPr>
              <w:t>实现科技项目管理、科技成果产出、科技经费使用等数据的可视化展示</w:t>
            </w:r>
            <w:r>
              <w:rPr>
                <w:rFonts w:hint="eastAsia" w:eastAsia="宋体"/>
                <w:color w:val="auto"/>
                <w:szCs w:val="21"/>
                <w:highlight w:val="none"/>
                <w:lang w:eastAsia="zh-CN"/>
              </w:rPr>
              <w:t>，</w:t>
            </w:r>
            <w:r>
              <w:rPr>
                <w:rFonts w:eastAsia="宋体"/>
                <w:color w:val="auto"/>
                <w:szCs w:val="21"/>
                <w:highlight w:val="none"/>
              </w:rPr>
              <w:t>打造广西科技创新发展成果数据看板，具体包括：</w:t>
            </w:r>
          </w:p>
          <w:p>
            <w:pPr>
              <w:numPr>
                <w:ilvl w:val="0"/>
                <w:numId w:val="36"/>
              </w:numPr>
              <w:spacing w:line="440" w:lineRule="exact"/>
              <w:ind w:left="0" w:firstLine="420" w:firstLineChars="200"/>
              <w:rPr>
                <w:rFonts w:eastAsia="宋体"/>
                <w:color w:val="auto"/>
                <w:szCs w:val="21"/>
                <w:highlight w:val="none"/>
              </w:rPr>
            </w:pPr>
            <w:r>
              <w:rPr>
                <w:rFonts w:eastAsia="宋体"/>
                <w:color w:val="auto"/>
                <w:szCs w:val="21"/>
                <w:highlight w:val="none"/>
              </w:rPr>
              <w:t>数据</w:t>
            </w:r>
            <w:r>
              <w:rPr>
                <w:rFonts w:eastAsia="宋体"/>
                <w:bCs/>
                <w:color w:val="auto"/>
                <w:szCs w:val="21"/>
                <w:highlight w:val="none"/>
              </w:rPr>
              <w:t>图形化</w:t>
            </w:r>
            <w:r>
              <w:rPr>
                <w:rFonts w:eastAsia="宋体"/>
                <w:color w:val="auto"/>
                <w:szCs w:val="21"/>
                <w:highlight w:val="none"/>
              </w:rPr>
              <w:t>模块。支持饼图、柱状图、地图等数据展示方式，可灵活配置各数据</w:t>
            </w:r>
            <w:r>
              <w:rPr>
                <w:rFonts w:eastAsia="宋体"/>
                <w:bCs/>
                <w:color w:val="auto"/>
                <w:szCs w:val="21"/>
                <w:highlight w:val="none"/>
              </w:rPr>
              <w:t>图形化</w:t>
            </w:r>
            <w:r>
              <w:rPr>
                <w:rFonts w:eastAsia="宋体"/>
                <w:color w:val="auto"/>
                <w:szCs w:val="21"/>
                <w:highlight w:val="none"/>
              </w:rPr>
              <w:t>模块数据展示方式和展示内容。</w:t>
            </w:r>
          </w:p>
          <w:p>
            <w:pPr>
              <w:numPr>
                <w:ilvl w:val="0"/>
                <w:numId w:val="36"/>
              </w:numPr>
              <w:spacing w:line="440" w:lineRule="exact"/>
              <w:ind w:left="0" w:firstLine="420" w:firstLineChars="200"/>
              <w:rPr>
                <w:rFonts w:eastAsia="宋体"/>
                <w:color w:val="auto"/>
                <w:szCs w:val="21"/>
                <w:highlight w:val="none"/>
              </w:rPr>
            </w:pPr>
            <w:r>
              <w:rPr>
                <w:rFonts w:eastAsia="宋体"/>
                <w:color w:val="auto"/>
                <w:szCs w:val="21"/>
                <w:highlight w:val="none"/>
              </w:rPr>
              <w:t>图表钻取。</w:t>
            </w:r>
            <w:r>
              <w:rPr>
                <w:rFonts w:eastAsia="宋体"/>
                <w:bCs/>
                <w:color w:val="auto"/>
                <w:szCs w:val="21"/>
                <w:highlight w:val="none"/>
              </w:rPr>
              <w:t>建立图表与数据列表的交互联动，可点击图表，进一步查看图表各部分对应的详细数据，支持数据导出。</w:t>
            </w:r>
          </w:p>
          <w:p>
            <w:pPr>
              <w:numPr>
                <w:ilvl w:val="0"/>
                <w:numId w:val="36"/>
              </w:numPr>
              <w:spacing w:line="440" w:lineRule="exact"/>
              <w:ind w:left="0" w:firstLine="420" w:firstLineChars="200"/>
              <w:rPr>
                <w:rFonts w:hint="default" w:eastAsia="宋体"/>
                <w:bCs/>
                <w:color w:val="auto"/>
                <w:szCs w:val="21"/>
                <w:highlight w:val="none"/>
                <w:lang w:val="en-US" w:eastAsia="zh-CN"/>
              </w:rPr>
            </w:pPr>
            <w:r>
              <w:rPr>
                <w:rFonts w:eastAsia="宋体"/>
                <w:bCs/>
                <w:color w:val="auto"/>
                <w:szCs w:val="21"/>
                <w:highlight w:val="none"/>
              </w:rPr>
              <w:t>数据分析报告。生成数据分析结论，对于异常数据做出预警提示，可汇总形成数据分析报告。</w:t>
            </w:r>
          </w:p>
          <w:p>
            <w:pPr>
              <w:numPr>
                <w:ilvl w:val="1"/>
                <w:numId w:val="2"/>
              </w:numPr>
              <w:tabs>
                <w:tab w:val="left" w:pos="0"/>
              </w:tabs>
              <w:spacing w:line="440" w:lineRule="exact"/>
              <w:ind w:left="0" w:firstLine="420" w:firstLineChars="200"/>
              <w:outlineLvl w:val="2"/>
              <w:rPr>
                <w:rFonts w:eastAsia="宋体"/>
                <w:bCs/>
                <w:color w:val="auto"/>
                <w:szCs w:val="21"/>
                <w:highlight w:val="none"/>
              </w:rPr>
            </w:pPr>
            <w:r>
              <w:rPr>
                <w:rFonts w:eastAsia="宋体"/>
                <w:bCs/>
                <w:color w:val="auto"/>
                <w:szCs w:val="21"/>
                <w:highlight w:val="none"/>
              </w:rPr>
              <w:t>智能化应用</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智能客服</w:t>
            </w:r>
          </w:p>
          <w:p>
            <w:pPr>
              <w:numPr>
                <w:ilvl w:val="0"/>
                <w:numId w:val="37"/>
              </w:numPr>
              <w:spacing w:line="440" w:lineRule="exact"/>
              <w:ind w:left="0" w:firstLine="420" w:firstLineChars="200"/>
              <w:rPr>
                <w:rFonts w:eastAsia="宋体"/>
                <w:bCs/>
                <w:color w:val="auto"/>
                <w:szCs w:val="21"/>
                <w:highlight w:val="none"/>
              </w:rPr>
            </w:pPr>
            <w:r>
              <w:rPr>
                <w:rFonts w:eastAsia="宋体"/>
                <w:bCs/>
                <w:color w:val="auto"/>
                <w:szCs w:val="21"/>
                <w:highlight w:val="none"/>
              </w:rPr>
              <w:t>用户可在门户、各业务子系统页面找到智能客服入口，智能客服可接收处理用户输入的自然语言形式的问题。</w:t>
            </w:r>
          </w:p>
          <w:p>
            <w:pPr>
              <w:numPr>
                <w:ilvl w:val="0"/>
                <w:numId w:val="37"/>
              </w:numPr>
              <w:spacing w:line="440" w:lineRule="exact"/>
              <w:ind w:left="0" w:firstLine="420" w:firstLineChars="200"/>
              <w:rPr>
                <w:rFonts w:eastAsia="宋体"/>
                <w:bCs/>
                <w:color w:val="auto"/>
                <w:szCs w:val="21"/>
                <w:highlight w:val="none"/>
              </w:rPr>
            </w:pPr>
            <w:r>
              <w:rPr>
                <w:rFonts w:eastAsia="宋体"/>
                <w:bCs/>
                <w:color w:val="auto"/>
                <w:szCs w:val="21"/>
                <w:highlight w:val="none"/>
              </w:rPr>
              <w:t>构建行业知识库，覆盖系统操作指导、科技政策解读等业务知识；可根据导入的系统操作指导、科技政策解读的文档自动解析，生成结构化问答对，并提供问答对的增删改查功能。</w:t>
            </w:r>
          </w:p>
          <w:p>
            <w:pPr>
              <w:numPr>
                <w:ilvl w:val="0"/>
                <w:numId w:val="37"/>
              </w:numPr>
              <w:spacing w:line="440" w:lineRule="exact"/>
              <w:ind w:left="0" w:firstLine="420" w:firstLineChars="200"/>
              <w:rPr>
                <w:rFonts w:eastAsia="宋体"/>
                <w:bCs/>
                <w:color w:val="auto"/>
                <w:szCs w:val="21"/>
                <w:highlight w:val="none"/>
              </w:rPr>
            </w:pPr>
            <w:r>
              <w:rPr>
                <w:rFonts w:eastAsia="宋体"/>
                <w:bCs/>
                <w:color w:val="auto"/>
                <w:szCs w:val="21"/>
                <w:highlight w:val="none"/>
              </w:rPr>
              <w:t>根据用户提问，智能客服可快速从知识库中查找信息，构建准确、简洁的答案，反馈用户。回答内容包括操作图示指引、文字说明、视频讲解、帮助文档等形式。对于用户咨询申报表单填写类的问题，可对各业务填写内容进行说明，提供填写范例。对用户政策咨询类的问题，可汇总整理政策解读，用户可查看相关政策来源。</w:t>
            </w:r>
          </w:p>
          <w:p>
            <w:pPr>
              <w:numPr>
                <w:ilvl w:val="0"/>
                <w:numId w:val="37"/>
              </w:numPr>
              <w:spacing w:line="440" w:lineRule="exact"/>
              <w:ind w:left="0" w:firstLine="420" w:firstLineChars="200"/>
              <w:rPr>
                <w:rFonts w:eastAsia="宋体"/>
                <w:bCs/>
                <w:color w:val="auto"/>
                <w:szCs w:val="21"/>
                <w:highlight w:val="none"/>
              </w:rPr>
            </w:pPr>
            <w:r>
              <w:rPr>
                <w:rFonts w:eastAsia="宋体"/>
                <w:bCs/>
                <w:color w:val="auto"/>
                <w:szCs w:val="21"/>
                <w:highlight w:val="none"/>
              </w:rPr>
              <w:t>对于用户要求接入人工客服的需求，支持人工坐席无缝转接。</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智能查重</w:t>
            </w:r>
          </w:p>
          <w:p>
            <w:pPr>
              <w:numPr>
                <w:ilvl w:val="0"/>
                <w:numId w:val="38"/>
              </w:numPr>
              <w:spacing w:line="440" w:lineRule="exact"/>
              <w:ind w:left="0" w:firstLine="420" w:firstLineChars="200"/>
              <w:rPr>
                <w:rFonts w:eastAsia="宋体"/>
                <w:color w:val="auto"/>
                <w:szCs w:val="21"/>
                <w:highlight w:val="none"/>
              </w:rPr>
            </w:pPr>
            <w:r>
              <w:rPr>
                <w:rFonts w:eastAsia="宋体"/>
                <w:color w:val="auto"/>
                <w:szCs w:val="21"/>
                <w:highlight w:val="none"/>
              </w:rPr>
              <w:t>项目查重。将待查项目与已立项项目进行查重分析，根据待查项目研究内容、创新点等填报信息，展示与待查项目有重复性内容的已立项项目清单。</w:t>
            </w:r>
          </w:p>
          <w:p>
            <w:pPr>
              <w:numPr>
                <w:ilvl w:val="0"/>
                <w:numId w:val="38"/>
              </w:numPr>
              <w:spacing w:line="440" w:lineRule="exact"/>
              <w:ind w:left="0" w:firstLine="420" w:firstLineChars="200"/>
              <w:rPr>
                <w:rFonts w:eastAsia="宋体"/>
                <w:color w:val="auto"/>
                <w:szCs w:val="21"/>
                <w:highlight w:val="none"/>
              </w:rPr>
            </w:pPr>
            <w:r>
              <w:rPr>
                <w:rFonts w:eastAsia="宋体"/>
                <w:color w:val="auto"/>
                <w:szCs w:val="21"/>
                <w:highlight w:val="none"/>
              </w:rPr>
              <w:t>材料查重。可检查待查项目的可行性研究报告、阶段性研究报告、结题报告等材料与已立项项目的相关材料进行查重分析，精准识别抄袭、剽窃、过度借鉴等问题，为立项评审、验收提供决策依据。</w:t>
            </w:r>
          </w:p>
          <w:p>
            <w:pPr>
              <w:numPr>
                <w:ilvl w:val="0"/>
                <w:numId w:val="38"/>
              </w:numPr>
              <w:spacing w:line="440" w:lineRule="exact"/>
              <w:ind w:left="0" w:firstLine="420" w:firstLineChars="200"/>
              <w:rPr>
                <w:rFonts w:eastAsia="宋体"/>
                <w:color w:val="auto"/>
                <w:szCs w:val="21"/>
                <w:highlight w:val="none"/>
              </w:rPr>
            </w:pPr>
            <w:r>
              <w:rPr>
                <w:rFonts w:eastAsia="宋体"/>
                <w:color w:val="auto"/>
                <w:szCs w:val="21"/>
                <w:highlight w:val="none"/>
              </w:rPr>
              <w:t>可基于语义进行相似度查重分析。</w:t>
            </w:r>
          </w:p>
          <w:p>
            <w:pPr>
              <w:numPr>
                <w:ilvl w:val="0"/>
                <w:numId w:val="38"/>
              </w:numPr>
              <w:spacing w:line="440" w:lineRule="exact"/>
              <w:ind w:left="0" w:firstLine="420" w:firstLineChars="200"/>
              <w:rPr>
                <w:rFonts w:eastAsia="宋体"/>
                <w:color w:val="auto"/>
                <w:szCs w:val="21"/>
                <w:highlight w:val="none"/>
              </w:rPr>
            </w:pPr>
            <w:r>
              <w:rPr>
                <w:rFonts w:eastAsia="宋体"/>
                <w:color w:val="auto"/>
                <w:szCs w:val="21"/>
                <w:highlight w:val="none"/>
              </w:rPr>
              <w:t>查重报告生成。根据项目查重、材料查重结果，生成完整的查重报告，报告标注待查项目中的重复内容，与待查项目有重复性内容的已立项项目信息，计算相似度。</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智能专家抽取</w:t>
            </w:r>
          </w:p>
          <w:p>
            <w:pPr>
              <w:numPr>
                <w:ilvl w:val="0"/>
                <w:numId w:val="39"/>
              </w:numPr>
              <w:spacing w:line="440" w:lineRule="exact"/>
              <w:ind w:left="0" w:firstLine="420" w:firstLineChars="200"/>
              <w:rPr>
                <w:rFonts w:eastAsia="宋体"/>
                <w:color w:val="auto"/>
                <w:szCs w:val="21"/>
                <w:highlight w:val="none"/>
              </w:rPr>
            </w:pPr>
            <w:r>
              <w:rPr>
                <w:rFonts w:eastAsia="宋体"/>
                <w:color w:val="auto"/>
                <w:szCs w:val="21"/>
                <w:highlight w:val="none"/>
              </w:rPr>
              <w:t>构建专家画像：根据专家论文、专利、项目评审记录等信息，构建专家动态画像。</w:t>
            </w:r>
          </w:p>
          <w:p>
            <w:pPr>
              <w:numPr>
                <w:ilvl w:val="0"/>
                <w:numId w:val="39"/>
              </w:numPr>
              <w:spacing w:line="440" w:lineRule="exact"/>
              <w:ind w:left="0" w:firstLine="420" w:firstLineChars="200"/>
              <w:rPr>
                <w:rFonts w:eastAsia="宋体"/>
                <w:color w:val="auto"/>
                <w:szCs w:val="21"/>
                <w:highlight w:val="none"/>
              </w:rPr>
            </w:pPr>
            <w:r>
              <w:rPr>
                <w:rFonts w:eastAsia="宋体"/>
                <w:color w:val="auto"/>
                <w:szCs w:val="21"/>
                <w:highlight w:val="none"/>
              </w:rPr>
              <w:t>专家抽取：</w:t>
            </w:r>
          </w:p>
          <w:p>
            <w:pPr>
              <w:spacing w:line="440" w:lineRule="exact"/>
              <w:ind w:firstLine="420" w:firstLineChars="200"/>
              <w:rPr>
                <w:rFonts w:eastAsia="宋体"/>
                <w:color w:val="auto"/>
                <w:szCs w:val="21"/>
                <w:highlight w:val="none"/>
              </w:rPr>
            </w:pPr>
            <w:r>
              <w:rPr>
                <w:rFonts w:eastAsia="宋体"/>
                <w:color w:val="auto"/>
                <w:szCs w:val="21"/>
                <w:highlight w:val="none"/>
              </w:rPr>
              <w:t>构建多维匹配算法：基于项目关键词、学科、技术领域等项目信息，通过专家研究方向、专家历史评审质量、专家对评审任务响应率等维度，构建匹配算法，计算专家匹配度</w:t>
            </w:r>
            <w:r>
              <w:rPr>
                <w:rFonts w:hint="eastAsia" w:eastAsia="宋体"/>
                <w:color w:val="auto"/>
                <w:szCs w:val="21"/>
                <w:highlight w:val="none"/>
              </w:rPr>
              <w:t>，支持基于自然语言方式抽取专家。</w:t>
            </w:r>
          </w:p>
          <w:p>
            <w:pPr>
              <w:spacing w:line="440" w:lineRule="exact"/>
              <w:ind w:firstLine="420" w:firstLineChars="200"/>
              <w:rPr>
                <w:rFonts w:eastAsia="宋体"/>
                <w:color w:val="auto"/>
                <w:szCs w:val="21"/>
                <w:highlight w:val="none"/>
              </w:rPr>
            </w:pPr>
            <w:r>
              <w:rPr>
                <w:rFonts w:eastAsia="宋体"/>
                <w:color w:val="auto"/>
                <w:szCs w:val="21"/>
                <w:highlight w:val="none"/>
              </w:rPr>
              <w:t>负载均衡算法：根据专家资历、已参评数量等情况，限制专家年度评审项目数。多轮次邀请：首轮邀请未响应者或拒评者，在指定时间后启动备选专家名单。</w:t>
            </w:r>
          </w:p>
          <w:p>
            <w:pPr>
              <w:spacing w:line="440" w:lineRule="exact"/>
              <w:ind w:firstLine="420" w:firstLineChars="200"/>
              <w:rPr>
                <w:rFonts w:eastAsia="宋体"/>
                <w:color w:val="auto"/>
                <w:szCs w:val="21"/>
                <w:highlight w:val="none"/>
              </w:rPr>
            </w:pPr>
            <w:r>
              <w:rPr>
                <w:rFonts w:eastAsia="宋体"/>
                <w:color w:val="auto"/>
                <w:szCs w:val="21"/>
                <w:highlight w:val="none"/>
              </w:rPr>
              <w:t>评审组智能构建：按“领域匹配度+学术资历+单位类型”生成多元化评审组。</w:t>
            </w:r>
          </w:p>
          <w:p>
            <w:pPr>
              <w:spacing w:line="440" w:lineRule="exact"/>
              <w:ind w:firstLine="420" w:firstLineChars="200"/>
              <w:rPr>
                <w:rFonts w:hint="default" w:eastAsia="宋体"/>
                <w:color w:val="auto"/>
                <w:szCs w:val="21"/>
                <w:highlight w:val="none"/>
                <w:lang w:val="en-US" w:eastAsia="zh-CN"/>
              </w:rPr>
            </w:pPr>
            <w:r>
              <w:rPr>
                <w:rFonts w:hint="eastAsia" w:eastAsia="宋体"/>
                <w:color w:val="auto"/>
                <w:szCs w:val="21"/>
                <w:highlight w:val="none"/>
                <w:lang w:val="en-US" w:eastAsia="zh-CN"/>
              </w:rPr>
              <w:t>专家权重计算：根据专家参评率、历史评价数据、专家活跃度等，构建专家权重计算体系，计算专家抽取权重分值。</w:t>
            </w:r>
          </w:p>
          <w:p>
            <w:pPr>
              <w:numPr>
                <w:ilvl w:val="0"/>
                <w:numId w:val="39"/>
              </w:numPr>
              <w:spacing w:line="440" w:lineRule="exact"/>
              <w:ind w:left="0" w:firstLine="420" w:firstLineChars="200"/>
              <w:rPr>
                <w:rFonts w:eastAsia="宋体"/>
                <w:color w:val="auto"/>
                <w:szCs w:val="21"/>
                <w:highlight w:val="none"/>
              </w:rPr>
            </w:pPr>
            <w:r>
              <w:rPr>
                <w:rFonts w:eastAsia="宋体"/>
                <w:color w:val="auto"/>
                <w:szCs w:val="21"/>
                <w:highlight w:val="none"/>
              </w:rPr>
              <w:t>专家规避：</w:t>
            </w:r>
          </w:p>
          <w:p>
            <w:pPr>
              <w:spacing w:line="440" w:lineRule="exact"/>
              <w:ind w:firstLine="420" w:firstLineChars="200"/>
              <w:rPr>
                <w:rFonts w:eastAsia="宋体"/>
                <w:color w:val="auto"/>
                <w:szCs w:val="21"/>
                <w:highlight w:val="none"/>
              </w:rPr>
            </w:pPr>
            <w:r>
              <w:rPr>
                <w:rFonts w:eastAsia="宋体"/>
                <w:color w:val="auto"/>
                <w:szCs w:val="21"/>
                <w:highlight w:val="none"/>
              </w:rPr>
              <w:t>机构关联检测：排除与申报单位存在隶属/合作关系的专家。</w:t>
            </w:r>
          </w:p>
          <w:p>
            <w:pPr>
              <w:spacing w:line="440" w:lineRule="exact"/>
              <w:ind w:firstLine="420" w:firstLineChars="200"/>
              <w:rPr>
                <w:rFonts w:eastAsia="宋体"/>
                <w:color w:val="auto"/>
                <w:szCs w:val="21"/>
                <w:highlight w:val="none"/>
              </w:rPr>
            </w:pPr>
            <w:r>
              <w:rPr>
                <w:rFonts w:eastAsia="宋体"/>
                <w:color w:val="auto"/>
                <w:szCs w:val="21"/>
                <w:highlight w:val="none"/>
              </w:rPr>
              <w:t>学术关系检测：筛查近5年合作论文、专利共同作者。</w:t>
            </w:r>
          </w:p>
          <w:p>
            <w:pPr>
              <w:spacing w:line="440" w:lineRule="exact"/>
              <w:ind w:firstLine="420" w:firstLineChars="200"/>
              <w:rPr>
                <w:rFonts w:eastAsia="宋体"/>
                <w:color w:val="auto"/>
                <w:szCs w:val="21"/>
                <w:highlight w:val="none"/>
              </w:rPr>
            </w:pPr>
            <w:r>
              <w:rPr>
                <w:rFonts w:eastAsia="宋体"/>
                <w:color w:val="auto"/>
                <w:szCs w:val="21"/>
                <w:highlight w:val="none"/>
              </w:rPr>
              <w:t>项目竞争检测：识别专家正在参与同类竞争性项目。</w:t>
            </w:r>
          </w:p>
          <w:p>
            <w:pPr>
              <w:spacing w:line="440" w:lineRule="exact"/>
              <w:ind w:firstLine="420" w:firstLineChars="200"/>
              <w:rPr>
                <w:rFonts w:eastAsia="宋体"/>
                <w:color w:val="auto"/>
                <w:szCs w:val="21"/>
                <w:highlight w:val="none"/>
              </w:rPr>
            </w:pPr>
            <w:r>
              <w:rPr>
                <w:rFonts w:eastAsia="宋体"/>
                <w:color w:val="auto"/>
                <w:szCs w:val="21"/>
                <w:highlight w:val="none"/>
              </w:rPr>
              <w:t>动态黑名单：标记存在学术不端记录的专家，自动回避。</w:t>
            </w:r>
          </w:p>
          <w:p>
            <w:pPr>
              <w:spacing w:line="440" w:lineRule="exact"/>
              <w:ind w:firstLine="420" w:firstLineChars="200"/>
              <w:rPr>
                <w:rFonts w:eastAsia="宋体"/>
                <w:color w:val="auto"/>
                <w:szCs w:val="21"/>
                <w:highlight w:val="none"/>
              </w:rPr>
            </w:pPr>
            <w:r>
              <w:rPr>
                <w:rFonts w:eastAsia="宋体"/>
                <w:color w:val="auto"/>
                <w:szCs w:val="21"/>
                <w:highlight w:val="none"/>
              </w:rPr>
              <w:t>地域平衡策略：避免单一地区专家占比过高。</w:t>
            </w:r>
          </w:p>
          <w:p>
            <w:pPr>
              <w:numPr>
                <w:ilvl w:val="0"/>
                <w:numId w:val="39"/>
              </w:numPr>
              <w:spacing w:line="440" w:lineRule="exact"/>
              <w:ind w:left="0" w:firstLine="420" w:firstLineChars="200"/>
              <w:rPr>
                <w:rFonts w:eastAsia="宋体"/>
                <w:color w:val="auto"/>
                <w:szCs w:val="21"/>
                <w:highlight w:val="none"/>
              </w:rPr>
            </w:pPr>
            <w:r>
              <w:rPr>
                <w:rFonts w:eastAsia="宋体"/>
                <w:color w:val="auto"/>
                <w:szCs w:val="21"/>
                <w:highlight w:val="none"/>
              </w:rPr>
              <w:t>智能通知：专家指派后，系统构建邀请短信、邮件的通知内容，并按指定的时间节点发送。</w:t>
            </w:r>
          </w:p>
          <w:p>
            <w:pPr>
              <w:numPr>
                <w:ilvl w:val="0"/>
                <w:numId w:val="39"/>
              </w:numPr>
              <w:spacing w:line="440" w:lineRule="exact"/>
              <w:ind w:left="0" w:firstLine="420" w:firstLineChars="200"/>
              <w:rPr>
                <w:rFonts w:eastAsia="宋体"/>
                <w:color w:val="auto"/>
                <w:szCs w:val="21"/>
                <w:highlight w:val="none"/>
              </w:rPr>
            </w:pPr>
            <w:r>
              <w:rPr>
                <w:rFonts w:eastAsia="宋体"/>
                <w:color w:val="auto"/>
                <w:szCs w:val="21"/>
                <w:highlight w:val="none"/>
              </w:rPr>
              <w:t>“僵尸专家”识别：连续多次不响应或拒评者，降权处理。</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智能</w:t>
            </w:r>
            <w:r>
              <w:rPr>
                <w:rFonts w:hint="eastAsia" w:eastAsia="宋体"/>
                <w:color w:val="auto"/>
                <w:szCs w:val="21"/>
                <w:highlight w:val="none"/>
                <w:lang w:val="en-US" w:eastAsia="zh-CN"/>
              </w:rPr>
              <w:t>审核</w:t>
            </w:r>
          </w:p>
          <w:p>
            <w:pPr>
              <w:spacing w:line="440" w:lineRule="exact"/>
              <w:ind w:firstLine="420" w:firstLineChars="200"/>
              <w:rPr>
                <w:rFonts w:eastAsia="宋体"/>
                <w:color w:val="auto"/>
                <w:szCs w:val="21"/>
                <w:highlight w:val="none"/>
              </w:rPr>
            </w:pPr>
            <w:r>
              <w:rPr>
                <w:rFonts w:eastAsia="宋体"/>
                <w:color w:val="auto"/>
                <w:szCs w:val="21"/>
                <w:highlight w:val="none"/>
              </w:rPr>
              <w:t>在科技项目</w:t>
            </w:r>
            <w:r>
              <w:rPr>
                <w:rFonts w:hint="eastAsia" w:eastAsia="宋体"/>
                <w:color w:val="auto"/>
                <w:szCs w:val="21"/>
                <w:highlight w:val="none"/>
                <w:lang w:val="en-US" w:eastAsia="zh-CN"/>
              </w:rPr>
              <w:t>审核、</w:t>
            </w:r>
            <w:r>
              <w:rPr>
                <w:rFonts w:eastAsia="宋体"/>
                <w:color w:val="auto"/>
                <w:szCs w:val="21"/>
                <w:highlight w:val="none"/>
              </w:rPr>
              <w:t>评审</w:t>
            </w:r>
            <w:r>
              <w:rPr>
                <w:rFonts w:hint="eastAsia" w:eastAsia="宋体"/>
                <w:color w:val="auto"/>
                <w:szCs w:val="21"/>
                <w:highlight w:val="none"/>
                <w:lang w:val="en-US" w:eastAsia="zh-CN"/>
              </w:rPr>
              <w:t>环节</w:t>
            </w:r>
            <w:r>
              <w:rPr>
                <w:rFonts w:eastAsia="宋体"/>
                <w:color w:val="auto"/>
                <w:szCs w:val="21"/>
                <w:highlight w:val="none"/>
              </w:rPr>
              <w:t>，可提供智能</w:t>
            </w:r>
            <w:r>
              <w:rPr>
                <w:rFonts w:hint="eastAsia" w:eastAsia="宋体"/>
                <w:color w:val="auto"/>
                <w:szCs w:val="21"/>
                <w:highlight w:val="none"/>
                <w:lang w:val="en-US" w:eastAsia="zh-CN"/>
              </w:rPr>
              <w:t>审核</w:t>
            </w:r>
            <w:r>
              <w:rPr>
                <w:rFonts w:eastAsia="宋体"/>
                <w:color w:val="auto"/>
                <w:szCs w:val="21"/>
                <w:highlight w:val="none"/>
              </w:rPr>
              <w:t>功能，辅助</w:t>
            </w:r>
            <w:r>
              <w:rPr>
                <w:rFonts w:hint="eastAsia" w:eastAsia="宋体"/>
                <w:color w:val="auto"/>
                <w:szCs w:val="21"/>
                <w:highlight w:val="none"/>
                <w:lang w:val="en-US" w:eastAsia="zh-CN"/>
              </w:rPr>
              <w:t>管理人员、</w:t>
            </w:r>
            <w:r>
              <w:rPr>
                <w:rFonts w:eastAsia="宋体"/>
                <w:color w:val="auto"/>
                <w:szCs w:val="21"/>
                <w:highlight w:val="none"/>
              </w:rPr>
              <w:t>评审专家高效开展</w:t>
            </w:r>
            <w:r>
              <w:rPr>
                <w:rFonts w:hint="eastAsia" w:eastAsia="宋体"/>
                <w:color w:val="auto"/>
                <w:szCs w:val="21"/>
                <w:highlight w:val="none"/>
                <w:lang w:val="en-US" w:eastAsia="zh-CN"/>
              </w:rPr>
              <w:t>项目审核、</w:t>
            </w:r>
            <w:r>
              <w:rPr>
                <w:rFonts w:eastAsia="宋体"/>
                <w:color w:val="auto"/>
                <w:szCs w:val="21"/>
                <w:highlight w:val="none"/>
              </w:rPr>
              <w:t>评审工作。</w:t>
            </w:r>
          </w:p>
          <w:p>
            <w:pPr>
              <w:spacing w:line="440" w:lineRule="exact"/>
              <w:ind w:firstLine="420" w:firstLineChars="200"/>
              <w:rPr>
                <w:rFonts w:eastAsia="宋体"/>
                <w:color w:val="auto"/>
                <w:szCs w:val="21"/>
                <w:highlight w:val="none"/>
              </w:rPr>
            </w:pPr>
            <w:r>
              <w:rPr>
                <w:rFonts w:hint="eastAsia" w:eastAsia="宋体"/>
                <w:color w:val="auto"/>
                <w:szCs w:val="21"/>
                <w:highlight w:val="none"/>
              </w:rPr>
              <w:t>（1）项目综合评估报告：系统根据项目申报书内容，从技术路线、创新性、方案可行性等方面进行综合评估，生成项目综合评估报告。</w:t>
            </w:r>
          </w:p>
          <w:p>
            <w:pPr>
              <w:spacing w:line="440" w:lineRule="exact"/>
              <w:ind w:firstLine="420" w:firstLineChars="200"/>
              <w:rPr>
                <w:rFonts w:eastAsia="宋体"/>
                <w:color w:val="auto"/>
                <w:szCs w:val="21"/>
                <w:highlight w:val="none"/>
              </w:rPr>
            </w:pPr>
            <w:r>
              <w:rPr>
                <w:rFonts w:hint="eastAsia" w:eastAsia="宋体"/>
                <w:color w:val="auto"/>
                <w:szCs w:val="21"/>
                <w:highlight w:val="none"/>
              </w:rPr>
              <w:t>（2）项目智能问答功能：可为</w:t>
            </w:r>
            <w:r>
              <w:rPr>
                <w:rFonts w:hint="eastAsia" w:eastAsia="宋体"/>
                <w:color w:val="auto"/>
                <w:szCs w:val="21"/>
                <w:highlight w:val="none"/>
                <w:lang w:val="en-US" w:eastAsia="zh-CN"/>
              </w:rPr>
              <w:t>管理人员、</w:t>
            </w:r>
            <w:r>
              <w:rPr>
                <w:rFonts w:hint="eastAsia" w:eastAsia="宋体"/>
                <w:color w:val="auto"/>
                <w:szCs w:val="21"/>
                <w:highlight w:val="none"/>
              </w:rPr>
              <w:t>评审专家提供基于自然语言方式的项目内容智能问答功能，</w:t>
            </w:r>
            <w:r>
              <w:rPr>
                <w:rFonts w:hint="eastAsia" w:eastAsia="宋体"/>
                <w:color w:val="auto"/>
                <w:szCs w:val="21"/>
                <w:highlight w:val="none"/>
                <w:lang w:val="en-US" w:eastAsia="zh-CN"/>
              </w:rPr>
              <w:t>管理人员、</w:t>
            </w:r>
            <w:r>
              <w:rPr>
                <w:rFonts w:hint="eastAsia" w:eastAsia="宋体"/>
                <w:color w:val="auto"/>
                <w:szCs w:val="21"/>
                <w:highlight w:val="none"/>
              </w:rPr>
              <w:t>评审专家可通过本功能快速获取项目内容，</w:t>
            </w:r>
            <w:r>
              <w:rPr>
                <w:rFonts w:eastAsia="宋体"/>
                <w:color w:val="auto"/>
                <w:szCs w:val="21"/>
                <w:highlight w:val="none"/>
              </w:rPr>
              <w:t>辅助</w:t>
            </w:r>
            <w:r>
              <w:rPr>
                <w:rFonts w:hint="eastAsia" w:eastAsia="宋体"/>
                <w:color w:val="auto"/>
                <w:szCs w:val="21"/>
                <w:highlight w:val="none"/>
                <w:lang w:val="en-US" w:eastAsia="zh-CN"/>
              </w:rPr>
              <w:t>管理人员、</w:t>
            </w:r>
            <w:r>
              <w:rPr>
                <w:rFonts w:eastAsia="宋体"/>
                <w:color w:val="auto"/>
                <w:szCs w:val="21"/>
                <w:highlight w:val="none"/>
              </w:rPr>
              <w:t>评审专家高效开展</w:t>
            </w:r>
            <w:r>
              <w:rPr>
                <w:rFonts w:hint="eastAsia" w:eastAsia="宋体"/>
                <w:color w:val="auto"/>
                <w:szCs w:val="21"/>
                <w:highlight w:val="none"/>
                <w:lang w:val="en-US" w:eastAsia="zh-CN"/>
              </w:rPr>
              <w:t>项目审核、</w:t>
            </w:r>
            <w:r>
              <w:rPr>
                <w:rFonts w:eastAsia="宋体"/>
                <w:color w:val="auto"/>
                <w:szCs w:val="21"/>
                <w:highlight w:val="none"/>
              </w:rPr>
              <w:t>评审工作</w:t>
            </w:r>
            <w:r>
              <w:rPr>
                <w:rFonts w:hint="eastAsia" w:eastAsia="宋体"/>
                <w:color w:val="auto"/>
                <w:szCs w:val="21"/>
                <w:highlight w:val="none"/>
              </w:rPr>
              <w:t>。</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智能结题</w:t>
            </w:r>
          </w:p>
          <w:p>
            <w:pPr>
              <w:spacing w:line="440" w:lineRule="exact"/>
              <w:ind w:firstLine="420" w:firstLineChars="200"/>
              <w:rPr>
                <w:rFonts w:eastAsia="宋体"/>
                <w:color w:val="auto"/>
                <w:szCs w:val="21"/>
                <w:highlight w:val="none"/>
              </w:rPr>
            </w:pPr>
            <w:r>
              <w:rPr>
                <w:rFonts w:eastAsia="宋体"/>
                <w:color w:val="auto"/>
                <w:szCs w:val="21"/>
                <w:highlight w:val="none"/>
              </w:rPr>
              <w:t>对项目完成情况进行智能分析，生成智能结题报告，为管理人员开展项目复盘、成果归档及后续决策提供高效支撑。</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智能检索</w:t>
            </w:r>
          </w:p>
          <w:p>
            <w:pPr>
              <w:spacing w:line="440" w:lineRule="exact"/>
              <w:ind w:firstLine="420" w:firstLineChars="200"/>
              <w:rPr>
                <w:rFonts w:eastAsia="宋体"/>
                <w:color w:val="auto"/>
                <w:szCs w:val="21"/>
                <w:highlight w:val="none"/>
              </w:rPr>
            </w:pPr>
            <w:r>
              <w:rPr>
                <w:rFonts w:eastAsia="宋体"/>
                <w:color w:val="auto"/>
                <w:szCs w:val="21"/>
                <w:highlight w:val="none"/>
              </w:rPr>
              <w:t>对用户输入的检索词进行语义分析，确定检索内容，反馈检索结果。支持用户多个关键词的组合查询。可用于科技项目管理、专家抽取等场景。</w:t>
            </w:r>
          </w:p>
          <w:p>
            <w:pPr>
              <w:numPr>
                <w:ilvl w:val="2"/>
                <w:numId w:val="2"/>
              </w:numPr>
              <w:tabs>
                <w:tab w:val="left" w:pos="0"/>
              </w:tabs>
              <w:spacing w:line="440" w:lineRule="exact"/>
              <w:ind w:left="0" w:firstLine="420" w:firstLineChars="200"/>
              <w:outlineLvl w:val="2"/>
              <w:rPr>
                <w:rFonts w:eastAsia="宋体"/>
                <w:color w:val="auto"/>
                <w:szCs w:val="21"/>
                <w:highlight w:val="none"/>
              </w:rPr>
            </w:pPr>
            <w:r>
              <w:rPr>
                <w:rFonts w:eastAsia="宋体"/>
                <w:color w:val="auto"/>
                <w:szCs w:val="21"/>
                <w:highlight w:val="none"/>
              </w:rPr>
              <w:t>智能画像</w:t>
            </w:r>
          </w:p>
          <w:p>
            <w:pPr>
              <w:numPr>
                <w:ilvl w:val="0"/>
                <w:numId w:val="40"/>
              </w:numPr>
              <w:spacing w:line="440" w:lineRule="exact"/>
              <w:ind w:left="0" w:firstLine="420" w:firstLineChars="200"/>
              <w:rPr>
                <w:rFonts w:eastAsia="宋体"/>
                <w:color w:val="auto"/>
                <w:szCs w:val="21"/>
                <w:highlight w:val="none"/>
              </w:rPr>
            </w:pPr>
            <w:r>
              <w:rPr>
                <w:rFonts w:eastAsia="宋体"/>
                <w:color w:val="auto"/>
                <w:szCs w:val="21"/>
                <w:highlight w:val="none"/>
              </w:rPr>
              <w:t>项目画像</w:t>
            </w:r>
          </w:p>
          <w:p>
            <w:pPr>
              <w:spacing w:line="440" w:lineRule="exact"/>
              <w:ind w:firstLine="420" w:firstLineChars="200"/>
              <w:rPr>
                <w:rFonts w:eastAsia="宋体"/>
                <w:color w:val="auto"/>
                <w:szCs w:val="21"/>
                <w:highlight w:val="none"/>
              </w:rPr>
            </w:pPr>
            <w:r>
              <w:rPr>
                <w:rFonts w:eastAsia="宋体"/>
                <w:color w:val="auto"/>
                <w:szCs w:val="21"/>
                <w:highlight w:val="none"/>
              </w:rPr>
              <w:t>构建项目关键词标签体系：基于项目申报书和相关学术成果，提取项目的核心关键词，构建项目的关键词标签体系，反映项目的研究重点和技术领域。</w:t>
            </w:r>
          </w:p>
          <w:p>
            <w:pPr>
              <w:spacing w:line="440" w:lineRule="exact"/>
              <w:ind w:firstLine="420" w:firstLineChars="200"/>
              <w:rPr>
                <w:rFonts w:eastAsia="宋体"/>
                <w:color w:val="auto"/>
                <w:szCs w:val="21"/>
                <w:highlight w:val="none"/>
              </w:rPr>
            </w:pPr>
            <w:r>
              <w:rPr>
                <w:rFonts w:eastAsia="宋体"/>
                <w:color w:val="auto"/>
                <w:szCs w:val="21"/>
                <w:highlight w:val="none"/>
              </w:rPr>
              <w:t>提取研究方法特征：分析项目所采用的研究方法，如实验方法、理论模型、数据分析方法等，提取关键特征并记录在项目画像中。</w:t>
            </w:r>
          </w:p>
          <w:p>
            <w:pPr>
              <w:spacing w:line="440" w:lineRule="exact"/>
              <w:ind w:firstLine="420" w:firstLineChars="200"/>
              <w:rPr>
                <w:rFonts w:hint="default" w:eastAsia="宋体"/>
                <w:color w:val="auto"/>
                <w:szCs w:val="21"/>
                <w:highlight w:val="none"/>
                <w:lang w:val="en-US" w:eastAsia="zh-CN"/>
              </w:rPr>
            </w:pPr>
            <w:r>
              <w:rPr>
                <w:rFonts w:eastAsia="宋体"/>
                <w:color w:val="auto"/>
                <w:szCs w:val="21"/>
                <w:highlight w:val="none"/>
              </w:rPr>
              <w:t>经费使用分析：对项目的经费使用情况进行分析，包括经费的分配比例、使用阶段、与预算的偏差等，总结经费使用模式。</w:t>
            </w:r>
            <w:r>
              <w:rPr>
                <w:rFonts w:hint="eastAsia" w:eastAsia="宋体"/>
                <w:color w:val="auto"/>
                <w:szCs w:val="21"/>
                <w:highlight w:val="none"/>
                <w:lang w:val="en-US" w:eastAsia="zh-CN"/>
              </w:rPr>
              <w:t>相关分析结果可用于项目</w:t>
            </w:r>
            <w:r>
              <w:rPr>
                <w:rFonts w:eastAsia="宋体"/>
                <w:color w:val="auto"/>
                <w:szCs w:val="21"/>
                <w:highlight w:val="none"/>
              </w:rPr>
              <w:t>年度执行报告、中期检查报告</w:t>
            </w:r>
            <w:r>
              <w:rPr>
                <w:rFonts w:hint="eastAsia" w:eastAsia="宋体"/>
                <w:color w:val="auto"/>
                <w:szCs w:val="21"/>
                <w:highlight w:val="none"/>
                <w:lang w:eastAsia="zh-CN"/>
              </w:rPr>
              <w:t>、</w:t>
            </w:r>
            <w:r>
              <w:rPr>
                <w:rFonts w:hint="eastAsia" w:eastAsia="宋体"/>
                <w:color w:val="auto"/>
                <w:szCs w:val="21"/>
                <w:highlight w:val="none"/>
                <w:lang w:val="en-US" w:eastAsia="zh-CN"/>
              </w:rPr>
              <w:t>项目验收等项目审查环节。</w:t>
            </w:r>
          </w:p>
          <w:p>
            <w:pPr>
              <w:spacing w:line="440" w:lineRule="exact"/>
              <w:ind w:firstLine="420" w:firstLineChars="200"/>
              <w:rPr>
                <w:rFonts w:eastAsia="宋体"/>
                <w:color w:val="auto"/>
                <w:szCs w:val="21"/>
                <w:highlight w:val="none"/>
              </w:rPr>
            </w:pPr>
            <w:r>
              <w:rPr>
                <w:rFonts w:eastAsia="宋体"/>
                <w:color w:val="auto"/>
                <w:szCs w:val="21"/>
                <w:highlight w:val="none"/>
              </w:rPr>
              <w:t>识别技术创新点：通过对项目的研究内容和成果进行分析，识别项目的技术创新点，如新技术、新方法、新应用等。</w:t>
            </w:r>
          </w:p>
          <w:p>
            <w:pPr>
              <w:spacing w:line="440" w:lineRule="exact"/>
              <w:ind w:firstLine="420" w:firstLineChars="200"/>
              <w:rPr>
                <w:rFonts w:eastAsia="宋体"/>
                <w:color w:val="auto"/>
                <w:szCs w:val="21"/>
                <w:highlight w:val="none"/>
              </w:rPr>
            </w:pPr>
            <w:r>
              <w:rPr>
                <w:rFonts w:eastAsia="宋体"/>
                <w:color w:val="auto"/>
                <w:szCs w:val="21"/>
                <w:highlight w:val="none"/>
              </w:rPr>
              <w:t>预测成果转化潜力：运用机器学习算法，结合项目的技术创新性、市场需求、团队能力等因素，预测项目的成果转化潜力。</w:t>
            </w:r>
          </w:p>
          <w:p>
            <w:pPr>
              <w:numPr>
                <w:ilvl w:val="0"/>
                <w:numId w:val="40"/>
              </w:numPr>
              <w:spacing w:line="440" w:lineRule="exact"/>
              <w:ind w:left="0" w:firstLine="420" w:firstLineChars="200"/>
              <w:rPr>
                <w:rFonts w:eastAsia="宋体"/>
                <w:color w:val="auto"/>
                <w:szCs w:val="21"/>
                <w:highlight w:val="none"/>
              </w:rPr>
            </w:pPr>
            <w:r>
              <w:rPr>
                <w:rFonts w:eastAsia="宋体"/>
                <w:color w:val="auto"/>
                <w:szCs w:val="21"/>
                <w:highlight w:val="none"/>
              </w:rPr>
              <w:t>单位画像</w:t>
            </w:r>
          </w:p>
          <w:p>
            <w:pPr>
              <w:spacing w:line="440" w:lineRule="exact"/>
              <w:ind w:firstLine="420" w:firstLineChars="200"/>
              <w:rPr>
                <w:rFonts w:eastAsia="宋体"/>
                <w:color w:val="auto"/>
                <w:szCs w:val="21"/>
                <w:highlight w:val="none"/>
              </w:rPr>
            </w:pPr>
            <w:r>
              <w:rPr>
                <w:rFonts w:eastAsia="宋体"/>
                <w:color w:val="auto"/>
                <w:szCs w:val="21"/>
                <w:highlight w:val="none"/>
              </w:rPr>
              <w:t>学科优势分析模型：根据单位在不同学科领域的科研成果数量、质量、影响力等指标，评估单位的学科优势。</w:t>
            </w:r>
          </w:p>
          <w:p>
            <w:pPr>
              <w:spacing w:line="440" w:lineRule="exact"/>
              <w:ind w:firstLine="420" w:firstLineChars="200"/>
              <w:rPr>
                <w:rFonts w:eastAsia="宋体"/>
                <w:color w:val="auto"/>
                <w:szCs w:val="21"/>
                <w:highlight w:val="none"/>
              </w:rPr>
            </w:pPr>
            <w:r>
              <w:rPr>
                <w:rFonts w:eastAsia="宋体"/>
                <w:color w:val="auto"/>
                <w:szCs w:val="21"/>
                <w:highlight w:val="none"/>
              </w:rPr>
              <w:t>科研资源配置评估：对单位的科研资源（如科研设备、实验室空间、科研人员数量等）评估，分析资源的配置合理性和利用效率。</w:t>
            </w:r>
          </w:p>
          <w:p>
            <w:pPr>
              <w:spacing w:line="440" w:lineRule="exact"/>
              <w:ind w:firstLine="420" w:firstLineChars="200"/>
              <w:rPr>
                <w:rFonts w:eastAsia="宋体"/>
                <w:color w:val="auto"/>
                <w:szCs w:val="21"/>
                <w:highlight w:val="none"/>
              </w:rPr>
            </w:pPr>
            <w:r>
              <w:rPr>
                <w:rFonts w:eastAsia="宋体"/>
                <w:color w:val="auto"/>
                <w:szCs w:val="21"/>
                <w:highlight w:val="none"/>
              </w:rPr>
              <w:t>成果产出效率计算：计算单位在一定时间内的科研成果产出数量（如论文发表数量、专利申请数量等），并结合投入的资源，评估成果产出效率。</w:t>
            </w:r>
          </w:p>
          <w:p>
            <w:pPr>
              <w:spacing w:line="440" w:lineRule="exact"/>
              <w:ind w:firstLine="420" w:firstLineChars="200"/>
              <w:rPr>
                <w:rFonts w:eastAsia="宋体"/>
                <w:color w:val="auto"/>
                <w:szCs w:val="21"/>
                <w:highlight w:val="none"/>
              </w:rPr>
            </w:pPr>
            <w:r>
              <w:rPr>
                <w:rFonts w:eastAsia="宋体"/>
                <w:color w:val="auto"/>
                <w:szCs w:val="21"/>
                <w:highlight w:val="none"/>
              </w:rPr>
              <w:t>合作网络可视化：绘制单位与其他科研机构、企业等的合作网络图谱，直观展示合作关系的紧密程度和广度。</w:t>
            </w:r>
          </w:p>
          <w:p>
            <w:pPr>
              <w:spacing w:line="440" w:lineRule="exact"/>
              <w:ind w:firstLine="420" w:firstLineChars="200"/>
              <w:rPr>
                <w:rFonts w:eastAsia="宋体"/>
                <w:color w:val="auto"/>
                <w:szCs w:val="21"/>
                <w:highlight w:val="none"/>
              </w:rPr>
            </w:pPr>
            <w:r>
              <w:rPr>
                <w:rFonts w:eastAsia="宋体"/>
                <w:color w:val="auto"/>
                <w:szCs w:val="21"/>
                <w:highlight w:val="none"/>
              </w:rPr>
              <w:t>合规性评分：计算单位科研合规性评分。</w:t>
            </w:r>
          </w:p>
          <w:p>
            <w:pPr>
              <w:numPr>
                <w:ilvl w:val="0"/>
                <w:numId w:val="40"/>
              </w:numPr>
              <w:spacing w:line="440" w:lineRule="exact"/>
              <w:ind w:left="0" w:firstLine="420" w:firstLineChars="200"/>
              <w:rPr>
                <w:rFonts w:eastAsia="宋体"/>
                <w:color w:val="auto"/>
                <w:szCs w:val="21"/>
                <w:highlight w:val="none"/>
              </w:rPr>
            </w:pPr>
            <w:r>
              <w:rPr>
                <w:rFonts w:eastAsia="宋体"/>
                <w:color w:val="auto"/>
                <w:szCs w:val="21"/>
                <w:highlight w:val="none"/>
              </w:rPr>
              <w:t>申请人画像</w:t>
            </w:r>
          </w:p>
          <w:p>
            <w:pPr>
              <w:spacing w:line="440" w:lineRule="exact"/>
              <w:ind w:firstLine="420" w:firstLineChars="200"/>
              <w:rPr>
                <w:rFonts w:eastAsia="宋体"/>
                <w:color w:val="auto"/>
                <w:szCs w:val="21"/>
                <w:highlight w:val="none"/>
              </w:rPr>
            </w:pPr>
            <w:r>
              <w:rPr>
                <w:rFonts w:eastAsia="宋体"/>
                <w:color w:val="auto"/>
                <w:szCs w:val="21"/>
                <w:highlight w:val="none"/>
              </w:rPr>
              <w:t>学术成长路径分析：分析申请人的学术经历，包括教育背景、科研项目参与情况、学术成果发表历程等，绘制学术成长路径。</w:t>
            </w:r>
          </w:p>
          <w:p>
            <w:pPr>
              <w:spacing w:line="440" w:lineRule="exact"/>
              <w:ind w:firstLine="420" w:firstLineChars="200"/>
              <w:rPr>
                <w:rFonts w:eastAsia="宋体"/>
                <w:color w:val="auto"/>
                <w:szCs w:val="21"/>
                <w:highlight w:val="none"/>
              </w:rPr>
            </w:pPr>
            <w:r>
              <w:rPr>
                <w:rFonts w:eastAsia="宋体"/>
                <w:color w:val="auto"/>
                <w:szCs w:val="21"/>
                <w:highlight w:val="none"/>
              </w:rPr>
              <w:t>研究兴趣动态跟踪：实时跟踪申请人的学术动态和发表的成果，分析其研究兴趣的变化趋势。</w:t>
            </w:r>
          </w:p>
          <w:p>
            <w:pPr>
              <w:spacing w:line="440" w:lineRule="exact"/>
              <w:ind w:firstLine="420" w:firstLineChars="200"/>
              <w:rPr>
                <w:rFonts w:eastAsia="宋体"/>
                <w:color w:val="auto"/>
                <w:szCs w:val="21"/>
                <w:highlight w:val="none"/>
              </w:rPr>
            </w:pPr>
            <w:r>
              <w:rPr>
                <w:rFonts w:eastAsia="宋体"/>
                <w:color w:val="auto"/>
                <w:szCs w:val="21"/>
                <w:highlight w:val="none"/>
              </w:rPr>
              <w:t>成果影响力评估：采用多种指标（如论文被引次数、H指数、专利引用次数等）评估申请人的学术成果影响力。</w:t>
            </w:r>
          </w:p>
          <w:p>
            <w:pPr>
              <w:spacing w:line="440" w:lineRule="exact"/>
              <w:ind w:firstLine="420" w:firstLineChars="200"/>
              <w:rPr>
                <w:rFonts w:eastAsia="宋体"/>
                <w:color w:val="auto"/>
                <w:szCs w:val="21"/>
                <w:highlight w:val="none"/>
              </w:rPr>
            </w:pPr>
            <w:r>
              <w:rPr>
                <w:rFonts w:eastAsia="宋体"/>
                <w:color w:val="auto"/>
                <w:szCs w:val="21"/>
                <w:highlight w:val="none"/>
              </w:rPr>
              <w:t>团队协作能力建模：根据申请人在团队项目中的角色、贡献以及与团队成员的合作情况，建立团队协作能力模型，评估其协作能力。</w:t>
            </w:r>
          </w:p>
          <w:p>
            <w:pPr>
              <w:spacing w:line="440" w:lineRule="exact"/>
              <w:ind w:firstLine="420" w:firstLineChars="200"/>
              <w:rPr>
                <w:rFonts w:eastAsia="宋体"/>
                <w:color w:val="auto"/>
                <w:szCs w:val="21"/>
                <w:highlight w:val="none"/>
              </w:rPr>
            </w:pPr>
            <w:r>
              <w:rPr>
                <w:rFonts w:eastAsia="宋体"/>
                <w:color w:val="auto"/>
                <w:szCs w:val="21"/>
                <w:highlight w:val="none"/>
              </w:rPr>
              <w:t>职业发展预测：结合申请人的学术能力、研究兴趣、成果影响力等因素，运用机器学习算法预测其职业发展方向和潜力。</w:t>
            </w:r>
          </w:p>
          <w:p>
            <w:pPr>
              <w:numPr>
                <w:ilvl w:val="0"/>
                <w:numId w:val="40"/>
              </w:numPr>
              <w:spacing w:line="440" w:lineRule="exact"/>
              <w:ind w:left="0" w:firstLine="420" w:firstLineChars="200"/>
              <w:rPr>
                <w:rFonts w:eastAsia="宋体"/>
                <w:color w:val="auto"/>
                <w:szCs w:val="21"/>
                <w:highlight w:val="none"/>
              </w:rPr>
            </w:pPr>
            <w:r>
              <w:rPr>
                <w:rFonts w:eastAsia="宋体"/>
                <w:color w:val="auto"/>
                <w:szCs w:val="21"/>
                <w:highlight w:val="none"/>
              </w:rPr>
              <w:t>专家画像</w:t>
            </w:r>
          </w:p>
          <w:p>
            <w:pPr>
              <w:spacing w:line="440" w:lineRule="exact"/>
              <w:ind w:firstLine="420" w:firstLineChars="200"/>
              <w:rPr>
                <w:rFonts w:eastAsia="宋体"/>
                <w:color w:val="auto"/>
                <w:szCs w:val="21"/>
                <w:highlight w:val="none"/>
              </w:rPr>
            </w:pPr>
            <w:r>
              <w:rPr>
                <w:rFonts w:eastAsia="宋体"/>
                <w:color w:val="auto"/>
                <w:szCs w:val="21"/>
                <w:highlight w:val="none"/>
              </w:rPr>
              <w:t>研究方向识别模型：利用文本挖掘和机器学习技术，对专家的学术成果、研究项目等进行分析，识别专家的主要研究方向。</w:t>
            </w:r>
          </w:p>
          <w:p>
            <w:pPr>
              <w:spacing w:line="440" w:lineRule="exact"/>
              <w:ind w:firstLine="420" w:firstLineChars="200"/>
              <w:rPr>
                <w:rFonts w:eastAsia="宋体"/>
                <w:color w:val="auto"/>
                <w:szCs w:val="21"/>
                <w:highlight w:val="none"/>
              </w:rPr>
            </w:pPr>
            <w:r>
              <w:rPr>
                <w:rFonts w:eastAsia="宋体"/>
                <w:color w:val="auto"/>
                <w:szCs w:val="21"/>
                <w:highlight w:val="none"/>
              </w:rPr>
              <w:t>评审经验数据库：建立专家评审经验数据库，记录专家参与评审的项目类型、数量、评审意见等信息。</w:t>
            </w:r>
          </w:p>
          <w:p>
            <w:pPr>
              <w:spacing w:line="440" w:lineRule="exact"/>
              <w:ind w:firstLine="420" w:firstLineChars="200"/>
              <w:rPr>
                <w:rFonts w:eastAsia="宋体"/>
                <w:color w:val="auto"/>
                <w:szCs w:val="21"/>
                <w:highlight w:val="none"/>
              </w:rPr>
            </w:pPr>
            <w:r>
              <w:rPr>
                <w:rFonts w:eastAsia="宋体"/>
                <w:color w:val="auto"/>
                <w:szCs w:val="21"/>
                <w:highlight w:val="none"/>
              </w:rPr>
              <w:t>学术声誉评分：综合考虑专家的学术成果、同行认可度、学术兼职等因素，对专家进行学术声誉评分。</w:t>
            </w:r>
          </w:p>
          <w:p>
            <w:pPr>
              <w:spacing w:line="440" w:lineRule="exact"/>
              <w:ind w:firstLine="420" w:firstLineChars="200"/>
              <w:rPr>
                <w:rFonts w:eastAsia="宋体"/>
                <w:color w:val="auto"/>
                <w:szCs w:val="21"/>
                <w:highlight w:val="none"/>
              </w:rPr>
            </w:pPr>
            <w:r>
              <w:rPr>
                <w:rFonts w:eastAsia="宋体"/>
                <w:color w:val="auto"/>
                <w:szCs w:val="21"/>
                <w:highlight w:val="none"/>
              </w:rPr>
              <w:t>利益冲突识别：分析专家与项目申请人、单位之间的关系，识别可能存在的利益冲突情况。</w:t>
            </w:r>
          </w:p>
          <w:p>
            <w:pPr>
              <w:widowControl/>
              <w:spacing w:line="440" w:lineRule="exact"/>
              <w:ind w:firstLine="420" w:firstLineChars="200"/>
              <w:rPr>
                <w:b/>
                <w:bCs/>
                <w:color w:val="auto"/>
                <w:szCs w:val="21"/>
                <w:highlight w:val="none"/>
              </w:rPr>
            </w:pPr>
            <w:r>
              <w:rPr>
                <w:rFonts w:eastAsia="宋体"/>
                <w:color w:val="auto"/>
                <w:szCs w:val="21"/>
                <w:highlight w:val="none"/>
              </w:rPr>
              <w:t>跨学科能力评估：评估专家在不同学科领域的知识和研究能力，判断其跨学科研究的潜力和能力。</w:t>
            </w:r>
          </w:p>
          <w:p>
            <w:pPr>
              <w:widowControl/>
              <w:numPr>
                <w:ilvl w:val="0"/>
                <w:numId w:val="1"/>
              </w:numPr>
              <w:spacing w:line="440" w:lineRule="exact"/>
              <w:rPr>
                <w:b/>
                <w:bCs/>
                <w:color w:val="auto"/>
                <w:szCs w:val="21"/>
                <w:highlight w:val="none"/>
              </w:rPr>
            </w:pPr>
            <w:r>
              <w:rPr>
                <w:b/>
                <w:bCs/>
                <w:color w:val="auto"/>
                <w:szCs w:val="21"/>
                <w:highlight w:val="none"/>
              </w:rPr>
              <w:t>数据</w:t>
            </w:r>
            <w:r>
              <w:rPr>
                <w:rFonts w:hint="eastAsia"/>
                <w:b/>
                <w:bCs/>
                <w:color w:val="auto"/>
                <w:szCs w:val="21"/>
                <w:highlight w:val="none"/>
              </w:rPr>
              <w:t>治理</w:t>
            </w:r>
            <w:r>
              <w:rPr>
                <w:b/>
                <w:bCs/>
                <w:color w:val="auto"/>
                <w:szCs w:val="21"/>
                <w:highlight w:val="none"/>
              </w:rPr>
              <w:t>服务</w:t>
            </w:r>
          </w:p>
          <w:p>
            <w:pPr>
              <w:numPr>
                <w:ilvl w:val="0"/>
                <w:numId w:val="41"/>
              </w:numPr>
              <w:spacing w:line="440" w:lineRule="exact"/>
              <w:ind w:left="-2" w:firstLine="562"/>
              <w:rPr>
                <w:rFonts w:eastAsia="宋体"/>
                <w:b/>
                <w:bCs/>
                <w:color w:val="auto"/>
                <w:kern w:val="0"/>
                <w:szCs w:val="21"/>
                <w:highlight w:val="none"/>
                <w:shd w:val="clear" w:color="auto" w:fill="FFFFFF"/>
              </w:rPr>
            </w:pPr>
            <w:r>
              <w:rPr>
                <w:rFonts w:eastAsia="宋体"/>
                <w:b/>
                <w:bCs/>
                <w:color w:val="auto"/>
                <w:kern w:val="0"/>
                <w:szCs w:val="21"/>
                <w:highlight w:val="none"/>
                <w:shd w:val="clear" w:color="auto" w:fill="FFFFFF"/>
              </w:rPr>
              <w:t xml:space="preserve">数据标准化 </w:t>
            </w:r>
          </w:p>
          <w:p>
            <w:pPr>
              <w:spacing w:line="440" w:lineRule="exact"/>
              <w:ind w:firstLine="420" w:firstLineChars="200"/>
              <w:rPr>
                <w:rFonts w:eastAsia="宋体"/>
                <w:color w:val="auto"/>
                <w:kern w:val="0"/>
                <w:szCs w:val="21"/>
                <w:highlight w:val="none"/>
                <w:shd w:val="clear" w:color="auto" w:fill="FFFFFF"/>
              </w:rPr>
            </w:pPr>
            <w:r>
              <w:rPr>
                <w:rFonts w:hint="eastAsia" w:eastAsia="宋体"/>
                <w:color w:val="auto"/>
                <w:kern w:val="0"/>
                <w:szCs w:val="21"/>
                <w:highlight w:val="none"/>
                <w:shd w:val="clear" w:color="auto" w:fill="FFFFFF"/>
              </w:rPr>
              <w:t>构建</w:t>
            </w:r>
            <w:r>
              <w:rPr>
                <w:rFonts w:eastAsia="宋体"/>
                <w:color w:val="auto"/>
                <w:kern w:val="0"/>
                <w:szCs w:val="21"/>
                <w:highlight w:val="none"/>
                <w:shd w:val="clear" w:color="auto" w:fill="FFFFFF"/>
              </w:rPr>
              <w:t>统一的数据标准体系，包括数据元标准（定义字段名称、类型、长度、约束条件）、编码标准、格式标准，相关标准文档需提交采购人评审通过。中标人将审批通过的数据标准运用于系统设计与运维流程，按标准设计数据库表结构、数据接口等。</w:t>
            </w:r>
          </w:p>
          <w:p>
            <w:pPr>
              <w:numPr>
                <w:ilvl w:val="0"/>
                <w:numId w:val="41"/>
              </w:numPr>
              <w:spacing w:line="440" w:lineRule="exact"/>
              <w:ind w:left="-2" w:firstLine="562"/>
              <w:rPr>
                <w:rFonts w:eastAsia="宋体"/>
                <w:b/>
                <w:bCs/>
                <w:color w:val="auto"/>
                <w:kern w:val="0"/>
                <w:szCs w:val="21"/>
                <w:highlight w:val="none"/>
                <w:shd w:val="clear" w:color="auto" w:fill="FFFFFF"/>
              </w:rPr>
            </w:pPr>
            <w:r>
              <w:rPr>
                <w:rFonts w:eastAsia="宋体"/>
                <w:b/>
                <w:bCs/>
                <w:color w:val="auto"/>
                <w:kern w:val="0"/>
                <w:szCs w:val="21"/>
                <w:highlight w:val="none"/>
                <w:shd w:val="clear" w:color="auto" w:fill="FFFFFF"/>
              </w:rPr>
              <w:t>历史数据处理</w:t>
            </w:r>
          </w:p>
          <w:p>
            <w:pPr>
              <w:spacing w:line="440" w:lineRule="exact"/>
              <w:ind w:firstLine="420" w:firstLineChars="200"/>
              <w:rPr>
                <w:rFonts w:eastAsia="宋体"/>
                <w:color w:val="auto"/>
                <w:kern w:val="0"/>
                <w:szCs w:val="21"/>
                <w:highlight w:val="none"/>
                <w:shd w:val="clear" w:color="auto" w:fill="FFFFFF"/>
              </w:rPr>
            </w:pPr>
            <w:r>
              <w:rPr>
                <w:rFonts w:eastAsia="宋体"/>
                <w:color w:val="auto"/>
                <w:kern w:val="0"/>
                <w:szCs w:val="21"/>
                <w:highlight w:val="none"/>
                <w:shd w:val="clear" w:color="auto" w:fill="FFFFFF"/>
              </w:rPr>
              <w:t>截至2025年7月，原广西科技项目管理系统数据库数据约73GB，附件数据约6.1TB，涵盖广西五大类科技计划项目、中央引导地方科技发展专项、科技发展战略研究专项、科技智库项目等40余类科技项目业务数据，1.6万家科研单位数据、4.2万名科研人员数据以及6.8万名科技专家数据等。为保障数据的可用性和延续性，为后续数据迁移工作做准备，需对原系统历史数据进行分析、清洗、打标。</w:t>
            </w:r>
          </w:p>
          <w:p>
            <w:pPr>
              <w:spacing w:line="440" w:lineRule="exact"/>
              <w:ind w:firstLine="420" w:firstLineChars="200"/>
              <w:rPr>
                <w:rFonts w:eastAsia="宋体"/>
                <w:color w:val="auto"/>
                <w:kern w:val="0"/>
                <w:szCs w:val="21"/>
                <w:highlight w:val="none"/>
                <w:shd w:val="clear" w:color="auto" w:fill="FFFFFF"/>
              </w:rPr>
            </w:pPr>
            <w:r>
              <w:rPr>
                <w:rFonts w:eastAsia="宋体"/>
                <w:color w:val="auto"/>
                <w:kern w:val="0"/>
                <w:szCs w:val="21"/>
                <w:highlight w:val="none"/>
                <w:shd w:val="clear" w:color="auto" w:fill="FFFFFF"/>
              </w:rPr>
              <w:t>（1）数据分析：中标人在采购人的指导下，完成原广西科技项目管理系统数据分析（包括数据库存储结构、字段含义、字段与业务映射关系等）、新旧系统数据映射关系整理。</w:t>
            </w:r>
          </w:p>
          <w:p>
            <w:pPr>
              <w:spacing w:line="440" w:lineRule="exact"/>
              <w:ind w:firstLine="420" w:firstLineChars="200"/>
              <w:rPr>
                <w:rFonts w:eastAsia="宋体"/>
                <w:color w:val="auto"/>
                <w:kern w:val="0"/>
                <w:szCs w:val="21"/>
                <w:highlight w:val="none"/>
                <w:shd w:val="clear" w:color="auto" w:fill="FFFFFF"/>
              </w:rPr>
            </w:pPr>
            <w:r>
              <w:rPr>
                <w:rFonts w:eastAsia="宋体"/>
                <w:color w:val="auto"/>
                <w:kern w:val="0"/>
                <w:szCs w:val="21"/>
                <w:highlight w:val="none"/>
                <w:shd w:val="clear" w:color="auto" w:fill="FFFFFF"/>
              </w:rPr>
              <w:t>（2）数据清洗：按照新系统标准，清洗原广西科技项目管理系统历史数据（包括结构化数据和非结构化数据），数据种类包括但不限于项目管理、单位机构、科研人员、科技专家等数据资源。</w:t>
            </w:r>
          </w:p>
          <w:p>
            <w:pPr>
              <w:numPr>
                <w:ilvl w:val="0"/>
                <w:numId w:val="41"/>
              </w:numPr>
              <w:spacing w:line="440" w:lineRule="exact"/>
              <w:ind w:left="-2" w:firstLine="562"/>
              <w:rPr>
                <w:rFonts w:eastAsia="宋体"/>
                <w:b/>
                <w:bCs/>
                <w:color w:val="auto"/>
                <w:kern w:val="0"/>
                <w:szCs w:val="21"/>
                <w:highlight w:val="none"/>
                <w:shd w:val="clear" w:color="auto" w:fill="FFFFFF"/>
              </w:rPr>
            </w:pPr>
            <w:r>
              <w:rPr>
                <w:rFonts w:eastAsia="宋体"/>
                <w:b/>
                <w:bCs/>
                <w:color w:val="auto"/>
                <w:kern w:val="0"/>
                <w:szCs w:val="21"/>
                <w:highlight w:val="none"/>
                <w:shd w:val="clear" w:color="auto" w:fill="FFFFFF"/>
              </w:rPr>
              <w:t>数据标引</w:t>
            </w:r>
          </w:p>
          <w:p>
            <w:pPr>
              <w:spacing w:line="440" w:lineRule="exact"/>
              <w:ind w:firstLine="420" w:firstLineChars="200"/>
              <w:rPr>
                <w:rFonts w:eastAsia="宋体"/>
                <w:color w:val="auto"/>
                <w:kern w:val="0"/>
                <w:szCs w:val="21"/>
                <w:highlight w:val="none"/>
                <w:shd w:val="clear" w:color="auto" w:fill="FFFFFF"/>
              </w:rPr>
            </w:pPr>
            <w:r>
              <w:rPr>
                <w:rFonts w:eastAsia="宋体"/>
                <w:color w:val="auto"/>
                <w:kern w:val="0"/>
                <w:szCs w:val="21"/>
                <w:highlight w:val="none"/>
                <w:shd w:val="clear" w:color="auto" w:fill="FFFFFF"/>
              </w:rPr>
              <w:t>利用自动化数据标引工具，对</w:t>
            </w:r>
            <w:r>
              <w:rPr>
                <w:rFonts w:hint="eastAsia" w:eastAsia="宋体"/>
                <w:color w:val="auto"/>
                <w:kern w:val="0"/>
                <w:szCs w:val="21"/>
                <w:highlight w:val="none"/>
                <w:shd w:val="clear" w:color="auto" w:fill="FFFFFF"/>
              </w:rPr>
              <w:t>系统</w:t>
            </w:r>
            <w:r>
              <w:rPr>
                <w:rFonts w:eastAsia="宋体"/>
                <w:color w:val="auto"/>
                <w:kern w:val="0"/>
                <w:szCs w:val="21"/>
                <w:highlight w:val="none"/>
                <w:shd w:val="clear" w:color="auto" w:fill="FFFFFF"/>
              </w:rPr>
              <w:t>数据进行打标，提升数据的价值密度，为上层应用提供支撑。</w:t>
            </w:r>
          </w:p>
          <w:p>
            <w:pPr>
              <w:numPr>
                <w:ilvl w:val="0"/>
                <w:numId w:val="41"/>
              </w:numPr>
              <w:spacing w:line="440" w:lineRule="exact"/>
              <w:ind w:left="-2" w:firstLine="562"/>
              <w:rPr>
                <w:rFonts w:eastAsia="宋体"/>
                <w:b/>
                <w:bCs/>
                <w:color w:val="auto"/>
                <w:kern w:val="0"/>
                <w:szCs w:val="21"/>
                <w:highlight w:val="none"/>
                <w:shd w:val="clear" w:color="auto" w:fill="FFFFFF"/>
              </w:rPr>
            </w:pPr>
            <w:r>
              <w:rPr>
                <w:rFonts w:eastAsia="宋体"/>
                <w:b/>
                <w:bCs/>
                <w:color w:val="auto"/>
                <w:kern w:val="0"/>
                <w:szCs w:val="21"/>
                <w:highlight w:val="none"/>
                <w:shd w:val="clear" w:color="auto" w:fill="FFFFFF"/>
              </w:rPr>
              <w:t>数据共享交换</w:t>
            </w:r>
          </w:p>
          <w:p>
            <w:pPr>
              <w:spacing w:line="440" w:lineRule="exact"/>
              <w:ind w:firstLine="420" w:firstLineChars="200"/>
              <w:rPr>
                <w:rFonts w:eastAsia="宋体"/>
                <w:color w:val="auto"/>
                <w:kern w:val="0"/>
                <w:szCs w:val="21"/>
                <w:highlight w:val="none"/>
                <w:shd w:val="clear" w:color="auto" w:fill="FFFFFF"/>
              </w:rPr>
            </w:pPr>
            <w:r>
              <w:rPr>
                <w:rFonts w:eastAsia="宋体"/>
                <w:color w:val="auto"/>
                <w:kern w:val="0"/>
                <w:szCs w:val="21"/>
                <w:highlight w:val="none"/>
                <w:shd w:val="clear" w:color="auto" w:fill="FFFFFF"/>
              </w:rPr>
              <w:t>（1）根据自治区数据共享交换平台中本系统涉及的数据资源目录，完成数据接口开发，实现自治区数据共享交换平台相关数据的自动同步更新。</w:t>
            </w:r>
          </w:p>
          <w:p>
            <w:pPr>
              <w:spacing w:line="440" w:lineRule="exact"/>
              <w:ind w:firstLine="420" w:firstLineChars="200"/>
              <w:rPr>
                <w:rFonts w:eastAsia="宋体"/>
                <w:color w:val="auto"/>
                <w:kern w:val="0"/>
                <w:szCs w:val="21"/>
                <w:highlight w:val="none"/>
                <w:shd w:val="clear" w:color="auto" w:fill="FFFFFF"/>
              </w:rPr>
            </w:pPr>
            <w:r>
              <w:rPr>
                <w:rFonts w:eastAsia="宋体"/>
                <w:color w:val="auto"/>
                <w:kern w:val="0"/>
                <w:szCs w:val="21"/>
                <w:highlight w:val="none"/>
                <w:shd w:val="clear" w:color="auto" w:fill="FFFFFF"/>
              </w:rPr>
              <w:t>（2）实现与自治区一体化平台对接，能够兼容原有的历史数据和接口。</w:t>
            </w:r>
          </w:p>
          <w:p>
            <w:pPr>
              <w:widowControl/>
              <w:numPr>
                <w:ilvl w:val="0"/>
                <w:numId w:val="1"/>
              </w:numPr>
              <w:spacing w:line="440" w:lineRule="exact"/>
              <w:rPr>
                <w:b/>
                <w:bCs/>
                <w:color w:val="auto"/>
                <w:szCs w:val="21"/>
                <w:highlight w:val="none"/>
              </w:rPr>
            </w:pPr>
            <w:r>
              <w:rPr>
                <w:b/>
                <w:bCs/>
                <w:color w:val="auto"/>
                <w:szCs w:val="21"/>
                <w:highlight w:val="none"/>
              </w:rPr>
              <w:t>运行环境要求</w:t>
            </w:r>
          </w:p>
          <w:p>
            <w:pPr>
              <w:spacing w:line="440" w:lineRule="exact"/>
              <w:ind w:firstLine="560"/>
              <w:rPr>
                <w:rFonts w:eastAsia="宋体"/>
                <w:color w:val="auto"/>
                <w:szCs w:val="21"/>
                <w:highlight w:val="none"/>
                <w:shd w:val="clear" w:color="auto" w:fill="FFFFFF"/>
                <w:lang w:val="zh-CN"/>
              </w:rPr>
            </w:pPr>
            <w:r>
              <w:rPr>
                <w:rFonts w:eastAsia="宋体"/>
                <w:color w:val="auto"/>
                <w:szCs w:val="21"/>
                <w:highlight w:val="none"/>
                <w:shd w:val="clear" w:color="auto" w:fill="FFFFFF"/>
                <w:lang w:val="zh-CN"/>
              </w:rPr>
              <w:t>系统运行环境由采购人提供，本项目实施、部署和上线均在广西壮族自治区信创云平台（</w:t>
            </w:r>
            <w:r>
              <w:rPr>
                <w:rFonts w:eastAsia="宋体"/>
                <w:color w:val="auto"/>
                <w:szCs w:val="21"/>
                <w:highlight w:val="none"/>
                <w:shd w:val="clear" w:color="auto" w:fill="FFFFFF"/>
              </w:rPr>
              <w:t>以下简称“</w:t>
            </w:r>
            <w:r>
              <w:rPr>
                <w:rFonts w:eastAsia="宋体"/>
                <w:color w:val="auto"/>
                <w:szCs w:val="21"/>
                <w:highlight w:val="none"/>
                <w:shd w:val="clear" w:color="auto" w:fill="FFFFFF"/>
                <w:lang w:val="zh-CN"/>
              </w:rPr>
              <w:t>自治区</w:t>
            </w:r>
            <w:r>
              <w:rPr>
                <w:rFonts w:eastAsia="宋体"/>
                <w:color w:val="auto"/>
                <w:szCs w:val="21"/>
                <w:highlight w:val="none"/>
                <w:shd w:val="clear" w:color="auto" w:fill="FFFFFF"/>
              </w:rPr>
              <w:t>信创云”</w:t>
            </w:r>
            <w:r>
              <w:rPr>
                <w:rFonts w:eastAsia="宋体"/>
                <w:color w:val="auto"/>
                <w:szCs w:val="21"/>
                <w:highlight w:val="none"/>
                <w:shd w:val="clear" w:color="auto" w:fill="FFFFFF"/>
                <w:lang w:val="zh-CN"/>
              </w:rPr>
              <w:t>）互联网</w:t>
            </w:r>
            <w:r>
              <w:rPr>
                <w:rFonts w:eastAsia="宋体"/>
                <w:color w:val="auto"/>
                <w:szCs w:val="21"/>
                <w:highlight w:val="none"/>
                <w:shd w:val="clear" w:color="auto" w:fill="FFFFFF"/>
              </w:rPr>
              <w:t>区</w:t>
            </w:r>
            <w:r>
              <w:rPr>
                <w:rFonts w:eastAsia="宋体"/>
                <w:color w:val="auto"/>
                <w:szCs w:val="21"/>
                <w:highlight w:val="none"/>
                <w:shd w:val="clear" w:color="auto" w:fill="FFFFFF"/>
                <w:lang w:val="zh-CN"/>
              </w:rPr>
              <w:t>，</w:t>
            </w:r>
            <w:r>
              <w:rPr>
                <w:rFonts w:eastAsia="宋体"/>
                <w:color w:val="auto"/>
                <w:szCs w:val="21"/>
                <w:highlight w:val="none"/>
                <w:shd w:val="clear" w:color="auto" w:fill="FFFFFF"/>
              </w:rPr>
              <w:t>中标人需根据运行环境要求完成系统</w:t>
            </w:r>
            <w:r>
              <w:rPr>
                <w:rFonts w:eastAsia="宋体"/>
                <w:color w:val="auto"/>
                <w:szCs w:val="21"/>
                <w:highlight w:val="none"/>
                <w:shd w:val="clear" w:color="auto" w:fill="FFFFFF"/>
                <w:lang w:val="zh-CN"/>
              </w:rPr>
              <w:t>部署上线</w:t>
            </w:r>
            <w:r>
              <w:rPr>
                <w:rFonts w:eastAsia="宋体"/>
                <w:color w:val="auto"/>
                <w:szCs w:val="21"/>
                <w:highlight w:val="none"/>
                <w:shd w:val="clear" w:color="auto" w:fill="FFFFFF"/>
              </w:rPr>
              <w:t>工作</w:t>
            </w:r>
            <w:r>
              <w:rPr>
                <w:rFonts w:eastAsia="宋体"/>
                <w:color w:val="auto"/>
                <w:szCs w:val="21"/>
                <w:highlight w:val="none"/>
                <w:shd w:val="clear" w:color="auto" w:fill="FFFFFF"/>
                <w:lang w:val="zh-CN"/>
              </w:rPr>
              <w:t>。</w:t>
            </w:r>
          </w:p>
          <w:p>
            <w:pPr>
              <w:spacing w:line="440" w:lineRule="exact"/>
              <w:ind w:firstLine="420" w:firstLineChars="200"/>
              <w:rPr>
                <w:rFonts w:eastAsia="宋体"/>
                <w:color w:val="auto"/>
                <w:szCs w:val="21"/>
                <w:highlight w:val="none"/>
                <w:shd w:val="clear" w:color="auto" w:fill="FFFFFF"/>
                <w:lang w:val="zh-CN"/>
              </w:rPr>
            </w:pPr>
            <w:r>
              <w:rPr>
                <w:rFonts w:eastAsia="宋体"/>
                <w:color w:val="auto"/>
                <w:szCs w:val="21"/>
                <w:highlight w:val="none"/>
                <w:shd w:val="clear" w:color="auto" w:fill="FFFFFF"/>
              </w:rPr>
              <w:t>1.</w:t>
            </w:r>
            <w:r>
              <w:rPr>
                <w:rFonts w:eastAsia="宋体"/>
                <w:color w:val="auto"/>
                <w:szCs w:val="21"/>
                <w:highlight w:val="none"/>
                <w:shd w:val="clear" w:color="auto" w:fill="FFFFFF"/>
                <w:lang w:val="zh-CN"/>
              </w:rPr>
              <w:t>自治区信创云现有环境如下：</w:t>
            </w:r>
          </w:p>
          <w:p>
            <w:pPr>
              <w:numPr>
                <w:ilvl w:val="0"/>
                <w:numId w:val="42"/>
              </w:numPr>
              <w:spacing w:line="440" w:lineRule="exact"/>
              <w:ind w:firstLine="420" w:firstLineChars="200"/>
              <w:rPr>
                <w:rFonts w:eastAsia="宋体"/>
                <w:color w:val="auto"/>
                <w:szCs w:val="21"/>
                <w:highlight w:val="none"/>
                <w:shd w:val="clear" w:color="auto" w:fill="FFFFFF"/>
                <w:lang w:val="zh-CN"/>
              </w:rPr>
            </w:pPr>
            <w:r>
              <w:rPr>
                <w:rFonts w:eastAsia="宋体"/>
                <w:color w:val="auto"/>
                <w:szCs w:val="21"/>
                <w:highlight w:val="none"/>
                <w:shd w:val="clear" w:color="auto" w:fill="FFFFFF"/>
                <w:lang w:val="zh-CN"/>
              </w:rPr>
              <w:t>服务器芯片品牌型号：国产芯片（鲲鹏920、飞腾FT-2000+）；</w:t>
            </w:r>
          </w:p>
          <w:p>
            <w:pPr>
              <w:numPr>
                <w:ilvl w:val="0"/>
                <w:numId w:val="42"/>
              </w:numPr>
              <w:spacing w:line="440" w:lineRule="exact"/>
              <w:ind w:firstLine="420" w:firstLineChars="200"/>
              <w:rPr>
                <w:rFonts w:eastAsia="宋体"/>
                <w:color w:val="auto"/>
                <w:szCs w:val="21"/>
                <w:highlight w:val="none"/>
                <w:shd w:val="clear" w:color="auto" w:fill="FFFFFF"/>
                <w:lang w:val="zh-CN"/>
              </w:rPr>
            </w:pPr>
            <w:r>
              <w:rPr>
                <w:rFonts w:eastAsia="宋体"/>
                <w:color w:val="auto"/>
                <w:szCs w:val="21"/>
                <w:highlight w:val="none"/>
                <w:shd w:val="clear" w:color="auto" w:fill="FFFFFF"/>
                <w:lang w:val="zh-CN"/>
              </w:rPr>
              <w:t>服务器操作系统及版本：银河麒麟V10；</w:t>
            </w:r>
          </w:p>
          <w:p>
            <w:pPr>
              <w:numPr>
                <w:ilvl w:val="0"/>
                <w:numId w:val="42"/>
              </w:numPr>
              <w:spacing w:line="440" w:lineRule="exact"/>
              <w:ind w:firstLine="420" w:firstLineChars="200"/>
              <w:rPr>
                <w:rFonts w:eastAsia="宋体"/>
                <w:color w:val="auto"/>
                <w:szCs w:val="21"/>
                <w:highlight w:val="none"/>
                <w:shd w:val="clear" w:color="auto" w:fill="FFFFFF"/>
                <w:lang w:val="zh-CN"/>
              </w:rPr>
            </w:pPr>
            <w:r>
              <w:rPr>
                <w:rFonts w:eastAsia="宋体"/>
                <w:color w:val="auto"/>
                <w:szCs w:val="21"/>
                <w:highlight w:val="none"/>
                <w:shd w:val="clear" w:color="auto" w:fill="FFFFFF"/>
                <w:lang w:val="zh-CN"/>
              </w:rPr>
              <w:t>数据库类型：</w:t>
            </w:r>
            <w:r>
              <w:rPr>
                <w:rFonts w:eastAsia="宋体"/>
                <w:color w:val="auto"/>
                <w:szCs w:val="21"/>
                <w:highlight w:val="none"/>
                <w:shd w:val="clear" w:color="auto" w:fill="FFFFFF"/>
              </w:rPr>
              <w:t>采用达梦、人大金仓等主流国产数据库</w:t>
            </w:r>
            <w:r>
              <w:rPr>
                <w:rFonts w:eastAsia="宋体"/>
                <w:color w:val="auto"/>
                <w:szCs w:val="21"/>
                <w:highlight w:val="none"/>
                <w:shd w:val="clear" w:color="auto" w:fill="FFFFFF"/>
                <w:lang w:val="zh-CN"/>
              </w:rPr>
              <w:t>；</w:t>
            </w:r>
          </w:p>
          <w:p>
            <w:pPr>
              <w:numPr>
                <w:ilvl w:val="0"/>
                <w:numId w:val="42"/>
              </w:numPr>
              <w:spacing w:line="440" w:lineRule="exact"/>
              <w:ind w:firstLine="420" w:firstLineChars="200"/>
              <w:rPr>
                <w:rFonts w:eastAsia="宋体"/>
                <w:color w:val="auto"/>
                <w:szCs w:val="21"/>
                <w:highlight w:val="none"/>
                <w:shd w:val="clear" w:color="auto" w:fill="FFFFFF"/>
                <w:lang w:val="zh-CN"/>
              </w:rPr>
            </w:pPr>
            <w:r>
              <w:rPr>
                <w:rFonts w:eastAsia="宋体"/>
                <w:color w:val="auto"/>
                <w:szCs w:val="21"/>
                <w:highlight w:val="none"/>
                <w:shd w:val="clear" w:color="auto" w:fill="FFFFFF"/>
              </w:rPr>
              <w:t>中间件</w:t>
            </w:r>
            <w:r>
              <w:rPr>
                <w:rFonts w:eastAsia="宋体"/>
                <w:color w:val="auto"/>
                <w:szCs w:val="21"/>
                <w:highlight w:val="none"/>
                <w:shd w:val="clear" w:color="auto" w:fill="FFFFFF"/>
                <w:lang w:val="zh-CN"/>
              </w:rPr>
              <w:t>类型</w:t>
            </w:r>
            <w:r>
              <w:rPr>
                <w:rFonts w:eastAsia="宋体"/>
                <w:color w:val="auto"/>
                <w:szCs w:val="21"/>
                <w:highlight w:val="none"/>
                <w:shd w:val="clear" w:color="auto" w:fill="FFFFFF"/>
              </w:rPr>
              <w:t>：采用东方通、宝兰德、金蝶等主流国产中间件；</w:t>
            </w:r>
          </w:p>
          <w:p>
            <w:pPr>
              <w:numPr>
                <w:ilvl w:val="0"/>
                <w:numId w:val="42"/>
              </w:numPr>
              <w:spacing w:line="440" w:lineRule="exact"/>
              <w:ind w:firstLine="420" w:firstLineChars="200"/>
              <w:rPr>
                <w:rFonts w:eastAsia="宋体"/>
                <w:color w:val="auto"/>
                <w:szCs w:val="21"/>
                <w:highlight w:val="none"/>
                <w:shd w:val="clear" w:color="auto" w:fill="FFFFFF"/>
                <w:lang w:val="zh-CN"/>
              </w:rPr>
            </w:pPr>
            <w:r>
              <w:rPr>
                <w:rFonts w:eastAsia="宋体"/>
                <w:color w:val="auto"/>
                <w:szCs w:val="21"/>
                <w:highlight w:val="none"/>
                <w:shd w:val="clear" w:color="auto" w:fill="FFFFFF"/>
                <w:lang w:val="zh-CN"/>
              </w:rPr>
              <w:t>杀毒软件、微隔离和防篡改：明御主机安全及管理系统（EDR）；</w:t>
            </w:r>
          </w:p>
          <w:p>
            <w:pPr>
              <w:numPr>
                <w:ilvl w:val="0"/>
                <w:numId w:val="42"/>
              </w:numPr>
              <w:spacing w:line="440" w:lineRule="exact"/>
              <w:ind w:firstLine="420" w:firstLineChars="200"/>
              <w:rPr>
                <w:rFonts w:eastAsia="宋体"/>
                <w:color w:val="auto"/>
                <w:szCs w:val="21"/>
                <w:highlight w:val="none"/>
                <w:shd w:val="clear" w:color="auto" w:fill="FFFFFF"/>
                <w:lang w:val="zh-CN"/>
              </w:rPr>
            </w:pPr>
            <w:r>
              <w:rPr>
                <w:rFonts w:eastAsia="宋体"/>
                <w:color w:val="auto"/>
                <w:szCs w:val="21"/>
                <w:highlight w:val="none"/>
                <w:shd w:val="clear" w:color="auto" w:fill="FFFFFF"/>
                <w:lang w:val="zh-CN"/>
              </w:rPr>
              <w:t>主机日志审计：明御综合日志审计分析平台；</w:t>
            </w:r>
          </w:p>
          <w:p>
            <w:pPr>
              <w:numPr>
                <w:ilvl w:val="0"/>
                <w:numId w:val="42"/>
              </w:numPr>
              <w:spacing w:line="440" w:lineRule="exact"/>
              <w:ind w:firstLine="420" w:firstLineChars="200"/>
              <w:rPr>
                <w:rFonts w:eastAsia="宋体"/>
                <w:color w:val="auto"/>
                <w:szCs w:val="21"/>
                <w:highlight w:val="none"/>
                <w:shd w:val="clear" w:color="auto" w:fill="FFFFFF"/>
                <w:lang w:val="zh-CN"/>
              </w:rPr>
            </w:pPr>
            <w:r>
              <w:rPr>
                <w:rFonts w:eastAsia="宋体"/>
                <w:color w:val="auto"/>
                <w:szCs w:val="21"/>
                <w:highlight w:val="none"/>
                <w:shd w:val="clear" w:color="auto" w:fill="FFFFFF"/>
                <w:lang w:val="zh-CN"/>
              </w:rPr>
              <w:t>WEB应用防火墙：明御WEB应用防火墙（WAF）；</w:t>
            </w:r>
          </w:p>
          <w:p>
            <w:pPr>
              <w:numPr>
                <w:ilvl w:val="0"/>
                <w:numId w:val="42"/>
              </w:numPr>
              <w:spacing w:line="440" w:lineRule="exact"/>
              <w:ind w:firstLine="420" w:firstLineChars="200"/>
              <w:rPr>
                <w:rFonts w:eastAsia="宋体"/>
                <w:color w:val="auto"/>
                <w:szCs w:val="21"/>
                <w:highlight w:val="none"/>
                <w:shd w:val="clear" w:color="auto" w:fill="FFFFFF"/>
                <w:lang w:val="zh-CN"/>
              </w:rPr>
            </w:pPr>
            <w:r>
              <w:rPr>
                <w:rFonts w:eastAsia="宋体"/>
                <w:color w:val="auto"/>
                <w:szCs w:val="21"/>
                <w:highlight w:val="none"/>
                <w:shd w:val="clear" w:color="auto" w:fill="FFFFFF"/>
                <w:lang w:val="zh-CN"/>
              </w:rPr>
              <w:t>数据库审计：明御数据库审计与风险控制系统。</w:t>
            </w:r>
          </w:p>
          <w:p>
            <w:pPr>
              <w:spacing w:line="440" w:lineRule="exact"/>
              <w:ind w:left="420" w:leftChars="200"/>
              <w:rPr>
                <w:rFonts w:eastAsia="宋体"/>
                <w:color w:val="auto"/>
                <w:szCs w:val="21"/>
                <w:highlight w:val="none"/>
                <w:shd w:val="clear" w:color="auto" w:fill="FFFFFF"/>
              </w:rPr>
            </w:pPr>
            <w:r>
              <w:rPr>
                <w:rFonts w:eastAsia="宋体"/>
                <w:color w:val="auto"/>
                <w:szCs w:val="21"/>
                <w:highlight w:val="none"/>
                <w:shd w:val="clear" w:color="auto" w:fill="FFFFFF"/>
              </w:rPr>
              <w:t>2.</w:t>
            </w:r>
            <w:r>
              <w:rPr>
                <w:rFonts w:eastAsia="宋体"/>
                <w:color w:val="auto"/>
                <w:szCs w:val="21"/>
                <w:highlight w:val="none"/>
                <w:shd w:val="clear" w:color="auto" w:fill="FFFFFF"/>
                <w:lang w:val="zh-CN"/>
              </w:rPr>
              <w:t>自治区信创云总体网络架构图如下：</w:t>
            </w:r>
          </w:p>
          <w:p>
            <w:pPr>
              <w:ind w:left="420" w:leftChars="200"/>
              <w:jc w:val="center"/>
              <w:rPr>
                <w:rFonts w:eastAsia="宋体"/>
                <w:color w:val="auto"/>
                <w:szCs w:val="21"/>
                <w:highlight w:val="none"/>
              </w:rPr>
            </w:pPr>
            <w:r>
              <w:rPr>
                <w:rFonts w:eastAsia="宋体"/>
                <w:color w:val="auto"/>
                <w:szCs w:val="21"/>
                <w:highlight w:val="none"/>
              </w:rPr>
              <w:object>
                <v:shape id="_x0000_i1026" o:spt="75" type="#_x0000_t75" style="height:184.2pt;width:369pt;" o:ole="t" filled="f" stroked="f" coordsize="21600,21600">
                  <v:path/>
                  <v:fill on="f" focussize="0,0"/>
                  <v:stroke on="f" joinstyle="miter"/>
                  <v:imagedata r:id="rId13" embosscolor="#FFFFFF" o:title=""/>
                  <o:lock v:ext="edit" aspectratio="t"/>
                  <w10:wrap type="none"/>
                  <w10:anchorlock/>
                </v:shape>
                <o:OLEObject Type="Embed" ProgID="Visio.Drawing.15" ShapeID="_x0000_i1026" DrawAspect="Content" ObjectID="_1468075726" r:id="rId12">
                  <o:LockedField>false</o:LockedField>
                </o:OLEObject>
              </w:object>
            </w:r>
            <w:r>
              <w:rPr>
                <w:rFonts w:eastAsia="宋体"/>
                <w:color w:val="auto"/>
                <w:szCs w:val="21"/>
                <w:highlight w:val="none"/>
                <w:shd w:val="clear" w:color="auto" w:fill="FFFFFF"/>
                <w:lang w:val="zh-CN"/>
              </w:rPr>
              <w:t>自治区信创云总体网络架构图</w:t>
            </w:r>
          </w:p>
          <w:p>
            <w:pPr>
              <w:widowControl/>
              <w:numPr>
                <w:ilvl w:val="0"/>
                <w:numId w:val="1"/>
              </w:numPr>
              <w:spacing w:line="440" w:lineRule="exact"/>
              <w:rPr>
                <w:b/>
                <w:bCs/>
                <w:color w:val="auto"/>
                <w:szCs w:val="21"/>
                <w:highlight w:val="none"/>
              </w:rPr>
            </w:pPr>
            <w:r>
              <w:rPr>
                <w:b/>
                <w:bCs/>
                <w:color w:val="auto"/>
                <w:szCs w:val="21"/>
                <w:highlight w:val="none"/>
              </w:rPr>
              <w:t>主要性能要求</w:t>
            </w:r>
          </w:p>
          <w:p>
            <w:pPr>
              <w:numPr>
                <w:ilvl w:val="0"/>
                <w:numId w:val="43"/>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 xml:space="preserve">系统要求支持终端用户数15万人以上，支持不低于2000人并发访问。 </w:t>
            </w:r>
          </w:p>
          <w:p>
            <w:pPr>
              <w:numPr>
                <w:ilvl w:val="0"/>
                <w:numId w:val="43"/>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用户提交服务请求后，一般情况下处理结果在用户端界面响应时间要求少于3 秒</w:t>
            </w:r>
            <w:r>
              <w:rPr>
                <w:rFonts w:hint="eastAsia" w:eastAsia="宋体"/>
                <w:color w:val="auto"/>
                <w:szCs w:val="21"/>
                <w:highlight w:val="none"/>
                <w:shd w:val="clear" w:color="auto" w:fill="FFFFFF"/>
              </w:rPr>
              <w:t>，</w:t>
            </w:r>
            <w:r>
              <w:rPr>
                <w:rFonts w:eastAsia="宋体"/>
                <w:color w:val="auto"/>
                <w:szCs w:val="21"/>
                <w:highlight w:val="none"/>
                <w:shd w:val="clear" w:color="auto" w:fill="FFFFFF"/>
              </w:rPr>
              <w:t>复杂查询业务操作响应时间不超过5秒。</w:t>
            </w:r>
          </w:p>
          <w:p>
            <w:pPr>
              <w:numPr>
                <w:ilvl w:val="0"/>
                <w:numId w:val="43"/>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 xml:space="preserve">用户进行系统操作，对于3秒内未能完成处理和响应的，需有相应消息提醒或进度条提示。 </w:t>
            </w:r>
          </w:p>
          <w:p>
            <w:pPr>
              <w:numPr>
                <w:ilvl w:val="0"/>
                <w:numId w:val="43"/>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 xml:space="preserve">系统须支持负载均衡和服务器集群并发配置。 </w:t>
            </w:r>
          </w:p>
          <w:p>
            <w:pPr>
              <w:numPr>
                <w:ilvl w:val="0"/>
                <w:numId w:val="43"/>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 xml:space="preserve">随着系统的运行，业务数据、文件和用户数将不断增长，中标人需提供切实可行的技术措施以保证系统稳定和高效运行。 </w:t>
            </w:r>
          </w:p>
          <w:p>
            <w:pPr>
              <w:widowControl/>
              <w:numPr>
                <w:ilvl w:val="0"/>
                <w:numId w:val="1"/>
              </w:numPr>
              <w:spacing w:line="440" w:lineRule="exact"/>
              <w:rPr>
                <w:b/>
                <w:bCs/>
                <w:color w:val="auto"/>
                <w:szCs w:val="21"/>
                <w:highlight w:val="none"/>
                <w:lang w:val="zh-CN"/>
              </w:rPr>
            </w:pPr>
            <w:r>
              <w:rPr>
                <w:b/>
                <w:bCs/>
                <w:color w:val="auto"/>
                <w:szCs w:val="21"/>
                <w:highlight w:val="none"/>
              </w:rPr>
              <w:t xml:space="preserve">开发服务要求 </w:t>
            </w:r>
          </w:p>
          <w:p>
            <w:pPr>
              <w:spacing w:line="440" w:lineRule="exact"/>
              <w:ind w:firstLine="396" w:firstLineChars="200"/>
              <w:rPr>
                <w:rFonts w:eastAsia="宋体"/>
                <w:color w:val="auto"/>
                <w:spacing w:val="-6"/>
                <w:szCs w:val="21"/>
                <w:highlight w:val="none"/>
              </w:rPr>
            </w:pPr>
            <w:r>
              <w:rPr>
                <w:rFonts w:eastAsia="宋体"/>
                <w:color w:val="auto"/>
                <w:spacing w:val="-6"/>
                <w:szCs w:val="21"/>
                <w:highlight w:val="none"/>
              </w:rPr>
              <w:t>1.</w:t>
            </w:r>
            <w:r>
              <w:rPr>
                <w:rFonts w:hint="eastAsia" w:eastAsia="宋体"/>
                <w:color w:val="auto"/>
                <w:spacing w:val="-6"/>
                <w:szCs w:val="21"/>
                <w:highlight w:val="none"/>
              </w:rPr>
              <w:t xml:space="preserve"> </w:t>
            </w:r>
            <w:r>
              <w:rPr>
                <w:rFonts w:eastAsia="宋体"/>
                <w:color w:val="auto"/>
                <w:spacing w:val="-6"/>
                <w:szCs w:val="21"/>
                <w:highlight w:val="none"/>
              </w:rPr>
              <w:t>基于微服务技术架构开发，采用的编程语言框架需符合信创要求。</w:t>
            </w:r>
          </w:p>
          <w:p>
            <w:pPr>
              <w:spacing w:line="440" w:lineRule="exact"/>
              <w:ind w:firstLine="420" w:firstLineChars="200"/>
              <w:rPr>
                <w:rFonts w:eastAsia="宋体"/>
                <w:color w:val="auto"/>
                <w:szCs w:val="21"/>
                <w:highlight w:val="none"/>
              </w:rPr>
            </w:pPr>
            <w:r>
              <w:rPr>
                <w:rFonts w:eastAsia="宋体"/>
                <w:color w:val="auto"/>
                <w:szCs w:val="21"/>
                <w:highlight w:val="none"/>
              </w:rPr>
              <w:t>2.</w:t>
            </w:r>
            <w:r>
              <w:rPr>
                <w:rFonts w:hint="eastAsia" w:eastAsia="宋体"/>
                <w:color w:val="auto"/>
                <w:szCs w:val="21"/>
                <w:highlight w:val="none"/>
              </w:rPr>
              <w:t xml:space="preserve"> </w:t>
            </w:r>
            <w:r>
              <w:rPr>
                <w:rFonts w:eastAsia="宋体"/>
                <w:color w:val="auto"/>
                <w:szCs w:val="21"/>
                <w:highlight w:val="none"/>
              </w:rPr>
              <w:t>系统采用B/S（浏览器/服务器）架构模式，满足以下用户端要求：</w:t>
            </w:r>
          </w:p>
          <w:p>
            <w:pPr>
              <w:widowControl/>
              <w:numPr>
                <w:ilvl w:val="0"/>
                <w:numId w:val="44"/>
              </w:numPr>
              <w:autoSpaceDE w:val="0"/>
              <w:autoSpaceDN w:val="0"/>
              <w:adjustRightInd w:val="0"/>
              <w:snapToGrid w:val="0"/>
              <w:spacing w:line="440" w:lineRule="exact"/>
              <w:ind w:firstLine="420" w:firstLineChars="200"/>
              <w:rPr>
                <w:rFonts w:eastAsia="宋体"/>
                <w:color w:val="auto"/>
                <w:szCs w:val="21"/>
                <w:highlight w:val="none"/>
                <w:lang w:val="zh-CN"/>
              </w:rPr>
            </w:pPr>
            <w:r>
              <w:rPr>
                <w:rFonts w:eastAsia="宋体"/>
                <w:color w:val="auto"/>
                <w:szCs w:val="21"/>
                <w:highlight w:val="none"/>
                <w:lang w:val="zh-CN"/>
              </w:rPr>
              <w:t>PC端：支持windows、linux、麒麟、</w:t>
            </w:r>
            <w:r>
              <w:rPr>
                <w:rFonts w:eastAsia="宋体"/>
                <w:color w:val="auto"/>
                <w:szCs w:val="21"/>
                <w:highlight w:val="none"/>
              </w:rPr>
              <w:t>统信操作</w:t>
            </w:r>
            <w:r>
              <w:rPr>
                <w:rFonts w:eastAsia="宋体"/>
                <w:color w:val="auto"/>
                <w:szCs w:val="21"/>
                <w:highlight w:val="none"/>
                <w:lang w:val="zh-CN"/>
              </w:rPr>
              <w:t>系统</w:t>
            </w:r>
            <w:r>
              <w:rPr>
                <w:rFonts w:eastAsia="宋体"/>
                <w:color w:val="auto"/>
                <w:szCs w:val="21"/>
                <w:highlight w:val="none"/>
              </w:rPr>
              <w:t>的</w:t>
            </w:r>
            <w:r>
              <w:rPr>
                <w:rFonts w:eastAsia="宋体"/>
                <w:color w:val="auto"/>
                <w:szCs w:val="21"/>
                <w:highlight w:val="none"/>
                <w:lang w:val="zh-CN"/>
              </w:rPr>
              <w:t>PC终端访问；系统兼容360、奇安信、搜狗、QQ等国产主流浏览器，</w:t>
            </w:r>
            <w:r>
              <w:rPr>
                <w:rFonts w:eastAsia="宋体"/>
                <w:color w:val="auto"/>
                <w:szCs w:val="21"/>
                <w:highlight w:val="none"/>
              </w:rPr>
              <w:t>兼容</w:t>
            </w:r>
            <w:r>
              <w:rPr>
                <w:rFonts w:eastAsia="宋体"/>
                <w:color w:val="auto"/>
                <w:szCs w:val="21"/>
                <w:highlight w:val="none"/>
                <w:lang w:val="zh-CN"/>
              </w:rPr>
              <w:t xml:space="preserve"> Chrome、Firefox、Microsoft Edge等国外主流浏览器</w:t>
            </w:r>
            <w:r>
              <w:rPr>
                <w:rFonts w:hint="eastAsia" w:eastAsia="宋体"/>
                <w:color w:val="auto"/>
                <w:szCs w:val="21"/>
                <w:highlight w:val="none"/>
                <w:lang w:val="zh-CN"/>
              </w:rPr>
              <w:t>；</w:t>
            </w:r>
            <w:r>
              <w:rPr>
                <w:rFonts w:hint="eastAsia" w:eastAsia="宋体"/>
                <w:color w:val="auto"/>
                <w:szCs w:val="21"/>
                <w:highlight w:val="none"/>
              </w:rPr>
              <w:t>需</w:t>
            </w:r>
            <w:r>
              <w:rPr>
                <w:rFonts w:eastAsia="宋体"/>
                <w:color w:val="auto"/>
                <w:szCs w:val="21"/>
                <w:highlight w:val="none"/>
                <w:lang w:val="zh-CN"/>
              </w:rPr>
              <w:t>确保</w:t>
            </w:r>
            <w:r>
              <w:rPr>
                <w:rFonts w:hint="eastAsia" w:eastAsia="宋体"/>
                <w:color w:val="auto"/>
                <w:szCs w:val="21"/>
                <w:highlight w:val="none"/>
              </w:rPr>
              <w:t>系统</w:t>
            </w:r>
            <w:r>
              <w:rPr>
                <w:rFonts w:eastAsia="宋体"/>
                <w:color w:val="auto"/>
                <w:szCs w:val="21"/>
                <w:highlight w:val="none"/>
                <w:lang w:val="zh-CN"/>
              </w:rPr>
              <w:t>在不同</w:t>
            </w:r>
            <w:r>
              <w:rPr>
                <w:rFonts w:hint="eastAsia" w:eastAsia="宋体"/>
                <w:color w:val="auto"/>
                <w:szCs w:val="21"/>
                <w:highlight w:val="none"/>
              </w:rPr>
              <w:t>的PC端操作系统以及不同的</w:t>
            </w:r>
            <w:r>
              <w:rPr>
                <w:rFonts w:eastAsia="宋体"/>
                <w:color w:val="auto"/>
                <w:szCs w:val="21"/>
                <w:highlight w:val="none"/>
                <w:lang w:val="zh-CN"/>
              </w:rPr>
              <w:t>浏览器环境下均能正常运行且显示一致。</w:t>
            </w:r>
          </w:p>
          <w:p>
            <w:pPr>
              <w:widowControl/>
              <w:numPr>
                <w:ilvl w:val="0"/>
                <w:numId w:val="44"/>
              </w:numPr>
              <w:autoSpaceDE w:val="0"/>
              <w:autoSpaceDN w:val="0"/>
              <w:adjustRightInd w:val="0"/>
              <w:snapToGrid w:val="0"/>
              <w:spacing w:line="440" w:lineRule="exact"/>
              <w:ind w:firstLine="420" w:firstLineChars="200"/>
              <w:rPr>
                <w:rFonts w:eastAsia="宋体"/>
                <w:color w:val="auto"/>
                <w:szCs w:val="21"/>
                <w:highlight w:val="none"/>
                <w:lang w:val="zh-CN"/>
              </w:rPr>
            </w:pPr>
            <w:r>
              <w:rPr>
                <w:rFonts w:eastAsia="宋体"/>
                <w:color w:val="auto"/>
                <w:szCs w:val="21"/>
                <w:highlight w:val="none"/>
                <w:lang w:val="zh-CN"/>
              </w:rPr>
              <w:t>移动端：支持Android、iOS、HarmonyOS、Harmony NEXT</w:t>
            </w:r>
            <w:r>
              <w:rPr>
                <w:rFonts w:eastAsia="宋体"/>
                <w:color w:val="auto"/>
                <w:szCs w:val="21"/>
                <w:highlight w:val="none"/>
              </w:rPr>
              <w:t>操作</w:t>
            </w:r>
            <w:r>
              <w:rPr>
                <w:rFonts w:eastAsia="宋体"/>
                <w:color w:val="auto"/>
                <w:szCs w:val="21"/>
                <w:highlight w:val="none"/>
                <w:lang w:val="zh-CN"/>
              </w:rPr>
              <w:t>系统</w:t>
            </w:r>
            <w:r>
              <w:rPr>
                <w:rFonts w:eastAsia="宋体"/>
                <w:color w:val="auto"/>
                <w:szCs w:val="21"/>
                <w:highlight w:val="none"/>
              </w:rPr>
              <w:t>的</w:t>
            </w:r>
            <w:r>
              <w:rPr>
                <w:rFonts w:eastAsia="宋体"/>
                <w:color w:val="auto"/>
                <w:szCs w:val="21"/>
                <w:highlight w:val="none"/>
                <w:lang w:val="zh-CN"/>
              </w:rPr>
              <w:t>手机、平板等移动终端访问</w:t>
            </w:r>
            <w:r>
              <w:rPr>
                <w:rFonts w:hint="eastAsia" w:eastAsia="宋体"/>
                <w:color w:val="auto"/>
                <w:szCs w:val="21"/>
                <w:highlight w:val="none"/>
                <w:lang w:val="zh-CN"/>
              </w:rPr>
              <w:t>。</w:t>
            </w:r>
          </w:p>
          <w:p>
            <w:pPr>
              <w:widowControl/>
              <w:numPr>
                <w:ilvl w:val="0"/>
                <w:numId w:val="44"/>
              </w:numPr>
              <w:autoSpaceDE w:val="0"/>
              <w:autoSpaceDN w:val="0"/>
              <w:adjustRightInd w:val="0"/>
              <w:snapToGrid w:val="0"/>
              <w:spacing w:line="440" w:lineRule="exact"/>
              <w:ind w:firstLine="420" w:firstLineChars="200"/>
              <w:rPr>
                <w:rFonts w:eastAsia="宋体"/>
                <w:color w:val="auto"/>
                <w:szCs w:val="21"/>
                <w:highlight w:val="none"/>
                <w:lang w:val="zh-CN"/>
              </w:rPr>
            </w:pPr>
            <w:r>
              <w:rPr>
                <w:rFonts w:eastAsia="宋体"/>
                <w:color w:val="auto"/>
                <w:szCs w:val="21"/>
                <w:highlight w:val="none"/>
                <w:lang w:val="zh-CN"/>
              </w:rPr>
              <w:t>系统页面设计应简洁直观、操作便捷，提示信息清晰友好，保障良好的用户体验；用户访问门户</w:t>
            </w:r>
            <w:r>
              <w:rPr>
                <w:rFonts w:hint="eastAsia" w:eastAsia="宋体"/>
                <w:color w:val="auto"/>
                <w:szCs w:val="21"/>
                <w:highlight w:val="none"/>
              </w:rPr>
              <w:t>和</w:t>
            </w:r>
            <w:r>
              <w:rPr>
                <w:rFonts w:eastAsia="宋体"/>
                <w:color w:val="auto"/>
                <w:szCs w:val="21"/>
                <w:highlight w:val="none"/>
                <w:lang w:val="zh-CN"/>
              </w:rPr>
              <w:t>各子系统无需安装任何插件；门户</w:t>
            </w:r>
            <w:r>
              <w:rPr>
                <w:rFonts w:hint="eastAsia" w:eastAsia="宋体"/>
                <w:color w:val="auto"/>
                <w:szCs w:val="21"/>
                <w:highlight w:val="none"/>
              </w:rPr>
              <w:t>和</w:t>
            </w:r>
            <w:r>
              <w:rPr>
                <w:rFonts w:eastAsia="宋体"/>
                <w:color w:val="auto"/>
                <w:szCs w:val="21"/>
                <w:highlight w:val="none"/>
                <w:lang w:val="zh-CN"/>
              </w:rPr>
              <w:t>各子系统的操作方式、界面风格应保持统一，确保用户</w:t>
            </w:r>
            <w:r>
              <w:rPr>
                <w:rFonts w:hint="eastAsia" w:eastAsia="宋体"/>
                <w:color w:val="auto"/>
                <w:szCs w:val="21"/>
                <w:highlight w:val="none"/>
              </w:rPr>
              <w:t>界面的</w:t>
            </w:r>
            <w:r>
              <w:rPr>
                <w:rFonts w:eastAsia="宋体"/>
                <w:color w:val="auto"/>
                <w:szCs w:val="21"/>
                <w:highlight w:val="none"/>
                <w:lang w:val="zh-CN"/>
              </w:rPr>
              <w:t>一致性与易用性。</w:t>
            </w:r>
          </w:p>
          <w:p>
            <w:pPr>
              <w:widowControl/>
              <w:numPr>
                <w:ilvl w:val="0"/>
                <w:numId w:val="1"/>
              </w:numPr>
              <w:spacing w:line="440" w:lineRule="exact"/>
              <w:rPr>
                <w:b/>
                <w:bCs/>
                <w:color w:val="auto"/>
                <w:szCs w:val="21"/>
                <w:highlight w:val="none"/>
              </w:rPr>
            </w:pPr>
            <w:r>
              <w:rPr>
                <w:b/>
                <w:bCs/>
                <w:color w:val="auto"/>
                <w:szCs w:val="21"/>
                <w:highlight w:val="none"/>
              </w:rPr>
              <w:t>安全服务要求</w:t>
            </w:r>
          </w:p>
          <w:p>
            <w:pPr>
              <w:numPr>
                <w:ilvl w:val="0"/>
                <w:numId w:val="45"/>
              </w:numPr>
              <w:spacing w:line="440" w:lineRule="exact"/>
              <w:ind w:firstLine="422" w:firstLineChars="200"/>
              <w:rPr>
                <w:rFonts w:eastAsia="宋体"/>
                <w:b/>
                <w:bCs/>
                <w:color w:val="auto"/>
                <w:szCs w:val="21"/>
                <w:highlight w:val="none"/>
                <w:shd w:val="clear" w:color="auto" w:fill="FFFFFF"/>
              </w:rPr>
            </w:pPr>
            <w:r>
              <w:rPr>
                <w:rFonts w:eastAsia="宋体"/>
                <w:b/>
                <w:bCs/>
                <w:color w:val="auto"/>
                <w:szCs w:val="21"/>
                <w:highlight w:val="none"/>
                <w:shd w:val="clear" w:color="auto" w:fill="FFFFFF"/>
              </w:rPr>
              <w:t>应用安全</w:t>
            </w:r>
          </w:p>
          <w:p>
            <w:pPr>
              <w:numPr>
                <w:ilvl w:val="0"/>
                <w:numId w:val="46"/>
              </w:numPr>
              <w:spacing w:line="440" w:lineRule="exact"/>
              <w:ind w:left="0"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身份验证和访问控制：系统具有统一权限管理，提供统一身份认证和统一授权的服务接口；使用基于角色的权限控制方式对系统资源的访问进行授权。支持根据业务角色不同赋予权限，支持功能模块、报表等细颗粒度权限控制。</w:t>
            </w:r>
            <w:r>
              <w:rPr>
                <w:rFonts w:eastAsia="宋体"/>
                <w:color w:val="auto"/>
                <w:szCs w:val="21"/>
                <w:highlight w:val="none"/>
              </w:rPr>
              <w:t>系统</w:t>
            </w:r>
            <w:r>
              <w:rPr>
                <w:rFonts w:hint="eastAsia"/>
                <w:color w:val="auto"/>
                <w:szCs w:val="21"/>
                <w:highlight w:val="none"/>
                <w:lang w:eastAsia="zh-CN"/>
              </w:rPr>
              <w:t>可设置登录失败次数限制，支持</w:t>
            </w:r>
            <w:r>
              <w:rPr>
                <w:rFonts w:eastAsia="宋体"/>
                <w:color w:val="auto"/>
                <w:szCs w:val="21"/>
                <w:highlight w:val="none"/>
              </w:rPr>
              <w:t>用户口令强度检测，杜绝弱口令情况发生，密码须定期自动提示更换，并对验证身份的鉴别数据加密存储。</w:t>
            </w:r>
          </w:p>
          <w:p>
            <w:pPr>
              <w:numPr>
                <w:ilvl w:val="0"/>
                <w:numId w:val="46"/>
              </w:numPr>
              <w:spacing w:line="440" w:lineRule="exact"/>
              <w:ind w:left="0"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数据保护和加密：系统采用国产商用密码等技术，防止数据未经授权的访问、修改或删除。</w:t>
            </w:r>
          </w:p>
          <w:p>
            <w:pPr>
              <w:numPr>
                <w:ilvl w:val="0"/>
                <w:numId w:val="46"/>
              </w:numPr>
              <w:spacing w:line="440" w:lineRule="exact"/>
              <w:ind w:left="0"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安全审计和监控：系统可实现对用户登录、重要行为、资源异常使用、执行重要系统功能等活动以及安全事件等进行全过程记录、分析和调查，辅助潜在安全漏洞检查、恶意活动追踪。安全日志包括时间、类型、身份标识、敏感标记、事件结果等。</w:t>
            </w:r>
          </w:p>
          <w:p>
            <w:pPr>
              <w:numPr>
                <w:ilvl w:val="0"/>
                <w:numId w:val="46"/>
              </w:numPr>
              <w:spacing w:line="440" w:lineRule="exact"/>
              <w:ind w:left="0"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漏洞管理和应急响应：系统可实现漏洞统一管理，中标人负责定期检测系统安全漏洞，及时修复漏洞，防止黑客利用漏洞进行攻击，并对恶意代码进行扫描和防护，以确保应用程序的安全性；在系统遭受攻击或出现安全事件时，中标人</w:t>
            </w:r>
            <w:r>
              <w:rPr>
                <w:rFonts w:eastAsia="宋体"/>
                <w:color w:val="auto"/>
                <w:szCs w:val="21"/>
                <w:highlight w:val="none"/>
              </w:rPr>
              <w:t>须与采购人协商，根据整改要求和整改期限，</w:t>
            </w:r>
            <w:r>
              <w:rPr>
                <w:rFonts w:eastAsia="宋体"/>
                <w:color w:val="auto"/>
                <w:szCs w:val="21"/>
                <w:highlight w:val="none"/>
                <w:shd w:val="clear" w:color="auto" w:fill="FFFFFF"/>
              </w:rPr>
              <w:t>及时采取措施应对以恢复系统安全。</w:t>
            </w:r>
          </w:p>
          <w:p>
            <w:pPr>
              <w:numPr>
                <w:ilvl w:val="0"/>
                <w:numId w:val="45"/>
              </w:numPr>
              <w:spacing w:line="440" w:lineRule="exact"/>
              <w:ind w:firstLine="422" w:firstLineChars="200"/>
              <w:rPr>
                <w:rFonts w:eastAsia="宋体"/>
                <w:b/>
                <w:bCs/>
                <w:color w:val="auto"/>
                <w:szCs w:val="21"/>
                <w:highlight w:val="none"/>
                <w:shd w:val="clear" w:color="auto" w:fill="FFFFFF"/>
              </w:rPr>
            </w:pPr>
            <w:r>
              <w:rPr>
                <w:rFonts w:eastAsia="宋体"/>
                <w:b/>
                <w:bCs/>
                <w:color w:val="auto"/>
                <w:szCs w:val="21"/>
                <w:highlight w:val="none"/>
                <w:shd w:val="clear" w:color="auto" w:fill="FFFFFF"/>
              </w:rPr>
              <w:t>数据安全</w:t>
            </w:r>
          </w:p>
          <w:p>
            <w:pPr>
              <w:spacing w:line="440" w:lineRule="exact"/>
              <w:ind w:firstLine="560"/>
              <w:rPr>
                <w:rFonts w:eastAsia="宋体"/>
                <w:color w:val="auto"/>
                <w:szCs w:val="21"/>
                <w:highlight w:val="none"/>
                <w:shd w:val="clear" w:color="auto" w:fill="FFFFFF"/>
              </w:rPr>
            </w:pPr>
            <w:r>
              <w:rPr>
                <w:rFonts w:eastAsia="宋体"/>
                <w:color w:val="auto"/>
                <w:szCs w:val="21"/>
                <w:highlight w:val="none"/>
                <w:shd w:val="clear" w:color="auto" w:fill="FFFFFF"/>
              </w:rPr>
              <w:t>中标人应按照《中华人民共和国数据安全法》</w:t>
            </w:r>
            <w:r>
              <w:rPr>
                <w:rFonts w:hint="eastAsia" w:eastAsia="宋体"/>
                <w:color w:val="auto"/>
                <w:szCs w:val="21"/>
                <w:highlight w:val="none"/>
                <w:shd w:val="clear" w:color="auto" w:fill="FFFFFF"/>
              </w:rPr>
              <w:t>《中华人民共和国个人信息保护法》</w:t>
            </w:r>
            <w:r>
              <w:rPr>
                <w:rFonts w:eastAsia="宋体"/>
                <w:color w:val="auto"/>
                <w:szCs w:val="21"/>
                <w:highlight w:val="none"/>
                <w:shd w:val="clear" w:color="auto" w:fill="FFFFFF"/>
              </w:rPr>
              <w:t>要求，遵循国家电子政务总体框架和标准规范进行系统设计，采取有效措施确保数据在传输、存储、共享和应用过程中的安全性，防止各种恶意的入侵、破坏和数据泄露。中标人应制定合理、完备、适用的数据灾备恢复方案，对应用服务器数据、数据库数据、文件数据、系统和数据库日志等进行定期增量备份和定期完整备份，实现对系统中的业务数据、用户数据、系统数据、敏感数据等重要数据的定期本地备份，保证系统损坏后可立即恢复。</w:t>
            </w:r>
          </w:p>
          <w:p>
            <w:pPr>
              <w:numPr>
                <w:ilvl w:val="0"/>
                <w:numId w:val="47"/>
              </w:numPr>
              <w:spacing w:line="440" w:lineRule="exact"/>
              <w:ind w:left="0"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网络安全：本项目部署在自治区信创云互联网区，通过自治区信创云部署的防火墙、入侵防御、抗DDoS攻击、访问控制等安全设备，阻止未经授权的数据访问和传输，降低数据被窃取的风险。</w:t>
            </w:r>
          </w:p>
          <w:p>
            <w:pPr>
              <w:numPr>
                <w:ilvl w:val="0"/>
                <w:numId w:val="47"/>
              </w:numPr>
              <w:spacing w:line="440" w:lineRule="exact"/>
              <w:ind w:left="0"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物理安全：利用自治区信创云的物理环境和软硬件资源，依托自治区信创云的环境监控和容灾备份机制消除数据遗失、毁坏、泄露的风险。</w:t>
            </w:r>
          </w:p>
          <w:p>
            <w:pPr>
              <w:numPr>
                <w:ilvl w:val="0"/>
                <w:numId w:val="47"/>
              </w:numPr>
              <w:spacing w:line="440" w:lineRule="exact"/>
              <w:ind w:left="0"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访问控制：系统应实施严格的数据授权访问机制，禁止未经授权的数据传输、存储和访问；支持对数据接口调用的管控（服务限速、数量限制）；支持免验证、Basic验证、Digest验证、Token验证、Digest+验证等多种验证方式。</w:t>
            </w:r>
          </w:p>
          <w:p>
            <w:pPr>
              <w:numPr>
                <w:ilvl w:val="0"/>
                <w:numId w:val="47"/>
              </w:numPr>
              <w:spacing w:line="440" w:lineRule="exact"/>
              <w:ind w:left="0"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数据加密：系统应达到网络传输及数据存储加密机制要求。网络传输加密机制支持SM2国产密码算法和国密安全协议，使用国密算法实现高强度SSL加密连接及服务器身份认证。数据存储加密机制包括但不限于SM2、SM4等国产商用密码，</w:t>
            </w:r>
            <w:r>
              <w:rPr>
                <w:rFonts w:hint="eastAsia" w:eastAsia="宋体"/>
                <w:color w:val="auto"/>
                <w:szCs w:val="21"/>
                <w:highlight w:val="none"/>
                <w:shd w:val="clear" w:color="auto" w:fill="FFFFFF"/>
              </w:rPr>
              <w:t>系统须对身份证号码等个人隐私信息、敏感数据加密存储。</w:t>
            </w:r>
          </w:p>
          <w:p>
            <w:pPr>
              <w:numPr>
                <w:ilvl w:val="0"/>
                <w:numId w:val="47"/>
              </w:numPr>
              <w:spacing w:line="440" w:lineRule="exact"/>
              <w:ind w:left="0"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数据脱敏：系统利用数据脱敏技术，实现对系统敏感数据的保护，支持对敏感数据字段</w:t>
            </w:r>
            <w:r>
              <w:rPr>
                <w:rFonts w:hint="eastAsia" w:eastAsia="宋体"/>
                <w:color w:val="auto"/>
                <w:szCs w:val="21"/>
                <w:highlight w:val="none"/>
                <w:shd w:val="clear" w:color="auto" w:fill="FFFFFF"/>
              </w:rPr>
              <w:t>（如身份证号码、手机号码等）</w:t>
            </w:r>
            <w:r>
              <w:rPr>
                <w:rFonts w:eastAsia="宋体"/>
                <w:color w:val="auto"/>
                <w:szCs w:val="21"/>
                <w:highlight w:val="none"/>
                <w:shd w:val="clear" w:color="auto" w:fill="FFFFFF"/>
              </w:rPr>
              <w:t>进行自定义规则</w:t>
            </w:r>
            <w:r>
              <w:rPr>
                <w:rFonts w:hint="eastAsia" w:eastAsia="宋体"/>
                <w:color w:val="auto"/>
                <w:szCs w:val="21"/>
                <w:highlight w:val="none"/>
                <w:shd w:val="clear" w:color="auto" w:fill="FFFFFF"/>
              </w:rPr>
              <w:t>的</w:t>
            </w:r>
            <w:r>
              <w:rPr>
                <w:rFonts w:eastAsia="宋体"/>
                <w:color w:val="auto"/>
                <w:szCs w:val="21"/>
                <w:highlight w:val="none"/>
                <w:shd w:val="clear" w:color="auto" w:fill="FFFFFF"/>
              </w:rPr>
              <w:t>脱敏</w:t>
            </w:r>
            <w:r>
              <w:rPr>
                <w:rFonts w:hint="eastAsia" w:eastAsia="宋体"/>
                <w:color w:val="auto"/>
                <w:szCs w:val="21"/>
                <w:highlight w:val="none"/>
                <w:shd w:val="clear" w:color="auto" w:fill="FFFFFF"/>
              </w:rPr>
              <w:t>显示</w:t>
            </w:r>
            <w:r>
              <w:rPr>
                <w:rFonts w:eastAsia="宋体"/>
                <w:color w:val="auto"/>
                <w:szCs w:val="21"/>
                <w:highlight w:val="none"/>
                <w:shd w:val="clear" w:color="auto" w:fill="FFFFFF"/>
              </w:rPr>
              <w:t>。</w:t>
            </w:r>
          </w:p>
          <w:p>
            <w:pPr>
              <w:numPr>
                <w:ilvl w:val="0"/>
                <w:numId w:val="47"/>
              </w:numPr>
              <w:spacing w:line="440" w:lineRule="exact"/>
              <w:ind w:left="0"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数据审计：通过数据审计，对操作数据的全过程行为进行监控，提高异常行为发现的概率和抗抵赖性。</w:t>
            </w:r>
          </w:p>
          <w:p>
            <w:pPr>
              <w:numPr>
                <w:ilvl w:val="0"/>
                <w:numId w:val="47"/>
              </w:numPr>
              <w:spacing w:line="440" w:lineRule="exact"/>
              <w:ind w:left="0"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数据备份和恢复：根据业务需求，中标人应制定科学完备的数据备份方案，对应用服务器数据、数据库数据、文件数据、系统和数据库日志等进行定期增量备份和完整备份。支持远程数据恢复，如需进行备份数据恢复，恢复完成时间应满足采购人对业务开展连续性的要求，原则上需在</w:t>
            </w:r>
            <w:r>
              <w:rPr>
                <w:rFonts w:hint="eastAsia" w:eastAsia="宋体"/>
                <w:color w:val="auto"/>
                <w:szCs w:val="21"/>
                <w:highlight w:val="none"/>
                <w:shd w:val="clear" w:color="auto" w:fill="FFFFFF"/>
              </w:rPr>
              <w:t>24</w:t>
            </w:r>
            <w:r>
              <w:rPr>
                <w:rFonts w:eastAsia="宋体"/>
                <w:color w:val="auto"/>
                <w:szCs w:val="21"/>
                <w:highlight w:val="none"/>
                <w:shd w:val="clear" w:color="auto" w:fill="FFFFFF"/>
              </w:rPr>
              <w:t>小时内完成关键业务数据的恢复，并保证恢复后数据的完整性。</w:t>
            </w:r>
          </w:p>
          <w:p>
            <w:pPr>
              <w:numPr>
                <w:ilvl w:val="0"/>
                <w:numId w:val="45"/>
              </w:numPr>
              <w:spacing w:line="440" w:lineRule="exact"/>
              <w:ind w:firstLine="422" w:firstLineChars="200"/>
              <w:rPr>
                <w:rFonts w:eastAsia="宋体"/>
                <w:b/>
                <w:bCs/>
                <w:color w:val="auto"/>
                <w:szCs w:val="21"/>
                <w:highlight w:val="none"/>
                <w:shd w:val="clear" w:color="auto" w:fill="FFFFFF"/>
              </w:rPr>
            </w:pPr>
            <w:r>
              <w:rPr>
                <w:rFonts w:eastAsia="宋体"/>
                <w:b/>
                <w:bCs/>
                <w:color w:val="auto"/>
                <w:szCs w:val="21"/>
                <w:highlight w:val="none"/>
                <w:shd w:val="clear" w:color="auto" w:fill="FFFFFF"/>
              </w:rPr>
              <w:t>配合完成网络安全等级保护测评</w:t>
            </w:r>
          </w:p>
          <w:p>
            <w:pPr>
              <w:spacing w:line="440" w:lineRule="exact"/>
              <w:ind w:firstLine="560"/>
              <w:rPr>
                <w:rFonts w:eastAsia="宋体"/>
                <w:color w:val="auto"/>
                <w:szCs w:val="21"/>
                <w:highlight w:val="none"/>
                <w:shd w:val="clear" w:color="auto" w:fill="FFFFFF"/>
              </w:rPr>
            </w:pPr>
            <w:r>
              <w:rPr>
                <w:rFonts w:hint="eastAsia" w:eastAsia="宋体"/>
                <w:color w:val="auto"/>
                <w:szCs w:val="21"/>
                <w:highlight w:val="none"/>
                <w:shd w:val="clear" w:color="auto" w:fill="FFFFFF"/>
              </w:rPr>
              <w:t>本项目需严格遵循《网络安全等级保护条例》《</w:t>
            </w:r>
            <w:r>
              <w:rPr>
                <w:rFonts w:eastAsia="宋体"/>
                <w:color w:val="auto"/>
                <w:szCs w:val="21"/>
                <w:highlight w:val="none"/>
                <w:shd w:val="clear" w:color="auto" w:fill="FFFFFF"/>
              </w:rPr>
              <w:t>信息安全技术网络安全等级保护基本要求</w:t>
            </w:r>
            <w:r>
              <w:rPr>
                <w:rFonts w:hint="eastAsia" w:eastAsia="宋体"/>
                <w:color w:val="auto"/>
                <w:szCs w:val="21"/>
                <w:highlight w:val="none"/>
                <w:shd w:val="clear" w:color="auto" w:fill="FFFFFF"/>
              </w:rPr>
              <w:t>》（GB/T 22239-2019）中</w:t>
            </w:r>
            <w:r>
              <w:rPr>
                <w:rFonts w:eastAsia="宋体"/>
                <w:color w:val="auto"/>
                <w:szCs w:val="21"/>
                <w:highlight w:val="none"/>
                <w:shd w:val="clear" w:color="auto" w:fill="FFFFFF"/>
              </w:rPr>
              <w:t>信息安全等级保护第三级的相关要求</w:t>
            </w:r>
            <w:r>
              <w:rPr>
                <w:rFonts w:hint="eastAsia" w:eastAsia="宋体"/>
                <w:color w:val="auto"/>
                <w:szCs w:val="21"/>
                <w:highlight w:val="none"/>
                <w:shd w:val="clear" w:color="auto" w:fill="FFFFFF"/>
              </w:rPr>
              <w:t>，以 “安全合规、风险可控、满足业务” 为核心，构建覆盖 “网络安全、计算环境安全、应用安全、数据安全” 的全维度安全防护体系。</w:t>
            </w:r>
          </w:p>
          <w:p>
            <w:pPr>
              <w:spacing w:line="440" w:lineRule="exact"/>
              <w:ind w:firstLine="560"/>
              <w:rPr>
                <w:rFonts w:eastAsia="宋体"/>
                <w:color w:val="auto"/>
                <w:szCs w:val="21"/>
                <w:highlight w:val="none"/>
                <w:shd w:val="clear" w:color="auto" w:fill="FFFFFF"/>
              </w:rPr>
            </w:pPr>
            <w:r>
              <w:rPr>
                <w:rFonts w:hint="eastAsia" w:eastAsia="宋体"/>
                <w:color w:val="auto"/>
                <w:szCs w:val="21"/>
                <w:highlight w:val="none"/>
                <w:shd w:val="clear" w:color="auto" w:fill="FFFFFF"/>
              </w:rPr>
              <w:t>本项目</w:t>
            </w:r>
            <w:r>
              <w:rPr>
                <w:rFonts w:eastAsia="宋体"/>
                <w:color w:val="auto"/>
                <w:szCs w:val="21"/>
                <w:highlight w:val="none"/>
                <w:shd w:val="clear" w:color="auto" w:fill="FFFFFF"/>
              </w:rPr>
              <w:t>由采购人委托第三方测评机构进行等保测评，中标人</w:t>
            </w:r>
            <w:r>
              <w:rPr>
                <w:rFonts w:hint="eastAsia" w:eastAsia="宋体"/>
                <w:color w:val="auto"/>
                <w:szCs w:val="21"/>
                <w:highlight w:val="none"/>
                <w:shd w:val="clear" w:color="auto" w:fill="FFFFFF"/>
              </w:rPr>
              <w:t>须</w:t>
            </w:r>
            <w:r>
              <w:rPr>
                <w:rFonts w:eastAsia="宋体"/>
                <w:color w:val="auto"/>
                <w:szCs w:val="21"/>
                <w:highlight w:val="none"/>
                <w:shd w:val="clear" w:color="auto" w:fill="FFFFFF"/>
              </w:rPr>
              <w:t>配合完成等保测评相关工作，</w:t>
            </w:r>
            <w:r>
              <w:rPr>
                <w:rFonts w:hint="eastAsia" w:eastAsia="宋体"/>
                <w:color w:val="auto"/>
                <w:szCs w:val="21"/>
                <w:highlight w:val="none"/>
                <w:shd w:val="clear" w:color="auto" w:fill="FFFFFF"/>
              </w:rPr>
              <w:t>并取得合格测评报告，确保</w:t>
            </w:r>
            <w:r>
              <w:rPr>
                <w:rFonts w:eastAsia="宋体"/>
                <w:color w:val="auto"/>
                <w:szCs w:val="21"/>
                <w:highlight w:val="none"/>
                <w:shd w:val="clear" w:color="auto" w:fill="FFFFFF"/>
              </w:rPr>
              <w:t>交付的应用系统</w:t>
            </w:r>
            <w:r>
              <w:rPr>
                <w:rFonts w:hint="eastAsia" w:eastAsia="宋体"/>
                <w:color w:val="auto"/>
                <w:szCs w:val="21"/>
                <w:highlight w:val="none"/>
                <w:shd w:val="clear" w:color="auto" w:fill="FFFFFF"/>
              </w:rPr>
              <w:t>满足</w:t>
            </w:r>
            <w:r>
              <w:rPr>
                <w:rFonts w:eastAsia="宋体"/>
                <w:color w:val="auto"/>
                <w:szCs w:val="21"/>
                <w:highlight w:val="none"/>
                <w:shd w:val="clear" w:color="auto" w:fill="FFFFFF"/>
              </w:rPr>
              <w:t>信息安全等级保护第三级</w:t>
            </w:r>
            <w:r>
              <w:rPr>
                <w:rFonts w:hint="eastAsia" w:eastAsia="宋体"/>
                <w:color w:val="auto"/>
                <w:szCs w:val="21"/>
                <w:highlight w:val="none"/>
                <w:shd w:val="clear" w:color="auto" w:fill="FFFFFF"/>
              </w:rPr>
              <w:t>要求。</w:t>
            </w:r>
          </w:p>
          <w:p>
            <w:pPr>
              <w:numPr>
                <w:ilvl w:val="0"/>
                <w:numId w:val="45"/>
              </w:numPr>
              <w:spacing w:line="440" w:lineRule="exact"/>
              <w:ind w:firstLine="422" w:firstLineChars="200"/>
              <w:rPr>
                <w:rFonts w:eastAsia="宋体"/>
                <w:b/>
                <w:bCs/>
                <w:color w:val="auto"/>
                <w:szCs w:val="21"/>
                <w:highlight w:val="none"/>
                <w:shd w:val="clear" w:color="auto" w:fill="FFFFFF"/>
              </w:rPr>
            </w:pPr>
            <w:r>
              <w:rPr>
                <w:rFonts w:eastAsia="宋体"/>
                <w:b/>
                <w:bCs/>
                <w:color w:val="auto"/>
                <w:szCs w:val="21"/>
                <w:highlight w:val="none"/>
                <w:shd w:val="clear" w:color="auto" w:fill="FFFFFF"/>
              </w:rPr>
              <w:t>国密应用服务</w:t>
            </w:r>
          </w:p>
          <w:p>
            <w:pPr>
              <w:numPr>
                <w:ilvl w:val="255"/>
                <w:numId w:val="0"/>
              </w:numPr>
              <w:spacing w:line="440" w:lineRule="exact"/>
              <w:ind w:firstLine="560"/>
              <w:rPr>
                <w:rFonts w:eastAsia="宋体"/>
                <w:color w:val="auto"/>
                <w:szCs w:val="21"/>
                <w:highlight w:val="none"/>
                <w:shd w:val="clear" w:color="auto" w:fill="FFFFFF"/>
              </w:rPr>
            </w:pPr>
            <w:r>
              <w:rPr>
                <w:rFonts w:hint="eastAsia" w:eastAsia="宋体"/>
                <w:color w:val="auto"/>
                <w:szCs w:val="21"/>
                <w:highlight w:val="none"/>
                <w:shd w:val="clear" w:color="auto" w:fill="FFFFFF"/>
              </w:rPr>
              <w:t>中标人提供的开发服务须严格符合国家、自治区相关密码应用政策，并满足 GB/T39786-2021《信息安全技术 信息系统密码应用基本要求》中第三级密码应用要求。包括但不限于：（1）在物理和环境安全、网络和通信安全、设备和计算安全、应用和数据安全等方面，采用经国家核准的密码算法、合规密码产品及服务，实现用户身份鉴别及访问控制，保障系统数据</w:t>
            </w:r>
            <w:r>
              <w:rPr>
                <w:rFonts w:eastAsia="宋体"/>
                <w:color w:val="auto"/>
                <w:szCs w:val="21"/>
                <w:highlight w:val="none"/>
                <w:shd w:val="clear" w:color="auto" w:fill="FFFFFF"/>
              </w:rPr>
              <w:t>在传输及存储过程中的机密性与完整性</w:t>
            </w:r>
            <w:r>
              <w:rPr>
                <w:rFonts w:hint="eastAsia" w:eastAsia="宋体"/>
                <w:color w:val="auto"/>
                <w:szCs w:val="21"/>
                <w:highlight w:val="none"/>
                <w:shd w:val="clear" w:color="auto" w:fill="FFFFFF"/>
              </w:rPr>
              <w:t>；（2）配合采购人建立健全密码应用管理制度。</w:t>
            </w:r>
          </w:p>
          <w:p>
            <w:pPr>
              <w:spacing w:line="440" w:lineRule="exact"/>
              <w:ind w:firstLine="560"/>
              <w:rPr>
                <w:rFonts w:eastAsia="宋体"/>
                <w:color w:val="auto"/>
                <w:szCs w:val="21"/>
                <w:highlight w:val="none"/>
                <w:shd w:val="clear" w:color="auto" w:fill="FFFFFF"/>
              </w:rPr>
            </w:pPr>
            <w:r>
              <w:rPr>
                <w:rFonts w:eastAsia="宋体"/>
                <w:color w:val="auto"/>
                <w:szCs w:val="21"/>
                <w:highlight w:val="none"/>
                <w:shd w:val="clear" w:color="auto" w:fill="FFFFFF"/>
              </w:rPr>
              <w:t>本项目由采购人委托第三方测评机构进行</w:t>
            </w:r>
            <w:r>
              <w:rPr>
                <w:rFonts w:hint="eastAsia" w:eastAsia="宋体"/>
                <w:color w:val="auto"/>
                <w:szCs w:val="21"/>
                <w:highlight w:val="none"/>
                <w:shd w:val="clear" w:color="auto" w:fill="FFFFFF"/>
              </w:rPr>
              <w:t>密码</w:t>
            </w:r>
            <w:r>
              <w:rPr>
                <w:rFonts w:eastAsia="宋体"/>
                <w:color w:val="auto"/>
                <w:szCs w:val="21"/>
                <w:highlight w:val="none"/>
                <w:shd w:val="clear" w:color="auto" w:fill="FFFFFF"/>
              </w:rPr>
              <w:t>测评，中标人</w:t>
            </w:r>
            <w:r>
              <w:rPr>
                <w:rFonts w:hint="eastAsia" w:eastAsia="宋体"/>
                <w:color w:val="auto"/>
                <w:szCs w:val="21"/>
                <w:highlight w:val="none"/>
                <w:shd w:val="clear" w:color="auto" w:fill="FFFFFF"/>
              </w:rPr>
              <w:t>须</w:t>
            </w:r>
            <w:r>
              <w:rPr>
                <w:rFonts w:eastAsia="宋体"/>
                <w:color w:val="auto"/>
                <w:szCs w:val="21"/>
                <w:highlight w:val="none"/>
                <w:shd w:val="clear" w:color="auto" w:fill="FFFFFF"/>
              </w:rPr>
              <w:t>配合完成密码测评相关工作</w:t>
            </w:r>
            <w:r>
              <w:rPr>
                <w:rFonts w:hint="eastAsia" w:eastAsia="宋体"/>
                <w:color w:val="auto"/>
                <w:szCs w:val="21"/>
                <w:highlight w:val="none"/>
                <w:shd w:val="clear" w:color="auto" w:fill="FFFFFF"/>
              </w:rPr>
              <w:t>，并取得合格测评报告，</w:t>
            </w:r>
            <w:r>
              <w:rPr>
                <w:rFonts w:eastAsia="宋体"/>
                <w:color w:val="auto"/>
                <w:szCs w:val="21"/>
                <w:highlight w:val="none"/>
                <w:shd w:val="clear" w:color="auto" w:fill="FFFFFF"/>
              </w:rPr>
              <w:t>确保交付的应用系统满足</w:t>
            </w:r>
            <w:r>
              <w:rPr>
                <w:rFonts w:hint="eastAsia" w:eastAsia="宋体"/>
                <w:color w:val="auto"/>
                <w:szCs w:val="21"/>
                <w:highlight w:val="none"/>
                <w:shd w:val="clear" w:color="auto" w:fill="FFFFFF"/>
              </w:rPr>
              <w:t>密码应用第三级要求</w:t>
            </w:r>
            <w:r>
              <w:rPr>
                <w:rFonts w:eastAsia="宋体"/>
                <w:color w:val="auto"/>
                <w:szCs w:val="21"/>
                <w:highlight w:val="none"/>
                <w:shd w:val="clear" w:color="auto" w:fill="FFFFFF"/>
              </w:rPr>
              <w:t>。</w:t>
            </w:r>
          </w:p>
          <w:p>
            <w:pPr>
              <w:numPr>
                <w:ilvl w:val="0"/>
                <w:numId w:val="45"/>
              </w:numPr>
              <w:spacing w:line="440" w:lineRule="exact"/>
              <w:ind w:firstLine="422" w:firstLineChars="200"/>
              <w:rPr>
                <w:rFonts w:eastAsia="宋体"/>
                <w:b/>
                <w:bCs/>
                <w:color w:val="auto"/>
                <w:szCs w:val="21"/>
                <w:highlight w:val="none"/>
                <w:shd w:val="clear" w:color="auto" w:fill="FFFFFF"/>
              </w:rPr>
            </w:pPr>
            <w:r>
              <w:rPr>
                <w:rFonts w:eastAsia="宋体"/>
                <w:b/>
                <w:bCs/>
                <w:color w:val="auto"/>
                <w:szCs w:val="21"/>
                <w:highlight w:val="none"/>
                <w:shd w:val="clear" w:color="auto" w:fill="FFFFFF"/>
              </w:rPr>
              <w:t>渗透测试</w:t>
            </w:r>
          </w:p>
          <w:p>
            <w:pPr>
              <w:numPr>
                <w:ilvl w:val="255"/>
                <w:numId w:val="0"/>
              </w:numPr>
              <w:spacing w:line="440" w:lineRule="exact"/>
              <w:ind w:firstLine="420" w:firstLineChars="200"/>
              <w:rPr>
                <w:rFonts w:eastAsia="宋体"/>
                <w:color w:val="auto"/>
                <w:szCs w:val="21"/>
                <w:highlight w:val="none"/>
                <w:shd w:val="clear" w:color="auto" w:fill="FFFFFF"/>
              </w:rPr>
            </w:pPr>
            <w:r>
              <w:rPr>
                <w:rFonts w:hint="eastAsia" w:eastAsia="宋体"/>
                <w:color w:val="auto"/>
                <w:szCs w:val="21"/>
                <w:highlight w:val="none"/>
                <w:shd w:val="clear" w:color="auto" w:fill="FFFFFF"/>
              </w:rPr>
              <w:t>采购人在系统上线运行前、项目初验前、项目终验前各开展 1 次渗透测试；若测试发现高、中风险漏洞的，中标人需完成漏洞修复后重新测试，直至消除所有高、中风险漏洞。</w:t>
            </w:r>
          </w:p>
          <w:p>
            <w:pPr>
              <w:numPr>
                <w:ilvl w:val="0"/>
                <w:numId w:val="45"/>
              </w:numPr>
              <w:spacing w:line="440" w:lineRule="exact"/>
              <w:ind w:firstLine="422" w:firstLineChars="200"/>
              <w:rPr>
                <w:rFonts w:eastAsia="宋体"/>
                <w:b/>
                <w:bCs/>
                <w:color w:val="auto"/>
                <w:szCs w:val="21"/>
                <w:highlight w:val="none"/>
                <w:shd w:val="clear" w:color="auto" w:fill="FFFFFF"/>
              </w:rPr>
            </w:pPr>
            <w:r>
              <w:rPr>
                <w:rFonts w:eastAsia="宋体"/>
                <w:b/>
                <w:bCs/>
                <w:color w:val="auto"/>
                <w:szCs w:val="21"/>
                <w:highlight w:val="none"/>
                <w:shd w:val="clear" w:color="auto" w:fill="FFFFFF"/>
              </w:rPr>
              <w:t>应急响应</w:t>
            </w:r>
          </w:p>
          <w:p>
            <w:pPr>
              <w:spacing w:line="440" w:lineRule="exact"/>
              <w:ind w:firstLine="560"/>
              <w:rPr>
                <w:rFonts w:eastAsia="宋体"/>
                <w:color w:val="auto"/>
                <w:szCs w:val="21"/>
                <w:highlight w:val="none"/>
                <w:shd w:val="clear" w:color="auto" w:fill="FFFFFF"/>
              </w:rPr>
            </w:pPr>
            <w:r>
              <w:rPr>
                <w:rFonts w:eastAsia="宋体"/>
                <w:color w:val="auto"/>
                <w:szCs w:val="21"/>
                <w:highlight w:val="none"/>
                <w:shd w:val="clear" w:color="auto" w:fill="FFFFFF"/>
              </w:rPr>
              <w:t>本次招标的应急响应包含但不限于以下几类安全事件：WEB安全事件、恶意程序事件、网络攻击事件、信息破坏事件等。中标人应提供7*24应急响应服务，并按照</w:t>
            </w:r>
            <w:r>
              <w:rPr>
                <w:rFonts w:hint="eastAsia" w:eastAsia="宋体"/>
                <w:color w:val="auto"/>
                <w:szCs w:val="21"/>
                <w:highlight w:val="none"/>
                <w:shd w:val="clear" w:color="auto" w:fill="FFFFFF"/>
              </w:rPr>
              <w:t>以下要求开展</w:t>
            </w:r>
            <w:r>
              <w:rPr>
                <w:rFonts w:eastAsia="宋体"/>
                <w:color w:val="auto"/>
                <w:szCs w:val="21"/>
                <w:highlight w:val="none"/>
                <w:shd w:val="clear" w:color="auto" w:fill="FFFFFF"/>
              </w:rPr>
              <w:t>应急响应：</w:t>
            </w:r>
          </w:p>
          <w:p>
            <w:pPr>
              <w:numPr>
                <w:ilvl w:val="0"/>
                <w:numId w:val="48"/>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特别重大事件(Ⅰ级）</w:t>
            </w:r>
            <w:r>
              <w:rPr>
                <w:rFonts w:hint="eastAsia" w:eastAsia="宋体"/>
                <w:color w:val="auto"/>
                <w:szCs w:val="21"/>
                <w:highlight w:val="none"/>
                <w:shd w:val="clear" w:color="auto" w:fill="FFFFFF"/>
              </w:rPr>
              <w:t>：</w:t>
            </w:r>
            <w:r>
              <w:rPr>
                <w:rFonts w:eastAsia="宋体"/>
                <w:color w:val="auto"/>
                <w:szCs w:val="21"/>
                <w:highlight w:val="none"/>
                <w:shd w:val="clear" w:color="auto" w:fill="FFFFFF"/>
              </w:rPr>
              <w:t>5分钟作出响应，1小时到达现场；</w:t>
            </w:r>
          </w:p>
          <w:p>
            <w:pPr>
              <w:numPr>
                <w:ilvl w:val="0"/>
                <w:numId w:val="48"/>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重大事件(Ⅱ级）</w:t>
            </w:r>
            <w:r>
              <w:rPr>
                <w:rFonts w:hint="eastAsia" w:eastAsia="宋体"/>
                <w:color w:val="auto"/>
                <w:szCs w:val="21"/>
                <w:highlight w:val="none"/>
                <w:shd w:val="clear" w:color="auto" w:fill="FFFFFF"/>
              </w:rPr>
              <w:t>：</w:t>
            </w:r>
            <w:r>
              <w:rPr>
                <w:rFonts w:eastAsia="宋体"/>
                <w:color w:val="auto"/>
                <w:szCs w:val="21"/>
                <w:highlight w:val="none"/>
                <w:shd w:val="clear" w:color="auto" w:fill="FFFFFF"/>
              </w:rPr>
              <w:t>10分钟作出响应，2小时到达现场；</w:t>
            </w:r>
          </w:p>
          <w:p>
            <w:pPr>
              <w:numPr>
                <w:ilvl w:val="0"/>
                <w:numId w:val="48"/>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较大突发事件(Ⅲ级）</w:t>
            </w:r>
            <w:r>
              <w:rPr>
                <w:rFonts w:hint="eastAsia" w:eastAsia="宋体"/>
                <w:color w:val="auto"/>
                <w:szCs w:val="21"/>
                <w:highlight w:val="none"/>
                <w:shd w:val="clear" w:color="auto" w:fill="FFFFFF"/>
              </w:rPr>
              <w:t>：</w:t>
            </w:r>
            <w:r>
              <w:rPr>
                <w:rFonts w:eastAsia="宋体"/>
                <w:color w:val="auto"/>
                <w:szCs w:val="21"/>
                <w:highlight w:val="none"/>
                <w:shd w:val="clear" w:color="auto" w:fill="FFFFFF"/>
              </w:rPr>
              <w:t>30分钟作出响应，4小时到达现场；</w:t>
            </w:r>
          </w:p>
          <w:p>
            <w:pPr>
              <w:numPr>
                <w:ilvl w:val="0"/>
                <w:numId w:val="48"/>
              </w:numPr>
              <w:spacing w:line="440" w:lineRule="exact"/>
              <w:ind w:firstLine="396" w:firstLineChars="200"/>
              <w:rPr>
                <w:rFonts w:eastAsia="宋体"/>
                <w:color w:val="auto"/>
                <w:spacing w:val="-6"/>
                <w:szCs w:val="21"/>
                <w:highlight w:val="none"/>
                <w:shd w:val="clear" w:color="auto" w:fill="FFFFFF"/>
              </w:rPr>
            </w:pPr>
            <w:r>
              <w:rPr>
                <w:rFonts w:hint="eastAsia" w:eastAsia="宋体"/>
                <w:color w:val="auto"/>
                <w:spacing w:val="-6"/>
                <w:szCs w:val="21"/>
                <w:highlight w:val="none"/>
                <w:shd w:val="clear" w:color="auto" w:fill="FFFFFF"/>
              </w:rPr>
              <w:t>一般性突发事件(Ⅳ级）：30分钟作出响应，远程无法解决时，4小时到达现场。</w:t>
            </w:r>
          </w:p>
          <w:p>
            <w:pPr>
              <w:numPr>
                <w:ilvl w:val="255"/>
                <w:numId w:val="0"/>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中标人应在采购人遇到重大或突发事件后</w:t>
            </w:r>
            <w:r>
              <w:rPr>
                <w:rFonts w:hint="eastAsia" w:eastAsia="宋体"/>
                <w:color w:val="auto"/>
                <w:szCs w:val="21"/>
                <w:highlight w:val="none"/>
                <w:shd w:val="clear" w:color="auto" w:fill="FFFFFF"/>
              </w:rPr>
              <w:t>，及时与采购人协商处理，</w:t>
            </w:r>
            <w:r>
              <w:rPr>
                <w:rFonts w:eastAsia="宋体"/>
                <w:color w:val="auto"/>
                <w:szCs w:val="21"/>
                <w:highlight w:val="none"/>
                <w:shd w:val="clear" w:color="auto" w:fill="FFFFFF"/>
              </w:rPr>
              <w:t>按照</w:t>
            </w:r>
            <w:r>
              <w:rPr>
                <w:rFonts w:hint="eastAsia" w:eastAsia="宋体"/>
                <w:color w:val="auto"/>
                <w:szCs w:val="21"/>
                <w:highlight w:val="none"/>
                <w:shd w:val="clear" w:color="auto" w:fill="FFFFFF"/>
              </w:rPr>
              <w:t>采购人的</w:t>
            </w:r>
            <w:r>
              <w:rPr>
                <w:rFonts w:eastAsia="宋体"/>
                <w:color w:val="auto"/>
                <w:szCs w:val="21"/>
                <w:highlight w:val="none"/>
                <w:shd w:val="clear" w:color="auto" w:fill="FFFFFF"/>
              </w:rPr>
              <w:t>要求采取措施</w:t>
            </w:r>
            <w:r>
              <w:rPr>
                <w:rFonts w:hint="eastAsia" w:eastAsia="宋体"/>
                <w:color w:val="auto"/>
                <w:szCs w:val="21"/>
                <w:highlight w:val="none"/>
                <w:shd w:val="clear" w:color="auto" w:fill="FFFFFF"/>
              </w:rPr>
              <w:t>，</w:t>
            </w:r>
            <w:r>
              <w:rPr>
                <w:rFonts w:eastAsia="宋体"/>
                <w:color w:val="auto"/>
                <w:szCs w:val="21"/>
                <w:highlight w:val="none"/>
                <w:shd w:val="clear" w:color="auto" w:fill="FFFFFF"/>
              </w:rPr>
              <w:t>将</w:t>
            </w:r>
            <w:r>
              <w:rPr>
                <w:rFonts w:hint="eastAsia" w:eastAsia="宋体"/>
                <w:color w:val="auto"/>
                <w:szCs w:val="21"/>
                <w:highlight w:val="none"/>
                <w:shd w:val="clear" w:color="auto" w:fill="FFFFFF"/>
              </w:rPr>
              <w:t>系统</w:t>
            </w:r>
            <w:r>
              <w:rPr>
                <w:rFonts w:eastAsia="宋体"/>
                <w:color w:val="auto"/>
                <w:szCs w:val="21"/>
                <w:highlight w:val="none"/>
                <w:shd w:val="clear" w:color="auto" w:fill="FFFFFF"/>
              </w:rPr>
              <w:t>业务以及网络恢复到</w:t>
            </w:r>
            <w:r>
              <w:rPr>
                <w:rFonts w:hint="eastAsia" w:eastAsia="宋体"/>
                <w:color w:val="auto"/>
                <w:szCs w:val="21"/>
                <w:highlight w:val="none"/>
                <w:shd w:val="clear" w:color="auto" w:fill="FFFFFF"/>
              </w:rPr>
              <w:t>可用</w:t>
            </w:r>
            <w:r>
              <w:rPr>
                <w:rFonts w:eastAsia="宋体"/>
                <w:color w:val="auto"/>
                <w:szCs w:val="21"/>
                <w:highlight w:val="none"/>
                <w:shd w:val="clear" w:color="auto" w:fill="FFFFFF"/>
              </w:rPr>
              <w:t>状态</w:t>
            </w:r>
            <w:r>
              <w:rPr>
                <w:rFonts w:hint="eastAsia" w:eastAsia="宋体"/>
                <w:color w:val="auto"/>
                <w:szCs w:val="21"/>
                <w:highlight w:val="none"/>
                <w:shd w:val="clear" w:color="auto" w:fill="FFFFFF"/>
              </w:rPr>
              <w:t>，并完成相关漏洞恢复，</w:t>
            </w:r>
            <w:r>
              <w:rPr>
                <w:rFonts w:eastAsia="宋体"/>
                <w:color w:val="auto"/>
                <w:szCs w:val="21"/>
                <w:highlight w:val="none"/>
                <w:shd w:val="clear" w:color="auto" w:fill="FFFFFF"/>
              </w:rPr>
              <w:t>降低安全事件带来的损失和影响。中标人应</w:t>
            </w:r>
            <w:r>
              <w:rPr>
                <w:rFonts w:hint="eastAsia" w:eastAsia="宋体"/>
                <w:color w:val="auto"/>
                <w:szCs w:val="21"/>
                <w:highlight w:val="none"/>
                <w:shd w:val="clear" w:color="auto" w:fill="FFFFFF"/>
              </w:rPr>
              <w:t>在</w:t>
            </w:r>
            <w:r>
              <w:rPr>
                <w:rFonts w:eastAsia="宋体"/>
                <w:color w:val="auto"/>
                <w:szCs w:val="21"/>
                <w:highlight w:val="none"/>
                <w:shd w:val="clear" w:color="auto" w:fill="FFFFFF"/>
              </w:rPr>
              <w:t>每次</w:t>
            </w:r>
            <w:r>
              <w:rPr>
                <w:rFonts w:hint="eastAsia" w:eastAsia="宋体"/>
                <w:color w:val="auto"/>
                <w:szCs w:val="21"/>
                <w:highlight w:val="none"/>
                <w:shd w:val="clear" w:color="auto" w:fill="FFFFFF"/>
              </w:rPr>
              <w:t>安全事件</w:t>
            </w:r>
            <w:r>
              <w:rPr>
                <w:rFonts w:eastAsia="宋体"/>
                <w:color w:val="auto"/>
                <w:szCs w:val="21"/>
                <w:highlight w:val="none"/>
                <w:shd w:val="clear" w:color="auto" w:fill="FFFFFF"/>
              </w:rPr>
              <w:t>处理完毕</w:t>
            </w:r>
            <w:r>
              <w:rPr>
                <w:rFonts w:hint="eastAsia" w:eastAsia="宋体"/>
                <w:color w:val="auto"/>
                <w:szCs w:val="21"/>
                <w:highlight w:val="none"/>
                <w:shd w:val="clear" w:color="auto" w:fill="FFFFFF"/>
              </w:rPr>
              <w:t>后</w:t>
            </w:r>
            <w:r>
              <w:rPr>
                <w:rFonts w:eastAsia="宋体"/>
                <w:color w:val="auto"/>
                <w:szCs w:val="21"/>
                <w:highlight w:val="none"/>
                <w:shd w:val="clear" w:color="auto" w:fill="FFFFFF"/>
              </w:rPr>
              <w:t>3个工作日内提供故障处理报告。</w:t>
            </w:r>
          </w:p>
          <w:p>
            <w:pPr>
              <w:numPr>
                <w:ilvl w:val="0"/>
                <w:numId w:val="45"/>
              </w:numPr>
              <w:spacing w:line="440" w:lineRule="exact"/>
              <w:ind w:firstLine="422" w:firstLineChars="200"/>
              <w:rPr>
                <w:rFonts w:eastAsia="宋体"/>
                <w:b/>
                <w:bCs/>
                <w:color w:val="auto"/>
                <w:szCs w:val="21"/>
                <w:highlight w:val="none"/>
                <w:shd w:val="clear" w:color="auto" w:fill="FFFFFF"/>
              </w:rPr>
            </w:pPr>
            <w:r>
              <w:rPr>
                <w:rFonts w:eastAsia="宋体"/>
                <w:b/>
                <w:bCs/>
                <w:color w:val="auto"/>
                <w:szCs w:val="21"/>
                <w:highlight w:val="none"/>
                <w:shd w:val="clear" w:color="auto" w:fill="FFFFFF"/>
              </w:rPr>
              <w:t>重要时期安全保障</w:t>
            </w:r>
          </w:p>
          <w:p>
            <w:pPr>
              <w:spacing w:line="440" w:lineRule="exact"/>
              <w:ind w:firstLine="560"/>
              <w:rPr>
                <w:rFonts w:eastAsia="宋体"/>
                <w:color w:val="auto"/>
                <w:szCs w:val="21"/>
                <w:highlight w:val="none"/>
                <w:shd w:val="clear" w:color="auto" w:fill="FFFFFF"/>
              </w:rPr>
            </w:pPr>
            <w:r>
              <w:rPr>
                <w:rFonts w:eastAsia="宋体"/>
                <w:color w:val="auto"/>
                <w:szCs w:val="21"/>
                <w:highlight w:val="none"/>
                <w:shd w:val="clear" w:color="auto" w:fill="FFFFFF"/>
              </w:rPr>
              <w:t>在重大活动、节假日以及采购人参与上级组织的网络安全攻防演练、护网行动和安全检查期间，提供现场安全保障服务。主要工作内容包括：安全监测、人员应急值守、应急处置、复现与总结等方面工作，以检验系统安全措施的完善性、网络安全防护能力、监测发现能力、应急处置能力，及时发现可能在网络安全防护、监测和处置措施中存在的各种短板，积累有效应对网络安全攻击和威胁的经验，健全网络安全积极防御、协同处置的体系，促进系统的网络安全队伍建设，在实战中有效提升系统网络安全保障能力。</w:t>
            </w:r>
          </w:p>
          <w:p>
            <w:pPr>
              <w:widowControl/>
              <w:numPr>
                <w:ilvl w:val="0"/>
                <w:numId w:val="1"/>
              </w:numPr>
              <w:spacing w:line="440" w:lineRule="exact"/>
              <w:rPr>
                <w:b/>
                <w:bCs/>
                <w:color w:val="auto"/>
                <w:szCs w:val="21"/>
                <w:highlight w:val="none"/>
              </w:rPr>
            </w:pPr>
            <w:r>
              <w:rPr>
                <w:b/>
                <w:bCs/>
                <w:color w:val="auto"/>
                <w:szCs w:val="21"/>
                <w:highlight w:val="none"/>
              </w:rPr>
              <w:t>代码审计</w:t>
            </w:r>
          </w:p>
          <w:p>
            <w:pPr>
              <w:spacing w:line="440" w:lineRule="exact"/>
              <w:ind w:firstLine="560"/>
              <w:rPr>
                <w:rFonts w:eastAsia="宋体"/>
                <w:color w:val="auto"/>
                <w:szCs w:val="21"/>
                <w:highlight w:val="none"/>
                <w:shd w:val="clear" w:color="auto" w:fill="FFFFFF"/>
              </w:rPr>
            </w:pPr>
            <w:r>
              <w:rPr>
                <w:rFonts w:eastAsia="宋体"/>
                <w:color w:val="auto"/>
                <w:szCs w:val="21"/>
                <w:highlight w:val="none"/>
                <w:shd w:val="clear" w:color="auto" w:fill="FFFFFF"/>
              </w:rPr>
              <w:t>项目</w:t>
            </w:r>
            <w:r>
              <w:rPr>
                <w:rFonts w:hint="eastAsia" w:eastAsia="宋体"/>
                <w:color w:val="auto"/>
                <w:szCs w:val="21"/>
                <w:highlight w:val="none"/>
                <w:shd w:val="clear" w:color="auto" w:fill="FFFFFF"/>
              </w:rPr>
              <w:t>终验</w:t>
            </w:r>
            <w:r>
              <w:rPr>
                <w:rFonts w:eastAsia="宋体"/>
                <w:color w:val="auto"/>
                <w:szCs w:val="21"/>
                <w:highlight w:val="none"/>
                <w:shd w:val="clear" w:color="auto" w:fill="FFFFFF"/>
              </w:rPr>
              <w:t>前，由中标人委托具备资质的第三方专业机构针对软件代码中可能存在的代码安全漏洞、后门、代码质量问题、编码规范问题等开展代码审计工作</w:t>
            </w:r>
            <w:r>
              <w:rPr>
                <w:rFonts w:hint="eastAsia" w:eastAsia="宋体"/>
                <w:color w:val="auto"/>
                <w:szCs w:val="21"/>
                <w:highlight w:val="none"/>
                <w:shd w:val="clear" w:color="auto" w:fill="FFFFFF"/>
              </w:rPr>
              <w:t>。中标人需对代码审计中发现的问题及时整改修复，</w:t>
            </w:r>
            <w:r>
              <w:rPr>
                <w:rFonts w:eastAsia="宋体"/>
                <w:color w:val="auto"/>
                <w:szCs w:val="21"/>
                <w:highlight w:val="none"/>
                <w:shd w:val="clear" w:color="auto" w:fill="FFFFFF"/>
              </w:rPr>
              <w:t>确保交付的应用系统通过第三方专业机构代码审计并提供代码审计报告。由此产生的费用包含在投标报价中。</w:t>
            </w:r>
          </w:p>
          <w:p>
            <w:pPr>
              <w:widowControl/>
              <w:numPr>
                <w:ilvl w:val="0"/>
                <w:numId w:val="1"/>
              </w:numPr>
              <w:spacing w:line="440" w:lineRule="exact"/>
              <w:rPr>
                <w:b/>
                <w:bCs/>
                <w:color w:val="auto"/>
                <w:szCs w:val="21"/>
                <w:highlight w:val="none"/>
              </w:rPr>
            </w:pPr>
            <w:r>
              <w:rPr>
                <w:b/>
                <w:bCs/>
                <w:color w:val="auto"/>
                <w:szCs w:val="21"/>
                <w:highlight w:val="none"/>
              </w:rPr>
              <w:t>项目团队要求</w:t>
            </w:r>
          </w:p>
          <w:p>
            <w:pPr>
              <w:numPr>
                <w:ilvl w:val="0"/>
                <w:numId w:val="49"/>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投标人须承诺在系统开发、部署实施、培训、运行维护阶段，配备数量充足、经验丰富的项目经理、技术负责人、核心技术人员等承担本项目工作，项目经理、技术负责人须具备</w:t>
            </w:r>
            <w:r>
              <w:rPr>
                <w:rFonts w:hint="eastAsia" w:eastAsia="宋体"/>
                <w:color w:val="auto"/>
                <w:szCs w:val="21"/>
                <w:highlight w:val="none"/>
                <w:shd w:val="clear" w:color="auto" w:fill="FFFFFF"/>
              </w:rPr>
              <w:t>同类软件开发</w:t>
            </w:r>
            <w:r>
              <w:rPr>
                <w:rFonts w:eastAsia="宋体"/>
                <w:color w:val="auto"/>
                <w:szCs w:val="21"/>
                <w:highlight w:val="none"/>
                <w:shd w:val="clear" w:color="auto" w:fill="FFFFFF"/>
              </w:rPr>
              <w:t>工作经验。</w:t>
            </w:r>
          </w:p>
          <w:p>
            <w:pPr>
              <w:numPr>
                <w:ilvl w:val="0"/>
                <w:numId w:val="49"/>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项目团队人员配置应科学合理、分工明确，至少包括项目经理、技术负责人、需求负责人、测试负责人、需求分析人员、软件开发人员、测试人员、部署实施人员、运行维护人员、咨询服务人员等角色。投标文件须提供项目成员名单，并确保项目组团队人员稳定。若有变动，须与采购人协商。未经采购人同意，人员变动扣除项目合同额1%/人。在项目实施过程中，中标人须按照采购人的要求更换其认为不合适的人员。</w:t>
            </w:r>
          </w:p>
          <w:p>
            <w:pPr>
              <w:numPr>
                <w:ilvl w:val="0"/>
                <w:numId w:val="49"/>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中标人需为本项目提供专门的本地化服务支持，系统开发服务期间，现场项目团队人员不少于</w:t>
            </w:r>
            <w:r>
              <w:rPr>
                <w:rFonts w:hint="eastAsia" w:eastAsia="宋体"/>
                <w:color w:val="auto"/>
                <w:szCs w:val="21"/>
                <w:highlight w:val="none"/>
                <w:shd w:val="clear" w:color="auto" w:fill="FFFFFF"/>
              </w:rPr>
              <w:t>8</w:t>
            </w:r>
            <w:r>
              <w:rPr>
                <w:rFonts w:eastAsia="宋体"/>
                <w:color w:val="auto"/>
                <w:szCs w:val="21"/>
                <w:highlight w:val="none"/>
                <w:shd w:val="clear" w:color="auto" w:fill="FFFFFF"/>
              </w:rPr>
              <w:t>人。</w:t>
            </w:r>
          </w:p>
          <w:p>
            <w:pPr>
              <w:numPr>
                <w:ilvl w:val="0"/>
                <w:numId w:val="49"/>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投标文件应提出具体管理措施，以确保相关承诺得到落实。</w:t>
            </w:r>
          </w:p>
          <w:p>
            <w:pPr>
              <w:widowControl/>
              <w:numPr>
                <w:ilvl w:val="0"/>
                <w:numId w:val="1"/>
              </w:numPr>
              <w:spacing w:line="440" w:lineRule="exact"/>
              <w:rPr>
                <w:b/>
                <w:bCs/>
                <w:color w:val="auto"/>
                <w:szCs w:val="21"/>
                <w:highlight w:val="none"/>
              </w:rPr>
            </w:pPr>
            <w:r>
              <w:rPr>
                <w:b/>
                <w:bCs/>
                <w:color w:val="auto"/>
                <w:szCs w:val="21"/>
                <w:highlight w:val="none"/>
              </w:rPr>
              <w:t xml:space="preserve">项目培训要求 </w:t>
            </w:r>
          </w:p>
          <w:p>
            <w:pPr>
              <w:spacing w:line="440" w:lineRule="exact"/>
              <w:ind w:firstLine="560"/>
              <w:rPr>
                <w:rFonts w:eastAsia="宋体"/>
                <w:color w:val="auto"/>
                <w:szCs w:val="21"/>
                <w:highlight w:val="none"/>
                <w:shd w:val="clear" w:color="auto" w:fill="FFFFFF"/>
              </w:rPr>
            </w:pPr>
            <w:r>
              <w:rPr>
                <w:rFonts w:eastAsia="宋体"/>
                <w:color w:val="auto"/>
                <w:szCs w:val="21"/>
                <w:highlight w:val="none"/>
                <w:shd w:val="clear" w:color="auto" w:fill="FFFFFF"/>
              </w:rPr>
              <w:t xml:space="preserve">投标文件须按照采购人要求提供详细完整的培训方案，培训材料包含但不限于培训PPT、用户操作手册、运维手册、代码维护手册、数据库维护手册等。培训工作按照采购人要求分阶段、分对象培训。培训方式包括现场培训、远程指导、会议培训等。 </w:t>
            </w:r>
          </w:p>
          <w:p>
            <w:pPr>
              <w:numPr>
                <w:ilvl w:val="0"/>
                <w:numId w:val="50"/>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培训内容</w:t>
            </w:r>
          </w:p>
          <w:p>
            <w:p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（1）操作使用培训，确保系统用户熟练掌握系统使用方法。</w:t>
            </w:r>
          </w:p>
          <w:p>
            <w:p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（2）系统运维培训，确保系统运维人员熟练掌握系统运维方法。</w:t>
            </w:r>
          </w:p>
          <w:p>
            <w:p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（3）代码维护培训，中标人需向采购人相关技术人员详细讲解各子系统开发架构，功能模块代码实现，确保采购人相关技术人员掌握系统代码维护方法。</w:t>
            </w:r>
          </w:p>
          <w:p>
            <w:pPr>
              <w:spacing w:line="440" w:lineRule="exact"/>
              <w:ind w:firstLine="420" w:firstLineChars="200"/>
              <w:rPr>
                <w:rFonts w:eastAsia="宋体"/>
                <w:color w:val="auto"/>
                <w:szCs w:val="21"/>
                <w:highlight w:val="none"/>
              </w:rPr>
            </w:pPr>
            <w:r>
              <w:rPr>
                <w:rFonts w:eastAsia="宋体"/>
                <w:color w:val="auto"/>
                <w:szCs w:val="21"/>
                <w:highlight w:val="none"/>
                <w:shd w:val="clear" w:color="auto" w:fill="FFFFFF"/>
              </w:rPr>
              <w:t>（4）数据库维护培训，中标人需向采购人相关技术人员详细讲解各子系统数据库的存储结构、字段含义、字段与业务映射关系，以及维护要点，确保采购人相关技术人员掌握数据库维护方法。</w:t>
            </w:r>
          </w:p>
          <w:p>
            <w:pPr>
              <w:numPr>
                <w:ilvl w:val="0"/>
                <w:numId w:val="50"/>
              </w:numPr>
              <w:spacing w:line="440" w:lineRule="exact"/>
              <w:ind w:firstLine="420" w:firstLineChars="200"/>
              <w:rPr>
                <w:rFonts w:eastAsia="宋体"/>
                <w:color w:val="auto"/>
                <w:szCs w:val="21"/>
                <w:highlight w:val="none"/>
                <w:shd w:val="clear" w:color="auto" w:fill="FFFFFF"/>
              </w:rPr>
            </w:pPr>
            <w:r>
              <w:rPr>
                <w:rFonts w:eastAsia="宋体"/>
                <w:color w:val="auto"/>
                <w:szCs w:val="21"/>
                <w:highlight w:val="none"/>
                <w:shd w:val="clear" w:color="auto" w:fill="FFFFFF"/>
              </w:rPr>
              <w:t>培训方案</w:t>
            </w:r>
          </w:p>
          <w:p>
            <w:pPr>
              <w:widowControl/>
              <w:spacing w:line="440" w:lineRule="exact"/>
              <w:ind w:firstLine="420" w:firstLineChars="200"/>
              <w:rPr>
                <w:color w:val="auto"/>
                <w:szCs w:val="21"/>
                <w:highlight w:val="none"/>
              </w:rPr>
            </w:pPr>
            <w:r>
              <w:rPr>
                <w:rFonts w:eastAsia="宋体"/>
                <w:color w:val="auto"/>
                <w:szCs w:val="21"/>
                <w:highlight w:val="none"/>
                <w:shd w:val="clear" w:color="auto" w:fill="FFFFFF"/>
              </w:rPr>
              <w:t>投标文件需针对不同用户制定相应的培训方案及培训课程，培训方案包括培训计划、培训大纲、培训人数、培训教材和师资等内容。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770" w:type="dxa"/>
            <w:gridSpan w:val="4"/>
            <w:tcBorders>
              <w:top w:val="single" w:color="auto" w:sz="4" w:space="0"/>
              <w:left w:val="single" w:color="auto" w:sz="4" w:space="0"/>
              <w:bottom w:val="single" w:color="auto" w:sz="4" w:space="0"/>
              <w:right w:val="single" w:color="auto" w:sz="4" w:space="0"/>
            </w:tcBorders>
          </w:tcPr>
          <w:p>
            <w:pPr>
              <w:spacing w:line="440" w:lineRule="exact"/>
              <w:rPr>
                <w:b/>
                <w:color w:val="auto"/>
                <w:szCs w:val="21"/>
                <w:highlight w:val="none"/>
              </w:rPr>
            </w:pPr>
            <w:r>
              <w:rPr>
                <w:b/>
                <w:color w:val="auto"/>
                <w:szCs w:val="21"/>
                <w:highlight w:val="none"/>
              </w:rPr>
              <w:t>一、商务条款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9770" w:type="dxa"/>
            <w:gridSpan w:val="4"/>
            <w:tcBorders>
              <w:top w:val="single" w:color="auto" w:sz="4" w:space="0"/>
              <w:left w:val="single" w:color="auto" w:sz="4" w:space="0"/>
              <w:bottom w:val="single" w:color="auto" w:sz="4" w:space="0"/>
              <w:right w:val="single" w:color="auto" w:sz="4" w:space="0"/>
            </w:tcBorders>
          </w:tcPr>
          <w:p>
            <w:pPr>
              <w:widowControl/>
              <w:adjustRightInd w:val="0"/>
              <w:spacing w:line="440" w:lineRule="exact"/>
              <w:ind w:firstLine="422" w:firstLineChars="200"/>
              <w:rPr>
                <w:b/>
                <w:bCs/>
                <w:color w:val="auto"/>
                <w:szCs w:val="21"/>
                <w:highlight w:val="none"/>
              </w:rPr>
            </w:pPr>
            <w:r>
              <w:rPr>
                <w:b/>
                <w:bCs/>
                <w:color w:val="auto"/>
                <w:szCs w:val="21"/>
                <w:highlight w:val="none"/>
              </w:rPr>
              <w:t>（一）交付时间及交付地点</w:t>
            </w:r>
          </w:p>
          <w:p>
            <w:pPr>
              <w:spacing w:line="440" w:lineRule="exact"/>
              <w:ind w:firstLine="420" w:firstLineChars="200"/>
              <w:rPr>
                <w:color w:val="auto"/>
                <w:szCs w:val="21"/>
                <w:highlight w:val="none"/>
              </w:rPr>
            </w:pPr>
            <w:r>
              <w:rPr>
                <w:color w:val="auto"/>
                <w:szCs w:val="21"/>
                <w:highlight w:val="none"/>
              </w:rPr>
              <w:t>1. 交付时间：</w:t>
            </w:r>
          </w:p>
          <w:p>
            <w:pPr>
              <w:spacing w:line="440" w:lineRule="exact"/>
              <w:ind w:firstLine="420" w:firstLineChars="200"/>
              <w:rPr>
                <w:color w:val="auto"/>
                <w:szCs w:val="21"/>
                <w:highlight w:val="none"/>
              </w:rPr>
            </w:pPr>
            <w:r>
              <w:rPr>
                <w:color w:val="auto"/>
                <w:szCs w:val="21"/>
                <w:highlight w:val="none"/>
              </w:rPr>
              <w:t>合同签订后，中标人按以下时间交付系统建设工作成果:</w:t>
            </w:r>
          </w:p>
          <w:p>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（1）2026年5月底前，完成技术底座（即数据支撑平台和应用支撑平台）开发和部署工作。</w:t>
            </w:r>
          </w:p>
          <w:p>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（2）2026年11月底前，完成全部系统功能开发并上线运行，完成项目中期检查。</w:t>
            </w:r>
          </w:p>
          <w:p>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（3）2027年11月底前，根据系统运行情况，处理系统故障，完善系统功能；完成数据标准化、历史数据处理、数据标引、数据共享交换等数据治理工作；完成系统培训工作；完成项目初步验收。</w:t>
            </w:r>
          </w:p>
          <w:p>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（4）2028年5月底前完成项目终验。</w:t>
            </w:r>
          </w:p>
          <w:p>
            <w:pPr>
              <w:spacing w:line="440" w:lineRule="exact"/>
              <w:ind w:firstLine="420" w:firstLineChars="200"/>
              <w:rPr>
                <w:color w:val="auto"/>
                <w:szCs w:val="21"/>
                <w:highlight w:val="none"/>
              </w:rPr>
            </w:pPr>
            <w:r>
              <w:rPr>
                <w:color w:val="auto"/>
                <w:szCs w:val="21"/>
                <w:highlight w:val="none"/>
              </w:rPr>
              <w:t>2. 交付地点：南宁市</w:t>
            </w:r>
          </w:p>
          <w:p>
            <w:pPr>
              <w:widowControl/>
              <w:adjustRightInd w:val="0"/>
              <w:spacing w:line="440" w:lineRule="exact"/>
              <w:ind w:firstLine="422" w:firstLineChars="200"/>
              <w:rPr>
                <w:b/>
                <w:bCs/>
                <w:color w:val="auto"/>
                <w:szCs w:val="21"/>
                <w:highlight w:val="none"/>
              </w:rPr>
            </w:pPr>
            <w:r>
              <w:rPr>
                <w:b/>
                <w:bCs/>
                <w:color w:val="auto"/>
                <w:szCs w:val="21"/>
                <w:highlight w:val="none"/>
              </w:rPr>
              <w:t>（二）付款条件</w:t>
            </w:r>
          </w:p>
          <w:p>
            <w:pPr>
              <w:spacing w:line="440" w:lineRule="exact"/>
              <w:ind w:firstLine="420" w:firstLineChars="200"/>
              <w:rPr>
                <w:color w:val="auto"/>
                <w:szCs w:val="21"/>
                <w:highlight w:val="none"/>
              </w:rPr>
            </w:pPr>
            <w:r>
              <w:rPr>
                <w:color w:val="auto"/>
                <w:szCs w:val="21"/>
                <w:highlight w:val="none"/>
              </w:rPr>
              <w:t>1.中标人完成</w:t>
            </w:r>
            <w:r>
              <w:rPr>
                <w:rFonts w:hint="eastAsia"/>
                <w:color w:val="auto"/>
                <w:szCs w:val="21"/>
                <w:highlight w:val="none"/>
              </w:rPr>
              <w:t>技术底座（即</w:t>
            </w:r>
            <w:r>
              <w:rPr>
                <w:color w:val="auto"/>
                <w:szCs w:val="21"/>
                <w:highlight w:val="none"/>
              </w:rPr>
              <w:t>数据支撑平台和应用支撑平台</w:t>
            </w:r>
            <w:r>
              <w:rPr>
                <w:rFonts w:hint="eastAsia"/>
                <w:color w:val="auto"/>
                <w:szCs w:val="21"/>
                <w:highlight w:val="none"/>
              </w:rPr>
              <w:t>）</w:t>
            </w:r>
            <w:r>
              <w:rPr>
                <w:color w:val="auto"/>
                <w:szCs w:val="21"/>
                <w:highlight w:val="none"/>
              </w:rPr>
              <w:t>开发和部署工作，由中标人向采购人提出付款申请，采购人认可中标人已完成工作，由中标人开具等额、合法有效的发票，采购人在收到发票后10个工作日向中标人</w:t>
            </w:r>
            <w:r>
              <w:rPr>
                <w:rFonts w:hint="eastAsia"/>
                <w:color w:val="auto"/>
                <w:szCs w:val="21"/>
                <w:highlight w:val="none"/>
              </w:rPr>
              <w:t>支付</w:t>
            </w:r>
            <w:r>
              <w:rPr>
                <w:color w:val="auto"/>
                <w:szCs w:val="21"/>
                <w:highlight w:val="none"/>
              </w:rPr>
              <w:t xml:space="preserve">合同总价的40%。 </w:t>
            </w:r>
          </w:p>
          <w:p>
            <w:pPr>
              <w:spacing w:line="440" w:lineRule="exact"/>
              <w:ind w:firstLine="420" w:firstLineChars="200"/>
              <w:rPr>
                <w:color w:val="auto"/>
                <w:szCs w:val="21"/>
                <w:highlight w:val="none"/>
              </w:rPr>
            </w:pPr>
            <w:r>
              <w:rPr>
                <w:color w:val="auto"/>
                <w:szCs w:val="21"/>
                <w:highlight w:val="none"/>
              </w:rPr>
              <w:t xml:space="preserve">2.项目完成中期检查后，由中标人向采购人提出付款申请并开具等额、合法有效的发票，采购人在收到发票后10个工作日内，向中标人支付合同总价的20%。 </w:t>
            </w:r>
          </w:p>
          <w:p>
            <w:pPr>
              <w:spacing w:line="440" w:lineRule="exact"/>
              <w:ind w:firstLine="420" w:firstLineChars="200"/>
              <w:rPr>
                <w:color w:val="auto"/>
                <w:szCs w:val="21"/>
                <w:highlight w:val="none"/>
              </w:rPr>
            </w:pPr>
            <w:r>
              <w:rPr>
                <w:color w:val="auto"/>
                <w:szCs w:val="21"/>
                <w:highlight w:val="none"/>
              </w:rPr>
              <w:t>3.项目初验合格后，由中标人向采购人提出付款申请并开具等额、合法有效的发票，采购人在收到发票后10个工作日内，向中标人支付合同总价的</w:t>
            </w:r>
            <w:r>
              <w:rPr>
                <w:rFonts w:hint="eastAsia"/>
                <w:color w:val="auto"/>
                <w:szCs w:val="21"/>
                <w:highlight w:val="none"/>
              </w:rPr>
              <w:t>28</w:t>
            </w:r>
            <w:r>
              <w:rPr>
                <w:color w:val="auto"/>
                <w:szCs w:val="21"/>
                <w:highlight w:val="none"/>
              </w:rPr>
              <w:t xml:space="preserve">%。 </w:t>
            </w:r>
          </w:p>
          <w:p>
            <w:pPr>
              <w:spacing w:line="440" w:lineRule="exact"/>
              <w:ind w:firstLine="420" w:firstLineChars="200"/>
              <w:rPr>
                <w:color w:val="auto"/>
                <w:szCs w:val="21"/>
                <w:highlight w:val="none"/>
              </w:rPr>
            </w:pPr>
            <w:r>
              <w:rPr>
                <w:color w:val="auto"/>
                <w:szCs w:val="21"/>
                <w:highlight w:val="none"/>
              </w:rPr>
              <w:t>4.项目终验合格后，由中标人向采购人提出付款申请并开具等额、合法有效的发票，采购人在收到发票后10个工作日内，向中标人支付合同总价的</w:t>
            </w:r>
            <w:r>
              <w:rPr>
                <w:rFonts w:hint="eastAsia"/>
                <w:color w:val="auto"/>
                <w:szCs w:val="21"/>
                <w:highlight w:val="none"/>
              </w:rPr>
              <w:t>12</w:t>
            </w:r>
            <w:r>
              <w:rPr>
                <w:color w:val="auto"/>
                <w:szCs w:val="21"/>
                <w:highlight w:val="none"/>
              </w:rPr>
              <w:t>%。</w:t>
            </w:r>
          </w:p>
          <w:p>
            <w:pPr>
              <w:widowControl/>
              <w:adjustRightInd w:val="0"/>
              <w:spacing w:line="440" w:lineRule="exact"/>
              <w:ind w:firstLine="422" w:firstLineChars="200"/>
              <w:rPr>
                <w:b/>
                <w:bCs/>
                <w:color w:val="auto"/>
                <w:szCs w:val="21"/>
                <w:highlight w:val="none"/>
              </w:rPr>
            </w:pPr>
            <w:r>
              <w:rPr>
                <w:b/>
                <w:bCs/>
                <w:color w:val="auto"/>
                <w:szCs w:val="21"/>
                <w:highlight w:val="none"/>
              </w:rPr>
              <w:t>（三）项目验收</w:t>
            </w:r>
          </w:p>
          <w:p>
            <w:pPr>
              <w:spacing w:line="440" w:lineRule="exact"/>
              <w:ind w:firstLine="422" w:firstLineChars="200"/>
              <w:rPr>
                <w:b/>
                <w:bCs/>
                <w:color w:val="auto"/>
                <w:szCs w:val="21"/>
                <w:highlight w:val="none"/>
              </w:rPr>
            </w:pPr>
            <w:bookmarkStart w:id="117" w:name="OLE_LINK3"/>
            <w:r>
              <w:rPr>
                <w:b/>
                <w:bCs/>
                <w:color w:val="auto"/>
                <w:szCs w:val="21"/>
                <w:highlight w:val="none"/>
              </w:rPr>
              <w:t>1.验收组织</w:t>
            </w:r>
          </w:p>
          <w:p>
            <w:pPr>
              <w:spacing w:line="440" w:lineRule="exact"/>
              <w:ind w:firstLine="420" w:firstLineChars="200"/>
              <w:rPr>
                <w:color w:val="auto"/>
                <w:szCs w:val="21"/>
                <w:highlight w:val="none"/>
              </w:rPr>
            </w:pPr>
            <w:r>
              <w:rPr>
                <w:color w:val="auto"/>
                <w:szCs w:val="21"/>
                <w:highlight w:val="none"/>
              </w:rPr>
              <w:t>项目验收分为初验和终验，均由采购人进行组织，采购人与相关人员组成验收小组，对中标人提交的项目成果进行会议验收，通过验收组验收合格，即视为项目验收通过。</w:t>
            </w:r>
          </w:p>
          <w:p>
            <w:pPr>
              <w:spacing w:line="440" w:lineRule="exact"/>
              <w:ind w:firstLine="422" w:firstLineChars="200"/>
              <w:rPr>
                <w:b/>
                <w:bCs/>
                <w:color w:val="auto"/>
                <w:szCs w:val="21"/>
                <w:highlight w:val="none"/>
              </w:rPr>
            </w:pPr>
            <w:r>
              <w:rPr>
                <w:b/>
                <w:bCs/>
                <w:color w:val="auto"/>
                <w:szCs w:val="21"/>
                <w:highlight w:val="none"/>
              </w:rPr>
              <w:t>2.中期检查</w:t>
            </w:r>
          </w:p>
          <w:p>
            <w:pPr>
              <w:spacing w:line="440" w:lineRule="exact"/>
              <w:ind w:firstLine="420" w:firstLineChars="200"/>
              <w:rPr>
                <w:color w:val="auto"/>
                <w:szCs w:val="21"/>
                <w:highlight w:val="none"/>
              </w:rPr>
            </w:pPr>
            <w:r>
              <w:rPr>
                <w:color w:val="auto"/>
                <w:szCs w:val="21"/>
                <w:highlight w:val="none"/>
              </w:rPr>
              <w:t>中标人完成</w:t>
            </w:r>
            <w:r>
              <w:rPr>
                <w:rFonts w:hint="eastAsia"/>
                <w:color w:val="auto"/>
                <w:szCs w:val="21"/>
                <w:highlight w:val="none"/>
              </w:rPr>
              <w:t>全部</w:t>
            </w:r>
            <w:r>
              <w:rPr>
                <w:color w:val="auto"/>
                <w:szCs w:val="21"/>
                <w:highlight w:val="none"/>
              </w:rPr>
              <w:t>系统</w:t>
            </w:r>
            <w:r>
              <w:rPr>
                <w:rFonts w:hint="eastAsia"/>
                <w:color w:val="auto"/>
                <w:szCs w:val="21"/>
                <w:highlight w:val="none"/>
              </w:rPr>
              <w:t>功能开发并上线运行</w:t>
            </w:r>
            <w:r>
              <w:rPr>
                <w:color w:val="auto"/>
                <w:szCs w:val="21"/>
                <w:highlight w:val="none"/>
              </w:rPr>
              <w:t>后，</w:t>
            </w:r>
            <w:r>
              <w:rPr>
                <w:rFonts w:hint="eastAsia"/>
                <w:color w:val="auto"/>
                <w:szCs w:val="21"/>
                <w:highlight w:val="none"/>
              </w:rPr>
              <w:t>提交</w:t>
            </w:r>
            <w:r>
              <w:rPr>
                <w:color w:val="auto"/>
                <w:szCs w:val="21"/>
                <w:highlight w:val="none"/>
              </w:rPr>
              <w:t>中期检查书面申请</w:t>
            </w:r>
            <w:r>
              <w:rPr>
                <w:rFonts w:hint="eastAsia"/>
                <w:color w:val="auto"/>
                <w:szCs w:val="21"/>
                <w:highlight w:val="none"/>
              </w:rPr>
              <w:t>及</w:t>
            </w:r>
            <w:r>
              <w:rPr>
                <w:color w:val="auto"/>
                <w:szCs w:val="21"/>
                <w:highlight w:val="none"/>
              </w:rPr>
              <w:t>相关交付物。采购人收到申请，</w:t>
            </w:r>
            <w:r>
              <w:rPr>
                <w:rFonts w:hint="eastAsia"/>
                <w:color w:val="auto"/>
                <w:szCs w:val="21"/>
                <w:highlight w:val="none"/>
              </w:rPr>
              <w:t>并确认</w:t>
            </w:r>
            <w:r>
              <w:rPr>
                <w:color w:val="auto"/>
                <w:szCs w:val="21"/>
                <w:highlight w:val="none"/>
              </w:rPr>
              <w:t>中标人已完成</w:t>
            </w:r>
            <w:r>
              <w:rPr>
                <w:rFonts w:hint="eastAsia"/>
                <w:color w:val="auto"/>
                <w:szCs w:val="21"/>
                <w:highlight w:val="none"/>
              </w:rPr>
              <w:t>对应的</w:t>
            </w:r>
            <w:r>
              <w:rPr>
                <w:color w:val="auto"/>
                <w:szCs w:val="21"/>
                <w:highlight w:val="none"/>
              </w:rPr>
              <w:t>工作</w:t>
            </w:r>
            <w:r>
              <w:rPr>
                <w:rFonts w:hint="eastAsia"/>
                <w:color w:val="auto"/>
                <w:szCs w:val="21"/>
                <w:highlight w:val="none"/>
              </w:rPr>
              <w:t>成果后，由采购人</w:t>
            </w:r>
            <w:r>
              <w:rPr>
                <w:color w:val="auto"/>
                <w:szCs w:val="21"/>
                <w:highlight w:val="none"/>
              </w:rPr>
              <w:t>组织中期检查。</w:t>
            </w:r>
          </w:p>
          <w:p>
            <w:pPr>
              <w:spacing w:line="440" w:lineRule="exact"/>
              <w:ind w:firstLine="420" w:firstLineChars="200"/>
              <w:rPr>
                <w:color w:val="auto"/>
                <w:szCs w:val="21"/>
                <w:highlight w:val="none"/>
              </w:rPr>
            </w:pPr>
            <w:r>
              <w:rPr>
                <w:color w:val="auto"/>
                <w:szCs w:val="21"/>
                <w:highlight w:val="none"/>
              </w:rPr>
              <w:t>项目中期检查应满足以下要求：</w:t>
            </w:r>
          </w:p>
          <w:p>
            <w:pPr>
              <w:spacing w:line="440" w:lineRule="exact"/>
              <w:ind w:firstLine="420" w:firstLineChars="200"/>
              <w:rPr>
                <w:color w:val="auto"/>
                <w:szCs w:val="21"/>
                <w:highlight w:val="none"/>
              </w:rPr>
            </w:pPr>
            <w:r>
              <w:rPr>
                <w:color w:val="auto"/>
                <w:szCs w:val="21"/>
                <w:highlight w:val="none"/>
              </w:rPr>
              <w:t>（1）中标人完成</w:t>
            </w:r>
            <w:r>
              <w:rPr>
                <w:rFonts w:hint="eastAsia"/>
                <w:color w:val="auto"/>
                <w:szCs w:val="21"/>
                <w:highlight w:val="none"/>
              </w:rPr>
              <w:t>全部</w:t>
            </w:r>
            <w:r>
              <w:rPr>
                <w:color w:val="auto"/>
                <w:szCs w:val="21"/>
                <w:highlight w:val="none"/>
              </w:rPr>
              <w:t>系统</w:t>
            </w:r>
            <w:r>
              <w:rPr>
                <w:rFonts w:hint="eastAsia"/>
                <w:color w:val="auto"/>
                <w:szCs w:val="21"/>
                <w:highlight w:val="none"/>
              </w:rPr>
              <w:t>功能</w:t>
            </w:r>
            <w:r>
              <w:rPr>
                <w:color w:val="auto"/>
                <w:szCs w:val="21"/>
                <w:highlight w:val="none"/>
              </w:rPr>
              <w:t>开发工作，</w:t>
            </w:r>
            <w:r>
              <w:rPr>
                <w:rFonts w:hint="eastAsia"/>
                <w:color w:val="auto"/>
                <w:szCs w:val="21"/>
                <w:highlight w:val="none"/>
              </w:rPr>
              <w:t>系统</w:t>
            </w:r>
            <w:r>
              <w:rPr>
                <w:color w:val="auto"/>
                <w:szCs w:val="21"/>
                <w:highlight w:val="none"/>
              </w:rPr>
              <w:t>功能、性能及安全参数均达到采购人最终确认的需求标准和合同要求，并完成上线运行。</w:t>
            </w:r>
          </w:p>
          <w:p>
            <w:pPr>
              <w:spacing w:line="440" w:lineRule="exact"/>
              <w:ind w:firstLine="420" w:firstLineChars="200"/>
              <w:rPr>
                <w:color w:val="auto"/>
                <w:szCs w:val="21"/>
                <w:highlight w:val="none"/>
              </w:rPr>
            </w:pPr>
            <w:r>
              <w:rPr>
                <w:color w:val="auto"/>
                <w:szCs w:val="21"/>
                <w:highlight w:val="none"/>
              </w:rPr>
              <w:t>（2）中标人须对系统功能、业务流程及系统接口等全面测试，测试范围包括系统功能、系统性能、可靠性、易用性及安全性等内容，并形成软件测试报告。</w:t>
            </w:r>
          </w:p>
          <w:p>
            <w:pPr>
              <w:spacing w:line="440" w:lineRule="exact"/>
              <w:ind w:firstLine="420" w:firstLineChars="200"/>
              <w:rPr>
                <w:rFonts w:eastAsia="宋体"/>
                <w:color w:val="auto"/>
                <w:szCs w:val="21"/>
                <w:highlight w:val="none"/>
              </w:rPr>
            </w:pPr>
            <w:r>
              <w:rPr>
                <w:color w:val="auto"/>
                <w:szCs w:val="21"/>
                <w:highlight w:val="none"/>
              </w:rPr>
              <w:t>（3）</w:t>
            </w:r>
            <w:r>
              <w:rPr>
                <w:rFonts w:hint="eastAsia"/>
                <w:color w:val="auto"/>
                <w:szCs w:val="21"/>
                <w:highlight w:val="none"/>
              </w:rPr>
              <w:t>系统通过采购人组织的渗透测试，并完成</w:t>
            </w:r>
            <w:r>
              <w:rPr>
                <w:rFonts w:hint="eastAsia" w:eastAsia="宋体"/>
                <w:color w:val="auto"/>
                <w:szCs w:val="21"/>
                <w:highlight w:val="none"/>
                <w:shd w:val="clear" w:color="auto" w:fill="FFFFFF"/>
              </w:rPr>
              <w:t>高、中风险漏洞修复。</w:t>
            </w:r>
          </w:p>
          <w:p>
            <w:pPr>
              <w:spacing w:line="440" w:lineRule="exact"/>
              <w:ind w:firstLine="420" w:firstLineChars="200"/>
              <w:rPr>
                <w:color w:val="auto"/>
                <w:szCs w:val="21"/>
                <w:highlight w:val="none"/>
              </w:rPr>
            </w:pPr>
            <w:r>
              <w:rPr>
                <w:color w:val="auto"/>
                <w:szCs w:val="21"/>
                <w:highlight w:val="none"/>
              </w:rPr>
              <w:t>（</w:t>
            </w:r>
            <w:r>
              <w:rPr>
                <w:rFonts w:hint="eastAsia"/>
                <w:color w:val="auto"/>
                <w:szCs w:val="21"/>
                <w:highlight w:val="none"/>
              </w:rPr>
              <w:t>4</w:t>
            </w:r>
            <w:r>
              <w:rPr>
                <w:color w:val="auto"/>
                <w:szCs w:val="21"/>
                <w:highlight w:val="none"/>
              </w:rPr>
              <w:t>）中标人需提供完备的中期检查交付物，包括：</w:t>
            </w:r>
          </w:p>
          <w:p>
            <w:pPr>
              <w:spacing w:line="440" w:lineRule="exact"/>
              <w:ind w:firstLine="420" w:firstLineChars="200"/>
              <w:rPr>
                <w:color w:val="auto"/>
                <w:szCs w:val="21"/>
                <w:highlight w:val="none"/>
              </w:rPr>
            </w:pPr>
            <w:r>
              <w:rPr>
                <w:color w:val="auto"/>
                <w:szCs w:val="21"/>
                <w:highlight w:val="none"/>
              </w:rPr>
              <w:t>①开发</w:t>
            </w:r>
            <w:r>
              <w:rPr>
                <w:rFonts w:hint="eastAsia"/>
                <w:color w:val="auto"/>
                <w:szCs w:val="21"/>
                <w:highlight w:val="none"/>
              </w:rPr>
              <w:t>服务成果</w:t>
            </w:r>
            <w:r>
              <w:rPr>
                <w:color w:val="auto"/>
                <w:szCs w:val="21"/>
                <w:highlight w:val="none"/>
              </w:rPr>
              <w:t>：需求分析说明书、总体设计方案、详细设计说明书、数据库设计说明书、系统部署安装手册、用户操作手册、系统测试方案及测试报告、软件系统源代码（含详细代码注释说明、数据库脚本等），源代码须为可编译、可运行的原始代码，不得提供经过混淆、加密或压缩处理的代码。</w:t>
            </w:r>
          </w:p>
          <w:p>
            <w:pPr>
              <w:spacing w:line="440" w:lineRule="exact"/>
              <w:ind w:firstLine="420" w:firstLineChars="200"/>
              <w:rPr>
                <w:color w:val="auto"/>
                <w:szCs w:val="21"/>
                <w:highlight w:val="none"/>
              </w:rPr>
            </w:pPr>
            <w:r>
              <w:rPr>
                <w:color w:val="auto"/>
                <w:szCs w:val="21"/>
                <w:highlight w:val="none"/>
              </w:rPr>
              <w:t>②实施文档：项目实施方案。</w:t>
            </w:r>
          </w:p>
          <w:p>
            <w:pPr>
              <w:spacing w:line="440" w:lineRule="exact"/>
              <w:ind w:firstLine="420" w:firstLineChars="200"/>
              <w:rPr>
                <w:color w:val="auto"/>
                <w:szCs w:val="21"/>
                <w:highlight w:val="none"/>
              </w:rPr>
            </w:pPr>
            <w:r>
              <w:rPr>
                <w:color w:val="auto"/>
                <w:szCs w:val="21"/>
                <w:highlight w:val="none"/>
              </w:rPr>
              <w:t>③检测类文档：</w:t>
            </w:r>
            <w:bookmarkStart w:id="118" w:name="OLE_LINK7"/>
            <w:r>
              <w:rPr>
                <w:rFonts w:hint="eastAsia" w:ascii="宋体" w:hAnsi="宋体" w:cs="宋体"/>
                <w:bCs/>
                <w:color w:val="auto"/>
                <w:szCs w:val="21"/>
                <w:highlight w:val="none"/>
              </w:rPr>
              <w:t>软件测试</w:t>
            </w:r>
            <w:r>
              <w:rPr>
                <w:rFonts w:hint="eastAsia"/>
                <w:color w:val="auto"/>
                <w:szCs w:val="21"/>
                <w:highlight w:val="none"/>
              </w:rPr>
              <w:t>报告</w:t>
            </w:r>
            <w:bookmarkEnd w:id="118"/>
            <w:r>
              <w:rPr>
                <w:rFonts w:hint="eastAsia"/>
                <w:color w:val="auto"/>
                <w:szCs w:val="21"/>
                <w:highlight w:val="none"/>
              </w:rPr>
              <w:t>。</w:t>
            </w:r>
          </w:p>
          <w:p>
            <w:pPr>
              <w:spacing w:line="440" w:lineRule="exact"/>
              <w:ind w:firstLine="422" w:firstLineChars="200"/>
              <w:rPr>
                <w:b/>
                <w:bCs/>
                <w:color w:val="auto"/>
                <w:szCs w:val="21"/>
                <w:highlight w:val="none"/>
              </w:rPr>
            </w:pPr>
            <w:r>
              <w:rPr>
                <w:b/>
                <w:bCs/>
                <w:color w:val="auto"/>
                <w:szCs w:val="21"/>
                <w:highlight w:val="none"/>
              </w:rPr>
              <w:t>3.初步验收</w:t>
            </w:r>
          </w:p>
          <w:p>
            <w:pPr>
              <w:spacing w:line="440" w:lineRule="exact"/>
              <w:ind w:firstLine="420" w:firstLineChars="200"/>
              <w:rPr>
                <w:color w:val="auto"/>
                <w:szCs w:val="21"/>
                <w:highlight w:val="none"/>
              </w:rPr>
            </w:pPr>
            <w:r>
              <w:rPr>
                <w:color w:val="auto"/>
                <w:szCs w:val="21"/>
                <w:highlight w:val="none"/>
              </w:rPr>
              <w:t>中标人</w:t>
            </w:r>
            <w:r>
              <w:rPr>
                <w:rFonts w:hint="eastAsia"/>
                <w:color w:val="auto"/>
                <w:szCs w:val="21"/>
                <w:highlight w:val="none"/>
              </w:rPr>
              <w:t>完成系统运行期间的故障处理和功能完善，并完成</w:t>
            </w:r>
            <w:r>
              <w:rPr>
                <w:color w:val="auto"/>
                <w:szCs w:val="21"/>
                <w:highlight w:val="none"/>
              </w:rPr>
              <w:t>数据</w:t>
            </w:r>
            <w:r>
              <w:rPr>
                <w:rFonts w:hint="eastAsia"/>
                <w:color w:val="auto"/>
                <w:szCs w:val="21"/>
                <w:highlight w:val="none"/>
              </w:rPr>
              <w:t>治理工作后</w:t>
            </w:r>
            <w:r>
              <w:rPr>
                <w:color w:val="auto"/>
                <w:szCs w:val="21"/>
                <w:highlight w:val="none"/>
              </w:rPr>
              <w:t>，</w:t>
            </w:r>
            <w:r>
              <w:rPr>
                <w:rFonts w:hint="eastAsia"/>
                <w:color w:val="auto"/>
                <w:szCs w:val="21"/>
                <w:highlight w:val="none"/>
              </w:rPr>
              <w:t>提交</w:t>
            </w:r>
            <w:r>
              <w:rPr>
                <w:color w:val="auto"/>
                <w:szCs w:val="21"/>
                <w:highlight w:val="none"/>
              </w:rPr>
              <w:t>项目初验书面申请</w:t>
            </w:r>
            <w:r>
              <w:rPr>
                <w:rFonts w:hint="eastAsia"/>
                <w:color w:val="auto"/>
                <w:szCs w:val="21"/>
                <w:highlight w:val="none"/>
              </w:rPr>
              <w:t>及相关交付物</w:t>
            </w:r>
            <w:r>
              <w:rPr>
                <w:color w:val="auto"/>
                <w:szCs w:val="21"/>
                <w:highlight w:val="none"/>
              </w:rPr>
              <w:t>。采购人收到申请，</w:t>
            </w:r>
            <w:r>
              <w:rPr>
                <w:rFonts w:hint="eastAsia"/>
                <w:color w:val="auto"/>
                <w:szCs w:val="21"/>
                <w:highlight w:val="none"/>
              </w:rPr>
              <w:t>并确认</w:t>
            </w:r>
            <w:r>
              <w:rPr>
                <w:color w:val="auto"/>
                <w:szCs w:val="21"/>
                <w:highlight w:val="none"/>
              </w:rPr>
              <w:t>中标人已完成</w:t>
            </w:r>
            <w:r>
              <w:rPr>
                <w:rFonts w:hint="eastAsia"/>
                <w:color w:val="auto"/>
                <w:szCs w:val="21"/>
                <w:highlight w:val="none"/>
              </w:rPr>
              <w:t>对应的</w:t>
            </w:r>
            <w:r>
              <w:rPr>
                <w:color w:val="auto"/>
                <w:szCs w:val="21"/>
                <w:highlight w:val="none"/>
              </w:rPr>
              <w:t>工作</w:t>
            </w:r>
            <w:r>
              <w:rPr>
                <w:rFonts w:hint="eastAsia"/>
                <w:color w:val="auto"/>
                <w:szCs w:val="21"/>
                <w:highlight w:val="none"/>
              </w:rPr>
              <w:t>成果后，由采购人</w:t>
            </w:r>
            <w:r>
              <w:rPr>
                <w:color w:val="auto"/>
                <w:szCs w:val="21"/>
                <w:highlight w:val="none"/>
              </w:rPr>
              <w:t xml:space="preserve">组织初步验收。采购人依据合同，对项目的工程、技术和档案等进行验收，形成初步验收报告。 </w:t>
            </w:r>
          </w:p>
          <w:p>
            <w:pPr>
              <w:spacing w:line="440" w:lineRule="exact"/>
              <w:ind w:firstLine="420" w:firstLineChars="200"/>
              <w:rPr>
                <w:color w:val="auto"/>
                <w:szCs w:val="21"/>
                <w:highlight w:val="none"/>
              </w:rPr>
            </w:pPr>
            <w:r>
              <w:rPr>
                <w:color w:val="auto"/>
                <w:szCs w:val="21"/>
                <w:highlight w:val="none"/>
              </w:rPr>
              <w:t>项目初验应满足以下要求：</w:t>
            </w:r>
          </w:p>
          <w:p>
            <w:pPr>
              <w:numPr>
                <w:ilvl w:val="0"/>
                <w:numId w:val="51"/>
              </w:numPr>
              <w:spacing w:line="440" w:lineRule="exact"/>
              <w:ind w:firstLine="420" w:firstLineChars="200"/>
              <w:rPr>
                <w:color w:val="auto"/>
                <w:szCs w:val="21"/>
                <w:highlight w:val="none"/>
              </w:rPr>
            </w:pPr>
            <w:r>
              <w:rPr>
                <w:rFonts w:hint="eastAsia"/>
                <w:color w:val="auto"/>
                <w:szCs w:val="21"/>
                <w:highlight w:val="none"/>
              </w:rPr>
              <w:t>系统上线</w:t>
            </w:r>
            <w:r>
              <w:rPr>
                <w:color w:val="auto"/>
                <w:szCs w:val="21"/>
                <w:highlight w:val="none"/>
              </w:rPr>
              <w:t>运行</w:t>
            </w:r>
            <w:r>
              <w:rPr>
                <w:rFonts w:hint="eastAsia"/>
                <w:color w:val="auto"/>
                <w:szCs w:val="21"/>
                <w:highlight w:val="none"/>
              </w:rPr>
              <w:t>后</w:t>
            </w:r>
            <w:r>
              <w:rPr>
                <w:color w:val="auto"/>
                <w:szCs w:val="21"/>
                <w:highlight w:val="none"/>
              </w:rPr>
              <w:t>，中标人应及时</w:t>
            </w:r>
            <w:r>
              <w:rPr>
                <w:rFonts w:hint="eastAsia"/>
                <w:color w:val="auto"/>
                <w:szCs w:val="21"/>
                <w:highlight w:val="none"/>
              </w:rPr>
              <w:t>处理系统故障，完善系统功能</w:t>
            </w:r>
            <w:r>
              <w:rPr>
                <w:color w:val="auto"/>
                <w:szCs w:val="21"/>
                <w:highlight w:val="none"/>
              </w:rPr>
              <w:t>，</w:t>
            </w:r>
            <w:r>
              <w:rPr>
                <w:rFonts w:hint="eastAsia"/>
                <w:color w:val="auto"/>
                <w:szCs w:val="21"/>
                <w:highlight w:val="none"/>
              </w:rPr>
              <w:t>确保系统</w:t>
            </w:r>
            <w:r>
              <w:rPr>
                <w:color w:val="auto"/>
                <w:szCs w:val="21"/>
                <w:highlight w:val="none"/>
              </w:rPr>
              <w:t>正常提供服务。所有</w:t>
            </w:r>
            <w:r>
              <w:rPr>
                <w:rFonts w:hint="eastAsia"/>
                <w:color w:val="auto"/>
                <w:szCs w:val="21"/>
                <w:highlight w:val="none"/>
              </w:rPr>
              <w:t>系统</w:t>
            </w:r>
            <w:r>
              <w:rPr>
                <w:color w:val="auto"/>
                <w:szCs w:val="21"/>
                <w:highlight w:val="none"/>
              </w:rPr>
              <w:t>运行期间系统的修改和软件变化都应由中标人写入开发、实施的相关文档中。</w:t>
            </w:r>
          </w:p>
          <w:p>
            <w:pPr>
              <w:numPr>
                <w:ilvl w:val="0"/>
                <w:numId w:val="51"/>
              </w:numPr>
              <w:spacing w:line="440" w:lineRule="exact"/>
              <w:ind w:firstLine="420" w:firstLineChars="200"/>
              <w:rPr>
                <w:color w:val="auto"/>
                <w:szCs w:val="21"/>
                <w:highlight w:val="none"/>
              </w:rPr>
            </w:pPr>
            <w:r>
              <w:rPr>
                <w:rFonts w:hint="eastAsia"/>
                <w:color w:val="auto"/>
                <w:szCs w:val="21"/>
                <w:highlight w:val="none"/>
              </w:rPr>
              <w:t>完成数据标准化、历史数据处理、数据标引、数据共享交换等数据治理工作。</w:t>
            </w:r>
          </w:p>
          <w:p>
            <w:pPr>
              <w:numPr>
                <w:ilvl w:val="0"/>
                <w:numId w:val="51"/>
              </w:numPr>
              <w:spacing w:line="440" w:lineRule="exact"/>
              <w:ind w:firstLine="420" w:firstLineChars="200"/>
              <w:rPr>
                <w:color w:val="auto"/>
                <w:szCs w:val="21"/>
                <w:highlight w:val="none"/>
              </w:rPr>
            </w:pPr>
            <w:r>
              <w:rPr>
                <w:rFonts w:hint="eastAsia"/>
                <w:color w:val="auto"/>
                <w:szCs w:val="21"/>
                <w:highlight w:val="none"/>
              </w:rPr>
              <w:t>根据采购人要求，分阶段、分对象完成系统培训工作。</w:t>
            </w:r>
            <w:r>
              <w:rPr>
                <w:color w:val="auto"/>
                <w:szCs w:val="21"/>
                <w:highlight w:val="none"/>
              </w:rPr>
              <w:t xml:space="preserve"> </w:t>
            </w:r>
          </w:p>
          <w:p>
            <w:pPr>
              <w:numPr>
                <w:ilvl w:val="0"/>
                <w:numId w:val="51"/>
              </w:numPr>
              <w:spacing w:line="440" w:lineRule="exact"/>
              <w:ind w:firstLine="420" w:firstLineChars="200"/>
              <w:rPr>
                <w:color w:val="auto"/>
                <w:szCs w:val="21"/>
                <w:highlight w:val="none"/>
              </w:rPr>
            </w:pPr>
            <w:r>
              <w:rPr>
                <w:rFonts w:hint="eastAsia"/>
                <w:color w:val="auto"/>
                <w:szCs w:val="21"/>
                <w:highlight w:val="none"/>
              </w:rPr>
              <w:t>系统通过采购人组织的渗透测试，并完成</w:t>
            </w:r>
            <w:r>
              <w:rPr>
                <w:rFonts w:hint="eastAsia" w:eastAsia="宋体"/>
                <w:color w:val="auto"/>
                <w:szCs w:val="21"/>
                <w:highlight w:val="none"/>
                <w:shd w:val="clear" w:color="auto" w:fill="FFFFFF"/>
              </w:rPr>
              <w:t>高、中风险漏洞修复。</w:t>
            </w:r>
          </w:p>
          <w:p>
            <w:pPr>
              <w:numPr>
                <w:ilvl w:val="0"/>
                <w:numId w:val="51"/>
              </w:numPr>
              <w:spacing w:line="440" w:lineRule="exact"/>
              <w:ind w:firstLine="420" w:firstLineChars="200"/>
              <w:rPr>
                <w:color w:val="auto"/>
                <w:szCs w:val="21"/>
                <w:highlight w:val="none"/>
              </w:rPr>
            </w:pPr>
            <w:r>
              <w:rPr>
                <w:rFonts w:hint="eastAsia"/>
                <w:color w:val="auto"/>
                <w:szCs w:val="21"/>
                <w:highlight w:val="none"/>
              </w:rPr>
              <w:t>中标人需提供完备的初步验收交付物。包括：</w:t>
            </w:r>
          </w:p>
          <w:p>
            <w:pPr>
              <w:spacing w:line="440" w:lineRule="exact"/>
              <w:ind w:firstLine="420" w:firstLineChars="200"/>
              <w:rPr>
                <w:color w:val="auto"/>
                <w:szCs w:val="21"/>
                <w:highlight w:val="none"/>
              </w:rPr>
            </w:pPr>
            <w:r>
              <w:rPr>
                <w:color w:val="auto"/>
                <w:szCs w:val="21"/>
                <w:highlight w:val="none"/>
              </w:rPr>
              <w:t>①开发</w:t>
            </w:r>
            <w:r>
              <w:rPr>
                <w:rFonts w:hint="eastAsia"/>
                <w:color w:val="auto"/>
                <w:szCs w:val="21"/>
                <w:highlight w:val="none"/>
              </w:rPr>
              <w:t>服务成果</w:t>
            </w:r>
            <w:r>
              <w:rPr>
                <w:color w:val="auto"/>
                <w:szCs w:val="21"/>
                <w:highlight w:val="none"/>
              </w:rPr>
              <w:t>：需求分析说明书、总体设计方案、详细设计说明书、数据库设计说明书、系统部署安装手册、用户操作手册、培训手册、系统测试方案及测试报告、全部软件系统最新版本的源代码（含详细代码注释说明、数据库脚本等），源代码须为可编译、可运行的原始代码，不得提供经过混淆、加密或压缩处理的代码。</w:t>
            </w:r>
          </w:p>
          <w:p>
            <w:pPr>
              <w:spacing w:line="440" w:lineRule="exact"/>
              <w:ind w:firstLine="420" w:firstLineChars="200"/>
              <w:rPr>
                <w:color w:val="auto"/>
                <w:szCs w:val="21"/>
                <w:highlight w:val="none"/>
              </w:rPr>
            </w:pPr>
            <w:r>
              <w:rPr>
                <w:color w:val="auto"/>
                <w:szCs w:val="21"/>
                <w:highlight w:val="none"/>
              </w:rPr>
              <w:t>②数据</w:t>
            </w:r>
            <w:r>
              <w:rPr>
                <w:rFonts w:hint="eastAsia"/>
                <w:color w:val="auto"/>
                <w:szCs w:val="21"/>
                <w:highlight w:val="none"/>
              </w:rPr>
              <w:t>治理工作成果</w:t>
            </w:r>
            <w:r>
              <w:rPr>
                <w:color w:val="auto"/>
                <w:szCs w:val="21"/>
                <w:highlight w:val="none"/>
              </w:rPr>
              <w:t>：数据标准化方案、旧系统数据分析报告</w:t>
            </w:r>
            <w:r>
              <w:rPr>
                <w:rFonts w:hint="eastAsia"/>
                <w:color w:val="auto"/>
                <w:szCs w:val="21"/>
                <w:highlight w:val="none"/>
              </w:rPr>
              <w:t>、清洗后的旧系统数据资源、数据标引后的系统数据资源</w:t>
            </w:r>
            <w:r>
              <w:rPr>
                <w:color w:val="auto"/>
                <w:szCs w:val="21"/>
                <w:highlight w:val="none"/>
              </w:rPr>
              <w:t>。</w:t>
            </w:r>
          </w:p>
          <w:p>
            <w:pPr>
              <w:spacing w:line="440" w:lineRule="exact"/>
              <w:ind w:firstLine="420" w:firstLineChars="200"/>
              <w:rPr>
                <w:color w:val="auto"/>
                <w:szCs w:val="21"/>
                <w:highlight w:val="none"/>
              </w:rPr>
            </w:pPr>
            <w:r>
              <w:rPr>
                <w:color w:val="auto"/>
                <w:szCs w:val="21"/>
                <w:highlight w:val="none"/>
              </w:rPr>
              <w:t>③实施类文档：项目实施方案</w:t>
            </w:r>
            <w:r>
              <w:rPr>
                <w:rFonts w:hint="eastAsia"/>
                <w:color w:val="auto"/>
                <w:szCs w:val="21"/>
                <w:highlight w:val="none"/>
              </w:rPr>
              <w:t>。</w:t>
            </w:r>
          </w:p>
          <w:p>
            <w:pPr>
              <w:spacing w:line="440" w:lineRule="exact"/>
              <w:ind w:firstLine="422" w:firstLineChars="200"/>
              <w:rPr>
                <w:b/>
                <w:bCs/>
                <w:color w:val="auto"/>
                <w:szCs w:val="21"/>
                <w:highlight w:val="none"/>
              </w:rPr>
            </w:pPr>
            <w:r>
              <w:rPr>
                <w:rFonts w:hint="eastAsia"/>
                <w:b/>
                <w:bCs/>
                <w:color w:val="auto"/>
                <w:szCs w:val="21"/>
                <w:highlight w:val="none"/>
              </w:rPr>
              <w:t>4</w:t>
            </w:r>
            <w:r>
              <w:rPr>
                <w:b/>
                <w:bCs/>
                <w:color w:val="auto"/>
                <w:szCs w:val="21"/>
                <w:highlight w:val="none"/>
              </w:rPr>
              <w:t xml:space="preserve">.项目终验 </w:t>
            </w:r>
          </w:p>
          <w:p>
            <w:pPr>
              <w:spacing w:line="440" w:lineRule="exact"/>
              <w:ind w:firstLine="420" w:firstLineChars="200"/>
              <w:rPr>
                <w:color w:val="auto"/>
                <w:szCs w:val="21"/>
                <w:highlight w:val="none"/>
              </w:rPr>
            </w:pPr>
            <w:r>
              <w:rPr>
                <w:rFonts w:hint="eastAsia"/>
                <w:color w:val="auto"/>
                <w:szCs w:val="21"/>
                <w:highlight w:val="none"/>
              </w:rPr>
              <w:t>中标人完成全部系统建设工作后</w:t>
            </w:r>
            <w:r>
              <w:rPr>
                <w:color w:val="auto"/>
                <w:szCs w:val="21"/>
                <w:highlight w:val="none"/>
              </w:rPr>
              <w:t>，由中标人提出项目终验书面申请</w:t>
            </w:r>
            <w:r>
              <w:rPr>
                <w:rFonts w:hint="eastAsia"/>
                <w:color w:val="auto"/>
                <w:szCs w:val="21"/>
                <w:highlight w:val="none"/>
              </w:rPr>
              <w:t>及相关交付物</w:t>
            </w:r>
            <w:r>
              <w:rPr>
                <w:color w:val="auto"/>
                <w:szCs w:val="21"/>
                <w:highlight w:val="none"/>
              </w:rPr>
              <w:t>。采购人收到申请，</w:t>
            </w:r>
            <w:r>
              <w:rPr>
                <w:rFonts w:hint="eastAsia"/>
                <w:color w:val="auto"/>
                <w:szCs w:val="21"/>
                <w:highlight w:val="none"/>
              </w:rPr>
              <w:t>并确认</w:t>
            </w:r>
            <w:r>
              <w:rPr>
                <w:color w:val="auto"/>
                <w:szCs w:val="21"/>
                <w:highlight w:val="none"/>
              </w:rPr>
              <w:t>中标人已完成</w:t>
            </w:r>
            <w:r>
              <w:rPr>
                <w:rFonts w:hint="eastAsia"/>
                <w:color w:val="auto"/>
                <w:szCs w:val="21"/>
                <w:highlight w:val="none"/>
              </w:rPr>
              <w:t>对应的</w:t>
            </w:r>
            <w:r>
              <w:rPr>
                <w:color w:val="auto"/>
                <w:szCs w:val="21"/>
                <w:highlight w:val="none"/>
              </w:rPr>
              <w:t>工作</w:t>
            </w:r>
            <w:r>
              <w:rPr>
                <w:rFonts w:hint="eastAsia"/>
                <w:color w:val="auto"/>
                <w:szCs w:val="21"/>
                <w:highlight w:val="none"/>
              </w:rPr>
              <w:t>成果后，由采购人</w:t>
            </w:r>
            <w:r>
              <w:rPr>
                <w:color w:val="auto"/>
                <w:szCs w:val="21"/>
                <w:highlight w:val="none"/>
              </w:rPr>
              <w:t>组织项目终验。</w:t>
            </w:r>
          </w:p>
          <w:p>
            <w:pPr>
              <w:spacing w:line="440" w:lineRule="exact"/>
              <w:ind w:firstLine="420" w:firstLineChars="200"/>
              <w:rPr>
                <w:color w:val="auto"/>
                <w:szCs w:val="21"/>
                <w:highlight w:val="none"/>
              </w:rPr>
            </w:pPr>
            <w:r>
              <w:rPr>
                <w:color w:val="auto"/>
                <w:szCs w:val="21"/>
                <w:highlight w:val="none"/>
              </w:rPr>
              <w:t>项目</w:t>
            </w:r>
            <w:r>
              <w:rPr>
                <w:rFonts w:hint="eastAsia"/>
                <w:color w:val="auto"/>
                <w:szCs w:val="21"/>
                <w:highlight w:val="none"/>
              </w:rPr>
              <w:t>终</w:t>
            </w:r>
            <w:r>
              <w:rPr>
                <w:color w:val="auto"/>
                <w:szCs w:val="21"/>
                <w:highlight w:val="none"/>
              </w:rPr>
              <w:t>验应满足以下要求：</w:t>
            </w:r>
          </w:p>
          <w:p>
            <w:pPr>
              <w:numPr>
                <w:ilvl w:val="0"/>
                <w:numId w:val="52"/>
              </w:numPr>
              <w:spacing w:line="440" w:lineRule="exact"/>
              <w:ind w:firstLine="420" w:firstLineChars="200"/>
              <w:rPr>
                <w:color w:val="auto"/>
                <w:szCs w:val="21"/>
                <w:highlight w:val="none"/>
              </w:rPr>
            </w:pPr>
            <w:r>
              <w:rPr>
                <w:color w:val="auto"/>
                <w:szCs w:val="21"/>
                <w:highlight w:val="none"/>
              </w:rPr>
              <w:t>中标人及时处理系统故障，完善系统功能，确保系统正常提供服务。所有系统运行期间系统的修改和软件变化都应由中标人写入开发、实施的相关文档中。</w:t>
            </w:r>
          </w:p>
          <w:p>
            <w:pPr>
              <w:numPr>
                <w:ilvl w:val="255"/>
                <w:numId w:val="0"/>
              </w:numPr>
              <w:spacing w:line="440" w:lineRule="exact"/>
              <w:ind w:firstLine="420" w:firstLineChars="200"/>
              <w:rPr>
                <w:color w:val="auto"/>
                <w:szCs w:val="21"/>
                <w:highlight w:val="none"/>
              </w:rPr>
            </w:pPr>
            <w:r>
              <w:rPr>
                <w:rFonts w:hint="eastAsia"/>
                <w:color w:val="auto"/>
                <w:szCs w:val="21"/>
                <w:highlight w:val="none"/>
              </w:rPr>
              <w:t>（2）</w:t>
            </w:r>
            <w:r>
              <w:rPr>
                <w:color w:val="auto"/>
                <w:szCs w:val="21"/>
                <w:highlight w:val="none"/>
              </w:rPr>
              <w:t>采购人委托</w:t>
            </w:r>
            <w:r>
              <w:rPr>
                <w:rFonts w:eastAsia="宋体"/>
                <w:color w:val="auto"/>
                <w:szCs w:val="21"/>
                <w:highlight w:val="none"/>
                <w:shd w:val="clear" w:color="auto" w:fill="FFFFFF"/>
              </w:rPr>
              <w:t>具备</w:t>
            </w:r>
            <w:r>
              <w:rPr>
                <w:color w:val="auto"/>
                <w:szCs w:val="21"/>
                <w:highlight w:val="none"/>
              </w:rPr>
              <w:t>资质的第三方专业机构对系统进行密码应用安全</w:t>
            </w:r>
            <w:r>
              <w:rPr>
                <w:rFonts w:hint="eastAsia"/>
                <w:color w:val="auto"/>
                <w:szCs w:val="21"/>
                <w:highlight w:val="none"/>
              </w:rPr>
              <w:t>性评估</w:t>
            </w:r>
            <w:r>
              <w:rPr>
                <w:color w:val="auto"/>
                <w:szCs w:val="21"/>
                <w:highlight w:val="none"/>
              </w:rPr>
              <w:t>、网络安全等级保护测评、功能和性能测评</w:t>
            </w:r>
            <w:r>
              <w:rPr>
                <w:rFonts w:hint="eastAsia"/>
                <w:color w:val="auto"/>
                <w:szCs w:val="21"/>
                <w:highlight w:val="none"/>
              </w:rPr>
              <w:t>，</w:t>
            </w:r>
            <w:r>
              <w:rPr>
                <w:rFonts w:eastAsia="宋体"/>
                <w:color w:val="auto"/>
                <w:szCs w:val="21"/>
                <w:highlight w:val="none"/>
                <w:shd w:val="clear" w:color="auto" w:fill="FFFFFF"/>
              </w:rPr>
              <w:t>中标人委托具备资质的第三方专业机构开展代码审计工作</w:t>
            </w:r>
            <w:r>
              <w:rPr>
                <w:rFonts w:hint="eastAsia" w:eastAsia="宋体"/>
                <w:color w:val="auto"/>
                <w:szCs w:val="21"/>
                <w:highlight w:val="none"/>
                <w:shd w:val="clear" w:color="auto" w:fill="FFFFFF"/>
              </w:rPr>
              <w:t>。</w:t>
            </w:r>
            <w:r>
              <w:rPr>
                <w:color w:val="auto"/>
                <w:szCs w:val="21"/>
                <w:highlight w:val="none"/>
              </w:rPr>
              <w:t>终验前中标人须确保密码应用安全</w:t>
            </w:r>
            <w:r>
              <w:rPr>
                <w:rFonts w:hint="eastAsia"/>
                <w:color w:val="auto"/>
                <w:szCs w:val="21"/>
                <w:highlight w:val="none"/>
              </w:rPr>
              <w:t>性</w:t>
            </w:r>
            <w:r>
              <w:rPr>
                <w:color w:val="auto"/>
                <w:szCs w:val="21"/>
                <w:highlight w:val="none"/>
              </w:rPr>
              <w:t>评估、网络安全等级保护测评、功能和性能测评、代码审计</w:t>
            </w:r>
            <w:r>
              <w:rPr>
                <w:rFonts w:hint="eastAsia"/>
                <w:color w:val="auto"/>
                <w:szCs w:val="21"/>
                <w:highlight w:val="none"/>
              </w:rPr>
              <w:t>、渗透测试</w:t>
            </w:r>
            <w:r>
              <w:rPr>
                <w:color w:val="auto"/>
                <w:szCs w:val="21"/>
                <w:highlight w:val="none"/>
              </w:rPr>
              <w:t>中出现的问题均已处理</w:t>
            </w:r>
            <w:r>
              <w:rPr>
                <w:rFonts w:hint="eastAsia"/>
                <w:color w:val="auto"/>
                <w:szCs w:val="21"/>
                <w:highlight w:val="none"/>
              </w:rPr>
              <w:t>，并</w:t>
            </w:r>
            <w:r>
              <w:rPr>
                <w:rFonts w:hint="eastAsia" w:eastAsia="宋体"/>
                <w:color w:val="auto"/>
                <w:szCs w:val="21"/>
                <w:highlight w:val="none"/>
                <w:shd w:val="clear" w:color="auto" w:fill="FFFFFF"/>
              </w:rPr>
              <w:t>取得合格的</w:t>
            </w:r>
            <w:r>
              <w:rPr>
                <w:color w:val="auto"/>
                <w:szCs w:val="21"/>
                <w:highlight w:val="none"/>
              </w:rPr>
              <w:t>密码应用安全</w:t>
            </w:r>
            <w:r>
              <w:rPr>
                <w:rFonts w:hint="eastAsia"/>
                <w:color w:val="auto"/>
                <w:szCs w:val="21"/>
                <w:highlight w:val="none"/>
              </w:rPr>
              <w:t>性</w:t>
            </w:r>
            <w:r>
              <w:rPr>
                <w:color w:val="auto"/>
                <w:szCs w:val="21"/>
                <w:highlight w:val="none"/>
              </w:rPr>
              <w:t>评估</w:t>
            </w:r>
            <w:r>
              <w:rPr>
                <w:rFonts w:hint="eastAsia"/>
                <w:color w:val="auto"/>
                <w:szCs w:val="21"/>
                <w:highlight w:val="none"/>
              </w:rPr>
              <w:t>报告</w:t>
            </w:r>
            <w:r>
              <w:rPr>
                <w:color w:val="auto"/>
                <w:szCs w:val="21"/>
                <w:highlight w:val="none"/>
              </w:rPr>
              <w:t>、网络安全等级保护测评</w:t>
            </w:r>
            <w:r>
              <w:rPr>
                <w:rFonts w:hint="eastAsia"/>
                <w:color w:val="auto"/>
                <w:szCs w:val="21"/>
                <w:highlight w:val="none"/>
              </w:rPr>
              <w:t>报告</w:t>
            </w:r>
            <w:r>
              <w:rPr>
                <w:color w:val="auto"/>
                <w:szCs w:val="21"/>
                <w:highlight w:val="none"/>
              </w:rPr>
              <w:t>、功能和性能测评</w:t>
            </w:r>
            <w:r>
              <w:rPr>
                <w:rFonts w:hint="eastAsia"/>
                <w:color w:val="auto"/>
                <w:szCs w:val="21"/>
                <w:highlight w:val="none"/>
              </w:rPr>
              <w:t>报告及</w:t>
            </w:r>
            <w:r>
              <w:rPr>
                <w:color w:val="auto"/>
                <w:szCs w:val="21"/>
                <w:highlight w:val="none"/>
              </w:rPr>
              <w:t>代码审计</w:t>
            </w:r>
            <w:r>
              <w:rPr>
                <w:rFonts w:hint="eastAsia"/>
                <w:color w:val="auto"/>
                <w:szCs w:val="21"/>
                <w:highlight w:val="none"/>
              </w:rPr>
              <w:t>报告</w:t>
            </w:r>
            <w:r>
              <w:rPr>
                <w:color w:val="auto"/>
                <w:szCs w:val="21"/>
                <w:highlight w:val="none"/>
              </w:rPr>
              <w:t xml:space="preserve">。 </w:t>
            </w:r>
          </w:p>
          <w:p>
            <w:pPr>
              <w:spacing w:line="440" w:lineRule="exact"/>
              <w:ind w:firstLine="420" w:firstLineChars="200"/>
              <w:rPr>
                <w:color w:val="auto"/>
                <w:szCs w:val="21"/>
                <w:highlight w:val="none"/>
              </w:rPr>
            </w:pPr>
            <w:r>
              <w:rPr>
                <w:rFonts w:hint="eastAsia"/>
                <w:color w:val="auto"/>
                <w:szCs w:val="21"/>
                <w:highlight w:val="none"/>
              </w:rPr>
              <w:t>（3）</w:t>
            </w:r>
            <w:bookmarkStart w:id="119" w:name="OLE_LINK8"/>
            <w:r>
              <w:rPr>
                <w:color w:val="auto"/>
                <w:szCs w:val="21"/>
                <w:highlight w:val="none"/>
              </w:rPr>
              <w:t>终验前中标人须确保本项目已按合同要求完成全部系统建设工作，如未完成系统建设或相关工作，中标人继续进行项目实施，直至系统所有功能、性能及安全参数均达到采购人最终确认的需求标准和合同要求</w:t>
            </w:r>
            <w:bookmarkEnd w:id="119"/>
            <w:r>
              <w:rPr>
                <w:color w:val="auto"/>
                <w:szCs w:val="21"/>
                <w:highlight w:val="none"/>
              </w:rPr>
              <w:t xml:space="preserve">。 </w:t>
            </w:r>
          </w:p>
          <w:p>
            <w:pPr>
              <w:numPr>
                <w:ilvl w:val="255"/>
                <w:numId w:val="0"/>
              </w:numPr>
              <w:spacing w:line="440" w:lineRule="exact"/>
              <w:ind w:firstLine="420" w:firstLineChars="200"/>
              <w:rPr>
                <w:color w:val="auto"/>
                <w:szCs w:val="21"/>
                <w:highlight w:val="none"/>
              </w:rPr>
            </w:pPr>
            <w:r>
              <w:rPr>
                <w:rFonts w:hint="eastAsia"/>
                <w:color w:val="auto"/>
                <w:szCs w:val="21"/>
                <w:highlight w:val="none"/>
              </w:rPr>
              <w:t>（4）</w:t>
            </w:r>
            <w:r>
              <w:rPr>
                <w:color w:val="auto"/>
                <w:szCs w:val="21"/>
                <w:highlight w:val="none"/>
              </w:rPr>
              <w:t>中标人需提供完备的项目终验交付物，包括：</w:t>
            </w:r>
          </w:p>
          <w:p>
            <w:pPr>
              <w:spacing w:line="440" w:lineRule="exact"/>
              <w:ind w:firstLine="420" w:firstLineChars="200"/>
              <w:rPr>
                <w:color w:val="auto"/>
                <w:szCs w:val="21"/>
                <w:highlight w:val="none"/>
              </w:rPr>
            </w:pPr>
            <w:r>
              <w:rPr>
                <w:color w:val="auto"/>
                <w:szCs w:val="21"/>
                <w:highlight w:val="none"/>
              </w:rPr>
              <w:t xml:space="preserve">①开发类文档：需求分析说明书、总体设计方案、详细设计说明书、数据库设计说明书、系统安装部署手册、用户操作手册、培训手册、系统测试方案及测试报告、全部软件系统最新版本的源代码（含详细代码注释说明、数据库脚本等），源代码须为可编译、可运行的原始代码，不得提供经过混淆、加密或压缩处理的代码。 </w:t>
            </w:r>
          </w:p>
          <w:p>
            <w:pPr>
              <w:spacing w:line="440" w:lineRule="exact"/>
              <w:ind w:firstLine="420" w:firstLineChars="200"/>
              <w:rPr>
                <w:color w:val="auto"/>
                <w:szCs w:val="21"/>
                <w:highlight w:val="none"/>
              </w:rPr>
            </w:pPr>
            <w:r>
              <w:rPr>
                <w:color w:val="auto"/>
                <w:szCs w:val="21"/>
                <w:highlight w:val="none"/>
              </w:rPr>
              <w:t>②数据</w:t>
            </w:r>
            <w:r>
              <w:rPr>
                <w:rFonts w:hint="eastAsia"/>
                <w:color w:val="auto"/>
                <w:szCs w:val="21"/>
                <w:highlight w:val="none"/>
              </w:rPr>
              <w:t>治理工作成果</w:t>
            </w:r>
            <w:r>
              <w:rPr>
                <w:color w:val="auto"/>
                <w:szCs w:val="21"/>
                <w:highlight w:val="none"/>
              </w:rPr>
              <w:t>：数据标准化方案、旧系统数据分析报告、</w:t>
            </w:r>
            <w:r>
              <w:rPr>
                <w:rFonts w:hint="eastAsia"/>
                <w:color w:val="auto"/>
                <w:szCs w:val="21"/>
                <w:highlight w:val="none"/>
              </w:rPr>
              <w:t>清洗后的旧系统数据资源、数据标引后的系统数据资源</w:t>
            </w:r>
            <w:r>
              <w:rPr>
                <w:color w:val="auto"/>
                <w:szCs w:val="21"/>
                <w:highlight w:val="none"/>
              </w:rPr>
              <w:t>。</w:t>
            </w:r>
          </w:p>
          <w:p>
            <w:pPr>
              <w:spacing w:line="440" w:lineRule="exact"/>
              <w:ind w:firstLine="420" w:firstLineChars="200"/>
              <w:rPr>
                <w:color w:val="auto"/>
                <w:szCs w:val="21"/>
                <w:highlight w:val="none"/>
              </w:rPr>
            </w:pPr>
            <w:r>
              <w:rPr>
                <w:color w:val="auto"/>
                <w:szCs w:val="21"/>
                <w:highlight w:val="none"/>
              </w:rPr>
              <w:t xml:space="preserve">③实施类文档：项目实施方案、初步验收报告、项目巡检报告（含巡检记录）、项目总结报告。 </w:t>
            </w:r>
          </w:p>
          <w:p>
            <w:pPr>
              <w:spacing w:line="440" w:lineRule="exact"/>
              <w:ind w:firstLine="420" w:firstLineChars="200"/>
              <w:rPr>
                <w:color w:val="auto"/>
                <w:szCs w:val="21"/>
                <w:highlight w:val="none"/>
              </w:rPr>
            </w:pPr>
            <w:r>
              <w:rPr>
                <w:color w:val="auto"/>
                <w:szCs w:val="21"/>
                <w:highlight w:val="none"/>
              </w:rPr>
              <w:t xml:space="preserve">④检测类文档：第三方代码审计报告。 </w:t>
            </w:r>
            <w:bookmarkEnd w:id="117"/>
          </w:p>
          <w:p>
            <w:pPr>
              <w:widowControl/>
              <w:adjustRightInd w:val="0"/>
              <w:spacing w:line="440" w:lineRule="exact"/>
              <w:ind w:firstLine="422" w:firstLineChars="200"/>
              <w:rPr>
                <w:b/>
                <w:bCs/>
                <w:color w:val="auto"/>
                <w:szCs w:val="21"/>
                <w:highlight w:val="none"/>
              </w:rPr>
            </w:pPr>
            <w:r>
              <w:rPr>
                <w:b/>
                <w:bCs/>
                <w:color w:val="auto"/>
                <w:szCs w:val="21"/>
                <w:highlight w:val="none"/>
              </w:rPr>
              <w:t>（四）质保服务要求</w:t>
            </w:r>
          </w:p>
          <w:p>
            <w:pPr>
              <w:spacing w:line="440" w:lineRule="exact"/>
              <w:ind w:firstLine="420" w:firstLineChars="200"/>
              <w:rPr>
                <w:color w:val="auto"/>
                <w:szCs w:val="21"/>
                <w:highlight w:val="none"/>
              </w:rPr>
            </w:pPr>
            <w:r>
              <w:rPr>
                <w:color w:val="auto"/>
                <w:szCs w:val="21"/>
                <w:highlight w:val="none"/>
              </w:rPr>
              <w:t>1.项目质保服务期：项目自通过终验之日起12个月内。</w:t>
            </w:r>
          </w:p>
          <w:p>
            <w:pPr>
              <w:spacing w:line="440" w:lineRule="exact"/>
              <w:ind w:firstLine="420" w:firstLineChars="200"/>
              <w:rPr>
                <w:color w:val="auto"/>
                <w:szCs w:val="21"/>
                <w:highlight w:val="none"/>
              </w:rPr>
            </w:pPr>
            <w:r>
              <w:rPr>
                <w:color w:val="auto"/>
                <w:szCs w:val="21"/>
                <w:highlight w:val="none"/>
              </w:rPr>
              <w:t>2.质保服务内容</w:t>
            </w:r>
          </w:p>
          <w:p>
            <w:pPr>
              <w:spacing w:line="440" w:lineRule="exact"/>
              <w:ind w:firstLine="420" w:firstLineChars="200"/>
              <w:rPr>
                <w:color w:val="auto"/>
                <w:szCs w:val="21"/>
                <w:highlight w:val="none"/>
              </w:rPr>
            </w:pPr>
            <w:r>
              <w:rPr>
                <w:color w:val="auto"/>
                <w:szCs w:val="21"/>
                <w:highlight w:val="none"/>
              </w:rPr>
              <w:t>(1)</w:t>
            </w:r>
            <w:r>
              <w:rPr>
                <w:rFonts w:hint="eastAsia"/>
                <w:color w:val="auto"/>
                <w:szCs w:val="21"/>
                <w:highlight w:val="none"/>
              </w:rPr>
              <w:t xml:space="preserve"> </w:t>
            </w:r>
            <w:r>
              <w:rPr>
                <w:color w:val="auto"/>
                <w:szCs w:val="21"/>
                <w:highlight w:val="none"/>
              </w:rPr>
              <w:t>当系统出现功能变更、BUG修复时，需要及时进行软件升级；当用户规模激增、业务繁忙，超出系统处理能力，性能下降时，需要及时对系统扩容。中标人须负责升级和扩容的具体实施工作。</w:t>
            </w:r>
          </w:p>
          <w:p>
            <w:pPr>
              <w:spacing w:line="440" w:lineRule="exact"/>
              <w:ind w:firstLine="420" w:firstLineChars="200"/>
              <w:rPr>
                <w:color w:val="auto"/>
                <w:szCs w:val="21"/>
                <w:highlight w:val="none"/>
              </w:rPr>
            </w:pPr>
            <w:r>
              <w:rPr>
                <w:color w:val="auto"/>
                <w:szCs w:val="21"/>
                <w:highlight w:val="none"/>
              </w:rPr>
              <w:t>(2)</w:t>
            </w:r>
            <w:r>
              <w:rPr>
                <w:rFonts w:hint="eastAsia"/>
                <w:color w:val="auto"/>
                <w:szCs w:val="21"/>
                <w:highlight w:val="none"/>
              </w:rPr>
              <w:t xml:space="preserve"> </w:t>
            </w:r>
            <w:r>
              <w:rPr>
                <w:color w:val="auto"/>
                <w:szCs w:val="21"/>
                <w:highlight w:val="none"/>
              </w:rPr>
              <w:t>根据采购人实际工作需要，中标人对系统用户、运维人员等提供操作答疑。</w:t>
            </w:r>
          </w:p>
          <w:p>
            <w:pPr>
              <w:spacing w:line="440" w:lineRule="exact"/>
              <w:ind w:firstLine="420" w:firstLineChars="200"/>
              <w:rPr>
                <w:color w:val="auto"/>
                <w:szCs w:val="21"/>
                <w:highlight w:val="none"/>
              </w:rPr>
            </w:pPr>
            <w:r>
              <w:rPr>
                <w:color w:val="auto"/>
                <w:szCs w:val="21"/>
                <w:highlight w:val="none"/>
              </w:rPr>
              <w:t>(3)</w:t>
            </w:r>
            <w:r>
              <w:rPr>
                <w:rFonts w:hint="eastAsia"/>
                <w:color w:val="auto"/>
                <w:szCs w:val="21"/>
                <w:highlight w:val="none"/>
              </w:rPr>
              <w:t xml:space="preserve"> </w:t>
            </w:r>
            <w:r>
              <w:rPr>
                <w:color w:val="auto"/>
                <w:szCs w:val="21"/>
                <w:highlight w:val="none"/>
              </w:rPr>
              <w:t>中标人协助采购人诊断系统故障，制定系统维护和故障处理方法，协助解决软件系统日常运行过程中出现的问题，并协助系统管理员解决软件系统移机、服务器迁移过程中出现的问题。</w:t>
            </w:r>
          </w:p>
          <w:p>
            <w:pPr>
              <w:spacing w:line="440" w:lineRule="exact"/>
              <w:ind w:firstLine="420" w:firstLineChars="200"/>
              <w:rPr>
                <w:color w:val="auto"/>
                <w:szCs w:val="21"/>
                <w:highlight w:val="none"/>
              </w:rPr>
            </w:pPr>
            <w:r>
              <w:rPr>
                <w:color w:val="auto"/>
                <w:szCs w:val="21"/>
                <w:highlight w:val="none"/>
              </w:rPr>
              <w:t>(4)</w:t>
            </w:r>
            <w:r>
              <w:rPr>
                <w:rFonts w:hint="eastAsia"/>
                <w:color w:val="auto"/>
                <w:szCs w:val="21"/>
                <w:highlight w:val="none"/>
              </w:rPr>
              <w:t xml:space="preserve"> </w:t>
            </w:r>
            <w:r>
              <w:rPr>
                <w:color w:val="auto"/>
                <w:szCs w:val="21"/>
                <w:highlight w:val="none"/>
              </w:rPr>
              <w:t>中标人定期开展系统安全技术服务，对采购人安全管理人员提供安全咨询服务，协助及时修复漏洞。</w:t>
            </w:r>
          </w:p>
          <w:p>
            <w:pPr>
              <w:spacing w:line="440" w:lineRule="exact"/>
              <w:ind w:firstLine="420" w:firstLineChars="200"/>
              <w:rPr>
                <w:color w:val="auto"/>
                <w:szCs w:val="21"/>
                <w:highlight w:val="none"/>
              </w:rPr>
            </w:pPr>
            <w:r>
              <w:rPr>
                <w:color w:val="auto"/>
                <w:szCs w:val="21"/>
                <w:highlight w:val="none"/>
              </w:rPr>
              <w:t>(5)</w:t>
            </w:r>
            <w:r>
              <w:rPr>
                <w:rFonts w:hint="eastAsia"/>
                <w:color w:val="auto"/>
                <w:szCs w:val="21"/>
                <w:highlight w:val="none"/>
              </w:rPr>
              <w:t xml:space="preserve"> </w:t>
            </w:r>
            <w:r>
              <w:rPr>
                <w:color w:val="auto"/>
                <w:szCs w:val="21"/>
                <w:highlight w:val="none"/>
              </w:rPr>
              <w:t>中标人支持采购人定期对系统程序、数据库进行备份，可通过系统查询用户登录和操作日志，数据库数据需每日进行</w:t>
            </w:r>
            <w:r>
              <w:rPr>
                <w:rFonts w:hint="eastAsia"/>
                <w:color w:val="auto"/>
                <w:szCs w:val="21"/>
                <w:highlight w:val="none"/>
              </w:rPr>
              <w:t>增量</w:t>
            </w:r>
            <w:r>
              <w:rPr>
                <w:color w:val="auto"/>
                <w:szCs w:val="21"/>
                <w:highlight w:val="none"/>
              </w:rPr>
              <w:t>备份</w:t>
            </w:r>
            <w:r>
              <w:rPr>
                <w:rFonts w:hint="eastAsia"/>
                <w:color w:val="auto"/>
                <w:szCs w:val="21"/>
                <w:highlight w:val="none"/>
              </w:rPr>
              <w:t>，每月进行全库备份</w:t>
            </w:r>
            <w:r>
              <w:rPr>
                <w:color w:val="auto"/>
                <w:szCs w:val="21"/>
                <w:highlight w:val="none"/>
              </w:rPr>
              <w:t>，备份数据及系统日志至少留存6个月。</w:t>
            </w:r>
          </w:p>
          <w:p>
            <w:pPr>
              <w:spacing w:line="440" w:lineRule="exact"/>
              <w:ind w:firstLine="420" w:firstLineChars="200"/>
              <w:rPr>
                <w:color w:val="auto"/>
                <w:szCs w:val="21"/>
                <w:highlight w:val="none"/>
              </w:rPr>
            </w:pPr>
            <w:r>
              <w:rPr>
                <w:color w:val="auto"/>
                <w:szCs w:val="21"/>
                <w:highlight w:val="none"/>
              </w:rPr>
              <w:t>(6)</w:t>
            </w:r>
            <w:r>
              <w:rPr>
                <w:rFonts w:hint="eastAsia"/>
                <w:color w:val="auto"/>
                <w:szCs w:val="21"/>
                <w:highlight w:val="none"/>
              </w:rPr>
              <w:t xml:space="preserve"> </w:t>
            </w:r>
            <w:r>
              <w:rPr>
                <w:color w:val="auto"/>
                <w:szCs w:val="21"/>
                <w:highlight w:val="none"/>
              </w:rPr>
              <w:t>如遇重大活动和节假日，中标人需配合采购人在活动和节假日期间确保系统正常运行。</w:t>
            </w:r>
          </w:p>
          <w:p>
            <w:pPr>
              <w:spacing w:line="440" w:lineRule="exact"/>
              <w:ind w:firstLine="420" w:firstLineChars="200"/>
              <w:rPr>
                <w:color w:val="auto"/>
                <w:szCs w:val="21"/>
                <w:highlight w:val="none"/>
              </w:rPr>
            </w:pPr>
            <w:r>
              <w:rPr>
                <w:color w:val="auto"/>
                <w:szCs w:val="21"/>
                <w:highlight w:val="none"/>
              </w:rPr>
              <w:t xml:space="preserve">3.服务响应 </w:t>
            </w:r>
          </w:p>
          <w:p>
            <w:pPr>
              <w:spacing w:line="440" w:lineRule="exact"/>
              <w:ind w:firstLine="420" w:firstLineChars="200"/>
              <w:rPr>
                <w:color w:val="auto"/>
                <w:szCs w:val="21"/>
                <w:highlight w:val="none"/>
              </w:rPr>
            </w:pPr>
            <w:r>
              <w:rPr>
                <w:color w:val="auto"/>
                <w:szCs w:val="21"/>
                <w:highlight w:val="none"/>
              </w:rPr>
              <w:t>(1)</w:t>
            </w:r>
            <w:r>
              <w:rPr>
                <w:rFonts w:hint="eastAsia"/>
                <w:color w:val="auto"/>
                <w:szCs w:val="21"/>
                <w:highlight w:val="none"/>
              </w:rPr>
              <w:t xml:space="preserve"> </w:t>
            </w:r>
            <w:r>
              <w:rPr>
                <w:color w:val="auto"/>
                <w:szCs w:val="21"/>
                <w:highlight w:val="none"/>
              </w:rPr>
              <w:t>驻场服务:质保服务期内派驻</w:t>
            </w:r>
            <w:r>
              <w:rPr>
                <w:rFonts w:hint="eastAsia"/>
                <w:color w:val="auto"/>
                <w:szCs w:val="21"/>
                <w:highlight w:val="none"/>
              </w:rPr>
              <w:t>3</w:t>
            </w:r>
            <w:r>
              <w:rPr>
                <w:color w:val="auto"/>
                <w:szCs w:val="21"/>
                <w:highlight w:val="none"/>
              </w:rPr>
              <w:t>名工程师驻场，提供7*24小时技术支持服务，包括负责项目的具体实施和解决软件运行过程中碰到的质量问题；其中驻场相关人员要求有驻场相关工作岗位经验2年（含）以上（投标文件须提供劳动合同复印件和附工作经验相关说明），提供包括系统使用、管理和运行维护等服务，以保障系统无故障不间断正常运转，驻场地点由采购人指定。</w:t>
            </w:r>
          </w:p>
          <w:p>
            <w:pPr>
              <w:spacing w:line="440" w:lineRule="exact"/>
              <w:ind w:firstLine="420" w:firstLineChars="200"/>
              <w:rPr>
                <w:color w:val="auto"/>
                <w:szCs w:val="21"/>
                <w:highlight w:val="none"/>
              </w:rPr>
            </w:pPr>
            <w:r>
              <w:rPr>
                <w:color w:val="auto"/>
                <w:szCs w:val="21"/>
                <w:highlight w:val="none"/>
              </w:rPr>
              <w:t>(2)</w:t>
            </w:r>
            <w:r>
              <w:rPr>
                <w:rFonts w:hint="eastAsia"/>
                <w:color w:val="auto"/>
                <w:szCs w:val="21"/>
                <w:highlight w:val="none"/>
              </w:rPr>
              <w:t xml:space="preserve"> </w:t>
            </w:r>
            <w:r>
              <w:rPr>
                <w:color w:val="auto"/>
                <w:szCs w:val="21"/>
                <w:highlight w:val="none"/>
              </w:rPr>
              <w:t>远程服务:提供7*24小时紧急电话等方式的技术支持，紧急事件应1小时内做出响应，并在2小时内给予解决。一般事件应在2小时内做出响应，并在4小时内给予解决。电话支持无法解决的问题必须按照故障响应速度要求提供现场技术支持。</w:t>
            </w:r>
          </w:p>
          <w:p>
            <w:pPr>
              <w:spacing w:line="440" w:lineRule="exact"/>
              <w:ind w:firstLine="420" w:firstLineChars="200"/>
              <w:rPr>
                <w:color w:val="auto"/>
                <w:szCs w:val="21"/>
                <w:highlight w:val="none"/>
              </w:rPr>
            </w:pPr>
            <w:r>
              <w:rPr>
                <w:color w:val="auto"/>
                <w:szCs w:val="21"/>
                <w:highlight w:val="none"/>
              </w:rPr>
              <w:t>(3)</w:t>
            </w:r>
            <w:r>
              <w:rPr>
                <w:rFonts w:hint="eastAsia"/>
                <w:color w:val="auto"/>
                <w:szCs w:val="21"/>
                <w:highlight w:val="none"/>
              </w:rPr>
              <w:t xml:space="preserve"> </w:t>
            </w:r>
            <w:r>
              <w:rPr>
                <w:color w:val="auto"/>
                <w:szCs w:val="21"/>
                <w:highlight w:val="none"/>
              </w:rPr>
              <w:t>系统发现安全漏洞时，安全漏洞属于高风险的原则上一天内要完成漏洞的修复，安全漏洞属于中风险的原则上三天内要完成漏洞的修复。漏洞修复预计时间超过规定的时间时，双方协商解决。</w:t>
            </w:r>
          </w:p>
          <w:p>
            <w:pPr>
              <w:widowControl/>
              <w:adjustRightInd w:val="0"/>
              <w:spacing w:line="440" w:lineRule="exact"/>
              <w:ind w:firstLine="422" w:firstLineChars="200"/>
              <w:jc w:val="left"/>
              <w:rPr>
                <w:b/>
                <w:bCs/>
                <w:color w:val="auto"/>
                <w:szCs w:val="21"/>
                <w:highlight w:val="none"/>
              </w:rPr>
            </w:pPr>
            <w:r>
              <w:rPr>
                <w:b/>
                <w:bCs/>
                <w:color w:val="auto"/>
                <w:szCs w:val="21"/>
                <w:highlight w:val="none"/>
              </w:rPr>
              <w:t>（五）知识产权要求</w:t>
            </w:r>
          </w:p>
          <w:p>
            <w:pPr>
              <w:adjustRightInd w:val="0"/>
              <w:spacing w:line="440" w:lineRule="exact"/>
              <w:ind w:firstLine="420" w:firstLineChars="200"/>
              <w:rPr>
                <w:color w:val="auto"/>
                <w:szCs w:val="21"/>
                <w:highlight w:val="none"/>
              </w:rPr>
            </w:pPr>
            <w:r>
              <w:rPr>
                <w:color w:val="auto"/>
                <w:szCs w:val="21"/>
                <w:highlight w:val="none"/>
              </w:rPr>
              <w:t>1.中标人同意采购人委托开发的系统所属的知识产权及其他一切合法权益归采购人所有。项目建设完成后形成的项目成果（如设计文件、源代码、测试文档、数据资源、数据接口等）及相关知识产权归采购人所有。</w:t>
            </w:r>
          </w:p>
          <w:p>
            <w:pPr>
              <w:adjustRightInd w:val="0"/>
              <w:spacing w:line="440" w:lineRule="exact"/>
              <w:ind w:firstLine="420" w:firstLineChars="200"/>
              <w:rPr>
                <w:color w:val="auto"/>
                <w:szCs w:val="21"/>
                <w:highlight w:val="none"/>
              </w:rPr>
            </w:pPr>
            <w:r>
              <w:rPr>
                <w:color w:val="auto"/>
                <w:szCs w:val="21"/>
                <w:highlight w:val="none"/>
              </w:rPr>
              <w:t>2.中标人应保证采购人及其用户在使用过程中不受到第三方关于侵犯专利权等知识产权的指控。如果任何第三方提出侵权指控，中标人须与第三方交涉并承担可能发生的侵权等法律责任，如第三方要求赔偿经济损失的，由中标人承担，与采购方无关。</w:t>
            </w:r>
          </w:p>
          <w:p>
            <w:pPr>
              <w:adjustRightInd w:val="0"/>
              <w:spacing w:line="440" w:lineRule="exact"/>
              <w:ind w:firstLine="420" w:firstLineChars="200"/>
              <w:rPr>
                <w:color w:val="auto"/>
                <w:szCs w:val="21"/>
                <w:highlight w:val="none"/>
              </w:rPr>
            </w:pPr>
            <w:r>
              <w:rPr>
                <w:color w:val="auto"/>
                <w:szCs w:val="21"/>
                <w:highlight w:val="none"/>
              </w:rPr>
              <w:t>3.中标人就本项目开发的软件，应向采购人提供全部源代码和不限次数的使用权以及二次开发权。采购人对本项目实施过程中所产生的所有成果（包括发明、发现、可运行系统、源代码、数据资源、数据接口及相关技术资料、文档等）享有永久免费使用权、复制权和修改权。除本项目工作所需外，未经采购人书面同意，中标人不得擅自使用、复制采购人的商标、标志、数据信息、文档、成果及其他资料。</w:t>
            </w:r>
          </w:p>
          <w:p>
            <w:pPr>
              <w:adjustRightInd w:val="0"/>
              <w:spacing w:line="440" w:lineRule="exact"/>
              <w:ind w:firstLine="420" w:firstLineChars="200"/>
              <w:rPr>
                <w:color w:val="auto"/>
                <w:szCs w:val="21"/>
                <w:highlight w:val="none"/>
              </w:rPr>
            </w:pPr>
            <w:r>
              <w:rPr>
                <w:color w:val="auto"/>
                <w:szCs w:val="21"/>
                <w:highlight w:val="none"/>
              </w:rPr>
              <w:t>4.中标人在为采购方提供开发服务期间，出于项目的需要使用任何第三方的软件知识产权的产品，中标人必须确保所使用的第三方软件已获得合法授权，且授权范围覆盖服务采购人的需求，在不侵犯第三方合法权益的情况下使用，使用第三方产品产生的费用纳入本项目的开发成本。中标人应确保第三方软件的稳定性和安全性，避免因软件问题导致采购人数据泄露、服务中断等风险。若软件出现故障或侵权纠纷，中标人需承担相应法律责任。</w:t>
            </w:r>
          </w:p>
          <w:p>
            <w:pPr>
              <w:adjustRightInd w:val="0"/>
              <w:spacing w:line="440" w:lineRule="exact"/>
              <w:ind w:firstLine="420" w:firstLineChars="200"/>
              <w:rPr>
                <w:color w:val="auto"/>
                <w:szCs w:val="21"/>
                <w:highlight w:val="none"/>
              </w:rPr>
            </w:pPr>
            <w:r>
              <w:rPr>
                <w:color w:val="auto"/>
                <w:szCs w:val="21"/>
                <w:highlight w:val="none"/>
              </w:rPr>
              <w:t>5.项目正式运行，系统中不应出现第三方LOGO及授权信息。</w:t>
            </w:r>
          </w:p>
          <w:p>
            <w:pPr>
              <w:adjustRightInd w:val="0"/>
              <w:spacing w:line="440" w:lineRule="exact"/>
              <w:ind w:firstLine="420" w:firstLineChars="200"/>
              <w:rPr>
                <w:color w:val="auto"/>
                <w:szCs w:val="21"/>
                <w:highlight w:val="none"/>
              </w:rPr>
            </w:pPr>
            <w:r>
              <w:rPr>
                <w:color w:val="auto"/>
                <w:szCs w:val="21"/>
                <w:highlight w:val="none"/>
              </w:rPr>
              <w:t>6.中标人在为采购方提供开发服务期间使用中标人已有的获得国家认可知识产权的技术成果用于本项目的开发建设，产生费用的计入本项目的开发成本并及时向采购方申明。经采购方核实，确认属于专利成果的，采购方只享有该技术的使用权，在采购方的业务范围内可以充分使用，但不得用于其它商用目的，亦不得自行向第三方转让。中标人没有申明的，推定其属于开发服务成果，采购方可以使用这些成果进行相关的业务活动。即使日后证明实际上是属于专利成果的，中标人亦不得要求采购方承担任何法律责任。</w:t>
            </w:r>
          </w:p>
          <w:p>
            <w:pPr>
              <w:adjustRightInd w:val="0"/>
              <w:spacing w:line="440" w:lineRule="exact"/>
              <w:ind w:firstLine="420" w:firstLineChars="200"/>
              <w:rPr>
                <w:color w:val="auto"/>
                <w:szCs w:val="21"/>
                <w:highlight w:val="none"/>
              </w:rPr>
            </w:pPr>
            <w:r>
              <w:rPr>
                <w:color w:val="auto"/>
                <w:szCs w:val="21"/>
                <w:highlight w:val="none"/>
              </w:rPr>
              <w:t>7.如因中标人提供开发服务导致任何第三方向采购人提出索赔的，由中标人承担相应的赔偿责任，与采购人无关。如应由采购人先行承担赔偿责任的，采购人有权要求中标人赔偿采购人因此遭受的全部损失，包括但不限于因此产生的律师费、诉讼费、保全费、保全保险费、差旅费等。</w:t>
            </w:r>
          </w:p>
          <w:p>
            <w:pPr>
              <w:adjustRightInd w:val="0"/>
              <w:spacing w:line="440" w:lineRule="exact"/>
              <w:ind w:firstLine="420" w:firstLineChars="200"/>
              <w:rPr>
                <w:color w:val="auto"/>
                <w:szCs w:val="21"/>
                <w:highlight w:val="none"/>
              </w:rPr>
            </w:pPr>
            <w:r>
              <w:rPr>
                <w:color w:val="auto"/>
                <w:szCs w:val="21"/>
                <w:highlight w:val="none"/>
              </w:rPr>
              <w:t>8.中标人不能遵守上述承诺，导致采购人不能继续使用本项目标的的，采购人有权要求中标人免费为采购人重新开发符合上述知识产权承诺及本项目约定的技术水平的新系统。如采购人拒不履行上述约定的义务的，采购人有权要求中标人承担，因重新开发符合上述知识产权承诺及本项目约定的技术水平的新系统的费用，包括但不限于软件开发费、专家评审费、第三方测试（测评/检测费）、工程监理费等。</w:t>
            </w:r>
          </w:p>
          <w:p>
            <w:pPr>
              <w:widowControl/>
              <w:adjustRightInd w:val="0"/>
              <w:spacing w:line="440" w:lineRule="exact"/>
              <w:ind w:firstLine="422" w:firstLineChars="200"/>
              <w:jc w:val="left"/>
              <w:rPr>
                <w:b/>
                <w:bCs/>
                <w:color w:val="auto"/>
                <w:szCs w:val="21"/>
                <w:highlight w:val="none"/>
              </w:rPr>
            </w:pPr>
            <w:r>
              <w:rPr>
                <w:b/>
                <w:bCs/>
                <w:color w:val="auto"/>
                <w:szCs w:val="21"/>
                <w:highlight w:val="none"/>
              </w:rPr>
              <w:t>（六）保密要求</w:t>
            </w:r>
          </w:p>
          <w:p>
            <w:pPr>
              <w:adjustRightInd w:val="0"/>
              <w:spacing w:line="440" w:lineRule="exact"/>
              <w:ind w:firstLine="420" w:firstLineChars="200"/>
              <w:rPr>
                <w:color w:val="auto"/>
                <w:szCs w:val="21"/>
                <w:highlight w:val="none"/>
              </w:rPr>
            </w:pPr>
            <w:r>
              <w:rPr>
                <w:color w:val="auto"/>
                <w:szCs w:val="21"/>
                <w:highlight w:val="none"/>
              </w:rPr>
              <w:t xml:space="preserve">中标人应严格遵守国家保密法律、法规和规章制度和采购方的各项保密规定，对所有项目信息及接触到的文档、资料、数据（包含原始数据和衍生数据）等予以保密并签订保密协议，未经采购方书面允许，不得以任何形式向第三方透露本项目的任何内容，不得将本项目数据导出、分析以及移作他用。 </w:t>
            </w:r>
          </w:p>
          <w:p>
            <w:pPr>
              <w:adjustRightInd w:val="0"/>
              <w:spacing w:line="440" w:lineRule="exact"/>
              <w:ind w:firstLine="420" w:firstLineChars="200"/>
              <w:rPr>
                <w:color w:val="auto"/>
                <w:szCs w:val="21"/>
                <w:highlight w:val="none"/>
              </w:rPr>
            </w:pPr>
            <w:r>
              <w:rPr>
                <w:color w:val="auto"/>
                <w:szCs w:val="21"/>
                <w:highlight w:val="none"/>
              </w:rPr>
              <w:t>为实现上述承诺，中标人应制定相应的管理规范，不得违规记录、存储、复制相关信息，不得违规留存相关载体，不能以任何方式泄露所接触和知悉的项目信息。中标人应确保本单位人员离岗时，对项目相关的技术资料和数据信息履行保密义务。</w:t>
            </w:r>
          </w:p>
          <w:p>
            <w:pPr>
              <w:widowControl/>
              <w:adjustRightInd w:val="0"/>
              <w:spacing w:line="440" w:lineRule="exact"/>
              <w:ind w:firstLine="422" w:firstLineChars="200"/>
              <w:jc w:val="left"/>
              <w:rPr>
                <w:b/>
                <w:bCs/>
                <w:color w:val="auto"/>
                <w:szCs w:val="21"/>
                <w:highlight w:val="none"/>
              </w:rPr>
            </w:pPr>
            <w:r>
              <w:rPr>
                <w:b/>
                <w:bCs/>
                <w:color w:val="auto"/>
                <w:szCs w:val="21"/>
                <w:highlight w:val="none"/>
              </w:rPr>
              <w:t>（七）其他要求</w:t>
            </w:r>
          </w:p>
          <w:p>
            <w:pPr>
              <w:adjustRightInd w:val="0"/>
              <w:spacing w:line="440" w:lineRule="exact"/>
              <w:ind w:firstLine="420" w:firstLineChars="200"/>
              <w:rPr>
                <w:color w:val="auto"/>
                <w:szCs w:val="21"/>
                <w:highlight w:val="none"/>
                <w:lang w:val="zh-CN"/>
              </w:rPr>
            </w:pPr>
            <w:r>
              <w:rPr>
                <w:color w:val="auto"/>
                <w:szCs w:val="21"/>
                <w:highlight w:val="none"/>
                <w:lang w:val="zh-CN"/>
              </w:rPr>
              <w:t>1.本项目投标报价为人民币金额报价。投标报价</w:t>
            </w:r>
            <w:r>
              <w:rPr>
                <w:color w:val="auto"/>
                <w:szCs w:val="21"/>
                <w:highlight w:val="none"/>
              </w:rPr>
              <w:t>是履行合同的最终价格，必须包含完成本项目所需所有费用，含服务费用、税金、代理服务费及其他与本项目服务相关的一切费用</w:t>
            </w:r>
            <w:r>
              <w:rPr>
                <w:color w:val="auto"/>
                <w:szCs w:val="21"/>
                <w:highlight w:val="none"/>
                <w:lang w:val="zh-CN"/>
              </w:rPr>
              <w:t>。</w:t>
            </w:r>
          </w:p>
          <w:p>
            <w:pPr>
              <w:adjustRightInd w:val="0"/>
              <w:spacing w:line="440" w:lineRule="exact"/>
              <w:ind w:firstLine="420" w:firstLineChars="200"/>
              <w:rPr>
                <w:color w:val="auto"/>
                <w:szCs w:val="21"/>
                <w:highlight w:val="none"/>
                <w:lang w:val="zh-CN"/>
              </w:rPr>
            </w:pPr>
            <w:r>
              <w:rPr>
                <w:color w:val="auto"/>
                <w:szCs w:val="21"/>
                <w:highlight w:val="none"/>
              </w:rPr>
              <w:t>2</w:t>
            </w:r>
            <w:r>
              <w:rPr>
                <w:color w:val="auto"/>
                <w:szCs w:val="21"/>
                <w:highlight w:val="none"/>
                <w:lang w:val="zh-CN"/>
              </w:rPr>
              <w:t>.本项目的驻场人员必须与中标人投标文件一致，并在合同</w:t>
            </w:r>
            <w:r>
              <w:rPr>
                <w:rFonts w:hint="eastAsia"/>
                <w:color w:val="auto"/>
                <w:szCs w:val="21"/>
                <w:highlight w:val="none"/>
              </w:rPr>
              <w:t>签订</w:t>
            </w:r>
            <w:r>
              <w:rPr>
                <w:color w:val="auto"/>
                <w:szCs w:val="21"/>
                <w:highlight w:val="none"/>
                <w:lang w:val="zh-CN"/>
              </w:rPr>
              <w:t>之日</w:t>
            </w:r>
            <w:r>
              <w:rPr>
                <w:rFonts w:hint="eastAsia"/>
                <w:color w:val="auto"/>
                <w:szCs w:val="21"/>
                <w:highlight w:val="none"/>
              </w:rPr>
              <w:t>起10个工作日内</w:t>
            </w:r>
            <w:r>
              <w:rPr>
                <w:color w:val="auto"/>
                <w:szCs w:val="21"/>
                <w:highlight w:val="none"/>
                <w:lang w:val="zh-CN"/>
              </w:rPr>
              <w:t>全部到位</w:t>
            </w:r>
            <w:r>
              <w:rPr>
                <w:rFonts w:hint="eastAsia"/>
                <w:color w:val="auto"/>
                <w:szCs w:val="21"/>
                <w:highlight w:val="none"/>
                <w:lang w:val="zh-CN"/>
              </w:rPr>
              <w:t>；采购人有权根据驻场人员的项目进度推进</w:t>
            </w:r>
            <w:r>
              <w:rPr>
                <w:rFonts w:hint="eastAsia"/>
                <w:color w:val="auto"/>
                <w:szCs w:val="21"/>
                <w:highlight w:val="none"/>
              </w:rPr>
              <w:t>情况</w:t>
            </w:r>
            <w:r>
              <w:rPr>
                <w:rFonts w:hint="eastAsia"/>
                <w:color w:val="auto"/>
                <w:szCs w:val="21"/>
                <w:highlight w:val="none"/>
                <w:lang w:val="zh-CN"/>
              </w:rPr>
              <w:t>、</w:t>
            </w:r>
            <w:r>
              <w:rPr>
                <w:rFonts w:hint="eastAsia"/>
                <w:color w:val="auto"/>
                <w:szCs w:val="21"/>
                <w:highlight w:val="none"/>
              </w:rPr>
              <w:t>项目工作质量，要求中标人及时更换或增加驻场人员，中标人须配合执行</w:t>
            </w:r>
            <w:r>
              <w:rPr>
                <w:color w:val="auto"/>
                <w:szCs w:val="21"/>
                <w:highlight w:val="none"/>
                <w:lang w:val="zh-CN"/>
              </w:rPr>
              <w:t>。</w:t>
            </w:r>
          </w:p>
          <w:p>
            <w:pPr>
              <w:adjustRightInd w:val="0"/>
              <w:spacing w:line="440" w:lineRule="exact"/>
              <w:ind w:firstLine="420" w:firstLineChars="200"/>
              <w:rPr>
                <w:color w:val="auto"/>
                <w:szCs w:val="21"/>
                <w:highlight w:val="none"/>
                <w:lang w:val="zh-CN"/>
              </w:rPr>
            </w:pPr>
            <w:r>
              <w:rPr>
                <w:color w:val="auto"/>
                <w:szCs w:val="21"/>
                <w:highlight w:val="none"/>
              </w:rPr>
              <w:t>3</w:t>
            </w:r>
            <w:r>
              <w:rPr>
                <w:color w:val="auto"/>
                <w:szCs w:val="21"/>
                <w:highlight w:val="none"/>
                <w:lang w:val="zh-CN"/>
              </w:rPr>
              <w:t>.项目服务期间如出现非采购人原因导致的中标人驻场人员人身、财产安全事故、损失等由中标人</w:t>
            </w:r>
            <w:r>
              <w:rPr>
                <w:color w:val="auto"/>
                <w:szCs w:val="21"/>
                <w:highlight w:val="none"/>
              </w:rPr>
              <w:t>承担</w:t>
            </w:r>
            <w:r>
              <w:rPr>
                <w:color w:val="auto"/>
                <w:szCs w:val="21"/>
                <w:highlight w:val="none"/>
                <w:lang w:val="zh-CN"/>
              </w:rPr>
              <w:t>全部</w:t>
            </w:r>
            <w:r>
              <w:rPr>
                <w:color w:val="auto"/>
                <w:szCs w:val="21"/>
                <w:highlight w:val="none"/>
              </w:rPr>
              <w:t>责任</w:t>
            </w:r>
            <w:r>
              <w:rPr>
                <w:color w:val="auto"/>
                <w:szCs w:val="21"/>
                <w:highlight w:val="none"/>
                <w:lang w:val="zh-CN"/>
              </w:rPr>
              <w:t>，采购人不</w:t>
            </w:r>
            <w:r>
              <w:rPr>
                <w:color w:val="auto"/>
                <w:szCs w:val="21"/>
                <w:highlight w:val="none"/>
              </w:rPr>
              <w:t>承担</w:t>
            </w:r>
            <w:r>
              <w:rPr>
                <w:color w:val="auto"/>
                <w:szCs w:val="21"/>
                <w:highlight w:val="none"/>
                <w:lang w:val="zh-CN"/>
              </w:rPr>
              <w:t>任何责任。</w:t>
            </w:r>
          </w:p>
          <w:p>
            <w:pPr>
              <w:adjustRightInd w:val="0"/>
              <w:spacing w:line="440" w:lineRule="exact"/>
              <w:ind w:firstLine="420" w:firstLineChars="200"/>
              <w:rPr>
                <w:color w:val="auto"/>
                <w:szCs w:val="21"/>
                <w:highlight w:val="none"/>
                <w:lang w:val="zh-CN"/>
              </w:rPr>
            </w:pPr>
            <w:r>
              <w:rPr>
                <w:color w:val="auto"/>
                <w:szCs w:val="21"/>
                <w:highlight w:val="none"/>
              </w:rPr>
              <w:t>4</w:t>
            </w:r>
            <w:r>
              <w:rPr>
                <w:color w:val="auto"/>
                <w:szCs w:val="21"/>
                <w:highlight w:val="none"/>
                <w:lang w:val="zh-CN"/>
              </w:rPr>
              <w:t>.投标人必须承诺加强参与本项目人员的遵纪守法、廉洁自律教育和监督，对项目人员在项目期间实施违法犯罪行为并对采购人利益造成的侵害承担相应经济和法律责任，承诺在签订合同之日起30天内提供参与项目人员的遵纪守法，恪守职业道德的入职调查材料（含无犯罪记录证明、个人征信情况）。</w:t>
            </w:r>
          </w:p>
          <w:p>
            <w:pPr>
              <w:adjustRightInd w:val="0"/>
              <w:spacing w:line="440" w:lineRule="exact"/>
              <w:ind w:firstLine="420" w:firstLineChars="200"/>
              <w:rPr>
                <w:bCs/>
                <w:color w:val="auto"/>
                <w:szCs w:val="21"/>
                <w:highlight w:val="none"/>
              </w:rPr>
            </w:pPr>
            <w:r>
              <w:rPr>
                <w:color w:val="auto"/>
                <w:szCs w:val="21"/>
                <w:highlight w:val="none"/>
              </w:rPr>
              <w:t>5.本项目不允许转包、分包。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9770" w:type="dxa"/>
            <w:gridSpan w:val="4"/>
            <w:tcBorders>
              <w:top w:val="single" w:color="auto" w:sz="4" w:space="0"/>
              <w:left w:val="single" w:color="auto" w:sz="4" w:space="0"/>
              <w:bottom w:val="single" w:color="auto" w:sz="4" w:space="0"/>
              <w:right w:val="single" w:color="auto" w:sz="4" w:space="0"/>
            </w:tcBorders>
          </w:tcPr>
          <w:p>
            <w:pPr>
              <w:adjustRightInd w:val="0"/>
              <w:spacing w:line="440" w:lineRule="exact"/>
              <w:rPr>
                <w:color w:val="auto"/>
                <w:szCs w:val="21"/>
                <w:highlight w:val="none"/>
              </w:rPr>
            </w:pPr>
            <w:r>
              <w:rPr>
                <w:b/>
                <w:bCs/>
                <w:color w:val="auto"/>
                <w:szCs w:val="21"/>
                <w:highlight w:val="none"/>
              </w:rPr>
              <w:t>二、演示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90" w:hRule="atLeast"/>
          <w:jc w:val="center"/>
        </w:trPr>
        <w:tc>
          <w:tcPr>
            <w:tcW w:w="9770" w:type="dxa"/>
            <w:gridSpan w:val="4"/>
            <w:tcBorders>
              <w:top w:val="single" w:color="auto" w:sz="4" w:space="0"/>
              <w:left w:val="single" w:color="auto" w:sz="4" w:space="0"/>
              <w:bottom w:val="single" w:color="auto" w:sz="4" w:space="0"/>
              <w:right w:val="single" w:color="auto" w:sz="4" w:space="0"/>
            </w:tcBorders>
          </w:tcPr>
          <w:p>
            <w:pPr>
              <w:widowControl/>
              <w:spacing w:line="440" w:lineRule="exact"/>
              <w:ind w:firstLine="420" w:firstLineChars="200"/>
              <w:jc w:val="left"/>
              <w:rPr>
                <w:color w:val="auto"/>
                <w:highlight w:val="none"/>
              </w:rPr>
            </w:pPr>
            <w:r>
              <w:rPr>
                <w:color w:val="auto"/>
                <w:highlight w:val="none"/>
              </w:rPr>
              <w:t>投标人根据自身情况选择是否对本项目进行演示，具体详见第四章《评标方法和评标标准》。不演示不得分。</w:t>
            </w:r>
          </w:p>
          <w:p>
            <w:pPr>
              <w:widowControl/>
              <w:numPr>
                <w:ilvl w:val="0"/>
                <w:numId w:val="53"/>
              </w:numPr>
              <w:spacing w:line="440" w:lineRule="exact"/>
              <w:ind w:left="0" w:firstLine="420" w:firstLineChars="200"/>
              <w:jc w:val="left"/>
              <w:rPr>
                <w:color w:val="auto"/>
                <w:highlight w:val="none"/>
              </w:rPr>
            </w:pPr>
            <w:r>
              <w:rPr>
                <w:color w:val="auto"/>
                <w:highlight w:val="none"/>
              </w:rPr>
              <w:t>演示时间：于开标当日由采购代理机构工作人员通知具体时间。</w:t>
            </w:r>
          </w:p>
          <w:p>
            <w:pPr>
              <w:widowControl/>
              <w:numPr>
                <w:ilvl w:val="0"/>
                <w:numId w:val="53"/>
              </w:numPr>
              <w:spacing w:line="440" w:lineRule="exact"/>
              <w:ind w:left="0" w:firstLine="420" w:firstLineChars="200"/>
              <w:jc w:val="left"/>
              <w:rPr>
                <w:color w:val="auto"/>
                <w:highlight w:val="none"/>
              </w:rPr>
            </w:pPr>
            <w:r>
              <w:rPr>
                <w:color w:val="auto"/>
                <w:highlight w:val="none"/>
              </w:rPr>
              <w:t>演示地点：通过</w:t>
            </w:r>
            <w:r>
              <w:rPr>
                <w:rFonts w:hint="eastAsia"/>
                <w:color w:val="auto"/>
                <w:highlight w:val="none"/>
              </w:rPr>
              <w:t>“</w:t>
            </w:r>
            <w:r>
              <w:rPr>
                <w:color w:val="auto"/>
                <w:highlight w:val="none"/>
              </w:rPr>
              <w:t>广西政府采购云平台</w:t>
            </w:r>
            <w:r>
              <w:rPr>
                <w:rFonts w:hint="eastAsia"/>
                <w:color w:val="auto"/>
                <w:highlight w:val="none"/>
              </w:rPr>
              <w:t>”</w:t>
            </w:r>
            <w:r>
              <w:rPr>
                <w:color w:val="auto"/>
                <w:highlight w:val="none"/>
              </w:rPr>
              <w:t>进行在线演示。</w:t>
            </w:r>
          </w:p>
          <w:p>
            <w:pPr>
              <w:widowControl/>
              <w:numPr>
                <w:ilvl w:val="0"/>
                <w:numId w:val="53"/>
              </w:numPr>
              <w:spacing w:line="440" w:lineRule="exact"/>
              <w:ind w:left="0" w:firstLine="420" w:firstLineChars="200"/>
              <w:jc w:val="left"/>
              <w:rPr>
                <w:color w:val="auto"/>
                <w:highlight w:val="none"/>
              </w:rPr>
            </w:pPr>
            <w:r>
              <w:rPr>
                <w:color w:val="auto"/>
                <w:highlight w:val="none"/>
              </w:rPr>
              <w:t>演示顺序：按投标文件解密先后顺序进行。若有投标人不参加演示的，则按解密投标文件先后在其后的投标人参加演示，以此类推。</w:t>
            </w:r>
          </w:p>
          <w:p>
            <w:pPr>
              <w:widowControl/>
              <w:numPr>
                <w:ilvl w:val="0"/>
                <w:numId w:val="53"/>
              </w:numPr>
              <w:spacing w:line="440" w:lineRule="exact"/>
              <w:ind w:left="0" w:firstLine="420" w:firstLineChars="200"/>
              <w:jc w:val="left"/>
              <w:rPr>
                <w:color w:val="auto"/>
                <w:highlight w:val="none"/>
              </w:rPr>
            </w:pPr>
            <w:r>
              <w:rPr>
                <w:rFonts w:hint="eastAsia"/>
                <w:color w:val="auto"/>
                <w:highlight w:val="none"/>
              </w:rPr>
              <w:t>演示要求：</w:t>
            </w:r>
          </w:p>
          <w:p>
            <w:pPr>
              <w:widowControl/>
              <w:numPr>
                <w:ilvl w:val="255"/>
                <w:numId w:val="0"/>
              </w:numPr>
              <w:spacing w:line="440" w:lineRule="exact"/>
              <w:ind w:firstLine="420" w:firstLineChars="200"/>
              <w:jc w:val="left"/>
              <w:rPr>
                <w:color w:val="auto"/>
                <w:highlight w:val="none"/>
              </w:rPr>
            </w:pPr>
            <w:r>
              <w:rPr>
                <w:rFonts w:hint="eastAsia"/>
                <w:color w:val="auto"/>
                <w:highlight w:val="none"/>
              </w:rPr>
              <w:t>（1）</w:t>
            </w:r>
            <w:r>
              <w:rPr>
                <w:color w:val="auto"/>
                <w:highlight w:val="none"/>
              </w:rPr>
              <w:t>投标人自行准备演示设备、网络环境、安装调试工具及其他演示所需的一切用品。投标人所用演示设备、演示材料等不可同其他投标人共用。</w:t>
            </w:r>
          </w:p>
          <w:p>
            <w:pPr>
              <w:widowControl/>
              <w:spacing w:line="440" w:lineRule="exact"/>
              <w:ind w:firstLine="420" w:firstLineChars="200"/>
              <w:jc w:val="left"/>
              <w:rPr>
                <w:color w:val="auto"/>
                <w:highlight w:val="none"/>
              </w:rPr>
            </w:pPr>
            <w:r>
              <w:rPr>
                <w:rFonts w:hint="eastAsia"/>
                <w:color w:val="auto"/>
                <w:highlight w:val="none"/>
              </w:rPr>
              <w:t>（2）本项目系统演示</w:t>
            </w:r>
            <w:r>
              <w:rPr>
                <w:color w:val="auto"/>
                <w:highlight w:val="none"/>
              </w:rPr>
              <w:t>仅针对投标</w:t>
            </w:r>
            <w:r>
              <w:rPr>
                <w:rFonts w:hint="eastAsia"/>
                <w:color w:val="auto"/>
                <w:highlight w:val="none"/>
              </w:rPr>
              <w:t>人</w:t>
            </w:r>
            <w:r>
              <w:rPr>
                <w:color w:val="auto"/>
                <w:highlight w:val="none"/>
              </w:rPr>
              <w:t>的实时操作</w:t>
            </w:r>
            <w:r>
              <w:rPr>
                <w:rFonts w:hint="eastAsia"/>
                <w:color w:val="auto"/>
                <w:highlight w:val="none"/>
              </w:rPr>
              <w:t>实体软件功能模块的演示效果</w:t>
            </w:r>
            <w:r>
              <w:rPr>
                <w:color w:val="auto"/>
                <w:highlight w:val="none"/>
              </w:rPr>
              <w:t>进行评分</w:t>
            </w:r>
            <w:r>
              <w:rPr>
                <w:rFonts w:hint="eastAsia"/>
                <w:color w:val="auto"/>
                <w:highlight w:val="none"/>
              </w:rPr>
              <w:t>，如以PPT、视频等非实体软件方式进行演示的，演示分得0分。</w:t>
            </w:r>
          </w:p>
          <w:p>
            <w:pPr>
              <w:adjustRightInd w:val="0"/>
              <w:spacing w:line="440" w:lineRule="exact"/>
              <w:ind w:firstLine="420" w:firstLineChars="200"/>
              <w:rPr>
                <w:color w:val="auto"/>
                <w:highlight w:val="none"/>
              </w:rPr>
            </w:pPr>
            <w:r>
              <w:rPr>
                <w:color w:val="auto"/>
                <w:highlight w:val="none"/>
              </w:rPr>
              <w:t>（</w:t>
            </w:r>
            <w:r>
              <w:rPr>
                <w:rFonts w:hint="eastAsia"/>
                <w:color w:val="auto"/>
                <w:highlight w:val="none"/>
              </w:rPr>
              <w:t>3</w:t>
            </w:r>
            <w:r>
              <w:rPr>
                <w:color w:val="auto"/>
                <w:highlight w:val="none"/>
              </w:rPr>
              <w:t>）每家投标人演示时长不得超过40分钟。</w:t>
            </w:r>
          </w:p>
          <w:p>
            <w:pPr>
              <w:adjustRightInd w:val="0"/>
              <w:spacing w:line="440" w:lineRule="exact"/>
              <w:ind w:firstLine="420" w:firstLineChars="200"/>
              <w:rPr>
                <w:rFonts w:hint="eastAsia"/>
                <w:color w:val="auto"/>
                <w:highlight w:val="none"/>
                <w:lang w:val="en-US" w:eastAsia="zh-CN"/>
              </w:rPr>
            </w:pPr>
            <w:r>
              <w:rPr>
                <w:rFonts w:hint="eastAsia"/>
                <w:color w:val="auto"/>
                <w:highlight w:val="none"/>
                <w:lang w:val="en-US" w:eastAsia="zh-CN"/>
              </w:rPr>
              <w:pict>
                <v:shape id="_x0000_s1026" o:spid="_x0000_s1026" o:spt="75" type="#_x0000_t75" style="position:absolute;left:0pt;margin-left:110.25pt;margin-top:18.2pt;height:65.4pt;width:72.6pt;mso-wrap-distance-bottom:0pt;mso-wrap-distance-left:9pt;mso-wrap-distance-right:9pt;mso-wrap-distance-top:0pt;z-index:251659264;mso-width-relative:page;mso-height-relative:page;" o:ole="t" filled="f" o:preferrelative="t" stroked="f" coordsize="21600,21600">
                  <v:path/>
                  <v:fill on="f" focussize="0,0"/>
                  <v:stroke on="f"/>
                  <v:imagedata r:id="rId15" o:title=""/>
                  <o:lock v:ext="edit" aspectratio="t"/>
                  <w10:wrap type="square"/>
                </v:shape>
                <o:OLEObject Type="Embed" ProgID="Word.Document.8" ShapeID="_x0000_s1026" DrawAspect="Icon" ObjectID="_1468075727" r:id="rId14">
                  <o:LockedField>false</o:LockedField>
                </o:OLEObject>
              </w:pict>
            </w: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lang w:val="en-US" w:eastAsia="zh-CN"/>
              </w:rPr>
              <w:t>演示附件：</w:t>
            </w:r>
          </w:p>
          <w:p>
            <w:pPr>
              <w:adjustRightInd w:val="0"/>
              <w:spacing w:line="440" w:lineRule="exact"/>
              <w:ind w:firstLine="420" w:firstLineChars="200"/>
              <w:rPr>
                <w:rFonts w:hint="default"/>
                <w:color w:val="auto"/>
                <w:highlight w:val="none"/>
                <w:lang w:val="en-US" w:eastAsia="zh-CN"/>
              </w:rPr>
            </w:pPr>
            <w:r>
              <w:rPr>
                <w:rFonts w:hint="eastAsia"/>
                <w:color w:val="auto"/>
                <w:highlight w:val="none"/>
                <w:lang w:val="en-US" w:eastAsia="zh-CN"/>
              </w:rPr>
              <w:pict>
                <v:shape id="_x0000_s1027" o:spid="_x0000_s1027" o:spt="75" type="#_x0000_t75" style="position:absolute;left:0pt;margin-left:212.75pt;margin-top:1.7pt;height:65.4pt;width:72.6pt;mso-wrap-distance-bottom:0pt;mso-wrap-distance-left:9pt;mso-wrap-distance-right:9pt;mso-wrap-distance-top:0pt;z-index:251660288;mso-width-relative:page;mso-height-relative:page;" o:ole="t" filled="f" o:preferrelative="t" stroked="f" coordsize="21600,21600">
                  <v:path/>
                  <v:fill on="f" focussize="0,0"/>
                  <v:stroke on="f"/>
                  <v:imagedata r:id="rId17" o:title=""/>
                  <o:lock v:ext="edit" aspectratio="t"/>
                  <w10:wrap type="square"/>
                </v:shape>
                <o:OLEObject Type="Embed" ProgID="Word.Document.12" ShapeID="_x0000_s1027" DrawAspect="Icon" ObjectID="_1468075728" r:id="rId16">
                  <o:LockedField>false</o:LockedField>
                </o:OLEObject>
              </w:pict>
            </w:r>
          </w:p>
        </w:tc>
      </w:tr>
    </w:tbl>
    <w:p>
      <w:pPr>
        <w:rPr>
          <w:rFonts w:hint="eastAsia" w:ascii="宋体" w:hAnsi="宋体" w:cs="宋体"/>
          <w:color w:val="auto"/>
          <w:sz w:val="32"/>
          <w:szCs w:val="32"/>
          <w:highlight w:val="none"/>
        </w:rPr>
      </w:pPr>
      <w:r>
        <w:rPr>
          <w:rFonts w:hint="eastAsia" w:ascii="宋体" w:hAnsi="宋体" w:cs="宋体"/>
          <w:b/>
          <w:bCs/>
          <w:color w:val="auto"/>
          <w:sz w:val="24"/>
          <w:highlight w:val="none"/>
        </w:rPr>
        <w:br w:type="page"/>
      </w:r>
      <w:r>
        <w:rPr>
          <w:rFonts w:hint="eastAsia" w:ascii="宋体" w:hAnsi="宋体" w:cs="宋体"/>
          <w:color w:val="auto"/>
          <w:sz w:val="32"/>
          <w:szCs w:val="32"/>
          <w:highlight w:val="none"/>
        </w:rPr>
        <w:t>附件1：</w:t>
      </w:r>
    </w:p>
    <w:p>
      <w:pPr>
        <w:spacing w:before="7"/>
        <w:rPr>
          <w:rFonts w:hint="eastAsia" w:ascii="宋体" w:hAnsi="宋体" w:cs="宋体"/>
          <w:color w:val="auto"/>
          <w:sz w:val="17"/>
          <w:szCs w:val="17"/>
          <w:highlight w:val="none"/>
        </w:rPr>
      </w:pPr>
    </w:p>
    <w:p>
      <w:pPr>
        <w:widowControl/>
        <w:spacing w:before="165" w:beforeLines="50" w:after="165" w:afterLines="50" w:line="280" w:lineRule="exact"/>
        <w:jc w:val="center"/>
        <w:rPr>
          <w:rFonts w:hint="eastAsia" w:ascii="宋体" w:hAnsi="宋体" w:cs="宋体"/>
          <w:b/>
          <w:bCs/>
          <w:color w:val="auto"/>
          <w:kern w:val="0"/>
          <w:sz w:val="30"/>
          <w:szCs w:val="30"/>
          <w:highlight w:val="none"/>
        </w:rPr>
      </w:pPr>
      <w:bookmarkStart w:id="120" w:name="_Toc28361_WPSOffice_Level2"/>
      <w:r>
        <w:rPr>
          <w:rFonts w:hint="eastAsia" w:ascii="宋体" w:hAnsi="宋体" w:cs="宋体"/>
          <w:b/>
          <w:bCs/>
          <w:color w:val="auto"/>
          <w:kern w:val="0"/>
          <w:sz w:val="30"/>
          <w:szCs w:val="30"/>
          <w:highlight w:val="none"/>
        </w:rPr>
        <w:t>统计上大中小微型企业划分标准</w:t>
      </w:r>
      <w:bookmarkEnd w:id="120"/>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vAlign w:val="center"/>
          </w:tcPr>
          <w:p>
            <w:pPr>
              <w:widowControl/>
              <w:spacing w:line="280" w:lineRule="exact"/>
              <w:jc w:val="center"/>
              <w:rPr>
                <w:rFonts w:hint="eastAsia"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shd w:val="clear" w:color="auto" w:fill="8DB3E2"/>
            <w:vAlign w:val="center"/>
          </w:tcPr>
          <w:p>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shd w:val="clear" w:color="auto" w:fill="8DB3E2"/>
            <w:vAlign w:val="center"/>
          </w:tcPr>
          <w:p>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w:t>
            </w:r>
          </w:p>
          <w:p>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5" w:type="dxa"/>
            <w:shd w:val="clear" w:color="auto" w:fill="8DB3E2"/>
            <w:vAlign w:val="center"/>
          </w:tcPr>
          <w:p>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shd w:val="clear" w:color="auto" w:fill="8DB3E2"/>
            <w:vAlign w:val="center"/>
          </w:tcPr>
          <w:p>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shd w:val="clear" w:color="auto" w:fill="8DB3E2"/>
            <w:vAlign w:val="center"/>
          </w:tcPr>
          <w:p>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shd w:val="clear" w:color="auto" w:fill="8DB3E2"/>
            <w:vAlign w:val="center"/>
          </w:tcPr>
          <w:p>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vAlign w:val="center"/>
          </w:tcPr>
          <w:p>
            <w:pPr>
              <w:widowControl/>
              <w:spacing w:line="280" w:lineRule="exact"/>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vAlign w:val="center"/>
          </w:tcPr>
          <w:p>
            <w:pPr>
              <w:widowControl/>
              <w:spacing w:line="280" w:lineRule="exact"/>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pPr>
              <w:widowControl/>
              <w:spacing w:line="280" w:lineRule="exact"/>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hint="eastAsia"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hint="eastAsia" w:ascii="宋体" w:hAnsi="宋体" w:cs="宋体"/>
                <w:color w:val="auto"/>
                <w:spacing w:val="-12"/>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vAlign w:val="center"/>
          </w:tcPr>
          <w:p>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pPr>
        <w:widowControl/>
        <w:spacing w:line="280" w:lineRule="exact"/>
        <w:rPr>
          <w:rFonts w:hint="eastAsia" w:ascii="宋体" w:hAnsi="宋体" w:cs="宋体"/>
          <w:color w:val="auto"/>
          <w:spacing w:val="8"/>
          <w:kern w:val="0"/>
          <w:sz w:val="24"/>
          <w:highlight w:val="none"/>
        </w:rPr>
      </w:pPr>
    </w:p>
    <w:p>
      <w:pPr>
        <w:widowControl/>
        <w:spacing w:line="360" w:lineRule="auto"/>
        <w:rPr>
          <w:rFonts w:hint="eastAsia" w:ascii="宋体" w:hAnsi="宋体" w:cs="宋体"/>
          <w:color w:val="auto"/>
          <w:spacing w:val="8"/>
          <w:kern w:val="0"/>
          <w:szCs w:val="21"/>
          <w:highlight w:val="none"/>
        </w:rPr>
      </w:pPr>
    </w:p>
    <w:p>
      <w:pPr>
        <w:widowControl/>
        <w:spacing w:line="360" w:lineRule="auto"/>
        <w:rPr>
          <w:rFonts w:hint="eastAsia" w:ascii="宋体" w:hAnsi="宋体" w:cs="宋体"/>
          <w:color w:val="auto"/>
          <w:spacing w:val="8"/>
          <w:kern w:val="0"/>
          <w:szCs w:val="21"/>
          <w:highlight w:val="none"/>
        </w:rPr>
      </w:pPr>
      <w:r>
        <w:rPr>
          <w:rFonts w:hint="eastAsia" w:ascii="宋体" w:hAnsi="宋体" w:cs="宋体"/>
          <w:color w:val="auto"/>
          <w:spacing w:val="8"/>
          <w:kern w:val="0"/>
          <w:szCs w:val="21"/>
          <w:highlight w:val="none"/>
        </w:rPr>
        <w:t>说明：</w:t>
      </w:r>
    </w:p>
    <w:p>
      <w:pPr>
        <w:pStyle w:val="13"/>
        <w:adjustRightInd w:val="0"/>
        <w:spacing w:line="360" w:lineRule="auto"/>
        <w:ind w:firstLine="452" w:firstLineChars="200"/>
        <w:contextualSpacing/>
        <w:rPr>
          <w:rFonts w:hint="eastAsia" w:hAnsi="宋体" w:cs="宋体"/>
          <w:color w:val="auto"/>
          <w:spacing w:val="8"/>
          <w:kern w:val="0"/>
          <w:szCs w:val="21"/>
          <w:highlight w:val="none"/>
        </w:rPr>
      </w:pPr>
      <w:r>
        <w:rPr>
          <w:rFonts w:hint="eastAsia" w:hAnsi="宋体" w:cs="宋体"/>
          <w:color w:val="auto"/>
          <w:spacing w:val="8"/>
          <w:kern w:val="0"/>
          <w:szCs w:val="21"/>
          <w:highlight w:val="none"/>
        </w:rPr>
        <w:t>1.大型、中型和小型企业须同时满足所列指标的下限，否则下划一档；微型企业只须满足所列指标中的一项即可。</w:t>
      </w:r>
    </w:p>
    <w:p>
      <w:pPr>
        <w:pStyle w:val="13"/>
        <w:adjustRightInd w:val="0"/>
        <w:spacing w:line="360" w:lineRule="auto"/>
        <w:ind w:firstLine="452" w:firstLineChars="200"/>
        <w:contextualSpacing/>
        <w:rPr>
          <w:rFonts w:hint="eastAsia" w:hAnsi="宋体" w:cs="宋体"/>
          <w:color w:val="auto"/>
          <w:spacing w:val="8"/>
          <w:kern w:val="0"/>
          <w:szCs w:val="21"/>
          <w:highlight w:val="none"/>
        </w:rPr>
      </w:pPr>
      <w:r>
        <w:rPr>
          <w:rFonts w:hint="eastAsia" w:hAnsi="宋体" w:cs="宋体"/>
          <w:color w:val="auto"/>
          <w:spacing w:val="8"/>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pStyle w:val="13"/>
        <w:spacing w:line="360" w:lineRule="auto"/>
        <w:ind w:firstLine="452" w:firstLineChars="200"/>
        <w:rPr>
          <w:rFonts w:hint="eastAsia" w:hAnsi="宋体" w:cs="宋体"/>
          <w:color w:val="auto"/>
          <w:spacing w:val="8"/>
          <w:kern w:val="0"/>
          <w:sz w:val="24"/>
          <w:szCs w:val="24"/>
          <w:highlight w:val="none"/>
        </w:rPr>
      </w:pPr>
      <w:r>
        <w:rPr>
          <w:rFonts w:hint="eastAsia" w:hAnsi="宋体" w:cs="宋体"/>
          <w:color w:val="auto"/>
          <w:spacing w:val="8"/>
          <w:kern w:val="0"/>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pStyle w:val="13"/>
        <w:spacing w:line="360" w:lineRule="auto"/>
        <w:jc w:val="center"/>
        <w:outlineLvl w:val="0"/>
        <w:rPr>
          <w:rFonts w:hint="eastAsia" w:hAnsi="宋体" w:cs="宋体"/>
          <w:b/>
          <w:color w:val="auto"/>
          <w:sz w:val="36"/>
          <w:szCs w:val="36"/>
          <w:highlight w:val="none"/>
        </w:rPr>
      </w:pPr>
      <w:r>
        <w:rPr>
          <w:rFonts w:hint="eastAsia" w:hAnsi="宋体" w:cs="宋体"/>
          <w:color w:val="auto"/>
          <w:szCs w:val="21"/>
          <w:highlight w:val="none"/>
        </w:rPr>
        <w:br w:type="page"/>
      </w:r>
      <w:bookmarkStart w:id="121" w:name="_Toc9505"/>
      <w:bookmarkStart w:id="122" w:name="_Toc10316"/>
      <w:bookmarkStart w:id="123" w:name="_Toc6743"/>
      <w:bookmarkStart w:id="124" w:name="_Toc15229"/>
      <w:bookmarkStart w:id="125" w:name="_Toc29575"/>
      <w:bookmarkStart w:id="126" w:name="_Toc8839"/>
      <w:bookmarkStart w:id="127" w:name="_Toc30618"/>
      <w:bookmarkStart w:id="128" w:name="_Toc1395"/>
      <w:bookmarkStart w:id="129" w:name="_Toc2394"/>
      <w:bookmarkStart w:id="130" w:name="_Toc5815"/>
      <w:bookmarkStart w:id="131" w:name="_Toc5641"/>
      <w:bookmarkStart w:id="132" w:name="_Toc532545044"/>
      <w:r>
        <w:rPr>
          <w:rFonts w:hint="eastAsia" w:hAnsi="宋体" w:cs="宋体"/>
          <w:b/>
          <w:color w:val="auto"/>
          <w:sz w:val="36"/>
          <w:highlight w:val="none"/>
        </w:rPr>
        <w:t>第三章  投标人须知</w:t>
      </w:r>
      <w:bookmarkEnd w:id="121"/>
      <w:bookmarkEnd w:id="122"/>
      <w:bookmarkEnd w:id="123"/>
      <w:bookmarkEnd w:id="124"/>
      <w:bookmarkEnd w:id="125"/>
      <w:bookmarkEnd w:id="126"/>
      <w:bookmarkEnd w:id="127"/>
      <w:bookmarkEnd w:id="128"/>
      <w:bookmarkEnd w:id="129"/>
      <w:bookmarkEnd w:id="130"/>
      <w:bookmarkEnd w:id="131"/>
      <w:bookmarkEnd w:id="132"/>
    </w:p>
    <w:p>
      <w:pPr>
        <w:pStyle w:val="13"/>
        <w:spacing w:line="360" w:lineRule="auto"/>
        <w:jc w:val="center"/>
        <w:outlineLvl w:val="1"/>
        <w:rPr>
          <w:rFonts w:hint="eastAsia" w:hAnsi="宋体" w:cs="宋体"/>
          <w:b/>
          <w:color w:val="auto"/>
          <w:sz w:val="30"/>
          <w:szCs w:val="30"/>
          <w:highlight w:val="none"/>
        </w:rPr>
      </w:pPr>
      <w:bookmarkStart w:id="133" w:name="_Toc28990"/>
      <w:bookmarkStart w:id="134" w:name="_Toc20955"/>
      <w:bookmarkStart w:id="135" w:name="_Toc2967"/>
      <w:bookmarkStart w:id="136" w:name="_Toc992"/>
      <w:bookmarkStart w:id="137" w:name="_Toc12345"/>
      <w:r>
        <w:rPr>
          <w:rFonts w:hint="eastAsia" w:hAnsi="宋体" w:cs="宋体"/>
          <w:b/>
          <w:color w:val="auto"/>
          <w:sz w:val="30"/>
          <w:szCs w:val="30"/>
          <w:highlight w:val="none"/>
        </w:rPr>
        <w:t>第一节 投标人须知前附表</w:t>
      </w:r>
      <w:bookmarkEnd w:id="133"/>
      <w:bookmarkEnd w:id="134"/>
      <w:bookmarkEnd w:id="135"/>
      <w:bookmarkEnd w:id="136"/>
      <w:bookmarkEnd w:id="137"/>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0"/>
        <w:gridCol w:w="2250"/>
        <w:gridCol w:w="663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color w:val="auto"/>
                <w:szCs w:val="21"/>
                <w:highlight w:val="none"/>
              </w:rPr>
            </w:pPr>
            <w:r>
              <w:rPr>
                <w:color w:val="auto"/>
                <w:szCs w:val="21"/>
                <w:highlight w:val="none"/>
              </w:rPr>
              <w:t>条款号</w:t>
            </w:r>
          </w:p>
        </w:tc>
        <w:tc>
          <w:tcPr>
            <w:tcW w:w="22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color w:val="auto"/>
                <w:szCs w:val="21"/>
                <w:highlight w:val="none"/>
              </w:rPr>
            </w:pPr>
            <w:r>
              <w:rPr>
                <w:color w:val="auto"/>
                <w:szCs w:val="21"/>
                <w:highlight w:val="none"/>
              </w:rPr>
              <w:t>项目内容</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color w:val="auto"/>
                <w:szCs w:val="21"/>
                <w:highlight w:val="none"/>
              </w:rPr>
            </w:pPr>
            <w:r>
              <w:rPr>
                <w:color w:val="auto"/>
                <w:szCs w:val="21"/>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auto"/>
                <w:szCs w:val="21"/>
                <w:highlight w:val="none"/>
              </w:rPr>
            </w:pPr>
            <w:r>
              <w:rPr>
                <w:color w:val="auto"/>
                <w:szCs w:val="21"/>
                <w:highlight w:val="none"/>
              </w:rPr>
              <w:t>3</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投标人的资格要求</w:t>
            </w:r>
          </w:p>
        </w:tc>
        <w:tc>
          <w:tcPr>
            <w:tcW w:w="6631" w:type="dxa"/>
            <w:tcBorders>
              <w:top w:val="single" w:color="auto" w:sz="4" w:space="0"/>
              <w:left w:val="single" w:color="auto" w:sz="4" w:space="0"/>
              <w:bottom w:val="single" w:color="auto" w:sz="4" w:space="0"/>
              <w:right w:val="single" w:color="auto" w:sz="4" w:space="0"/>
            </w:tcBorders>
            <w:vAlign w:val="center"/>
          </w:tcPr>
          <w:p>
            <w:pPr>
              <w:pStyle w:val="9"/>
              <w:spacing w:line="360" w:lineRule="auto"/>
              <w:jc w:val="both"/>
              <w:rPr>
                <w:color w:val="auto"/>
                <w:szCs w:val="21"/>
                <w:highlight w:val="none"/>
              </w:rPr>
            </w:pPr>
            <w:r>
              <w:rPr>
                <w:color w:val="auto"/>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6.1</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bookmarkStart w:id="138" w:name="_8.1"/>
            <w:bookmarkEnd w:id="138"/>
            <w:bookmarkStart w:id="139" w:name="_5"/>
            <w:bookmarkEnd w:id="139"/>
            <w:bookmarkStart w:id="140" w:name="_9.2"/>
            <w:bookmarkEnd w:id="140"/>
            <w:r>
              <w:rPr>
                <w:color w:val="auto"/>
                <w:szCs w:val="21"/>
                <w:highlight w:val="none"/>
              </w:rPr>
              <w:t>是否接受联合体投标</w:t>
            </w:r>
          </w:p>
        </w:tc>
        <w:tc>
          <w:tcPr>
            <w:tcW w:w="6631" w:type="dxa"/>
            <w:tcBorders>
              <w:top w:val="single" w:color="auto" w:sz="4" w:space="0"/>
              <w:left w:val="single" w:color="auto" w:sz="4" w:space="0"/>
              <w:bottom w:val="single" w:color="auto" w:sz="4" w:space="0"/>
              <w:right w:val="single" w:color="auto" w:sz="4" w:space="0"/>
            </w:tcBorders>
            <w:vAlign w:val="center"/>
          </w:tcPr>
          <w:p>
            <w:pPr>
              <w:pStyle w:val="9"/>
              <w:spacing w:line="360" w:lineRule="auto"/>
              <w:jc w:val="both"/>
              <w:rPr>
                <w:color w:val="auto"/>
                <w:szCs w:val="21"/>
                <w:highlight w:val="none"/>
              </w:rPr>
            </w:pPr>
            <w:bookmarkStart w:id="141" w:name="PO_3000001867_PM007_1"/>
            <w:r>
              <w:rPr>
                <w:color w:val="auto"/>
                <w:szCs w:val="21"/>
                <w:highlight w:val="none"/>
              </w:rPr>
              <w:t>详见招标公告</w:t>
            </w:r>
            <w:bookmarkEnd w:id="141"/>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6.2</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联合体投标要求</w:t>
            </w:r>
          </w:p>
        </w:tc>
        <w:tc>
          <w:tcPr>
            <w:tcW w:w="6631" w:type="dxa"/>
            <w:tcBorders>
              <w:top w:val="single" w:color="auto" w:sz="4" w:space="0"/>
              <w:left w:val="single" w:color="auto" w:sz="4" w:space="0"/>
              <w:bottom w:val="single" w:color="auto" w:sz="4" w:space="0"/>
              <w:right w:val="single" w:color="auto" w:sz="4" w:space="0"/>
            </w:tcBorders>
            <w:vAlign w:val="center"/>
          </w:tcPr>
          <w:p>
            <w:pPr>
              <w:pStyle w:val="9"/>
              <w:spacing w:line="360" w:lineRule="auto"/>
              <w:jc w:val="both"/>
              <w:rPr>
                <w:color w:val="auto"/>
                <w:szCs w:val="21"/>
                <w:highlight w:val="none"/>
              </w:rPr>
            </w:pPr>
            <w:r>
              <w:rPr>
                <w:color w:val="auto"/>
                <w:szCs w:val="21"/>
                <w:highlight w:val="none"/>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7.2</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是否允许分包</w:t>
            </w:r>
          </w:p>
        </w:tc>
        <w:tc>
          <w:tcPr>
            <w:tcW w:w="663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auto"/>
                <w:szCs w:val="21"/>
                <w:highlight w:val="none"/>
              </w:rPr>
            </w:pPr>
            <w:bookmarkStart w:id="142" w:name="PO_3000001871_PM044"/>
            <w:bookmarkStart w:id="143" w:name="PO_3000001867_PM044"/>
            <w:r>
              <w:rPr>
                <w:color w:val="auto"/>
                <w:highlight w:val="none"/>
              </w:rPr>
              <w:sym w:font="Wingdings 2" w:char="0052"/>
            </w:r>
            <w:r>
              <w:rPr>
                <w:color w:val="auto"/>
                <w:szCs w:val="21"/>
                <w:highlight w:val="none"/>
              </w:rPr>
              <w:t>不允许分包</w:t>
            </w:r>
            <w:bookmarkEnd w:id="142"/>
            <w:r>
              <w:rPr>
                <w:color w:val="auto"/>
                <w:szCs w:val="21"/>
                <w:highlight w:val="none"/>
              </w:rPr>
              <w:t>。</w:t>
            </w:r>
          </w:p>
          <w:p>
            <w:pPr>
              <w:pStyle w:val="9"/>
              <w:spacing w:line="360" w:lineRule="auto"/>
              <w:rPr>
                <w:color w:val="auto"/>
                <w:highlight w:val="none"/>
              </w:rPr>
            </w:pPr>
            <w:r>
              <w:rPr>
                <w:color w:val="auto"/>
                <w:highlight w:val="none"/>
              </w:rPr>
              <w:t>□允许分包：</w:t>
            </w:r>
          </w:p>
          <w:bookmarkEnd w:id="143"/>
          <w:p>
            <w:pPr>
              <w:pStyle w:val="9"/>
              <w:spacing w:line="360" w:lineRule="auto"/>
              <w:rPr>
                <w:color w:val="auto"/>
                <w:szCs w:val="21"/>
                <w:highlight w:val="none"/>
              </w:rPr>
            </w:pPr>
            <w:r>
              <w:rPr>
                <w:color w:val="auto"/>
                <w:szCs w:val="21"/>
                <w:highlight w:val="none"/>
              </w:rPr>
              <w:t>分包内容：</w:t>
            </w:r>
            <w:r>
              <w:rPr>
                <w:color w:val="auto"/>
                <w:szCs w:val="21"/>
                <w:highlight w:val="none"/>
                <w:u w:val="single"/>
              </w:rPr>
              <w:t xml:space="preserve">                                     。</w:t>
            </w:r>
          </w:p>
          <w:p>
            <w:pPr>
              <w:pStyle w:val="9"/>
              <w:spacing w:line="360" w:lineRule="auto"/>
              <w:rPr>
                <w:color w:val="auto"/>
                <w:szCs w:val="21"/>
                <w:highlight w:val="none"/>
              </w:rPr>
            </w:pPr>
            <w:r>
              <w:rPr>
                <w:color w:val="auto"/>
                <w:szCs w:val="21"/>
                <w:highlight w:val="none"/>
              </w:rPr>
              <w:t>分包金额或者比例：</w:t>
            </w:r>
            <w:r>
              <w:rPr>
                <w:color w:val="auto"/>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8.4</w:t>
            </w:r>
          </w:p>
          <w:p>
            <w:pPr>
              <w:spacing w:line="360" w:lineRule="auto"/>
              <w:rPr>
                <w:color w:val="auto"/>
                <w:szCs w:val="21"/>
                <w:highlight w:val="none"/>
              </w:rPr>
            </w:pPr>
          </w:p>
        </w:tc>
        <w:tc>
          <w:tcPr>
            <w:tcW w:w="2250" w:type="dxa"/>
            <w:tcBorders>
              <w:top w:val="single" w:color="auto" w:sz="4" w:space="0"/>
              <w:left w:val="single" w:color="auto" w:sz="4" w:space="0"/>
              <w:right w:val="single" w:color="auto" w:sz="4" w:space="0"/>
            </w:tcBorders>
            <w:vAlign w:val="center"/>
          </w:tcPr>
          <w:p>
            <w:pPr>
              <w:pStyle w:val="9"/>
              <w:spacing w:line="360" w:lineRule="auto"/>
              <w:rPr>
                <w:color w:val="auto"/>
                <w:szCs w:val="21"/>
                <w:highlight w:val="none"/>
              </w:rPr>
            </w:pPr>
            <w:r>
              <w:rPr>
                <w:color w:val="auto"/>
                <w:szCs w:val="21"/>
                <w:highlight w:val="none"/>
              </w:rPr>
              <w:t>提供相同品牌产品且通过资格审查、符合性审查的不同投标人参加同一合同项下投标的</w:t>
            </w:r>
            <w:r>
              <w:rPr>
                <w:color w:val="auto"/>
                <w:highlight w:val="none"/>
              </w:rPr>
              <w:t>获得参加评标资格的投标人或获得中标人推荐资格的</w:t>
            </w:r>
            <w:r>
              <w:rPr>
                <w:color w:val="auto"/>
                <w:szCs w:val="21"/>
                <w:highlight w:val="none"/>
              </w:rPr>
              <w:t>确定方式</w:t>
            </w:r>
          </w:p>
        </w:tc>
        <w:tc>
          <w:tcPr>
            <w:tcW w:w="6631" w:type="dxa"/>
            <w:tcBorders>
              <w:top w:val="single" w:color="auto" w:sz="4" w:space="0"/>
              <w:left w:val="single" w:color="auto" w:sz="4" w:space="0"/>
              <w:right w:val="single" w:color="auto" w:sz="4" w:space="0"/>
            </w:tcBorders>
            <w:vAlign w:val="center"/>
          </w:tcPr>
          <w:p>
            <w:pPr>
              <w:pStyle w:val="13"/>
              <w:spacing w:line="360" w:lineRule="auto"/>
              <w:rPr>
                <w:rFonts w:ascii="Times New Roman" w:hAnsi="Times New Roman"/>
                <w:color w:val="auto"/>
                <w:szCs w:val="21"/>
                <w:highlight w:val="none"/>
              </w:rPr>
            </w:pPr>
            <w:r>
              <w:rPr>
                <w:rFonts w:ascii="Times New Roman" w:hAnsi="Times New Roman"/>
                <w:color w:val="auto"/>
                <w:szCs w:val="21"/>
                <w:highlight w:val="none"/>
              </w:rPr>
              <w:t>☑不</w:t>
            </w:r>
            <w:r>
              <w:rPr>
                <w:rFonts w:ascii="Times New Roman" w:hAnsi="Times New Roman"/>
                <w:color w:val="auto"/>
                <w:highlight w:val="none"/>
              </w:rPr>
              <w:t>适用于本项目</w:t>
            </w:r>
          </w:p>
          <w:p>
            <w:pPr>
              <w:pStyle w:val="13"/>
              <w:spacing w:line="360" w:lineRule="auto"/>
              <w:rPr>
                <w:rFonts w:ascii="Times New Roman" w:hAnsi="Times New Roman"/>
                <w:color w:val="auto"/>
                <w:szCs w:val="21"/>
                <w:highlight w:val="none"/>
              </w:rPr>
            </w:pPr>
            <w:r>
              <w:rPr>
                <w:rFonts w:ascii="Times New Roman" w:hAnsi="Times New Roman"/>
                <w:color w:val="auto"/>
                <w:szCs w:val="21"/>
                <w:highlight w:val="none"/>
              </w:rPr>
              <w:sym w:font="Wingdings 2" w:char="00A3"/>
            </w:r>
            <w:r>
              <w:rPr>
                <w:rFonts w:ascii="Times New Roman" w:hAnsi="Times New Roman"/>
                <w:color w:val="auto"/>
                <w:szCs w:val="21"/>
                <w:highlight w:val="none"/>
              </w:rPr>
              <w:t>随机抽取（采用最低评标价法，投标报价相同时；采用综合评分法，评审得分相同时。）</w:t>
            </w:r>
          </w:p>
          <w:p>
            <w:pPr>
              <w:pStyle w:val="9"/>
              <w:spacing w:line="360" w:lineRule="auto"/>
              <w:rPr>
                <w:color w:val="auto"/>
                <w:szCs w:val="21"/>
                <w:highlight w:val="none"/>
              </w:rPr>
            </w:pPr>
            <w:r>
              <w:rPr>
                <w:color w:val="auto"/>
                <w:szCs w:val="21"/>
                <w:highlight w:val="none"/>
              </w:rPr>
              <w:sym w:font="Wingdings 2" w:char="00A3"/>
            </w:r>
            <w:r>
              <w:rPr>
                <w:color w:val="auto"/>
                <w:szCs w:val="21"/>
                <w:highlight w:val="none"/>
              </w:rPr>
              <w:t>其他方式：</w:t>
            </w:r>
          </w:p>
          <w:p>
            <w:pPr>
              <w:pStyle w:val="9"/>
              <w:spacing w:line="360" w:lineRule="auto"/>
              <w:rPr>
                <w:color w:val="auto"/>
                <w:highlight w:val="none"/>
              </w:rPr>
            </w:pPr>
            <w:r>
              <w:rPr>
                <w:color w:val="auto"/>
                <w:szCs w:val="21"/>
                <w:highlight w:val="none"/>
              </w:rPr>
              <w:sym w:font="Wingdings 2" w:char="00A3"/>
            </w:r>
            <w:r>
              <w:rPr>
                <w:b/>
                <w:bCs/>
                <w:color w:val="auto"/>
                <w:szCs w:val="21"/>
                <w:highlight w:val="none"/>
              </w:rPr>
              <w:t>采用综合评分法，</w:t>
            </w:r>
            <w:r>
              <w:rPr>
                <w:color w:val="auto"/>
                <w:szCs w:val="21"/>
                <w:highlight w:val="none"/>
              </w:rPr>
              <w:t>评审得分相同时，投标总报价低的</w:t>
            </w:r>
            <w:r>
              <w:rPr>
                <w:color w:val="auto"/>
                <w:highlight w:val="none"/>
              </w:rPr>
              <w:t>获得推荐资格，</w:t>
            </w:r>
            <w:r>
              <w:rPr>
                <w:color w:val="auto"/>
                <w:szCs w:val="21"/>
                <w:highlight w:val="none"/>
              </w:rPr>
              <w:t>评审得分、</w:t>
            </w:r>
            <w:r>
              <w:rPr>
                <w:color w:val="auto"/>
                <w:highlight w:val="none"/>
              </w:rPr>
              <w:t>投标总报价均相同时，由采购人随机抽取。</w:t>
            </w:r>
          </w:p>
          <w:p>
            <w:pPr>
              <w:spacing w:line="360" w:lineRule="auto"/>
              <w:rPr>
                <w:color w:val="auto"/>
                <w:szCs w:val="21"/>
                <w:highlight w:val="none"/>
              </w:rPr>
            </w:pPr>
            <w:r>
              <w:rPr>
                <w:color w:val="auto"/>
                <w:szCs w:val="21"/>
                <w:highlight w:val="none"/>
              </w:rPr>
              <w:t>□</w:t>
            </w:r>
            <w:r>
              <w:rPr>
                <w:b/>
                <w:bCs/>
                <w:color w:val="auto"/>
                <w:szCs w:val="21"/>
                <w:highlight w:val="none"/>
              </w:rPr>
              <w:t>采用最低评标价法，</w:t>
            </w:r>
            <w:r>
              <w:rPr>
                <w:color w:val="auto"/>
                <w:szCs w:val="21"/>
                <w:highlight w:val="none"/>
              </w:rPr>
              <w:t>投标总报价相同时，由采购人随机抽取。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11.4</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媒体发布渠道</w:t>
            </w:r>
          </w:p>
        </w:tc>
        <w:tc>
          <w:tcPr>
            <w:tcW w:w="6631"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 w:val="28"/>
                <w:szCs w:val="18"/>
                <w:highlight w:val="none"/>
              </w:rPr>
            </w:pPr>
            <w:r>
              <w:rPr>
                <w:color w:val="auto"/>
                <w:szCs w:val="21"/>
                <w:highlight w:val="none"/>
              </w:rPr>
              <w:t>与本项目相关的政府采购业务澄清、更正及与之相关的事项将在招标公告中“六、其他补充事宜”中网上查询地址上发布</w:t>
            </w:r>
            <w:r>
              <w:rPr>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11.5</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是否组织标前答疑会</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rPr>
            </w:pPr>
            <w:r>
              <w:rPr>
                <w:color w:val="auto"/>
                <w:szCs w:val="21"/>
                <w:highlight w:val="none"/>
              </w:rPr>
              <w:sym w:font="Wingdings 2" w:char="0052"/>
            </w:r>
            <w:r>
              <w:rPr>
                <w:color w:val="auto"/>
                <w:szCs w:val="21"/>
                <w:highlight w:val="none"/>
              </w:rPr>
              <w:t>不组织召开开标前答疑会</w:t>
            </w:r>
          </w:p>
          <w:p>
            <w:pPr>
              <w:snapToGrid w:val="0"/>
              <w:spacing w:line="360" w:lineRule="auto"/>
              <w:rPr>
                <w:color w:val="auto"/>
                <w:szCs w:val="21"/>
                <w:highlight w:val="none"/>
              </w:rPr>
            </w:pPr>
            <w:r>
              <w:rPr>
                <w:color w:val="auto"/>
                <w:szCs w:val="21"/>
                <w:highlight w:val="none"/>
              </w:rPr>
              <w:t>□组织召开开标前答疑会</w:t>
            </w:r>
          </w:p>
          <w:p>
            <w:pPr>
              <w:snapToGrid w:val="0"/>
              <w:spacing w:line="360" w:lineRule="auto"/>
              <w:rPr>
                <w:color w:val="auto"/>
                <w:szCs w:val="21"/>
                <w:highlight w:val="none"/>
                <w:u w:val="single"/>
              </w:rPr>
            </w:pPr>
            <w:r>
              <w:rPr>
                <w:color w:val="auto"/>
                <w:szCs w:val="21"/>
                <w:highlight w:val="none"/>
              </w:rPr>
              <w:t>会议开始时间：</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color w:val="auto"/>
                <w:szCs w:val="21"/>
                <w:highlight w:val="none"/>
              </w:rPr>
              <w:t xml:space="preserve">日 </w:t>
            </w:r>
            <w:r>
              <w:rPr>
                <w:color w:val="auto"/>
                <w:szCs w:val="21"/>
                <w:highlight w:val="none"/>
                <w:u w:val="single"/>
              </w:rPr>
              <w:t xml:space="preserve">  </w:t>
            </w:r>
            <w:r>
              <w:rPr>
                <w:color w:val="auto"/>
                <w:szCs w:val="21"/>
                <w:highlight w:val="none"/>
              </w:rPr>
              <w:t>时</w:t>
            </w:r>
            <w:r>
              <w:rPr>
                <w:color w:val="auto"/>
                <w:szCs w:val="21"/>
                <w:highlight w:val="none"/>
                <w:u w:val="single"/>
              </w:rPr>
              <w:t xml:space="preserve">  分</w:t>
            </w:r>
            <w:r>
              <w:rPr>
                <w:color w:val="auto"/>
                <w:szCs w:val="21"/>
                <w:highlight w:val="none"/>
              </w:rPr>
              <w:t>，逾期后果自负。会议地点：</w:t>
            </w:r>
            <w:r>
              <w:rPr>
                <w:color w:val="auto"/>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13.1</w:t>
            </w:r>
          </w:p>
        </w:tc>
        <w:tc>
          <w:tcPr>
            <w:tcW w:w="22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color w:val="auto"/>
                <w:szCs w:val="21"/>
                <w:highlight w:val="none"/>
              </w:rPr>
            </w:pPr>
            <w:bookmarkStart w:id="144" w:name="_13.2"/>
            <w:bookmarkEnd w:id="144"/>
            <w:r>
              <w:rPr>
                <w:color w:val="auto"/>
                <w:szCs w:val="21"/>
                <w:highlight w:val="none"/>
              </w:rPr>
              <w:t>资格证明文件组成</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color w:val="auto"/>
                <w:szCs w:val="21"/>
                <w:highlight w:val="none"/>
              </w:rPr>
            </w:pPr>
            <w:r>
              <w:rPr>
                <w:color w:val="auto"/>
                <w:szCs w:val="21"/>
                <w:highlight w:val="none"/>
              </w:rPr>
              <w:t>1.投标人为法人或者其他组织的，提供营业执照等证明文件复印件（如营业执照或者事业单位法人证书或者</w:t>
            </w:r>
            <w:r>
              <w:rPr>
                <w:rStyle w:val="46"/>
                <w:rFonts w:ascii="Times New Roman" w:hAnsi="Times New Roman" w:cs="Times New Roman"/>
                <w:color w:val="auto"/>
                <w:szCs w:val="21"/>
                <w:highlight w:val="none"/>
              </w:rPr>
              <w:t>执业许可证</w:t>
            </w:r>
            <w:r>
              <w:rPr>
                <w:color w:val="auto"/>
                <w:szCs w:val="21"/>
                <w:highlight w:val="none"/>
              </w:rPr>
              <w:t>等），投标人为自然人的，提供有效身份证正反面复印件。（</w:t>
            </w:r>
            <w:bookmarkStart w:id="145" w:name="OLE_LINK14"/>
            <w:r>
              <w:rPr>
                <w:b/>
                <w:color w:val="auto"/>
                <w:szCs w:val="21"/>
                <w:highlight w:val="none"/>
              </w:rPr>
              <w:t>必须提供，否则作无效投标处理</w:t>
            </w:r>
            <w:bookmarkEnd w:id="145"/>
            <w:r>
              <w:rPr>
                <w:color w:val="auto"/>
                <w:szCs w:val="21"/>
                <w:highlight w:val="none"/>
              </w:rPr>
              <w:t>）</w:t>
            </w:r>
          </w:p>
          <w:p>
            <w:pPr>
              <w:snapToGrid w:val="0"/>
              <w:spacing w:line="360" w:lineRule="auto"/>
              <w:jc w:val="left"/>
              <w:rPr>
                <w:color w:val="auto"/>
                <w:szCs w:val="21"/>
                <w:highlight w:val="none"/>
              </w:rPr>
            </w:pPr>
            <w:r>
              <w:rPr>
                <w:color w:val="auto"/>
                <w:szCs w:val="21"/>
                <w:highlight w:val="none"/>
              </w:rPr>
              <w:t>2.投标人依法缴纳税收的相关材料（提供税款所属时期为</w:t>
            </w:r>
            <w:r>
              <w:rPr>
                <w:color w:val="auto"/>
                <w:szCs w:val="21"/>
                <w:highlight w:val="none"/>
                <w:u w:val="single"/>
              </w:rPr>
              <w:t>2025</w:t>
            </w:r>
            <w:r>
              <w:rPr>
                <w:color w:val="auto"/>
                <w:szCs w:val="21"/>
                <w:highlight w:val="none"/>
              </w:rPr>
              <w:t>年</w:t>
            </w:r>
            <w:r>
              <w:rPr>
                <w:color w:val="auto"/>
                <w:szCs w:val="21"/>
                <w:highlight w:val="none"/>
                <w:u w:val="single"/>
              </w:rPr>
              <w:t>3</w:t>
            </w:r>
            <w:r>
              <w:rPr>
                <w:color w:val="auto"/>
                <w:szCs w:val="21"/>
                <w:highlight w:val="none"/>
              </w:rPr>
              <w:t>月至投标文件提交截止时间止的任意1个月的依法缴纳税收的凭据复印件；依法免税的投标人，必须提供相应文件证明其依法免税。从取得营业执照时间起到投标文件提交截止时间为止不足要求月数的，只需提供从取得营业执照起的依法缴纳税收相应证明文件）。（</w:t>
            </w:r>
            <w:bookmarkStart w:id="146" w:name="OLE_LINK15"/>
            <w:r>
              <w:rPr>
                <w:b/>
                <w:color w:val="auto"/>
                <w:szCs w:val="21"/>
                <w:highlight w:val="none"/>
              </w:rPr>
              <w:t>必须提供，否则作无效投标处理</w:t>
            </w:r>
            <w:bookmarkEnd w:id="146"/>
            <w:r>
              <w:rPr>
                <w:color w:val="auto"/>
                <w:szCs w:val="21"/>
                <w:highlight w:val="none"/>
              </w:rPr>
              <w:t>）</w:t>
            </w:r>
          </w:p>
          <w:p>
            <w:pPr>
              <w:snapToGrid w:val="0"/>
              <w:spacing w:line="360" w:lineRule="auto"/>
              <w:jc w:val="left"/>
              <w:rPr>
                <w:color w:val="auto"/>
                <w:szCs w:val="21"/>
                <w:highlight w:val="none"/>
              </w:rPr>
            </w:pPr>
            <w:r>
              <w:rPr>
                <w:color w:val="auto"/>
                <w:szCs w:val="21"/>
                <w:highlight w:val="none"/>
              </w:rPr>
              <w:t>3.投标人依法缴纳社会保障资金的相关材料（提供税款所属时期或缴费起始时间为</w:t>
            </w:r>
            <w:r>
              <w:rPr>
                <w:color w:val="auto"/>
                <w:szCs w:val="21"/>
                <w:highlight w:val="none"/>
                <w:u w:val="single"/>
              </w:rPr>
              <w:t>2025</w:t>
            </w:r>
            <w:r>
              <w:rPr>
                <w:color w:val="auto"/>
                <w:szCs w:val="21"/>
                <w:highlight w:val="none"/>
              </w:rPr>
              <w:t>年</w:t>
            </w:r>
            <w:r>
              <w:rPr>
                <w:color w:val="auto"/>
                <w:szCs w:val="21"/>
                <w:highlight w:val="none"/>
                <w:u w:val="single"/>
              </w:rPr>
              <w:t>3</w:t>
            </w:r>
            <w:r>
              <w:rPr>
                <w:color w:val="auto"/>
                <w:szCs w:val="21"/>
                <w:highlight w:val="none"/>
              </w:rPr>
              <w:t>月至投标文件提交截止时间止的任意1个月的依法缴纳社会保障资金的缴费凭证复印件；依法不需要缴纳社会保障资金的投标人，必须提供相应文件证明不需要缴纳社会保障资金。从取得营业执照时间起到投标文件提交截止时间为止不足要求月数的只需提供从取得营业执照起的依法缴纳社会保障资金的相应证明文件）。（</w:t>
            </w:r>
            <w:r>
              <w:rPr>
                <w:b/>
                <w:color w:val="auto"/>
                <w:szCs w:val="21"/>
                <w:highlight w:val="none"/>
              </w:rPr>
              <w:t>必须提供，否则作无效投标处理</w:t>
            </w:r>
            <w:r>
              <w:rPr>
                <w:color w:val="auto"/>
                <w:szCs w:val="21"/>
                <w:highlight w:val="none"/>
              </w:rPr>
              <w:t>）</w:t>
            </w:r>
          </w:p>
          <w:p>
            <w:pPr>
              <w:snapToGrid w:val="0"/>
              <w:spacing w:line="360" w:lineRule="auto"/>
              <w:jc w:val="left"/>
              <w:rPr>
                <w:color w:val="auto"/>
                <w:szCs w:val="21"/>
                <w:highlight w:val="none"/>
              </w:rPr>
            </w:pPr>
            <w:r>
              <w:rPr>
                <w:color w:val="auto"/>
                <w:szCs w:val="21"/>
                <w:highlight w:val="none"/>
              </w:rPr>
              <w:t>4.</w:t>
            </w:r>
            <w:bookmarkStart w:id="147" w:name="OLE_LINK16"/>
            <w:r>
              <w:rPr>
                <w:color w:val="auto"/>
                <w:szCs w:val="21"/>
                <w:highlight w:val="none"/>
              </w:rPr>
              <w:t>投标人财务状况报告（提供</w:t>
            </w:r>
            <w:r>
              <w:rPr>
                <w:color w:val="auto"/>
                <w:szCs w:val="21"/>
                <w:highlight w:val="none"/>
                <w:u w:val="single"/>
              </w:rPr>
              <w:t>2024</w:t>
            </w:r>
            <w:r>
              <w:rPr>
                <w:color w:val="auto"/>
                <w:szCs w:val="21"/>
                <w:highlight w:val="none"/>
              </w:rPr>
              <w:t>年度经审计的财务报告复印件或者截标时间前半年内至少一个月能反映财务状况的报表或者投标人自拟的截标时间前半年内至少一个月的财务情况说明）</w:t>
            </w:r>
            <w:bookmarkEnd w:id="147"/>
            <w:r>
              <w:rPr>
                <w:color w:val="auto"/>
                <w:szCs w:val="21"/>
                <w:highlight w:val="none"/>
              </w:rPr>
              <w:t>。（</w:t>
            </w:r>
            <w:bookmarkStart w:id="148" w:name="OLE_LINK17"/>
            <w:r>
              <w:rPr>
                <w:b/>
                <w:color w:val="auto"/>
                <w:szCs w:val="21"/>
                <w:highlight w:val="none"/>
              </w:rPr>
              <w:t>必须提供，否则作无效投标处理</w:t>
            </w:r>
            <w:bookmarkEnd w:id="148"/>
            <w:r>
              <w:rPr>
                <w:color w:val="auto"/>
                <w:szCs w:val="21"/>
                <w:highlight w:val="none"/>
              </w:rPr>
              <w:t>）</w:t>
            </w:r>
          </w:p>
          <w:p>
            <w:pPr>
              <w:snapToGrid w:val="0"/>
              <w:spacing w:line="360" w:lineRule="auto"/>
              <w:jc w:val="left"/>
              <w:rPr>
                <w:color w:val="auto"/>
                <w:szCs w:val="21"/>
                <w:highlight w:val="none"/>
              </w:rPr>
            </w:pPr>
            <w:r>
              <w:rPr>
                <w:color w:val="auto"/>
                <w:szCs w:val="21"/>
                <w:highlight w:val="none"/>
              </w:rPr>
              <w:t>5.投标人直接控股股东信息表；（</w:t>
            </w:r>
            <w:bookmarkStart w:id="149" w:name="OLE_LINK18"/>
            <w:r>
              <w:rPr>
                <w:b/>
                <w:bCs/>
                <w:color w:val="auto"/>
                <w:szCs w:val="21"/>
                <w:highlight w:val="none"/>
              </w:rPr>
              <w:t>必须提供，否则作无效投标处理</w:t>
            </w:r>
            <w:bookmarkEnd w:id="149"/>
            <w:r>
              <w:rPr>
                <w:color w:val="auto"/>
                <w:szCs w:val="21"/>
                <w:highlight w:val="none"/>
              </w:rPr>
              <w:t>）</w:t>
            </w:r>
          </w:p>
          <w:p>
            <w:pPr>
              <w:snapToGrid w:val="0"/>
              <w:spacing w:line="360" w:lineRule="auto"/>
              <w:jc w:val="left"/>
              <w:rPr>
                <w:color w:val="auto"/>
                <w:szCs w:val="21"/>
                <w:highlight w:val="none"/>
              </w:rPr>
            </w:pPr>
            <w:r>
              <w:rPr>
                <w:color w:val="auto"/>
                <w:szCs w:val="21"/>
                <w:highlight w:val="none"/>
              </w:rPr>
              <w:t>6.投标人直接管理关系信息表；（</w:t>
            </w:r>
            <w:r>
              <w:rPr>
                <w:b/>
                <w:bCs/>
                <w:color w:val="auto"/>
                <w:szCs w:val="21"/>
                <w:highlight w:val="none"/>
              </w:rPr>
              <w:t>必须提供，否则作无效投标处理</w:t>
            </w:r>
            <w:r>
              <w:rPr>
                <w:color w:val="auto"/>
                <w:szCs w:val="21"/>
                <w:highlight w:val="none"/>
              </w:rPr>
              <w:t>）</w:t>
            </w:r>
          </w:p>
          <w:p>
            <w:pPr>
              <w:snapToGrid w:val="0"/>
              <w:spacing w:line="360" w:lineRule="auto"/>
              <w:jc w:val="left"/>
              <w:rPr>
                <w:color w:val="auto"/>
                <w:highlight w:val="none"/>
              </w:rPr>
            </w:pPr>
            <w:r>
              <w:rPr>
                <w:color w:val="auto"/>
                <w:szCs w:val="21"/>
                <w:highlight w:val="none"/>
              </w:rPr>
              <w:t>7.本项目的特定资格要求：（如本项目招标公告有要求，则</w:t>
            </w:r>
            <w:r>
              <w:rPr>
                <w:b/>
                <w:color w:val="auto"/>
                <w:szCs w:val="21"/>
                <w:highlight w:val="none"/>
              </w:rPr>
              <w:t>必须提供有效证明材料扫描件，否则作无效投标处理</w:t>
            </w:r>
            <w:r>
              <w:rPr>
                <w:color w:val="auto"/>
                <w:szCs w:val="21"/>
                <w:highlight w:val="none"/>
              </w:rPr>
              <w:t>）</w:t>
            </w:r>
          </w:p>
          <w:p>
            <w:pPr>
              <w:snapToGrid w:val="0"/>
              <w:spacing w:line="360" w:lineRule="auto"/>
              <w:jc w:val="left"/>
              <w:rPr>
                <w:color w:val="auto"/>
                <w:szCs w:val="21"/>
                <w:highlight w:val="none"/>
              </w:rPr>
            </w:pPr>
            <w:r>
              <w:rPr>
                <w:color w:val="auto"/>
                <w:szCs w:val="21"/>
                <w:highlight w:val="none"/>
              </w:rPr>
              <w:t>8.</w:t>
            </w:r>
            <w:bookmarkStart w:id="150" w:name="OLE_LINK19"/>
            <w:r>
              <w:rPr>
                <w:color w:val="auto"/>
                <w:szCs w:val="21"/>
                <w:highlight w:val="none"/>
              </w:rPr>
              <w:t>声明函（格式后附）</w:t>
            </w:r>
            <w:bookmarkEnd w:id="150"/>
            <w:r>
              <w:rPr>
                <w:color w:val="auto"/>
                <w:szCs w:val="21"/>
                <w:highlight w:val="none"/>
              </w:rPr>
              <w:t>。（</w:t>
            </w:r>
            <w:bookmarkStart w:id="151" w:name="OLE_LINK20"/>
            <w:r>
              <w:rPr>
                <w:b/>
                <w:color w:val="auto"/>
                <w:szCs w:val="21"/>
                <w:highlight w:val="none"/>
              </w:rPr>
              <w:t>必须提供，否则作无效投标处理</w:t>
            </w:r>
            <w:bookmarkEnd w:id="151"/>
            <w:r>
              <w:rPr>
                <w:color w:val="auto"/>
                <w:szCs w:val="21"/>
                <w:highlight w:val="none"/>
              </w:rPr>
              <w:t>）</w:t>
            </w:r>
          </w:p>
          <w:p>
            <w:pPr>
              <w:snapToGrid w:val="0"/>
              <w:spacing w:line="360" w:lineRule="auto"/>
              <w:jc w:val="left"/>
              <w:rPr>
                <w:color w:val="auto"/>
                <w:szCs w:val="21"/>
                <w:highlight w:val="none"/>
              </w:rPr>
            </w:pPr>
            <w:r>
              <w:rPr>
                <w:color w:val="auto"/>
                <w:szCs w:val="21"/>
                <w:highlight w:val="none"/>
              </w:rPr>
              <w:t>9.联合体投标协议书（格式后附）。（</w:t>
            </w:r>
            <w:r>
              <w:rPr>
                <w:b/>
                <w:color w:val="auto"/>
                <w:szCs w:val="21"/>
                <w:highlight w:val="none"/>
              </w:rPr>
              <w:t>联合体投标时必须提供，否则作无效投标处理</w:t>
            </w:r>
            <w:r>
              <w:rPr>
                <w:color w:val="auto"/>
                <w:szCs w:val="21"/>
                <w:highlight w:val="none"/>
              </w:rPr>
              <w:t>）</w:t>
            </w:r>
          </w:p>
          <w:p>
            <w:pPr>
              <w:snapToGrid w:val="0"/>
              <w:spacing w:line="360" w:lineRule="auto"/>
              <w:jc w:val="left"/>
              <w:rPr>
                <w:color w:val="auto"/>
                <w:szCs w:val="21"/>
                <w:highlight w:val="none"/>
              </w:rPr>
            </w:pPr>
            <w:r>
              <w:rPr>
                <w:color w:val="auto"/>
                <w:szCs w:val="21"/>
                <w:highlight w:val="none"/>
              </w:rPr>
              <w:t>10.除招标文件规定必须提供以外，投标人认为需要提供的其他证明材料（格式自拟）。</w:t>
            </w:r>
          </w:p>
          <w:p>
            <w:pPr>
              <w:snapToGrid w:val="0"/>
              <w:spacing w:line="360" w:lineRule="auto"/>
              <w:jc w:val="left"/>
              <w:rPr>
                <w:b/>
                <w:color w:val="auto"/>
                <w:szCs w:val="21"/>
                <w:highlight w:val="none"/>
              </w:rPr>
            </w:pPr>
            <w:r>
              <w:rPr>
                <w:b/>
                <w:bCs/>
                <w:color w:val="auto"/>
                <w:szCs w:val="21"/>
                <w:highlight w:val="none"/>
              </w:rPr>
              <w:t>注：1.</w:t>
            </w:r>
            <w:r>
              <w:rPr>
                <w:color w:val="auto"/>
                <w:szCs w:val="21"/>
                <w:highlight w:val="none"/>
              </w:rPr>
              <w:t xml:space="preserve"> </w:t>
            </w:r>
            <w:r>
              <w:rPr>
                <w:b/>
                <w:bCs/>
                <w:color w:val="auto"/>
                <w:szCs w:val="21"/>
                <w:highlight w:val="none"/>
              </w:rPr>
              <w:t>以上标明“必须提供”的材料</w:t>
            </w:r>
            <w:r>
              <w:rPr>
                <w:b/>
                <w:color w:val="auto"/>
                <w:szCs w:val="21"/>
                <w:highlight w:val="none"/>
              </w:rPr>
              <w:t>属于复印件的扫描件的</w:t>
            </w:r>
            <w:r>
              <w:rPr>
                <w:b/>
                <w:bCs/>
                <w:color w:val="auto"/>
                <w:szCs w:val="21"/>
                <w:highlight w:val="none"/>
              </w:rPr>
              <w:t>，必须加盖投标人公章，否则</w:t>
            </w:r>
            <w:r>
              <w:rPr>
                <w:b/>
                <w:color w:val="auto"/>
                <w:szCs w:val="21"/>
                <w:highlight w:val="none"/>
              </w:rPr>
              <w:t>作无效投标处理。</w:t>
            </w:r>
          </w:p>
          <w:p>
            <w:pPr>
              <w:snapToGrid w:val="0"/>
              <w:spacing w:line="360" w:lineRule="auto"/>
              <w:ind w:firstLine="422" w:firstLineChars="200"/>
              <w:jc w:val="left"/>
              <w:rPr>
                <w:b/>
                <w:bCs/>
                <w:color w:val="auto"/>
                <w:szCs w:val="21"/>
                <w:highlight w:val="none"/>
              </w:rPr>
            </w:pPr>
            <w:r>
              <w:rPr>
                <w:b/>
                <w:color w:val="auto"/>
                <w:szCs w:val="21"/>
                <w:highlight w:val="none"/>
              </w:rPr>
              <w:t>2</w:t>
            </w:r>
            <w:r>
              <w:rPr>
                <w:b/>
                <w:bCs/>
                <w:color w:val="auto"/>
                <w:szCs w:val="21"/>
                <w:highlight w:val="none"/>
              </w:rPr>
              <w:t>.联合体投标时，第1-8项资格证明文件联合体各方均必须分别提供，联合体各方分别盖章，否则投标文件作无效投标处理。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nil"/>
              <w:right w:val="single" w:color="auto" w:sz="4" w:space="0"/>
            </w:tcBorders>
            <w:vAlign w:val="center"/>
          </w:tcPr>
          <w:p>
            <w:pPr>
              <w:spacing w:line="360" w:lineRule="auto"/>
              <w:rPr>
                <w:color w:val="auto"/>
                <w:szCs w:val="21"/>
                <w:highlight w:val="none"/>
              </w:rPr>
            </w:pPr>
          </w:p>
        </w:tc>
        <w:tc>
          <w:tcPr>
            <w:tcW w:w="22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color w:val="auto"/>
                <w:szCs w:val="21"/>
                <w:highlight w:val="none"/>
              </w:rPr>
            </w:pPr>
            <w:bookmarkStart w:id="152" w:name="_13.3"/>
            <w:bookmarkEnd w:id="152"/>
            <w:r>
              <w:rPr>
                <w:color w:val="auto"/>
                <w:szCs w:val="21"/>
                <w:highlight w:val="none"/>
              </w:rPr>
              <w:t>商务文件组成</w:t>
            </w:r>
          </w:p>
          <w:p>
            <w:pPr>
              <w:spacing w:line="360" w:lineRule="auto"/>
              <w:rPr>
                <w:color w:val="auto"/>
                <w:szCs w:val="21"/>
                <w:highlight w:val="none"/>
              </w:rPr>
            </w:pP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color w:val="auto"/>
                <w:szCs w:val="21"/>
                <w:highlight w:val="none"/>
              </w:rPr>
            </w:pPr>
            <w:r>
              <w:rPr>
                <w:color w:val="auto"/>
                <w:szCs w:val="21"/>
                <w:highlight w:val="none"/>
              </w:rPr>
              <w:t>1.无串通投标行为的承诺函（格式后附）；（</w:t>
            </w:r>
            <w:bookmarkStart w:id="153" w:name="OLE_LINK21"/>
            <w:r>
              <w:rPr>
                <w:b/>
                <w:color w:val="auto"/>
                <w:szCs w:val="21"/>
                <w:highlight w:val="none"/>
              </w:rPr>
              <w:t>必须提供，否则作无效投标处理</w:t>
            </w:r>
            <w:bookmarkEnd w:id="153"/>
            <w:r>
              <w:rPr>
                <w:color w:val="auto"/>
                <w:szCs w:val="21"/>
                <w:highlight w:val="none"/>
              </w:rPr>
              <w:t>）</w:t>
            </w:r>
          </w:p>
          <w:p>
            <w:pPr>
              <w:snapToGrid w:val="0"/>
              <w:spacing w:line="360" w:lineRule="auto"/>
              <w:jc w:val="left"/>
              <w:rPr>
                <w:color w:val="auto"/>
                <w:szCs w:val="21"/>
                <w:highlight w:val="none"/>
              </w:rPr>
            </w:pPr>
            <w:r>
              <w:rPr>
                <w:color w:val="auto"/>
                <w:szCs w:val="21"/>
                <w:highlight w:val="none"/>
              </w:rPr>
              <w:t>2.法定代表人身份证明及法定代表人有效身份证正反面复印件（格式后附）；（</w:t>
            </w:r>
            <w:bookmarkStart w:id="154" w:name="OLE_LINK22"/>
            <w:r>
              <w:rPr>
                <w:b/>
                <w:bCs/>
                <w:color w:val="auto"/>
                <w:szCs w:val="21"/>
                <w:highlight w:val="none"/>
              </w:rPr>
              <w:t>除自然人投标外</w:t>
            </w:r>
            <w:r>
              <w:rPr>
                <w:b/>
                <w:color w:val="auto"/>
                <w:szCs w:val="21"/>
                <w:highlight w:val="none"/>
              </w:rPr>
              <w:t>必须提供，否则作无效投标处理</w:t>
            </w:r>
            <w:bookmarkEnd w:id="154"/>
            <w:r>
              <w:rPr>
                <w:color w:val="auto"/>
                <w:szCs w:val="21"/>
                <w:highlight w:val="none"/>
              </w:rPr>
              <w:t>）</w:t>
            </w:r>
          </w:p>
          <w:p>
            <w:pPr>
              <w:snapToGrid w:val="0"/>
              <w:spacing w:line="360" w:lineRule="auto"/>
              <w:jc w:val="left"/>
              <w:rPr>
                <w:color w:val="auto"/>
                <w:szCs w:val="21"/>
                <w:highlight w:val="none"/>
              </w:rPr>
            </w:pPr>
            <w:r>
              <w:rPr>
                <w:color w:val="auto"/>
                <w:szCs w:val="21"/>
                <w:highlight w:val="none"/>
              </w:rPr>
              <w:t>3.法定代表人授权委托书及委托代理人有效身份证正反面复印件（格式后附）；（</w:t>
            </w:r>
            <w:bookmarkStart w:id="155" w:name="OLE_LINK23"/>
            <w:r>
              <w:rPr>
                <w:b/>
                <w:color w:val="auto"/>
                <w:szCs w:val="21"/>
                <w:highlight w:val="none"/>
              </w:rPr>
              <w:t>委托时必须提供，否则作无效投标处理</w:t>
            </w:r>
            <w:bookmarkEnd w:id="155"/>
            <w:r>
              <w:rPr>
                <w:color w:val="auto"/>
                <w:szCs w:val="21"/>
                <w:highlight w:val="none"/>
              </w:rPr>
              <w:t>）</w:t>
            </w:r>
          </w:p>
          <w:p>
            <w:pPr>
              <w:pStyle w:val="15"/>
              <w:spacing w:line="360" w:lineRule="auto"/>
              <w:rPr>
                <w:color w:val="auto"/>
                <w:sz w:val="21"/>
                <w:szCs w:val="21"/>
                <w:highlight w:val="none"/>
              </w:rPr>
            </w:pPr>
            <w:r>
              <w:rPr>
                <w:color w:val="auto"/>
                <w:sz w:val="21"/>
                <w:szCs w:val="21"/>
                <w:highlight w:val="none"/>
              </w:rPr>
              <w:t>4.投标保证金提交凭证；</w:t>
            </w:r>
            <w:r>
              <w:rPr>
                <w:b/>
                <w:color w:val="auto"/>
                <w:sz w:val="21"/>
                <w:szCs w:val="21"/>
                <w:highlight w:val="none"/>
              </w:rPr>
              <w:t>（</w:t>
            </w:r>
            <w:bookmarkStart w:id="156" w:name="OLE_LINK24"/>
            <w:r>
              <w:rPr>
                <w:b/>
                <w:color w:val="auto"/>
                <w:sz w:val="21"/>
                <w:szCs w:val="21"/>
                <w:highlight w:val="none"/>
              </w:rPr>
              <w:t>如本项目招标公告有要求缴纳投标保证金的，则必须提供，否则作无效投标处理</w:t>
            </w:r>
            <w:bookmarkEnd w:id="156"/>
            <w:r>
              <w:rPr>
                <w:b/>
                <w:color w:val="auto"/>
                <w:sz w:val="21"/>
                <w:szCs w:val="21"/>
                <w:highlight w:val="none"/>
              </w:rPr>
              <w:t>）</w:t>
            </w:r>
          </w:p>
          <w:p>
            <w:pPr>
              <w:snapToGrid w:val="0"/>
              <w:spacing w:line="360" w:lineRule="auto"/>
              <w:jc w:val="left"/>
              <w:rPr>
                <w:color w:val="auto"/>
                <w:szCs w:val="21"/>
                <w:highlight w:val="none"/>
              </w:rPr>
            </w:pPr>
            <w:r>
              <w:rPr>
                <w:color w:val="auto"/>
                <w:szCs w:val="21"/>
                <w:highlight w:val="none"/>
              </w:rPr>
              <w:t>5.商务条款偏离表（格式后附）；（</w:t>
            </w:r>
            <w:r>
              <w:rPr>
                <w:b/>
                <w:color w:val="auto"/>
                <w:szCs w:val="21"/>
                <w:highlight w:val="none"/>
              </w:rPr>
              <w:t>必须提供，否则作无效投标处理</w:t>
            </w:r>
            <w:r>
              <w:rPr>
                <w:color w:val="auto"/>
                <w:szCs w:val="21"/>
                <w:highlight w:val="none"/>
              </w:rPr>
              <w:t>）</w:t>
            </w:r>
          </w:p>
          <w:p>
            <w:pPr>
              <w:snapToGrid w:val="0"/>
              <w:spacing w:line="360" w:lineRule="auto"/>
              <w:jc w:val="left"/>
              <w:rPr>
                <w:color w:val="auto"/>
                <w:szCs w:val="21"/>
                <w:highlight w:val="none"/>
              </w:rPr>
            </w:pPr>
            <w:r>
              <w:rPr>
                <w:color w:val="auto"/>
                <w:szCs w:val="21"/>
                <w:highlight w:val="none"/>
              </w:rPr>
              <w:t>6.投标人情况介绍（格式自拟）；</w:t>
            </w:r>
          </w:p>
          <w:p>
            <w:pPr>
              <w:snapToGrid w:val="0"/>
              <w:spacing w:line="360" w:lineRule="auto"/>
              <w:jc w:val="left"/>
              <w:rPr>
                <w:color w:val="auto"/>
                <w:szCs w:val="21"/>
                <w:highlight w:val="none"/>
              </w:rPr>
            </w:pPr>
            <w:r>
              <w:rPr>
                <w:color w:val="auto"/>
                <w:szCs w:val="21"/>
                <w:highlight w:val="none"/>
              </w:rPr>
              <w:t>7.除招标文件规定必须提供以外，投标人认为需要提供的其他证明材料（格式自拟）。（投标人根据“第二章 采购需求”及“第四章 评标方法和评标标准”提供有关证明材料）。</w:t>
            </w:r>
          </w:p>
          <w:p>
            <w:pPr>
              <w:snapToGrid w:val="0"/>
              <w:spacing w:line="360" w:lineRule="auto"/>
              <w:jc w:val="left"/>
              <w:rPr>
                <w:b/>
                <w:bCs/>
                <w:color w:val="auto"/>
                <w:szCs w:val="21"/>
                <w:highlight w:val="none"/>
              </w:rPr>
            </w:pPr>
            <w:r>
              <w:rPr>
                <w:b/>
                <w:bCs/>
                <w:color w:val="auto"/>
                <w:szCs w:val="21"/>
                <w:highlight w:val="none"/>
              </w:rPr>
              <w:t>注：1.法定代表人授权委托书必须由法定代表人及委托代理人签字，并加盖投标人公章，否则作无效投标处理。</w:t>
            </w:r>
          </w:p>
          <w:p>
            <w:pPr>
              <w:snapToGrid w:val="0"/>
              <w:spacing w:line="360" w:lineRule="auto"/>
              <w:ind w:firstLine="422" w:firstLineChars="200"/>
              <w:jc w:val="left"/>
              <w:rPr>
                <w:b/>
                <w:color w:val="auto"/>
                <w:szCs w:val="21"/>
                <w:highlight w:val="none"/>
              </w:rPr>
            </w:pPr>
            <w:r>
              <w:rPr>
                <w:b/>
                <w:bCs/>
                <w:color w:val="auto"/>
                <w:szCs w:val="21"/>
                <w:highlight w:val="none"/>
              </w:rPr>
              <w:t>2.以上标明“必须提供”的材料</w:t>
            </w:r>
            <w:r>
              <w:rPr>
                <w:b/>
                <w:color w:val="auto"/>
                <w:szCs w:val="21"/>
                <w:highlight w:val="none"/>
              </w:rPr>
              <w:t>属于复印件的扫描件的</w:t>
            </w:r>
            <w:r>
              <w:rPr>
                <w:b/>
                <w:bCs/>
                <w:color w:val="auto"/>
                <w:szCs w:val="21"/>
                <w:highlight w:val="none"/>
              </w:rPr>
              <w:t>，必须加盖投标人公章，否则</w:t>
            </w:r>
            <w:r>
              <w:rPr>
                <w:b/>
                <w:color w:val="auto"/>
                <w:szCs w:val="21"/>
                <w:highlight w:val="none"/>
              </w:rPr>
              <w:t>作无效投标处理</w:t>
            </w:r>
            <w:r>
              <w:rPr>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restart"/>
            <w:tcBorders>
              <w:top w:val="nil"/>
              <w:left w:val="single" w:color="auto" w:sz="4" w:space="0"/>
              <w:bottom w:val="single" w:color="auto" w:sz="4" w:space="0"/>
              <w:right w:val="single" w:color="auto" w:sz="4" w:space="0"/>
            </w:tcBorders>
            <w:vAlign w:val="center"/>
          </w:tcPr>
          <w:p>
            <w:pPr>
              <w:spacing w:line="360" w:lineRule="auto"/>
              <w:rPr>
                <w:color w:val="auto"/>
                <w:szCs w:val="21"/>
                <w:highlight w:val="none"/>
              </w:rPr>
            </w:pPr>
          </w:p>
        </w:tc>
        <w:tc>
          <w:tcPr>
            <w:tcW w:w="22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color w:val="auto"/>
                <w:szCs w:val="21"/>
                <w:highlight w:val="none"/>
              </w:rPr>
            </w:pPr>
            <w:bookmarkStart w:id="157" w:name="_13.4"/>
            <w:bookmarkEnd w:id="157"/>
            <w:r>
              <w:rPr>
                <w:color w:val="auto"/>
                <w:szCs w:val="21"/>
                <w:highlight w:val="none"/>
              </w:rPr>
              <w:t>技术文件组成</w:t>
            </w:r>
          </w:p>
          <w:p>
            <w:pPr>
              <w:spacing w:line="360" w:lineRule="auto"/>
              <w:rPr>
                <w:color w:val="auto"/>
                <w:szCs w:val="21"/>
                <w:highlight w:val="none"/>
              </w:rPr>
            </w:pP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color w:val="auto"/>
                <w:szCs w:val="21"/>
                <w:highlight w:val="none"/>
              </w:rPr>
            </w:pPr>
            <w:r>
              <w:rPr>
                <w:color w:val="auto"/>
                <w:szCs w:val="21"/>
                <w:highlight w:val="none"/>
              </w:rPr>
              <w:t>1.服务需求偏离表（格式后附）；（</w:t>
            </w:r>
            <w:r>
              <w:rPr>
                <w:b/>
                <w:color w:val="auto"/>
                <w:szCs w:val="21"/>
                <w:highlight w:val="none"/>
              </w:rPr>
              <w:t>必须提供，否则作无效投标处理</w:t>
            </w:r>
            <w:r>
              <w:rPr>
                <w:color w:val="auto"/>
                <w:szCs w:val="21"/>
                <w:highlight w:val="none"/>
              </w:rPr>
              <w:t>）</w:t>
            </w:r>
          </w:p>
          <w:p>
            <w:pPr>
              <w:snapToGrid w:val="0"/>
              <w:spacing w:line="360" w:lineRule="auto"/>
              <w:jc w:val="left"/>
              <w:rPr>
                <w:b/>
                <w:i/>
                <w:iCs/>
                <w:color w:val="auto"/>
                <w:szCs w:val="21"/>
                <w:highlight w:val="none"/>
              </w:rPr>
            </w:pPr>
            <w:r>
              <w:rPr>
                <w:color w:val="auto"/>
                <w:szCs w:val="21"/>
                <w:highlight w:val="none"/>
              </w:rPr>
              <w:t>2.项目方案（至少包含系统设计方案、项目实施方案、系统数据治理方案、系统运维及售后服务方案、拟投入实施人员、售后服务承诺、技术培训等）（格式自拟）；</w:t>
            </w:r>
          </w:p>
          <w:p>
            <w:pPr>
              <w:tabs>
                <w:tab w:val="center" w:pos="4153"/>
                <w:tab w:val="right" w:pos="8306"/>
              </w:tabs>
              <w:spacing w:line="360" w:lineRule="auto"/>
              <w:rPr>
                <w:color w:val="auto"/>
                <w:highlight w:val="none"/>
              </w:rPr>
            </w:pPr>
            <w:r>
              <w:rPr>
                <w:color w:val="auto"/>
                <w:szCs w:val="21"/>
                <w:highlight w:val="none"/>
              </w:rPr>
              <w:t>3.投标人业绩及证明资料（格式自拟）；</w:t>
            </w:r>
          </w:p>
          <w:p>
            <w:pPr>
              <w:snapToGrid w:val="0"/>
              <w:spacing w:line="360" w:lineRule="auto"/>
              <w:jc w:val="left"/>
              <w:rPr>
                <w:color w:val="auto"/>
                <w:szCs w:val="21"/>
                <w:highlight w:val="none"/>
              </w:rPr>
            </w:pPr>
            <w:r>
              <w:rPr>
                <w:color w:val="auto"/>
                <w:szCs w:val="21"/>
                <w:highlight w:val="none"/>
              </w:rPr>
              <w:t>4.优惠条件：投标人承诺给予采购人的各种优惠条件，包括售后服务、备品备件、专用耗材等方面的优惠；投标人不得给予赠品或者与采购无关的其他商品、服务（格式自拟）；</w:t>
            </w:r>
          </w:p>
          <w:p>
            <w:pPr>
              <w:snapToGrid w:val="0"/>
              <w:spacing w:line="360" w:lineRule="auto"/>
              <w:jc w:val="left"/>
              <w:rPr>
                <w:color w:val="auto"/>
                <w:szCs w:val="21"/>
                <w:highlight w:val="none"/>
              </w:rPr>
            </w:pPr>
            <w:r>
              <w:rPr>
                <w:color w:val="auto"/>
                <w:szCs w:val="21"/>
                <w:highlight w:val="none"/>
              </w:rPr>
              <w:t>5.投标人对本项目的合理化建议（格式自拟）；</w:t>
            </w:r>
          </w:p>
          <w:p>
            <w:pPr>
              <w:snapToGrid w:val="0"/>
              <w:spacing w:line="360" w:lineRule="auto"/>
              <w:jc w:val="left"/>
              <w:rPr>
                <w:bCs/>
                <w:color w:val="auto"/>
                <w:szCs w:val="21"/>
                <w:highlight w:val="none"/>
              </w:rPr>
            </w:pPr>
            <w:r>
              <w:rPr>
                <w:color w:val="auto"/>
                <w:szCs w:val="21"/>
                <w:highlight w:val="none"/>
              </w:rPr>
              <w:t>6.除招标文件规定必须提供以外，投标人需要说明的其他文件和说明（格式自拟）。</w:t>
            </w:r>
          </w:p>
          <w:p>
            <w:pPr>
              <w:snapToGrid w:val="0"/>
              <w:spacing w:line="360" w:lineRule="auto"/>
              <w:jc w:val="left"/>
              <w:rPr>
                <w:b/>
                <w:bCs/>
                <w:color w:val="auto"/>
                <w:szCs w:val="21"/>
                <w:highlight w:val="none"/>
              </w:rPr>
            </w:pPr>
            <w:r>
              <w:rPr>
                <w:b/>
                <w:bCs/>
                <w:color w:val="auto"/>
                <w:szCs w:val="21"/>
                <w:highlight w:val="none"/>
              </w:rPr>
              <w:t>注：以上标明“必须提供”的材料</w:t>
            </w:r>
            <w:r>
              <w:rPr>
                <w:b/>
                <w:color w:val="auto"/>
                <w:szCs w:val="21"/>
                <w:highlight w:val="none"/>
              </w:rPr>
              <w:t>属于复印件的扫描件的</w:t>
            </w:r>
            <w:r>
              <w:rPr>
                <w:b/>
                <w:bCs/>
                <w:color w:val="auto"/>
                <w:szCs w:val="21"/>
                <w:highlight w:val="none"/>
              </w:rPr>
              <w:t>，必须加盖投标人公章，否则</w:t>
            </w:r>
            <w:r>
              <w:rPr>
                <w:b/>
                <w:color w:val="auto"/>
                <w:szCs w:val="21"/>
                <w:highlight w:val="none"/>
              </w:rPr>
              <w:t>作无效投标处理</w:t>
            </w:r>
            <w:r>
              <w:rPr>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rPr>
                <w:color w:val="auto"/>
                <w:szCs w:val="21"/>
                <w:highlight w:val="none"/>
              </w:rPr>
            </w:pPr>
          </w:p>
        </w:tc>
        <w:tc>
          <w:tcPr>
            <w:tcW w:w="22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color w:val="auto"/>
                <w:szCs w:val="21"/>
                <w:highlight w:val="none"/>
              </w:rPr>
            </w:pPr>
            <w:r>
              <w:rPr>
                <w:color w:val="auto"/>
                <w:szCs w:val="21"/>
                <w:highlight w:val="none"/>
              </w:rPr>
              <w:t>报价文件组成</w:t>
            </w:r>
          </w:p>
        </w:tc>
        <w:tc>
          <w:tcPr>
            <w:tcW w:w="6631" w:type="dxa"/>
            <w:tcBorders>
              <w:top w:val="single" w:color="auto" w:sz="4" w:space="0"/>
              <w:left w:val="single" w:color="auto" w:sz="4" w:space="0"/>
              <w:bottom w:val="single" w:color="auto" w:sz="4" w:space="0"/>
              <w:right w:val="single" w:color="auto" w:sz="4" w:space="0"/>
            </w:tcBorders>
            <w:vAlign w:val="center"/>
          </w:tcPr>
          <w:p>
            <w:pPr>
              <w:tabs>
                <w:tab w:val="left" w:pos="459"/>
              </w:tabs>
              <w:snapToGrid w:val="0"/>
              <w:spacing w:line="360" w:lineRule="auto"/>
              <w:jc w:val="left"/>
              <w:rPr>
                <w:color w:val="auto"/>
                <w:szCs w:val="21"/>
                <w:highlight w:val="none"/>
              </w:rPr>
            </w:pPr>
            <w:r>
              <w:rPr>
                <w:color w:val="auto"/>
                <w:szCs w:val="21"/>
                <w:highlight w:val="none"/>
              </w:rPr>
              <w:t>1.投标函（格式后附）；</w:t>
            </w:r>
            <w:r>
              <w:rPr>
                <w:b/>
                <w:color w:val="auto"/>
                <w:szCs w:val="21"/>
                <w:highlight w:val="none"/>
              </w:rPr>
              <w:t>（</w:t>
            </w:r>
            <w:bookmarkStart w:id="158" w:name="OLE_LINK25"/>
            <w:r>
              <w:rPr>
                <w:b/>
                <w:color w:val="auto"/>
                <w:szCs w:val="21"/>
                <w:highlight w:val="none"/>
              </w:rPr>
              <w:t>必须提供，否则作无效投标处理</w:t>
            </w:r>
            <w:bookmarkEnd w:id="158"/>
            <w:r>
              <w:rPr>
                <w:b/>
                <w:color w:val="auto"/>
                <w:szCs w:val="21"/>
                <w:highlight w:val="none"/>
              </w:rPr>
              <w:t>）</w:t>
            </w:r>
          </w:p>
          <w:p>
            <w:pPr>
              <w:tabs>
                <w:tab w:val="left" w:pos="459"/>
              </w:tabs>
              <w:snapToGrid w:val="0"/>
              <w:spacing w:line="360" w:lineRule="auto"/>
              <w:jc w:val="left"/>
              <w:rPr>
                <w:color w:val="auto"/>
                <w:szCs w:val="21"/>
                <w:highlight w:val="none"/>
              </w:rPr>
            </w:pPr>
            <w:r>
              <w:rPr>
                <w:color w:val="auto"/>
                <w:szCs w:val="21"/>
                <w:highlight w:val="none"/>
              </w:rPr>
              <w:t>2.开标一览表（格式后附）；（</w:t>
            </w:r>
            <w:bookmarkStart w:id="159" w:name="OLE_LINK26"/>
            <w:r>
              <w:rPr>
                <w:b/>
                <w:color w:val="auto"/>
                <w:szCs w:val="21"/>
                <w:highlight w:val="none"/>
              </w:rPr>
              <w:t>必须提供，否则作无效投标处理</w:t>
            </w:r>
            <w:bookmarkEnd w:id="159"/>
            <w:r>
              <w:rPr>
                <w:color w:val="auto"/>
                <w:szCs w:val="21"/>
                <w:highlight w:val="none"/>
              </w:rPr>
              <w:t>）</w:t>
            </w:r>
          </w:p>
          <w:p>
            <w:pPr>
              <w:tabs>
                <w:tab w:val="left" w:pos="459"/>
              </w:tabs>
              <w:snapToGrid w:val="0"/>
              <w:spacing w:line="360" w:lineRule="auto"/>
              <w:jc w:val="left"/>
              <w:rPr>
                <w:color w:val="auto"/>
                <w:szCs w:val="21"/>
                <w:highlight w:val="none"/>
              </w:rPr>
            </w:pPr>
            <w:r>
              <w:rPr>
                <w:color w:val="auto"/>
                <w:szCs w:val="21"/>
                <w:highlight w:val="none"/>
              </w:rPr>
              <w:t>3.中小企业声明函或者残疾人福利性单位声明函（格式后附），或者投标人属于监狱企业的需提供由省级以上监狱管理局、戒毒管理局（含新疆生产建设兵团）出具的属于监狱企业的证明文件</w:t>
            </w:r>
            <w:r>
              <w:rPr>
                <w:b/>
                <w:bCs/>
                <w:color w:val="auto"/>
                <w:szCs w:val="21"/>
                <w:highlight w:val="none"/>
              </w:rPr>
              <w:t>（如有请提供）</w:t>
            </w:r>
          </w:p>
          <w:p>
            <w:pPr>
              <w:tabs>
                <w:tab w:val="left" w:pos="459"/>
              </w:tabs>
              <w:snapToGrid w:val="0"/>
              <w:spacing w:line="360" w:lineRule="auto"/>
              <w:jc w:val="left"/>
              <w:rPr>
                <w:color w:val="auto"/>
                <w:szCs w:val="21"/>
                <w:highlight w:val="none"/>
              </w:rPr>
            </w:pPr>
            <w:r>
              <w:rPr>
                <w:color w:val="auto"/>
                <w:szCs w:val="21"/>
                <w:highlight w:val="none"/>
              </w:rPr>
              <w:t>4.投标人针对报价需要说明的其他文件和说明（格式自拟）。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16.2</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bookmarkStart w:id="160" w:name="_16.2"/>
            <w:bookmarkEnd w:id="160"/>
            <w:r>
              <w:rPr>
                <w:color w:val="auto"/>
                <w:szCs w:val="21"/>
                <w:highlight w:val="none"/>
              </w:rPr>
              <w:t>投标报价要求</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b/>
                <w:color w:val="auto"/>
                <w:szCs w:val="21"/>
                <w:highlight w:val="none"/>
              </w:rPr>
            </w:pPr>
            <w:r>
              <w:rPr>
                <w:color w:val="auto"/>
                <w:szCs w:val="21"/>
                <w:highlight w:val="none"/>
              </w:rPr>
              <w:t>投标报价是履行合同的最终价格，必须包含完成本项目所需所有费用，含服务费用、税金、代理服务费及其他与本项目服务相关的一切费用。</w:t>
            </w:r>
          </w:p>
          <w:p>
            <w:pPr>
              <w:snapToGrid w:val="0"/>
              <w:spacing w:line="360" w:lineRule="auto"/>
              <w:rPr>
                <w:b/>
                <w:color w:val="auto"/>
                <w:szCs w:val="21"/>
                <w:highlight w:val="none"/>
              </w:rPr>
            </w:pPr>
            <w:r>
              <w:rPr>
                <w:b/>
                <w:color w:val="auto"/>
                <w:szCs w:val="21"/>
                <w:highlight w:val="none"/>
              </w:rPr>
              <w:sym w:font="Wingdings 2" w:char="0052"/>
            </w:r>
            <w:r>
              <w:rPr>
                <w:b/>
                <w:color w:val="auto"/>
                <w:szCs w:val="21"/>
                <w:highlight w:val="none"/>
              </w:rPr>
              <w:t>投标报价包含验收费用</w:t>
            </w:r>
          </w:p>
          <w:p>
            <w:pPr>
              <w:pStyle w:val="15"/>
              <w:spacing w:line="360" w:lineRule="auto"/>
              <w:rPr>
                <w:color w:val="auto"/>
                <w:highlight w:val="none"/>
              </w:rPr>
            </w:pPr>
            <w:r>
              <w:rPr>
                <w:b/>
                <w:color w:val="auto"/>
                <w:sz w:val="21"/>
                <w:szCs w:val="21"/>
                <w:highlight w:val="none"/>
              </w:rPr>
              <w:t>□投标报价不包含验收费用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17.2</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bookmarkStart w:id="161" w:name="_17.1"/>
            <w:bookmarkEnd w:id="161"/>
            <w:r>
              <w:rPr>
                <w:color w:val="auto"/>
                <w:szCs w:val="21"/>
                <w:highlight w:val="none"/>
              </w:rPr>
              <w:t>投标有效期</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rPr>
            </w:pPr>
            <w:r>
              <w:rPr>
                <w:color w:val="auto"/>
                <w:szCs w:val="21"/>
                <w:highlight w:val="none"/>
              </w:rPr>
              <w:t>自投标截止之日起</w:t>
            </w:r>
            <w:r>
              <w:rPr>
                <w:color w:val="auto"/>
                <w:szCs w:val="21"/>
                <w:highlight w:val="none"/>
                <w:u w:val="single"/>
              </w:rPr>
              <w:t>90</w:t>
            </w:r>
            <w:r>
              <w:rPr>
                <w:color w:val="auto"/>
                <w:szCs w:val="21"/>
                <w:highlight w:val="none"/>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18</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bookmarkStart w:id="162" w:name="_18"/>
            <w:bookmarkEnd w:id="162"/>
            <w:r>
              <w:rPr>
                <w:color w:val="auto"/>
                <w:szCs w:val="21"/>
                <w:highlight w:val="none"/>
              </w:rPr>
              <w:t>投标保证金金额</w:t>
            </w:r>
          </w:p>
        </w:tc>
        <w:tc>
          <w:tcPr>
            <w:tcW w:w="663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b/>
                <w:bCs/>
                <w:color w:val="auto"/>
                <w:szCs w:val="21"/>
                <w:highlight w:val="none"/>
              </w:rPr>
            </w:pPr>
            <w:r>
              <w:rPr>
                <w:b/>
                <w:bCs/>
                <w:color w:val="auto"/>
                <w:szCs w:val="21"/>
                <w:highlight w:val="none"/>
              </w:rPr>
              <w:t>□本项目不需要缴纳投标保证金。</w:t>
            </w:r>
          </w:p>
          <w:p>
            <w:pPr>
              <w:snapToGrid w:val="0"/>
              <w:spacing w:line="360" w:lineRule="auto"/>
              <w:rPr>
                <w:b/>
                <w:bCs/>
                <w:color w:val="auto"/>
                <w:szCs w:val="21"/>
                <w:highlight w:val="none"/>
              </w:rPr>
            </w:pPr>
            <w:r>
              <w:rPr>
                <w:b/>
                <w:bCs/>
                <w:color w:val="auto"/>
                <w:szCs w:val="21"/>
                <w:highlight w:val="none"/>
              </w:rPr>
              <w:sym w:font="Wingdings 2" w:char="0052"/>
            </w:r>
            <w:r>
              <w:rPr>
                <w:b/>
                <w:bCs/>
                <w:color w:val="auto"/>
                <w:szCs w:val="21"/>
                <w:highlight w:val="none"/>
              </w:rPr>
              <w:t>本项目需要缴纳投标保证金，相关要求如下：</w:t>
            </w:r>
          </w:p>
          <w:p>
            <w:pPr>
              <w:snapToGrid w:val="0"/>
              <w:spacing w:line="360" w:lineRule="auto"/>
              <w:rPr>
                <w:color w:val="auto"/>
                <w:szCs w:val="21"/>
                <w:highlight w:val="none"/>
              </w:rPr>
            </w:pPr>
            <w:r>
              <w:rPr>
                <w:color w:val="auto"/>
                <w:szCs w:val="21"/>
                <w:highlight w:val="none"/>
              </w:rPr>
              <w:t>1.投标保证金的缴纳方式：详见招标公告</w:t>
            </w:r>
          </w:p>
          <w:p>
            <w:pPr>
              <w:snapToGrid w:val="0"/>
              <w:spacing w:line="360" w:lineRule="auto"/>
              <w:rPr>
                <w:color w:val="auto"/>
                <w:szCs w:val="21"/>
                <w:highlight w:val="none"/>
              </w:rPr>
            </w:pPr>
            <w:r>
              <w:rPr>
                <w:color w:val="auto"/>
                <w:szCs w:val="21"/>
                <w:highlight w:val="none"/>
              </w:rPr>
              <w:t>2.投标保证金的金额：详见招标公告</w:t>
            </w:r>
          </w:p>
          <w:p>
            <w:pPr>
              <w:pStyle w:val="9"/>
              <w:spacing w:line="360" w:lineRule="auto"/>
              <w:rPr>
                <w:color w:val="auto"/>
                <w:szCs w:val="21"/>
                <w:highlight w:val="none"/>
              </w:rPr>
            </w:pPr>
            <w:r>
              <w:rPr>
                <w:color w:val="auto"/>
                <w:szCs w:val="21"/>
                <w:highlight w:val="none"/>
              </w:rPr>
              <w:t>3.投标保证金采用银行转账缴纳方式的，在投标截止时间前交至采购代理机构指定账户并且到账，投标人应将银行转账底单的复印件作为投标保证金提交凭证，放置于商务文件中，</w:t>
            </w:r>
            <w:r>
              <w:rPr>
                <w:b/>
                <w:color w:val="auto"/>
                <w:szCs w:val="21"/>
                <w:highlight w:val="none"/>
              </w:rPr>
              <w:t>否则作无效投标处理</w:t>
            </w:r>
            <w:r>
              <w:rPr>
                <w:color w:val="auto"/>
                <w:szCs w:val="21"/>
                <w:highlight w:val="none"/>
              </w:rPr>
              <w:t>。</w:t>
            </w:r>
          </w:p>
          <w:p>
            <w:pPr>
              <w:snapToGrid w:val="0"/>
              <w:spacing w:line="360" w:lineRule="auto"/>
              <w:rPr>
                <w:color w:val="auto"/>
                <w:szCs w:val="21"/>
                <w:highlight w:val="none"/>
              </w:rPr>
            </w:pPr>
            <w:r>
              <w:rPr>
                <w:color w:val="auto"/>
                <w:szCs w:val="21"/>
                <w:highlight w:val="none"/>
              </w:rPr>
              <w:t>4.投标保证金采用支票、汇票、本票或者金融机构、担保机构出具的保函等缴纳方式的，投标人应将支票、汇票、本票或者金融机构、担保机构出具的保函等的复印件或者金融机构、担保机构出具的</w:t>
            </w:r>
            <w:r>
              <w:rPr>
                <w:color w:val="auto"/>
                <w:kern w:val="0"/>
                <w:szCs w:val="21"/>
                <w:highlight w:val="none"/>
              </w:rPr>
              <w:t>电子保函</w:t>
            </w:r>
            <w:r>
              <w:rPr>
                <w:color w:val="auto"/>
                <w:szCs w:val="21"/>
                <w:highlight w:val="none"/>
              </w:rPr>
              <w:t>作为投标保证金提交凭证，放置于商务文件中，</w:t>
            </w:r>
            <w:r>
              <w:rPr>
                <w:b/>
                <w:color w:val="auto"/>
                <w:szCs w:val="21"/>
                <w:highlight w:val="none"/>
              </w:rPr>
              <w:t>否则作无效投标处理</w:t>
            </w:r>
            <w:r>
              <w:rPr>
                <w:color w:val="auto"/>
                <w:szCs w:val="21"/>
                <w:highlight w:val="none"/>
              </w:rPr>
              <w:t>。投标人必须</w:t>
            </w:r>
            <w:r>
              <w:rPr>
                <w:color w:val="auto"/>
                <w:kern w:val="0"/>
                <w:szCs w:val="21"/>
                <w:highlight w:val="none"/>
              </w:rPr>
              <w:t>在投标截止时间前</w:t>
            </w:r>
            <w:r>
              <w:rPr>
                <w:color w:val="auto"/>
                <w:szCs w:val="21"/>
                <w:highlight w:val="none"/>
              </w:rPr>
              <w:t>将支票、汇票、本票或者金融、担保机构出具的保函（</w:t>
            </w:r>
            <w:r>
              <w:rPr>
                <w:color w:val="auto"/>
                <w:kern w:val="0"/>
                <w:szCs w:val="21"/>
                <w:highlight w:val="none"/>
              </w:rPr>
              <w:t>电子保函除外</w:t>
            </w:r>
            <w:r>
              <w:rPr>
                <w:color w:val="auto"/>
                <w:szCs w:val="21"/>
                <w:highlight w:val="none"/>
              </w:rPr>
              <w:t>）等原件提交给采购代理机构，由采购代理机构向投标人出具回执，并妥善保管。</w:t>
            </w:r>
          </w:p>
          <w:p>
            <w:pPr>
              <w:snapToGrid w:val="0"/>
              <w:spacing w:line="360" w:lineRule="auto"/>
              <w:rPr>
                <w:color w:val="auto"/>
                <w:szCs w:val="21"/>
                <w:highlight w:val="none"/>
              </w:rPr>
            </w:pPr>
            <w:r>
              <w:rPr>
                <w:color w:val="auto"/>
                <w:szCs w:val="21"/>
                <w:highlight w:val="none"/>
              </w:rPr>
              <w:t>5.缴纳投标保证金指定账户：详见招标公告。</w:t>
            </w:r>
          </w:p>
          <w:p>
            <w:pPr>
              <w:snapToGrid w:val="0"/>
              <w:spacing w:line="360" w:lineRule="auto"/>
              <w:rPr>
                <w:color w:val="auto"/>
                <w:szCs w:val="21"/>
                <w:highlight w:val="none"/>
              </w:rPr>
            </w:pPr>
            <w:r>
              <w:rPr>
                <w:color w:val="auto"/>
                <w:szCs w:val="21"/>
                <w:highlight w:val="none"/>
              </w:rPr>
              <w:t>6.投标人为联合体的，可以由联合体中的一方或者多方共同缴纳投标保证金，其缴纳的投标保证金对联合体各方均具有约束力。</w:t>
            </w:r>
          </w:p>
          <w:p>
            <w:pPr>
              <w:snapToGrid w:val="0"/>
              <w:spacing w:line="360" w:lineRule="auto"/>
              <w:rPr>
                <w:b/>
                <w:color w:val="auto"/>
                <w:szCs w:val="21"/>
                <w:highlight w:val="none"/>
              </w:rPr>
            </w:pPr>
            <w:r>
              <w:rPr>
                <w:b/>
                <w:color w:val="auto"/>
                <w:szCs w:val="21"/>
                <w:highlight w:val="none"/>
              </w:rPr>
              <w:t xml:space="preserve">备注： </w:t>
            </w:r>
          </w:p>
          <w:p>
            <w:pPr>
              <w:snapToGrid w:val="0"/>
              <w:spacing w:line="360" w:lineRule="auto"/>
              <w:rPr>
                <w:b/>
                <w:color w:val="auto"/>
                <w:szCs w:val="21"/>
                <w:highlight w:val="none"/>
              </w:rPr>
            </w:pPr>
            <w:r>
              <w:rPr>
                <w:b/>
                <w:color w:val="auto"/>
                <w:szCs w:val="21"/>
                <w:highlight w:val="none"/>
              </w:rPr>
              <w:t>1. 投标保证金在投标截止时间后提交的，或者不按规定缴纳方式缴纳的，或者未足额缴纳的（包含保函额度不足的），视为无效投标保证金。</w:t>
            </w:r>
          </w:p>
          <w:p>
            <w:pPr>
              <w:snapToGrid w:val="0"/>
              <w:spacing w:line="360" w:lineRule="auto"/>
              <w:rPr>
                <w:b/>
                <w:color w:val="auto"/>
                <w:szCs w:val="21"/>
                <w:highlight w:val="none"/>
              </w:rPr>
            </w:pPr>
            <w:r>
              <w:rPr>
                <w:b/>
                <w:color w:val="auto"/>
                <w:szCs w:val="21"/>
                <w:highlight w:val="none"/>
              </w:rPr>
              <w:t>2.投标人采用现金方式或者从个人账户（自然人投标除外）转出的投标保证金，视为无效投标保证金。</w:t>
            </w:r>
          </w:p>
          <w:p>
            <w:pPr>
              <w:snapToGrid w:val="0"/>
              <w:spacing w:line="360" w:lineRule="auto"/>
              <w:rPr>
                <w:b/>
                <w:color w:val="auto"/>
                <w:szCs w:val="21"/>
                <w:highlight w:val="none"/>
              </w:rPr>
            </w:pPr>
            <w:r>
              <w:rPr>
                <w:b/>
                <w:color w:val="auto"/>
                <w:szCs w:val="21"/>
                <w:highlight w:val="none"/>
              </w:rPr>
              <w:t>3.支票、汇票或者本票出现无效或者背书情形的，视为无效投标保证金。</w:t>
            </w:r>
          </w:p>
          <w:p>
            <w:pPr>
              <w:snapToGrid w:val="0"/>
              <w:spacing w:line="360" w:lineRule="auto"/>
              <w:rPr>
                <w:b/>
                <w:color w:val="auto"/>
                <w:szCs w:val="21"/>
                <w:highlight w:val="none"/>
              </w:rPr>
            </w:pPr>
            <w:r>
              <w:rPr>
                <w:b/>
                <w:color w:val="auto"/>
                <w:szCs w:val="21"/>
                <w:highlight w:val="none"/>
              </w:rPr>
              <w:t>4.保函有效期低于投标有效期的，视为无效投标保证金。</w:t>
            </w:r>
          </w:p>
          <w:p>
            <w:pPr>
              <w:autoSpaceDE w:val="0"/>
              <w:autoSpaceDN w:val="0"/>
              <w:snapToGrid w:val="0"/>
              <w:spacing w:line="360" w:lineRule="auto"/>
              <w:textAlignment w:val="bottom"/>
              <w:rPr>
                <w:color w:val="auto"/>
                <w:szCs w:val="21"/>
                <w:highlight w:val="none"/>
              </w:rPr>
            </w:pPr>
            <w:r>
              <w:rPr>
                <w:b/>
                <w:color w:val="auto"/>
                <w:szCs w:val="21"/>
                <w:highlight w:val="none"/>
              </w:rPr>
              <w:t>5.采用金融、担保机构出具保函的，必须为无条件保函，否则视为无效投标保证金</w:t>
            </w:r>
            <w:r>
              <w:rPr>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19.1</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投标文件编制要求</w:t>
            </w:r>
          </w:p>
        </w:tc>
        <w:tc>
          <w:tcPr>
            <w:tcW w:w="6631" w:type="dxa"/>
            <w:tcBorders>
              <w:top w:val="single" w:color="auto" w:sz="4" w:space="0"/>
              <w:left w:val="single" w:color="auto" w:sz="4" w:space="0"/>
              <w:bottom w:val="single" w:color="auto" w:sz="4" w:space="0"/>
              <w:right w:val="single" w:color="auto" w:sz="4" w:space="0"/>
            </w:tcBorders>
            <w:vAlign w:val="center"/>
          </w:tcPr>
          <w:p>
            <w:pPr>
              <w:spacing w:line="360" w:lineRule="auto"/>
              <w:rPr>
                <w:b/>
                <w:color w:val="auto"/>
                <w:szCs w:val="21"/>
                <w:highlight w:val="none"/>
                <w:u w:val="single"/>
              </w:rPr>
            </w:pPr>
            <w:r>
              <w:rPr>
                <w:color w:val="auto"/>
                <w:szCs w:val="21"/>
                <w:highlight w:val="none"/>
              </w:rPr>
              <w:t>投标文件应按报价文件、资格证明文件、商务文件、技术文件分别编制，报价文件、资格证明文件分别生成电子文件，商务文件和技术文件按顺序合并生成电子文件。</w:t>
            </w:r>
            <w:r>
              <w:rPr>
                <w:b/>
                <w:bCs/>
                <w:color w:val="auto"/>
                <w:szCs w:val="21"/>
                <w:highlight w:val="none"/>
              </w:rPr>
              <w:t>（注：按照本招标文件“第六章 投标文件格式”编写，第六章未附格式的，由投标人自行拟定。）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20</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备份投标文件</w:t>
            </w:r>
          </w:p>
        </w:tc>
        <w:tc>
          <w:tcPr>
            <w:tcW w:w="663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color w:val="auto"/>
                <w:szCs w:val="21"/>
                <w:highlight w:val="none"/>
              </w:rPr>
            </w:pPr>
            <w:r>
              <w:rPr>
                <w:color w:val="auto"/>
                <w:szCs w:val="21"/>
                <w:highlight w:val="none"/>
              </w:rPr>
              <w:t>本项目不接受备份投标文件。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21.1</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bookmarkStart w:id="163" w:name="_21.1"/>
            <w:bookmarkEnd w:id="163"/>
            <w:r>
              <w:rPr>
                <w:color w:val="auto"/>
                <w:szCs w:val="21"/>
                <w:highlight w:val="none"/>
              </w:rPr>
              <w:t>投标截止时间</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u w:val="single"/>
              </w:rPr>
            </w:pPr>
            <w:r>
              <w:rPr>
                <w:color w:val="auto"/>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color w:val="auto"/>
                <w:szCs w:val="21"/>
                <w:highlight w:val="none"/>
              </w:rPr>
            </w:pP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投标地点</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rPr>
            </w:pPr>
            <w:r>
              <w:rPr>
                <w:color w:val="auto"/>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continue"/>
            <w:tcBorders>
              <w:top w:val="single" w:color="auto" w:sz="4" w:space="0"/>
              <w:left w:val="single" w:color="auto" w:sz="4" w:space="0"/>
              <w:bottom w:val="nil"/>
              <w:right w:val="single" w:color="auto" w:sz="4" w:space="0"/>
            </w:tcBorders>
            <w:vAlign w:val="center"/>
          </w:tcPr>
          <w:p>
            <w:pPr>
              <w:widowControl/>
              <w:spacing w:line="360" w:lineRule="auto"/>
              <w:jc w:val="left"/>
              <w:rPr>
                <w:color w:val="auto"/>
                <w:szCs w:val="21"/>
                <w:highlight w:val="none"/>
              </w:rPr>
            </w:pP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投标人递交投标样品截止时间及地点</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rPr>
            </w:pPr>
            <w:r>
              <w:rPr>
                <w:bCs/>
                <w:color w:val="auto"/>
                <w:szCs w:val="21"/>
                <w:highlight w:val="none"/>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23</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bookmarkStart w:id="164" w:name="_23"/>
            <w:bookmarkEnd w:id="164"/>
            <w:r>
              <w:rPr>
                <w:color w:val="auto"/>
                <w:szCs w:val="21"/>
                <w:highlight w:val="none"/>
              </w:rPr>
              <w:t>开标时间、地点</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rPr>
            </w:pPr>
            <w:r>
              <w:rPr>
                <w:color w:val="auto"/>
                <w:szCs w:val="21"/>
                <w:highlight w:val="none"/>
              </w:rPr>
              <w:t xml:space="preserve">详见招标公告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25.3（2）</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bookmarkStart w:id="165" w:name="_25.3"/>
            <w:bookmarkEnd w:id="165"/>
            <w:r>
              <w:rPr>
                <w:color w:val="auto"/>
                <w:szCs w:val="21"/>
                <w:highlight w:val="none"/>
              </w:rPr>
              <w:t>投标人信用查询渠道</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rPr>
            </w:pPr>
            <w:r>
              <w:rPr>
                <w:color w:val="auto"/>
                <w:szCs w:val="21"/>
                <w:highlight w:val="none"/>
              </w:rPr>
              <w:t>采购人或者采购代理机构在资格审查结束前，对投标人进行信用查询。</w:t>
            </w:r>
          </w:p>
          <w:p>
            <w:pPr>
              <w:snapToGrid w:val="0"/>
              <w:spacing w:line="360" w:lineRule="auto"/>
              <w:rPr>
                <w:color w:val="auto"/>
                <w:szCs w:val="21"/>
                <w:highlight w:val="none"/>
              </w:rPr>
            </w:pPr>
            <w:r>
              <w:rPr>
                <w:color w:val="auto"/>
                <w:szCs w:val="21"/>
                <w:highlight w:val="none"/>
              </w:rPr>
              <w:t>查询渠道：“信用中国”网站(www.creditchina.gov.cn) 、中国政府采购网(www.ccgp.gov.cn)。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color w:val="auto"/>
                <w:szCs w:val="21"/>
                <w:highlight w:val="none"/>
              </w:rPr>
            </w:pP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信用查询截止时点</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rPr>
            </w:pPr>
            <w:r>
              <w:rPr>
                <w:color w:val="auto"/>
                <w:szCs w:val="21"/>
                <w:highlight w:val="none"/>
              </w:rPr>
              <w:t>资格审查结束前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color w:val="auto"/>
                <w:szCs w:val="21"/>
                <w:highlight w:val="none"/>
              </w:rPr>
            </w:pP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查询记录和证据留存方式</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rPr>
            </w:pPr>
            <w:r>
              <w:rPr>
                <w:color w:val="auto"/>
                <w:szCs w:val="21"/>
                <w:highlight w:val="none"/>
              </w:rPr>
              <w:t>在查询网站中直接截图查询记录，截图作为附件在广西政府采购云平台上传保存。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color w:val="auto"/>
                <w:szCs w:val="21"/>
                <w:highlight w:val="none"/>
              </w:rPr>
            </w:pP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信用信息使用规则</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rPr>
            </w:pPr>
            <w:r>
              <w:rPr>
                <w:color w:val="auto"/>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投标人，采购人或者采购代理机构应当拒绝其参与政府采购活动。两个以上的自然人、法人或者其他组织组成一个联合体，以一个投标人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29.1</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bookmarkStart w:id="166" w:name="_26"/>
            <w:bookmarkEnd w:id="166"/>
            <w:bookmarkStart w:id="167" w:name="_28.3"/>
            <w:bookmarkEnd w:id="167"/>
            <w:r>
              <w:rPr>
                <w:color w:val="auto"/>
                <w:szCs w:val="21"/>
                <w:highlight w:val="none"/>
              </w:rPr>
              <w:t>评标方法</w:t>
            </w:r>
          </w:p>
        </w:tc>
        <w:tc>
          <w:tcPr>
            <w:tcW w:w="663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color w:val="auto"/>
                <w:szCs w:val="21"/>
                <w:highlight w:val="none"/>
              </w:rPr>
            </w:pPr>
            <w:r>
              <w:rPr>
                <w:color w:val="auto"/>
                <w:szCs w:val="21"/>
                <w:highlight w:val="none"/>
              </w:rPr>
              <w:sym w:font="Wingdings 2" w:char="0052"/>
            </w:r>
            <w:r>
              <w:rPr>
                <w:color w:val="auto"/>
                <w:szCs w:val="21"/>
                <w:highlight w:val="none"/>
              </w:rPr>
              <w:t>综合评分法</w:t>
            </w:r>
          </w:p>
          <w:p>
            <w:pPr>
              <w:autoSpaceDE w:val="0"/>
              <w:autoSpaceDN w:val="0"/>
              <w:snapToGrid w:val="0"/>
              <w:spacing w:line="360" w:lineRule="auto"/>
              <w:textAlignment w:val="bottom"/>
              <w:rPr>
                <w:color w:val="auto"/>
                <w:szCs w:val="21"/>
                <w:highlight w:val="none"/>
              </w:rPr>
            </w:pPr>
            <w:r>
              <w:rPr>
                <w:color w:val="auto"/>
                <w:szCs w:val="21"/>
                <w:highlight w:val="none"/>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nil"/>
              <w:right w:val="single" w:color="auto" w:sz="4" w:space="0"/>
            </w:tcBorders>
            <w:vAlign w:val="center"/>
          </w:tcPr>
          <w:p>
            <w:pPr>
              <w:spacing w:line="360" w:lineRule="auto"/>
              <w:rPr>
                <w:color w:val="auto"/>
                <w:szCs w:val="21"/>
                <w:highlight w:val="none"/>
              </w:rPr>
            </w:pPr>
            <w:r>
              <w:rPr>
                <w:color w:val="auto"/>
                <w:szCs w:val="21"/>
                <w:highlight w:val="none"/>
              </w:rPr>
              <w:t>29.2</w:t>
            </w:r>
          </w:p>
        </w:tc>
        <w:tc>
          <w:tcPr>
            <w:tcW w:w="2250" w:type="dxa"/>
            <w:tcBorders>
              <w:top w:val="single" w:color="auto" w:sz="4" w:space="0"/>
              <w:left w:val="single" w:color="auto" w:sz="4" w:space="0"/>
              <w:bottom w:val="nil"/>
              <w:right w:val="single" w:color="auto" w:sz="4" w:space="0"/>
            </w:tcBorders>
            <w:vAlign w:val="center"/>
          </w:tcPr>
          <w:p>
            <w:pPr>
              <w:spacing w:line="360" w:lineRule="auto"/>
              <w:rPr>
                <w:color w:val="auto"/>
                <w:szCs w:val="21"/>
                <w:highlight w:val="none"/>
              </w:rPr>
            </w:pPr>
            <w:bookmarkStart w:id="168" w:name="_29.2.2（2）"/>
            <w:bookmarkEnd w:id="168"/>
            <w:r>
              <w:rPr>
                <w:color w:val="auto"/>
                <w:szCs w:val="21"/>
                <w:highlight w:val="none"/>
              </w:rPr>
              <w:t>允许负偏离项</w:t>
            </w:r>
          </w:p>
        </w:tc>
        <w:tc>
          <w:tcPr>
            <w:tcW w:w="6631" w:type="dxa"/>
            <w:tcBorders>
              <w:top w:val="single" w:color="auto" w:sz="4" w:space="0"/>
              <w:left w:val="single" w:color="auto" w:sz="4" w:space="0"/>
              <w:bottom w:val="nil"/>
              <w:right w:val="single" w:color="auto" w:sz="4" w:space="0"/>
            </w:tcBorders>
            <w:vAlign w:val="center"/>
          </w:tcPr>
          <w:p>
            <w:pPr>
              <w:snapToGrid w:val="0"/>
              <w:spacing w:line="360" w:lineRule="auto"/>
              <w:rPr>
                <w:color w:val="auto"/>
                <w:szCs w:val="21"/>
                <w:highlight w:val="none"/>
              </w:rPr>
            </w:pPr>
            <w:r>
              <w:rPr>
                <w:color w:val="auto"/>
                <w:szCs w:val="21"/>
                <w:highlight w:val="none"/>
              </w:rPr>
              <w:t>商务条款评审中允许负偏离的条款数为</w:t>
            </w:r>
            <w:r>
              <w:rPr>
                <w:color w:val="auto"/>
                <w:szCs w:val="21"/>
                <w:highlight w:val="none"/>
                <w:u w:val="single"/>
              </w:rPr>
              <w:t xml:space="preserve"> 0 </w:t>
            </w:r>
            <w:r>
              <w:rPr>
                <w:color w:val="auto"/>
                <w:szCs w:val="21"/>
                <w:highlight w:val="none"/>
              </w:rPr>
              <w:t>项。</w:t>
            </w:r>
          </w:p>
          <w:p>
            <w:pPr>
              <w:snapToGrid w:val="0"/>
              <w:spacing w:line="360" w:lineRule="auto"/>
              <w:rPr>
                <w:color w:val="auto"/>
                <w:szCs w:val="21"/>
                <w:highlight w:val="none"/>
              </w:rPr>
            </w:pPr>
            <w:r>
              <w:rPr>
                <w:color w:val="auto"/>
                <w:szCs w:val="21"/>
                <w:highlight w:val="none"/>
              </w:rPr>
              <w:t>技术需求评审中允许负偏离的条款数为</w:t>
            </w:r>
            <w:r>
              <w:rPr>
                <w:color w:val="auto"/>
                <w:szCs w:val="21"/>
                <w:highlight w:val="none"/>
                <w:u w:val="single"/>
              </w:rPr>
              <w:t xml:space="preserve"> 0 </w:t>
            </w:r>
            <w:r>
              <w:rPr>
                <w:color w:val="auto"/>
                <w:szCs w:val="21"/>
                <w:highlight w:val="none"/>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30.1</w:t>
            </w:r>
          </w:p>
        </w:tc>
        <w:tc>
          <w:tcPr>
            <w:tcW w:w="225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color w:val="auto"/>
                <w:szCs w:val="21"/>
                <w:highlight w:val="none"/>
              </w:rPr>
            </w:pPr>
            <w:r>
              <w:rPr>
                <w:color w:val="auto"/>
                <w:szCs w:val="21"/>
                <w:highlight w:val="none"/>
              </w:rPr>
              <w:t xml:space="preserve">确定中标人时，出现中标候选人排名并列的情形，确定中标人方式 </w:t>
            </w:r>
          </w:p>
        </w:tc>
        <w:tc>
          <w:tcPr>
            <w:tcW w:w="663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b/>
                <w:bCs/>
                <w:color w:val="auto"/>
                <w:highlight w:val="none"/>
              </w:rPr>
            </w:pPr>
            <w:r>
              <w:rPr>
                <w:color w:val="auto"/>
                <w:szCs w:val="21"/>
                <w:highlight w:val="none"/>
              </w:rPr>
              <w:t>采购人确定中标人时，出现中标候选人并列的情形，采购人按以下的方式确定中标人：</w:t>
            </w:r>
          </w:p>
          <w:p>
            <w:pPr>
              <w:autoSpaceDE w:val="0"/>
              <w:autoSpaceDN w:val="0"/>
              <w:snapToGrid w:val="0"/>
              <w:spacing w:line="360" w:lineRule="auto"/>
              <w:textAlignment w:val="bottom"/>
              <w:rPr>
                <w:b/>
                <w:bCs/>
                <w:i/>
                <w:iCs/>
                <w:color w:val="auto"/>
                <w:szCs w:val="21"/>
                <w:highlight w:val="none"/>
              </w:rPr>
            </w:pPr>
            <w:r>
              <w:rPr>
                <w:color w:val="auto"/>
                <w:szCs w:val="21"/>
                <w:highlight w:val="none"/>
              </w:rPr>
              <w:sym w:font="Wingdings 2" w:char="0052"/>
            </w:r>
            <w:r>
              <w:rPr>
                <w:color w:val="auto"/>
                <w:szCs w:val="21"/>
                <w:highlight w:val="none"/>
              </w:rPr>
              <w:t>技术分得分高的优先、商务分得分高的优先的顺序。</w:t>
            </w:r>
          </w:p>
          <w:p>
            <w:pPr>
              <w:autoSpaceDE w:val="0"/>
              <w:autoSpaceDN w:val="0"/>
              <w:snapToGrid w:val="0"/>
              <w:spacing w:line="360" w:lineRule="auto"/>
              <w:textAlignment w:val="bottom"/>
              <w:rPr>
                <w:b/>
                <w:color w:val="auto"/>
                <w:szCs w:val="21"/>
                <w:highlight w:val="none"/>
              </w:rPr>
            </w:pPr>
            <w:r>
              <w:rPr>
                <w:color w:val="auto"/>
                <w:szCs w:val="21"/>
                <w:highlight w:val="none"/>
              </w:rPr>
              <w:t>□</w:t>
            </w:r>
            <w:r>
              <w:rPr>
                <w:color w:val="auto"/>
                <w:highlight w:val="none"/>
              </w:rPr>
              <w:t>采取随机抽取的方式确定。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35</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bookmarkStart w:id="169" w:name="_39.1"/>
            <w:bookmarkEnd w:id="169"/>
            <w:r>
              <w:rPr>
                <w:color w:val="auto"/>
                <w:szCs w:val="21"/>
                <w:highlight w:val="none"/>
              </w:rPr>
              <w:t>履约保证金金额</w:t>
            </w:r>
          </w:p>
        </w:tc>
        <w:tc>
          <w:tcPr>
            <w:tcW w:w="6631" w:type="dxa"/>
            <w:tcBorders>
              <w:top w:val="single" w:color="auto" w:sz="4" w:space="0"/>
              <w:left w:val="single" w:color="auto" w:sz="4" w:space="0"/>
              <w:bottom w:val="single" w:color="auto" w:sz="4" w:space="0"/>
              <w:right w:val="single" w:color="auto" w:sz="4" w:space="0"/>
            </w:tcBorders>
            <w:vAlign w:val="bottom"/>
          </w:tcPr>
          <w:p>
            <w:pPr>
              <w:spacing w:line="360" w:lineRule="auto"/>
              <w:rPr>
                <w:b/>
                <w:bCs/>
                <w:color w:val="auto"/>
                <w:szCs w:val="21"/>
                <w:highlight w:val="none"/>
              </w:rPr>
            </w:pPr>
            <w:r>
              <w:rPr>
                <w:b/>
                <w:bCs/>
                <w:color w:val="auto"/>
                <w:szCs w:val="21"/>
                <w:highlight w:val="none"/>
              </w:rPr>
              <w:t>□ 本项目不需要缴</w:t>
            </w:r>
            <w:r>
              <w:rPr>
                <w:b/>
                <w:bCs/>
                <w:color w:val="auto"/>
                <w:kern w:val="0"/>
                <w:szCs w:val="21"/>
                <w:highlight w:val="none"/>
              </w:rPr>
              <w:t>纳</w:t>
            </w:r>
            <w:r>
              <w:rPr>
                <w:b/>
                <w:bCs/>
                <w:color w:val="auto"/>
                <w:szCs w:val="21"/>
                <w:highlight w:val="none"/>
              </w:rPr>
              <w:t>履约保证金。</w:t>
            </w:r>
          </w:p>
          <w:p>
            <w:pPr>
              <w:spacing w:line="360" w:lineRule="auto"/>
              <w:rPr>
                <w:b/>
                <w:bCs/>
                <w:color w:val="auto"/>
                <w:szCs w:val="21"/>
                <w:highlight w:val="none"/>
              </w:rPr>
            </w:pPr>
            <w:r>
              <w:rPr>
                <w:b/>
                <w:bCs/>
                <w:color w:val="auto"/>
                <w:szCs w:val="21"/>
                <w:highlight w:val="none"/>
              </w:rPr>
              <w:sym w:font="Wingdings 2" w:char="0052"/>
            </w:r>
            <w:r>
              <w:rPr>
                <w:b/>
                <w:bCs/>
                <w:color w:val="auto"/>
                <w:szCs w:val="21"/>
                <w:highlight w:val="none"/>
              </w:rPr>
              <w:t xml:space="preserve"> 本项目需要缴</w:t>
            </w:r>
            <w:r>
              <w:rPr>
                <w:b/>
                <w:bCs/>
                <w:color w:val="auto"/>
                <w:kern w:val="0"/>
                <w:szCs w:val="21"/>
                <w:highlight w:val="none"/>
              </w:rPr>
              <w:t>纳</w:t>
            </w:r>
            <w:r>
              <w:rPr>
                <w:b/>
                <w:bCs/>
                <w:color w:val="auto"/>
                <w:szCs w:val="21"/>
                <w:highlight w:val="none"/>
              </w:rPr>
              <w:t>履约保证金，相关要求如下：</w:t>
            </w:r>
          </w:p>
          <w:p>
            <w:pPr>
              <w:autoSpaceDE w:val="0"/>
              <w:autoSpaceDN w:val="0"/>
              <w:snapToGrid w:val="0"/>
              <w:spacing w:line="360" w:lineRule="auto"/>
              <w:textAlignment w:val="bottom"/>
              <w:rPr>
                <w:color w:val="auto"/>
                <w:szCs w:val="21"/>
                <w:highlight w:val="none"/>
              </w:rPr>
            </w:pPr>
            <w:r>
              <w:rPr>
                <w:color w:val="auto"/>
                <w:szCs w:val="21"/>
                <w:highlight w:val="none"/>
              </w:rPr>
              <w:t>1.履约保证金金额：按项目中标总金额的5%。（如中标人被评标委员会认定为中小企业，履约保证金为采购合同金额的2%）。</w:t>
            </w:r>
          </w:p>
          <w:p>
            <w:pPr>
              <w:snapToGrid w:val="0"/>
              <w:spacing w:line="360" w:lineRule="auto"/>
              <w:rPr>
                <w:color w:val="auto"/>
                <w:szCs w:val="21"/>
                <w:highlight w:val="none"/>
              </w:rPr>
            </w:pPr>
            <w:r>
              <w:rPr>
                <w:color w:val="auto"/>
                <w:szCs w:val="21"/>
                <w:highlight w:val="none"/>
              </w:rPr>
              <w:t>2.履约保证金递交方式：中标人在签订合同前以银行转账、支票、汇票、本票或者金融机构、担保机构出具的保函等非现金方式向采购人提交。</w:t>
            </w:r>
          </w:p>
          <w:p>
            <w:pPr>
              <w:snapToGrid w:val="0"/>
              <w:spacing w:line="360" w:lineRule="auto"/>
              <w:rPr>
                <w:color w:val="auto"/>
                <w:szCs w:val="21"/>
                <w:highlight w:val="none"/>
              </w:rPr>
            </w:pPr>
            <w:r>
              <w:rPr>
                <w:color w:val="auto"/>
                <w:szCs w:val="21"/>
                <w:highlight w:val="none"/>
              </w:rPr>
              <w:t>3.履约保证金退付方式、时间及条件：项目完成并验收合格，在中标人履行完合同约定的权利义务事项后且中标人无违约情形的，由中标人向采购人提供审签完成的《采购项目合同验收书》（格式见详见第五章，规定详见桂财采〔2015〕22号）及《采购项目履约保证金退付意见书》（格式后附），采购人在收到合格材料后5个工作日内办理退还手续（不计利息）。如最终验收与合同不符，全部履约保证金不予退还，而且由中标人按合同标的额的30%承担违约责任，并承担采购人为此而支付的一切损失（包括但不限于律师费、公证费、鉴定费、诉讼费、保全费、公告费、诉讼财产保全责任险保费等一切费用）。</w:t>
            </w:r>
          </w:p>
          <w:p>
            <w:pPr>
              <w:autoSpaceDE w:val="0"/>
              <w:autoSpaceDN w:val="0"/>
              <w:snapToGrid w:val="0"/>
              <w:spacing w:line="360" w:lineRule="auto"/>
              <w:textAlignment w:val="bottom"/>
              <w:rPr>
                <w:color w:val="auto"/>
                <w:szCs w:val="21"/>
                <w:highlight w:val="none"/>
              </w:rPr>
            </w:pPr>
            <w:r>
              <w:rPr>
                <w:color w:val="auto"/>
                <w:szCs w:val="21"/>
                <w:highlight w:val="none"/>
              </w:rPr>
              <w:t>4.缴纳履约保证金的指定账户：</w:t>
            </w:r>
          </w:p>
          <w:p>
            <w:pPr>
              <w:spacing w:line="440" w:lineRule="exact"/>
              <w:jc w:val="left"/>
              <w:rPr>
                <w:color w:val="auto"/>
                <w:szCs w:val="21"/>
                <w:highlight w:val="none"/>
              </w:rPr>
            </w:pPr>
            <w:r>
              <w:rPr>
                <w:color w:val="auto"/>
                <w:szCs w:val="21"/>
                <w:highlight w:val="none"/>
              </w:rPr>
              <w:t>开户名称：</w:t>
            </w:r>
            <w:r>
              <w:rPr>
                <w:color w:val="auto"/>
                <w:szCs w:val="21"/>
                <w:highlight w:val="none"/>
                <w:lang w:val="zh-CN"/>
              </w:rPr>
              <w:t>广西科技信息网络中</w:t>
            </w:r>
            <w:r>
              <w:rPr>
                <w:color w:val="auto"/>
                <w:szCs w:val="21"/>
                <w:highlight w:val="none"/>
              </w:rPr>
              <w:t>心</w:t>
            </w:r>
          </w:p>
          <w:p>
            <w:pPr>
              <w:spacing w:line="440" w:lineRule="exact"/>
              <w:jc w:val="left"/>
              <w:rPr>
                <w:color w:val="auto"/>
                <w:szCs w:val="21"/>
                <w:highlight w:val="none"/>
                <w:lang w:val="zh-CN"/>
              </w:rPr>
            </w:pPr>
            <w:r>
              <w:rPr>
                <w:color w:val="auto"/>
                <w:szCs w:val="21"/>
                <w:highlight w:val="none"/>
              </w:rPr>
              <w:t>开户银行：</w:t>
            </w:r>
            <w:r>
              <w:rPr>
                <w:color w:val="auto"/>
                <w:szCs w:val="21"/>
                <w:highlight w:val="none"/>
                <w:lang w:val="zh-CN"/>
              </w:rPr>
              <w:t>中国银行南宁新竹支行</w:t>
            </w:r>
          </w:p>
          <w:p>
            <w:pPr>
              <w:spacing w:line="440" w:lineRule="exact"/>
              <w:jc w:val="left"/>
              <w:rPr>
                <w:color w:val="auto"/>
                <w:szCs w:val="21"/>
                <w:highlight w:val="none"/>
                <w:lang w:val="zh-CN"/>
              </w:rPr>
            </w:pPr>
            <w:r>
              <w:rPr>
                <w:color w:val="auto"/>
                <w:szCs w:val="21"/>
                <w:highlight w:val="none"/>
                <w:lang w:val="zh-CN"/>
              </w:rPr>
              <w:t>银行账号：6132 6245 0112</w:t>
            </w:r>
          </w:p>
          <w:p>
            <w:pPr>
              <w:spacing w:line="360" w:lineRule="auto"/>
              <w:jc w:val="left"/>
              <w:rPr>
                <w:color w:val="auto"/>
                <w:szCs w:val="21"/>
                <w:highlight w:val="none"/>
              </w:rPr>
            </w:pPr>
            <w:r>
              <w:rPr>
                <w:color w:val="auto"/>
                <w:szCs w:val="21"/>
                <w:highlight w:val="none"/>
              </w:rPr>
              <w:t>备注：</w:t>
            </w:r>
          </w:p>
          <w:p>
            <w:pPr>
              <w:spacing w:line="360" w:lineRule="auto"/>
              <w:jc w:val="left"/>
              <w:rPr>
                <w:b/>
                <w:color w:val="auto"/>
                <w:szCs w:val="21"/>
                <w:highlight w:val="none"/>
              </w:rPr>
            </w:pPr>
            <w:r>
              <w:rPr>
                <w:b/>
                <w:color w:val="auto"/>
                <w:szCs w:val="21"/>
                <w:highlight w:val="none"/>
              </w:rPr>
              <w:t>1. 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pPr>
              <w:spacing w:line="360" w:lineRule="auto"/>
              <w:jc w:val="left"/>
              <w:rPr>
                <w:b/>
                <w:color w:val="auto"/>
                <w:szCs w:val="21"/>
                <w:highlight w:val="none"/>
              </w:rPr>
            </w:pPr>
            <w:r>
              <w:rPr>
                <w:b/>
                <w:color w:val="auto"/>
                <w:szCs w:val="21"/>
                <w:highlight w:val="none"/>
              </w:rPr>
              <w:t>2.采用金融、担保机构出具的保函的，必须为无条件保函，否则不予签订合同。</w:t>
            </w:r>
          </w:p>
          <w:p>
            <w:pPr>
              <w:autoSpaceDE w:val="0"/>
              <w:autoSpaceDN w:val="0"/>
              <w:snapToGrid w:val="0"/>
              <w:spacing w:line="360" w:lineRule="auto"/>
              <w:jc w:val="left"/>
              <w:textAlignment w:val="bottom"/>
              <w:rPr>
                <w:color w:val="auto"/>
                <w:szCs w:val="21"/>
                <w:highlight w:val="none"/>
              </w:rPr>
            </w:pPr>
            <w:r>
              <w:rPr>
                <w:b/>
                <w:color w:val="auto"/>
                <w:szCs w:val="21"/>
                <w:highlight w:val="none"/>
              </w:rPr>
              <w:t>3.投标人为联合体的，由联合体其中一方按规定提交的履约保证金，视为有效履约保证金。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36.1</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bookmarkStart w:id="170" w:name="_40.1"/>
            <w:bookmarkEnd w:id="170"/>
            <w:r>
              <w:rPr>
                <w:color w:val="auto"/>
                <w:szCs w:val="21"/>
                <w:highlight w:val="none"/>
              </w:rPr>
              <w:t>签订合同携带的材料</w:t>
            </w:r>
          </w:p>
        </w:tc>
        <w:tc>
          <w:tcPr>
            <w:tcW w:w="6631"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color w:val="auto"/>
                <w:szCs w:val="21"/>
                <w:highlight w:val="none"/>
              </w:rPr>
            </w:pPr>
            <w:r>
              <w:rPr>
                <w:color w:val="auto"/>
                <w:szCs w:val="21"/>
                <w:highlight w:val="none"/>
              </w:rPr>
              <w:t>委托代理人负责签订合同的，须携带有效的法定代表人授权委托书及其委托代理人身份证原件等其他资格证件。</w:t>
            </w:r>
          </w:p>
          <w:p>
            <w:pPr>
              <w:snapToGrid w:val="0"/>
              <w:spacing w:line="360" w:lineRule="auto"/>
              <w:rPr>
                <w:color w:val="auto"/>
                <w:highlight w:val="none"/>
              </w:rPr>
            </w:pPr>
            <w:r>
              <w:rPr>
                <w:color w:val="auto"/>
                <w:szCs w:val="21"/>
                <w:highlight w:val="none"/>
              </w:rPr>
              <w:t>法定代表人负责签订合同的，须携带法定代表人身份证明原件及身份证原件等其他证明材料。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38.2.1</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接收质疑函方式</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rPr>
            </w:pPr>
            <w:r>
              <w:rPr>
                <w:color w:val="auto"/>
                <w:szCs w:val="21"/>
                <w:highlight w:val="none"/>
              </w:rPr>
              <w:t>以书面形式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color w:val="auto"/>
                <w:szCs w:val="21"/>
                <w:highlight w:val="none"/>
              </w:rPr>
            </w:pP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质疑联系部门及联系方式</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rPr>
            </w:pPr>
            <w:r>
              <w:rPr>
                <w:color w:val="auto"/>
                <w:szCs w:val="21"/>
                <w:highlight w:val="none"/>
              </w:rPr>
              <w:t>（1）名称：广西科技信息网络中心</w:t>
            </w:r>
          </w:p>
          <w:p>
            <w:pPr>
              <w:snapToGrid w:val="0"/>
              <w:spacing w:line="360" w:lineRule="auto"/>
              <w:rPr>
                <w:color w:val="auto"/>
                <w:szCs w:val="21"/>
                <w:highlight w:val="none"/>
              </w:rPr>
            </w:pPr>
            <w:r>
              <w:rPr>
                <w:color w:val="auto"/>
                <w:szCs w:val="21"/>
                <w:highlight w:val="none"/>
              </w:rPr>
              <w:t>联系电话：0771-2613632</w:t>
            </w:r>
          </w:p>
          <w:p>
            <w:pPr>
              <w:snapToGrid w:val="0"/>
              <w:spacing w:line="360" w:lineRule="auto"/>
              <w:rPr>
                <w:color w:val="auto"/>
                <w:szCs w:val="21"/>
                <w:highlight w:val="none"/>
              </w:rPr>
            </w:pPr>
            <w:r>
              <w:rPr>
                <w:color w:val="auto"/>
                <w:szCs w:val="21"/>
                <w:highlight w:val="none"/>
              </w:rPr>
              <w:t>通讯地址：</w:t>
            </w:r>
            <w:r>
              <w:rPr>
                <w:rFonts w:hint="eastAsia"/>
                <w:color w:val="auto"/>
                <w:szCs w:val="21"/>
                <w:highlight w:val="none"/>
              </w:rPr>
              <w:t>广西南宁市青秀区新竹路20号3号楼</w:t>
            </w:r>
          </w:p>
          <w:p>
            <w:pPr>
              <w:snapToGrid w:val="0"/>
              <w:spacing w:line="360" w:lineRule="auto"/>
              <w:rPr>
                <w:color w:val="auto"/>
                <w:szCs w:val="21"/>
                <w:highlight w:val="none"/>
              </w:rPr>
            </w:pPr>
            <w:r>
              <w:rPr>
                <w:color w:val="auto"/>
                <w:szCs w:val="21"/>
                <w:highlight w:val="none"/>
              </w:rPr>
              <w:t>（2）名称：</w:t>
            </w:r>
            <w:bookmarkStart w:id="171" w:name="PO_3000001867_PM031_3"/>
            <w:r>
              <w:rPr>
                <w:color w:val="auto"/>
                <w:szCs w:val="21"/>
                <w:highlight w:val="none"/>
              </w:rPr>
              <w:t>广西科联招标中心有限公司</w:t>
            </w:r>
            <w:bookmarkEnd w:id="171"/>
          </w:p>
          <w:p>
            <w:pPr>
              <w:snapToGrid w:val="0"/>
              <w:spacing w:line="360" w:lineRule="auto"/>
              <w:rPr>
                <w:color w:val="auto"/>
                <w:szCs w:val="21"/>
                <w:highlight w:val="none"/>
              </w:rPr>
            </w:pPr>
            <w:r>
              <w:rPr>
                <w:color w:val="auto"/>
                <w:szCs w:val="21"/>
                <w:highlight w:val="none"/>
              </w:rPr>
              <w:t xml:space="preserve">联系电话：陈工，0771-3486228 </w:t>
            </w:r>
          </w:p>
          <w:p>
            <w:pPr>
              <w:snapToGrid w:val="0"/>
              <w:spacing w:line="360" w:lineRule="auto"/>
              <w:rPr>
                <w:color w:val="auto"/>
                <w:szCs w:val="21"/>
                <w:highlight w:val="none"/>
              </w:rPr>
            </w:pPr>
            <w:r>
              <w:rPr>
                <w:color w:val="auto"/>
                <w:szCs w:val="21"/>
                <w:highlight w:val="none"/>
              </w:rPr>
              <w:t>通讯地址：广西科联招标中心有限公司</w:t>
            </w:r>
            <w:r>
              <w:rPr>
                <w:rFonts w:hint="eastAsia"/>
                <w:color w:val="auto"/>
                <w:szCs w:val="21"/>
                <w:highlight w:val="none"/>
              </w:rPr>
              <w:t>103</w:t>
            </w:r>
            <w:r>
              <w:rPr>
                <w:color w:val="auto"/>
                <w:szCs w:val="21"/>
                <w:highlight w:val="none"/>
              </w:rPr>
              <w:t>室（广西南宁市大学东路170号广西农业机械研究院内）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color w:val="auto"/>
                <w:szCs w:val="21"/>
                <w:highlight w:val="none"/>
              </w:rPr>
            </w:pP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highlight w:val="none"/>
              </w:rPr>
              <w:t>现场提交质疑办理业务时间</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rPr>
            </w:pPr>
            <w:r>
              <w:rPr>
                <w:color w:val="auto"/>
                <w:highlight w:val="none"/>
              </w:rPr>
              <w:t>质疑期内每个工作日（北京时间）上午</w:t>
            </w:r>
            <w:r>
              <w:rPr>
                <w:color w:val="auto"/>
                <w:highlight w:val="none"/>
                <w:u w:val="single"/>
              </w:rPr>
              <w:t>8</w:t>
            </w:r>
            <w:r>
              <w:rPr>
                <w:color w:val="auto"/>
                <w:highlight w:val="none"/>
              </w:rPr>
              <w:t>时</w:t>
            </w:r>
            <w:r>
              <w:rPr>
                <w:color w:val="auto"/>
                <w:highlight w:val="none"/>
                <w:u w:val="single"/>
              </w:rPr>
              <w:t>00</w:t>
            </w:r>
            <w:r>
              <w:rPr>
                <w:color w:val="auto"/>
                <w:highlight w:val="none"/>
              </w:rPr>
              <w:t>分到</w:t>
            </w:r>
            <w:r>
              <w:rPr>
                <w:color w:val="auto"/>
                <w:highlight w:val="none"/>
                <w:u w:val="single"/>
              </w:rPr>
              <w:t>12</w:t>
            </w:r>
            <w:r>
              <w:rPr>
                <w:color w:val="auto"/>
                <w:highlight w:val="none"/>
              </w:rPr>
              <w:t>时</w:t>
            </w:r>
            <w:r>
              <w:rPr>
                <w:color w:val="auto"/>
                <w:highlight w:val="none"/>
                <w:u w:val="single"/>
              </w:rPr>
              <w:t>00</w:t>
            </w:r>
            <w:r>
              <w:rPr>
                <w:color w:val="auto"/>
                <w:highlight w:val="none"/>
              </w:rPr>
              <w:t>分，下午</w:t>
            </w:r>
            <w:r>
              <w:rPr>
                <w:color w:val="auto"/>
                <w:highlight w:val="none"/>
                <w:u w:val="single"/>
              </w:rPr>
              <w:t>15</w:t>
            </w:r>
            <w:r>
              <w:rPr>
                <w:color w:val="auto"/>
                <w:highlight w:val="none"/>
              </w:rPr>
              <w:t>时</w:t>
            </w:r>
            <w:r>
              <w:rPr>
                <w:color w:val="auto"/>
                <w:highlight w:val="none"/>
                <w:u w:val="single"/>
              </w:rPr>
              <w:t>00</w:t>
            </w:r>
            <w:r>
              <w:rPr>
                <w:color w:val="auto"/>
                <w:highlight w:val="none"/>
              </w:rPr>
              <w:t>分到</w:t>
            </w:r>
            <w:r>
              <w:rPr>
                <w:color w:val="auto"/>
                <w:highlight w:val="none"/>
                <w:u w:val="single"/>
              </w:rPr>
              <w:t>18</w:t>
            </w:r>
            <w:r>
              <w:rPr>
                <w:color w:val="auto"/>
                <w:highlight w:val="none"/>
              </w:rPr>
              <w:t>时</w:t>
            </w:r>
            <w:r>
              <w:rPr>
                <w:color w:val="auto"/>
                <w:highlight w:val="none"/>
                <w:u w:val="single"/>
              </w:rPr>
              <w:t>00</w:t>
            </w:r>
            <w:r>
              <w:rPr>
                <w:color w:val="auto"/>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96" w:hRule="exact"/>
          <w:jc w:val="center"/>
        </w:trPr>
        <w:tc>
          <w:tcPr>
            <w:tcW w:w="860" w:type="dxa"/>
            <w:tcBorders>
              <w:top w:val="nil"/>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38.3.1</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highlight w:val="none"/>
              </w:rPr>
            </w:pPr>
            <w:r>
              <w:rPr>
                <w:color w:val="auto"/>
                <w:highlight w:val="none"/>
              </w:rPr>
              <w:t>投诉受理方式</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highlight w:val="none"/>
              </w:rPr>
            </w:pPr>
            <w:r>
              <w:rPr>
                <w:color w:val="auto"/>
                <w:highlight w:val="none"/>
              </w:rPr>
              <w:t>1.受理方式：纸质方式受理，投诉书正、副本（经过质疑的事项才可投诉）。</w:t>
            </w:r>
          </w:p>
          <w:p>
            <w:pPr>
              <w:snapToGrid w:val="0"/>
              <w:spacing w:line="360" w:lineRule="auto"/>
              <w:rPr>
                <w:color w:val="auto"/>
                <w:highlight w:val="none"/>
              </w:rPr>
            </w:pPr>
            <w:r>
              <w:rPr>
                <w:color w:val="auto"/>
                <w:highlight w:val="none"/>
              </w:rPr>
              <w:t>2.</w:t>
            </w:r>
            <w:r>
              <w:rPr>
                <w:color w:val="auto"/>
                <w:szCs w:val="21"/>
                <w:highlight w:val="none"/>
              </w:rPr>
              <w:t>通讯</w:t>
            </w:r>
            <w:r>
              <w:rPr>
                <w:color w:val="auto"/>
                <w:highlight w:val="none"/>
              </w:rPr>
              <w:t>方式</w:t>
            </w:r>
          </w:p>
          <w:p>
            <w:pPr>
              <w:snapToGrid w:val="0"/>
              <w:spacing w:line="360" w:lineRule="auto"/>
              <w:rPr>
                <w:color w:val="auto"/>
                <w:highlight w:val="none"/>
              </w:rPr>
            </w:pPr>
            <w:bookmarkStart w:id="172" w:name="PO_3000001867_PM039"/>
            <w:r>
              <w:rPr>
                <w:color w:val="auto"/>
                <w:highlight w:val="none"/>
              </w:rPr>
              <w:t>名称：</w:t>
            </w:r>
            <w:bookmarkStart w:id="173" w:name="PO_3000001867_PM036"/>
            <w:r>
              <w:rPr>
                <w:color w:val="auto"/>
                <w:highlight w:val="none"/>
              </w:rPr>
              <w:t>广西壮族自治区财政厅政府采购监督管理</w:t>
            </w:r>
            <w:bookmarkEnd w:id="173"/>
            <w:r>
              <w:rPr>
                <w:color w:val="auto"/>
                <w:highlight w:val="none"/>
              </w:rPr>
              <w:t>处</w:t>
            </w:r>
          </w:p>
          <w:p>
            <w:pPr>
              <w:snapToGrid w:val="0"/>
              <w:spacing w:line="360" w:lineRule="auto"/>
              <w:rPr>
                <w:color w:val="auto"/>
                <w:highlight w:val="none"/>
              </w:rPr>
            </w:pPr>
            <w:r>
              <w:rPr>
                <w:color w:val="auto"/>
                <w:highlight w:val="none"/>
              </w:rPr>
              <w:t>地址：南宁市桃源路69号广西财政大厦7楼</w:t>
            </w:r>
          </w:p>
          <w:bookmarkEnd w:id="172"/>
          <w:p>
            <w:pPr>
              <w:snapToGrid w:val="0"/>
              <w:spacing w:line="360" w:lineRule="auto"/>
              <w:rPr>
                <w:color w:val="auto"/>
                <w:highlight w:val="none"/>
              </w:rPr>
            </w:pPr>
            <w:r>
              <w:rPr>
                <w:color w:val="auto"/>
                <w:highlight w:val="none"/>
              </w:rPr>
              <w:t>联系电话：</w:t>
            </w:r>
            <w:bookmarkStart w:id="174" w:name="PO_3000001867_PM038"/>
            <w:r>
              <w:rPr>
                <w:color w:val="auto"/>
                <w:highlight w:val="none"/>
              </w:rPr>
              <w:t xml:space="preserve">0771-5331544/5331539 </w:t>
            </w:r>
            <w:bookmarkEnd w:id="174"/>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szCs w:val="21"/>
                <w:highlight w:val="none"/>
              </w:rPr>
              <w:t>40</w:t>
            </w: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bookmarkStart w:id="175" w:name="_42"/>
            <w:bookmarkEnd w:id="175"/>
            <w:bookmarkStart w:id="176" w:name="_41"/>
            <w:bookmarkEnd w:id="176"/>
            <w:r>
              <w:rPr>
                <w:color w:val="auto"/>
                <w:highlight w:val="none"/>
              </w:rPr>
              <w:t>采购代理服务费支付方式</w:t>
            </w:r>
          </w:p>
        </w:tc>
        <w:tc>
          <w:tcPr>
            <w:tcW w:w="6631" w:type="dxa"/>
            <w:tcBorders>
              <w:top w:val="single" w:color="auto" w:sz="4" w:space="0"/>
              <w:left w:val="single" w:color="auto" w:sz="4" w:space="0"/>
              <w:bottom w:val="single" w:color="auto" w:sz="4" w:space="0"/>
              <w:right w:val="single" w:color="auto" w:sz="4" w:space="0"/>
            </w:tcBorders>
            <w:vAlign w:val="center"/>
          </w:tcPr>
          <w:p>
            <w:pPr>
              <w:pStyle w:val="13"/>
              <w:snapToGrid w:val="0"/>
              <w:spacing w:line="360" w:lineRule="auto"/>
              <w:rPr>
                <w:rFonts w:ascii="Times New Roman" w:hAnsi="Times New Roman"/>
                <w:color w:val="auto"/>
                <w:highlight w:val="none"/>
              </w:rPr>
            </w:pPr>
            <w:r>
              <w:rPr>
                <w:rFonts w:ascii="Times New Roman" w:hAnsi="Times New Roman"/>
                <w:color w:val="auto"/>
                <w:highlight w:val="none"/>
              </w:rPr>
              <w:sym w:font="Wingdings 2" w:char="0052"/>
            </w:r>
            <w:r>
              <w:rPr>
                <w:rFonts w:ascii="Times New Roman" w:hAnsi="Times New Roman"/>
                <w:color w:val="auto"/>
                <w:highlight w:val="none"/>
              </w:rPr>
              <w:t>本项目采购代理服务费由</w:t>
            </w:r>
            <w:r>
              <w:rPr>
                <w:rFonts w:ascii="Times New Roman" w:hAnsi="Times New Roman"/>
                <w:color w:val="auto"/>
                <w:highlight w:val="none"/>
                <w:u w:val="single"/>
              </w:rPr>
              <w:t>中标人</w:t>
            </w:r>
            <w:r>
              <w:rPr>
                <w:rFonts w:ascii="Times New Roman" w:hAnsi="Times New Roman"/>
                <w:color w:val="auto"/>
                <w:highlight w:val="none"/>
              </w:rPr>
              <w:t>在签订合同前，以银行转账、电汇等方式一次性向采购代理机构支付。</w:t>
            </w:r>
          </w:p>
          <w:p>
            <w:pPr>
              <w:pStyle w:val="13"/>
              <w:snapToGrid w:val="0"/>
              <w:spacing w:line="360" w:lineRule="auto"/>
              <w:rPr>
                <w:rFonts w:ascii="Times New Roman" w:hAnsi="Times New Roman"/>
                <w:color w:val="auto"/>
                <w:highlight w:val="none"/>
                <w:u w:val="single"/>
              </w:rPr>
            </w:pPr>
            <w:r>
              <w:rPr>
                <w:rFonts w:ascii="Times New Roman" w:hAnsi="Times New Roman"/>
                <w:color w:val="auto"/>
                <w:highlight w:val="none"/>
              </w:rPr>
              <w:t>□采购人支付：</w:t>
            </w:r>
          </w:p>
          <w:p>
            <w:pPr>
              <w:pStyle w:val="13"/>
              <w:snapToGrid w:val="0"/>
              <w:spacing w:line="360" w:lineRule="auto"/>
              <w:rPr>
                <w:rFonts w:ascii="Times New Roman" w:hAnsi="Times New Roman"/>
                <w:color w:val="auto"/>
                <w:highlight w:val="none"/>
              </w:rPr>
            </w:pPr>
            <w:r>
              <w:rPr>
                <w:rFonts w:ascii="Times New Roman" w:hAnsi="Times New Roman"/>
                <w:color w:val="auto"/>
                <w:highlight w:val="none"/>
              </w:rPr>
              <w:t>□本项目不收取采购代理服务费。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color w:val="auto"/>
                <w:szCs w:val="21"/>
                <w:highlight w:val="none"/>
              </w:rPr>
            </w:pP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highlight w:val="none"/>
              </w:rPr>
              <w:t>采购代理服务费收取标准</w:t>
            </w:r>
          </w:p>
        </w:tc>
        <w:tc>
          <w:tcPr>
            <w:tcW w:w="6631" w:type="dxa"/>
            <w:tcBorders>
              <w:top w:val="single" w:color="auto" w:sz="4" w:space="0"/>
              <w:left w:val="single" w:color="auto" w:sz="4" w:space="0"/>
              <w:bottom w:val="single" w:color="auto" w:sz="4" w:space="0"/>
              <w:right w:val="single" w:color="auto" w:sz="4" w:space="0"/>
            </w:tcBorders>
            <w:vAlign w:val="center"/>
          </w:tcPr>
          <w:p>
            <w:pPr>
              <w:pStyle w:val="13"/>
              <w:snapToGrid w:val="0"/>
              <w:spacing w:line="360" w:lineRule="auto"/>
              <w:rPr>
                <w:rFonts w:ascii="Times New Roman" w:hAnsi="Times New Roman"/>
                <w:color w:val="auto"/>
                <w:highlight w:val="none"/>
              </w:rPr>
            </w:pPr>
            <w:bookmarkStart w:id="177" w:name="PO_3000001867_PM025"/>
            <w:r>
              <w:rPr>
                <w:rFonts w:ascii="Times New Roman" w:hAnsi="Times New Roman"/>
                <w:color w:val="auto"/>
                <w:highlight w:val="none"/>
              </w:rPr>
              <w:sym w:font="Wingdings 2" w:char="0052"/>
            </w:r>
            <w:r>
              <w:rPr>
                <w:rFonts w:ascii="Times New Roman" w:hAnsi="Times New Roman"/>
                <w:color w:val="auto"/>
                <w:highlight w:val="none"/>
              </w:rPr>
              <w:t>以项目（</w:t>
            </w:r>
            <w:r>
              <w:rPr>
                <w:rFonts w:ascii="Times New Roman" w:hAnsi="Times New Roman"/>
                <w:color w:val="auto"/>
                <w:highlight w:val="none"/>
              </w:rPr>
              <w:sym w:font="Wingdings 2" w:char="0052"/>
            </w:r>
            <w:r>
              <w:rPr>
                <w:rFonts w:ascii="Times New Roman" w:hAnsi="Times New Roman"/>
                <w:color w:val="auto"/>
                <w:highlight w:val="none"/>
              </w:rPr>
              <w:t>中标金额/□采购预算/□暂定中标金额/□其他</w:t>
            </w:r>
            <w:r>
              <w:rPr>
                <w:rFonts w:ascii="Times New Roman" w:hAnsi="Times New Roman"/>
                <w:color w:val="auto"/>
                <w:highlight w:val="none"/>
                <w:u w:val="single"/>
              </w:rPr>
              <w:t xml:space="preserve">   </w:t>
            </w:r>
            <w:r>
              <w:rPr>
                <w:rFonts w:ascii="Times New Roman" w:hAnsi="Times New Roman"/>
                <w:color w:val="auto"/>
                <w:highlight w:val="none"/>
              </w:rPr>
              <w:t>）为计费额，按本须知正文第40.2条规定的收费计算标准采用差额定率累进法计算出收费基准价格，采购代理收费以（</w:t>
            </w:r>
            <w:r>
              <w:rPr>
                <w:rFonts w:ascii="Times New Roman" w:hAnsi="Times New Roman"/>
                <w:color w:val="auto"/>
                <w:highlight w:val="none"/>
              </w:rPr>
              <w:sym w:font="Wingdings 2" w:char="0052"/>
            </w:r>
            <w:r>
              <w:rPr>
                <w:rFonts w:ascii="Times New Roman" w:hAnsi="Times New Roman"/>
                <w:color w:val="auto"/>
                <w:highlight w:val="none"/>
              </w:rPr>
              <w:t>收费基准价格/□收费基准价格下浮</w:t>
            </w:r>
            <w:r>
              <w:rPr>
                <w:rFonts w:ascii="Times New Roman" w:hAnsi="Times New Roman"/>
                <w:color w:val="auto"/>
                <w:highlight w:val="none"/>
                <w:u w:val="single"/>
              </w:rPr>
              <w:t xml:space="preserve">  %</w:t>
            </w:r>
            <w:r>
              <w:rPr>
                <w:rFonts w:ascii="Times New Roman" w:hAnsi="Times New Roman"/>
                <w:color w:val="auto"/>
                <w:highlight w:val="none"/>
              </w:rPr>
              <w:t>/□收费基准价格上浮</w:t>
            </w:r>
            <w:r>
              <w:rPr>
                <w:rFonts w:ascii="Times New Roman" w:hAnsi="Times New Roman"/>
                <w:color w:val="auto"/>
                <w:highlight w:val="none"/>
                <w:u w:val="single"/>
              </w:rPr>
              <w:t xml:space="preserve">   %</w:t>
            </w:r>
            <w:r>
              <w:rPr>
                <w:rFonts w:ascii="Times New Roman" w:hAnsi="Times New Roman"/>
                <w:color w:val="auto"/>
                <w:highlight w:val="none"/>
              </w:rPr>
              <w:t>）收取，如代理服务费不足陆仟元的，按人民币陆仟元收取。</w:t>
            </w:r>
          </w:p>
          <w:p>
            <w:pPr>
              <w:pStyle w:val="13"/>
              <w:snapToGrid w:val="0"/>
              <w:spacing w:line="360" w:lineRule="auto"/>
              <w:rPr>
                <w:rFonts w:ascii="Times New Roman" w:hAnsi="Times New Roman"/>
                <w:color w:val="auto"/>
                <w:highlight w:val="none"/>
                <w:u w:val="single"/>
              </w:rPr>
            </w:pPr>
            <w:r>
              <w:rPr>
                <w:rFonts w:ascii="Times New Roman" w:hAnsi="Times New Roman"/>
                <w:color w:val="auto"/>
                <w:highlight w:val="none"/>
              </w:rPr>
              <w:t>□固定采购代理收费：</w:t>
            </w:r>
            <w:r>
              <w:rPr>
                <w:rFonts w:ascii="Times New Roman" w:hAnsi="Times New Roman"/>
                <w:color w:val="auto"/>
                <w:highlight w:val="none"/>
                <w:u w:val="single"/>
              </w:rPr>
              <w:t xml:space="preserve">              。</w:t>
            </w:r>
            <w:bookmarkEnd w:id="177"/>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color w:val="auto"/>
                <w:szCs w:val="21"/>
                <w:highlight w:val="none"/>
              </w:rPr>
            </w:pPr>
          </w:p>
        </w:tc>
        <w:tc>
          <w:tcPr>
            <w:tcW w:w="2250" w:type="dxa"/>
            <w:tcBorders>
              <w:top w:val="single" w:color="auto" w:sz="4" w:space="0"/>
              <w:left w:val="single" w:color="auto" w:sz="4" w:space="0"/>
              <w:bottom w:val="single" w:color="auto" w:sz="4" w:space="0"/>
              <w:right w:val="single" w:color="auto" w:sz="4" w:space="0"/>
            </w:tcBorders>
            <w:vAlign w:val="center"/>
          </w:tcPr>
          <w:p>
            <w:pPr>
              <w:spacing w:line="360" w:lineRule="auto"/>
              <w:rPr>
                <w:color w:val="auto"/>
                <w:szCs w:val="21"/>
                <w:highlight w:val="none"/>
              </w:rPr>
            </w:pPr>
            <w:r>
              <w:rPr>
                <w:color w:val="auto"/>
                <w:highlight w:val="none"/>
              </w:rPr>
              <w:t>采购代理服务费收款账户信息</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0"/>
                <w:highlight w:val="none"/>
              </w:rPr>
            </w:pPr>
            <w:r>
              <w:rPr>
                <w:color w:val="auto"/>
                <w:szCs w:val="20"/>
                <w:highlight w:val="none"/>
              </w:rPr>
              <w:t>开户名称：广西科联招标中心有限公司</w:t>
            </w:r>
          </w:p>
          <w:p>
            <w:pPr>
              <w:snapToGrid w:val="0"/>
              <w:spacing w:line="360" w:lineRule="auto"/>
              <w:rPr>
                <w:color w:val="auto"/>
                <w:szCs w:val="20"/>
                <w:highlight w:val="none"/>
              </w:rPr>
            </w:pPr>
            <w:r>
              <w:rPr>
                <w:color w:val="auto"/>
                <w:szCs w:val="20"/>
                <w:highlight w:val="none"/>
              </w:rPr>
              <w:t>开户银行：中国工商银行南宁市高新科技支行</w:t>
            </w:r>
          </w:p>
          <w:p>
            <w:pPr>
              <w:snapToGrid w:val="0"/>
              <w:spacing w:line="360" w:lineRule="auto"/>
              <w:rPr>
                <w:color w:val="auto"/>
                <w:szCs w:val="20"/>
                <w:highlight w:val="none"/>
              </w:rPr>
            </w:pPr>
            <w:r>
              <w:rPr>
                <w:color w:val="auto"/>
                <w:szCs w:val="20"/>
                <w:highlight w:val="none"/>
              </w:rPr>
              <w:t>银行账号：2102111229300032105</w:t>
            </w:r>
          </w:p>
          <w:p>
            <w:pPr>
              <w:pStyle w:val="13"/>
              <w:snapToGrid w:val="0"/>
              <w:spacing w:line="360" w:lineRule="auto"/>
              <w:rPr>
                <w:rFonts w:ascii="Times New Roman" w:hAnsi="Times New Roman"/>
                <w:color w:val="auto"/>
                <w:highlight w:val="none"/>
              </w:rPr>
            </w:pPr>
            <w:r>
              <w:rPr>
                <w:rFonts w:ascii="Times New Roman" w:hAnsi="Times New Roman"/>
                <w:color w:val="auto"/>
                <w:highlight w:val="none"/>
              </w:rPr>
              <w:t>开户行行号：102611011101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color w:val="auto"/>
                <w:szCs w:val="21"/>
                <w:highlight w:val="none"/>
              </w:rPr>
            </w:pPr>
            <w:r>
              <w:rPr>
                <w:color w:val="auto"/>
                <w:szCs w:val="21"/>
                <w:highlight w:val="none"/>
              </w:rPr>
              <w:t>41.1</w:t>
            </w:r>
          </w:p>
        </w:tc>
        <w:tc>
          <w:tcPr>
            <w:tcW w:w="22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rPr>
            </w:pPr>
            <w:r>
              <w:rPr>
                <w:color w:val="auto"/>
                <w:szCs w:val="21"/>
                <w:highlight w:val="none"/>
              </w:rPr>
              <w:t>解释</w:t>
            </w:r>
          </w:p>
        </w:tc>
        <w:tc>
          <w:tcPr>
            <w:tcW w:w="66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b/>
                <w:color w:val="auto"/>
                <w:szCs w:val="21"/>
                <w:highlight w:val="none"/>
              </w:rPr>
            </w:pPr>
            <w:r>
              <w:rPr>
                <w:b/>
                <w:color w:val="auto"/>
                <w:szCs w:val="21"/>
                <w:highlight w:val="none"/>
              </w:rPr>
              <w:t>解释：</w:t>
            </w:r>
            <w:r>
              <w:rPr>
                <w:color w:val="auto"/>
                <w:szCs w:val="21"/>
                <w:highlight w:val="none"/>
              </w:rPr>
              <w:t>构成本招标文件的各个组成文件应互为解释，互为说明；除招标文件中有特别规定外，仅适用于招标投标阶段的规定，按更正公告（澄清公告）、招标公告、采购需求、投标人须知、评标方法和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b/>
                <w:color w:val="auto"/>
                <w:szCs w:val="21"/>
                <w:highlight w:val="none"/>
              </w:rPr>
              <w:t>，由采购人或者采购代理机构负责解释。</w:t>
            </w:r>
          </w:p>
          <w:p>
            <w:pPr>
              <w:snapToGrid w:val="0"/>
              <w:spacing w:line="360" w:lineRule="auto"/>
              <w:rPr>
                <w:b/>
                <w:color w:val="auto"/>
                <w:szCs w:val="21"/>
                <w:highlight w:val="none"/>
              </w:rPr>
            </w:pPr>
            <w:r>
              <w:rPr>
                <w:b/>
                <w:color w:val="auto"/>
                <w:szCs w:val="21"/>
                <w:highlight w:val="none"/>
              </w:rPr>
              <w:t>法律责任：</w:t>
            </w:r>
          </w:p>
          <w:p>
            <w:pPr>
              <w:snapToGrid w:val="0"/>
              <w:spacing w:line="360" w:lineRule="auto"/>
              <w:rPr>
                <w:color w:val="auto"/>
                <w:highlight w:val="none"/>
              </w:rPr>
            </w:pPr>
            <w:r>
              <w:rPr>
                <w:color w:val="auto"/>
                <w:szCs w:val="21"/>
                <w:highlight w:val="none"/>
              </w:rPr>
              <w:t>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8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color w:val="auto"/>
                <w:szCs w:val="21"/>
                <w:highlight w:val="none"/>
              </w:rPr>
            </w:pPr>
            <w:r>
              <w:rPr>
                <w:color w:val="auto"/>
                <w:szCs w:val="21"/>
                <w:highlight w:val="none"/>
              </w:rPr>
              <w:t>41.2</w:t>
            </w:r>
          </w:p>
        </w:tc>
        <w:tc>
          <w:tcPr>
            <w:tcW w:w="22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color w:val="auto"/>
                <w:szCs w:val="21"/>
                <w:highlight w:val="none"/>
              </w:rPr>
            </w:pPr>
            <w:r>
              <w:rPr>
                <w:color w:val="auto"/>
                <w:szCs w:val="21"/>
                <w:highlight w:val="none"/>
              </w:rPr>
              <w:t>其他释义</w:t>
            </w:r>
          </w:p>
        </w:tc>
        <w:tc>
          <w:tcPr>
            <w:tcW w:w="6631" w:type="dxa"/>
            <w:tcBorders>
              <w:top w:val="single" w:color="auto" w:sz="4" w:space="0"/>
              <w:left w:val="single" w:color="auto" w:sz="4" w:space="0"/>
              <w:bottom w:val="single" w:color="auto" w:sz="4" w:space="0"/>
              <w:right w:val="single" w:color="auto" w:sz="4" w:space="0"/>
            </w:tcBorders>
            <w:vAlign w:val="center"/>
          </w:tcPr>
          <w:p>
            <w:pPr>
              <w:pStyle w:val="9"/>
              <w:spacing w:line="360" w:lineRule="auto"/>
              <w:ind w:firstLine="420" w:firstLineChars="200"/>
              <w:rPr>
                <w:color w:val="auto"/>
                <w:szCs w:val="21"/>
                <w:highlight w:val="none"/>
              </w:rPr>
            </w:pPr>
            <w:r>
              <w:rPr>
                <w:color w:val="auto"/>
                <w:szCs w:val="21"/>
                <w:highlight w:val="none"/>
              </w:rPr>
              <w:t>1.本招标文件中描述投标人的“公章”是指根据我国对公章的管理规定，用投标人法定主体行为名称制作的实物印章或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pPr>
              <w:pStyle w:val="9"/>
              <w:spacing w:line="360" w:lineRule="auto"/>
              <w:ind w:firstLine="420" w:firstLineChars="200"/>
              <w:rPr>
                <w:color w:val="auto"/>
                <w:szCs w:val="21"/>
                <w:highlight w:val="none"/>
              </w:rPr>
            </w:pPr>
            <w:r>
              <w:rPr>
                <w:color w:val="auto"/>
                <w:szCs w:val="21"/>
                <w:highlight w:val="none"/>
              </w:rPr>
              <w:t>2.本招标文件中描述投标人的“签字”是指投标人通过指定电子化政府采购平台办理数字证书（CA认证）获得的以投标人法定代表人或者委托代理人姓名制作的电子印章或手写签字。</w:t>
            </w:r>
          </w:p>
          <w:p>
            <w:pPr>
              <w:pStyle w:val="9"/>
              <w:tabs>
                <w:tab w:val="center" w:pos="4153"/>
                <w:tab w:val="right" w:pos="8306"/>
              </w:tabs>
              <w:spacing w:line="360" w:lineRule="auto"/>
              <w:ind w:firstLine="420" w:firstLineChars="200"/>
              <w:rPr>
                <w:color w:val="auto"/>
                <w:szCs w:val="21"/>
                <w:highlight w:val="none"/>
              </w:rPr>
            </w:pPr>
            <w:r>
              <w:rPr>
                <w:color w:val="auto"/>
                <w:szCs w:val="21"/>
                <w:highlight w:val="none"/>
              </w:rPr>
              <w:t>3.本招标文件所称的“电子签章”“电子签名”，是指经广西政府采购云平台认可的CA认证的电子签名数据为表现形式的印章，可用于签署电子投标文件，电子印章与实物印章具有同等法律效力，不因其采用电子化表现形式而否定其法律效力。</w:t>
            </w:r>
          </w:p>
          <w:p>
            <w:pPr>
              <w:pStyle w:val="9"/>
              <w:spacing w:line="360" w:lineRule="auto"/>
              <w:ind w:firstLine="420" w:firstLineChars="200"/>
              <w:rPr>
                <w:color w:val="auto"/>
                <w:szCs w:val="21"/>
                <w:highlight w:val="none"/>
              </w:rPr>
            </w:pPr>
            <w:r>
              <w:rPr>
                <w:color w:val="auto"/>
                <w:szCs w:val="21"/>
                <w:highlight w:val="none"/>
              </w:rPr>
              <w:t>4.投标人为其他组织或者自然人时，本招标文件规定的法定代表人指负责人或者自然人。本招标文件所称负责人是指参加投标的其他组织营业执照上的负责人，本招标文件所称自然人指参与投标的自然人本人。</w:t>
            </w:r>
          </w:p>
          <w:p>
            <w:pPr>
              <w:pStyle w:val="9"/>
              <w:spacing w:line="360" w:lineRule="auto"/>
              <w:ind w:firstLine="420" w:firstLineChars="200"/>
              <w:rPr>
                <w:color w:val="auto"/>
                <w:szCs w:val="21"/>
                <w:highlight w:val="none"/>
              </w:rPr>
            </w:pPr>
            <w:r>
              <w:rPr>
                <w:color w:val="auto"/>
                <w:szCs w:val="21"/>
                <w:highlight w:val="none"/>
              </w:rPr>
              <w:t>5.自然人投标的，招标文件规定盖公章处由自然人摁手指指印。</w:t>
            </w:r>
          </w:p>
          <w:p>
            <w:pPr>
              <w:pStyle w:val="9"/>
              <w:spacing w:line="360" w:lineRule="auto"/>
              <w:rPr>
                <w:color w:val="auto"/>
                <w:szCs w:val="21"/>
                <w:highlight w:val="none"/>
              </w:rPr>
            </w:pPr>
            <w:r>
              <w:rPr>
                <w:color w:val="auto"/>
                <w:szCs w:val="21"/>
                <w:highlight w:val="none"/>
              </w:rPr>
              <w:t xml:space="preserve">    6.本招标文件所称的“以上”“以下”“以内”“届满”，包括本数；所称的“不满”“超过”“以外”，不包括本数。</w:t>
            </w:r>
          </w:p>
        </w:tc>
      </w:tr>
    </w:tbl>
    <w:p>
      <w:pPr>
        <w:widowControl/>
        <w:spacing w:line="412" w:lineRule="auto"/>
        <w:jc w:val="left"/>
        <w:rPr>
          <w:rFonts w:hint="eastAsia" w:ascii="宋体" w:hAnsi="宋体" w:cs="宋体"/>
          <w:b/>
          <w:bCs/>
          <w:color w:val="auto"/>
          <w:sz w:val="32"/>
          <w:szCs w:val="32"/>
          <w:highlight w:val="none"/>
        </w:rPr>
        <w:sectPr>
          <w:footerReference r:id="rId3" w:type="default"/>
          <w:pgSz w:w="11906" w:h="16838"/>
          <w:pgMar w:top="1134" w:right="1020" w:bottom="1020" w:left="1134" w:header="720" w:footer="720" w:gutter="0"/>
          <w:cols w:space="720" w:num="1"/>
          <w:docGrid w:type="lines" w:linePitch="331" w:charSpace="0"/>
        </w:sectPr>
      </w:pPr>
    </w:p>
    <w:p>
      <w:pPr>
        <w:pStyle w:val="3"/>
        <w:jc w:val="center"/>
        <w:rPr>
          <w:rFonts w:hint="eastAsia" w:ascii="宋体" w:hAnsi="宋体" w:eastAsia="宋体" w:cs="宋体"/>
          <w:color w:val="auto"/>
          <w:highlight w:val="none"/>
        </w:rPr>
      </w:pPr>
      <w:bookmarkStart w:id="178" w:name="_Toc9224"/>
      <w:bookmarkStart w:id="179" w:name="_Toc21899"/>
      <w:bookmarkStart w:id="180" w:name="_Toc21704"/>
      <w:bookmarkStart w:id="181" w:name="_Toc32224"/>
      <w:bookmarkStart w:id="182" w:name="_Toc29181"/>
      <w:r>
        <w:rPr>
          <w:rFonts w:hint="eastAsia" w:ascii="宋体" w:hAnsi="宋体" w:eastAsia="宋体" w:cs="宋体"/>
          <w:color w:val="auto"/>
          <w:highlight w:val="none"/>
        </w:rPr>
        <w:t>第二节 投标人须知正文</w:t>
      </w:r>
      <w:bookmarkEnd w:id="178"/>
      <w:bookmarkEnd w:id="179"/>
      <w:bookmarkEnd w:id="180"/>
      <w:bookmarkEnd w:id="181"/>
      <w:bookmarkEnd w:id="182"/>
    </w:p>
    <w:p>
      <w:pPr>
        <w:pStyle w:val="4"/>
        <w:keepNext w:val="0"/>
        <w:keepLines w:val="0"/>
        <w:spacing w:line="400" w:lineRule="exact"/>
        <w:jc w:val="center"/>
        <w:rPr>
          <w:rFonts w:hint="eastAsia" w:ascii="宋体" w:hAnsi="宋体" w:cs="宋体"/>
          <w:color w:val="auto"/>
          <w:highlight w:val="none"/>
        </w:rPr>
      </w:pPr>
      <w:bookmarkStart w:id="183" w:name="_Toc9192"/>
      <w:bookmarkStart w:id="184" w:name="_Toc2156"/>
      <w:bookmarkStart w:id="185" w:name="_Toc5656"/>
      <w:bookmarkStart w:id="186" w:name="_Toc13703"/>
      <w:bookmarkStart w:id="187" w:name="_Toc7223"/>
      <w:r>
        <w:rPr>
          <w:rFonts w:hint="eastAsia" w:ascii="宋体" w:hAnsi="宋体" w:cs="宋体"/>
          <w:color w:val="auto"/>
          <w:highlight w:val="none"/>
        </w:rPr>
        <w:t>一、总  则</w:t>
      </w:r>
      <w:bookmarkEnd w:id="183"/>
      <w:bookmarkEnd w:id="184"/>
      <w:bookmarkEnd w:id="185"/>
      <w:bookmarkEnd w:id="186"/>
      <w:bookmarkEnd w:id="187"/>
    </w:p>
    <w:p>
      <w:pPr>
        <w:spacing w:line="360" w:lineRule="auto"/>
        <w:ind w:firstLine="480" w:firstLineChars="200"/>
        <w:rPr>
          <w:rFonts w:hint="eastAsia" w:ascii="宋体" w:hAnsi="宋体" w:cs="宋体"/>
          <w:color w:val="auto"/>
          <w:sz w:val="24"/>
          <w:highlight w:val="none"/>
        </w:rPr>
      </w:pPr>
      <w:bookmarkStart w:id="188" w:name="_Toc254970527"/>
      <w:bookmarkStart w:id="189" w:name="_Toc254970668"/>
      <w:r>
        <w:rPr>
          <w:rFonts w:hint="eastAsia" w:ascii="宋体" w:hAnsi="宋体" w:cs="宋体"/>
          <w:color w:val="auto"/>
          <w:sz w:val="24"/>
          <w:highlight w:val="none"/>
        </w:rPr>
        <w:t>1.适用范围</w:t>
      </w:r>
      <w:bookmarkEnd w:id="188"/>
      <w:bookmarkEnd w:id="189"/>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1.1适用法律：本项目采购人、采购代理机构、投标人、评标委员会的相关行为均受《中华人民共和国政府采购法》《中华人民共和国政府采购法实施条例》《</w:t>
      </w:r>
      <w:r>
        <w:rPr>
          <w:rFonts w:ascii="宋体" w:hAnsi="宋体" w:cs="宋体"/>
          <w:color w:val="auto"/>
          <w:kern w:val="0"/>
          <w:szCs w:val="21"/>
          <w:highlight w:val="none"/>
        </w:rPr>
        <w:t>政府采购货物和服务招标投标管理办法</w:t>
      </w:r>
      <w:r>
        <w:rPr>
          <w:rFonts w:hint="eastAsia" w:ascii="宋体" w:hAnsi="宋体" w:cs="宋体"/>
          <w:color w:val="auto"/>
          <w:szCs w:val="21"/>
          <w:highlight w:val="none"/>
        </w:rPr>
        <w:t>》及本项目本级和上级财政部门政府采购有关规定的约束和保护。</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pPr>
        <w:spacing w:line="360" w:lineRule="auto"/>
        <w:ind w:firstLine="480" w:firstLineChars="200"/>
        <w:rPr>
          <w:rFonts w:hint="eastAsia" w:ascii="宋体" w:hAnsi="宋体" w:cs="宋体"/>
          <w:color w:val="auto"/>
          <w:sz w:val="24"/>
          <w:highlight w:val="none"/>
        </w:rPr>
      </w:pPr>
      <w:bookmarkStart w:id="190" w:name="_Toc254970669"/>
      <w:bookmarkStart w:id="191" w:name="_Toc254970528"/>
      <w:r>
        <w:rPr>
          <w:rFonts w:hint="eastAsia" w:ascii="宋体" w:hAnsi="宋体" w:cs="宋体"/>
          <w:color w:val="auto"/>
          <w:sz w:val="24"/>
          <w:highlight w:val="none"/>
        </w:rPr>
        <w:t>2.定义</w:t>
      </w:r>
      <w:bookmarkEnd w:id="190"/>
      <w:bookmarkEnd w:id="191"/>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2.1“采购人”是指依法进行政府采购的国家机关、事业单位、团体组织。</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2.2“采购代理机构” 指政府采购集中采购机构和集中采购机构以外的采购代理机构。</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2.3“供应商”是指向采购人提供货物、工程或者服务的法人、其他组织或者自然人。</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2.4“投标人”是指响应招标、参加投标竞争的法人、非法人组织或者自然人。</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2.5“货物”是指各种形态和种类的物品，包括原材料、燃料、设备、产品等。</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2.6“售后服务” 是指商品出售以后所提供的各种服务，包含但不限于投标人须承担的备品备件、包装、运输、装卸、保险、货到就位以及安装、调试、培训、保修以及其他各种服务。</w:t>
      </w:r>
    </w:p>
    <w:p>
      <w:pPr>
        <w:pStyle w:val="6"/>
        <w:keepNext w:val="0"/>
        <w:keepLines w:val="0"/>
        <w:spacing w:before="0" w:after="0" w:line="360" w:lineRule="auto"/>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2.7“书面形式”是指合同书、信件和数据电文（包括电报、电传、传真、电子数据交换和电子邮件）等可以有形地表现所载内容的形式。</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2.8“实质性要求”是指招标文件中已经指明不满足则投标无效的条款，或者不能负偏离的条款，或者采购需求中带“▲”的条款。</w:t>
      </w:r>
    </w:p>
    <w:p>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2.9 “正偏离”，是指投标文件对招标文件“采购需求”中有关条款作出的响应优于条款要求并有利于采购人的情形。</w:t>
      </w:r>
    </w:p>
    <w:p>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2.10“负偏离”，是指投标文件对招标文件“采购需求”中有关条款作出的响应不满足条款要求，导致采购人要求不能得到满足的情形。</w:t>
      </w:r>
    </w:p>
    <w:p>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2.11“允许负偏离的条款”是指采购需求中的不属于“实质性要求”的条款。</w:t>
      </w:r>
    </w:p>
    <w:p>
      <w:pPr>
        <w:spacing w:line="360" w:lineRule="auto"/>
        <w:ind w:firstLine="480" w:firstLineChars="200"/>
        <w:rPr>
          <w:rFonts w:hint="eastAsia" w:ascii="宋体" w:hAnsi="宋体" w:cs="宋体"/>
          <w:color w:val="auto"/>
          <w:sz w:val="24"/>
          <w:highlight w:val="none"/>
        </w:rPr>
      </w:pPr>
      <w:bookmarkStart w:id="192" w:name="_Toc254970529"/>
      <w:bookmarkStart w:id="193" w:name="_Toc254970670"/>
      <w:r>
        <w:rPr>
          <w:rFonts w:hint="eastAsia" w:ascii="宋体" w:hAnsi="宋体" w:cs="宋体"/>
          <w:color w:val="auto"/>
          <w:sz w:val="24"/>
          <w:highlight w:val="none"/>
        </w:rPr>
        <w:t>3.</w:t>
      </w:r>
      <w:bookmarkEnd w:id="192"/>
      <w:bookmarkEnd w:id="193"/>
      <w:r>
        <w:rPr>
          <w:rFonts w:hint="eastAsia" w:ascii="宋体" w:hAnsi="宋体" w:cs="宋体"/>
          <w:color w:val="auto"/>
          <w:sz w:val="24"/>
          <w:highlight w:val="none"/>
        </w:rPr>
        <w:t>投标人的资格要求</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投标人的资格要求详见“招标公告”。</w:t>
      </w:r>
    </w:p>
    <w:p>
      <w:pPr>
        <w:spacing w:line="360" w:lineRule="auto"/>
        <w:ind w:firstLine="480" w:firstLineChars="200"/>
        <w:rPr>
          <w:rFonts w:hint="eastAsia" w:ascii="宋体" w:hAnsi="宋体" w:cs="宋体"/>
          <w:color w:val="auto"/>
          <w:sz w:val="24"/>
          <w:highlight w:val="none"/>
        </w:rPr>
      </w:pPr>
      <w:bookmarkStart w:id="194" w:name="_Toc254970671"/>
      <w:bookmarkStart w:id="195" w:name="_Toc254970530"/>
      <w:r>
        <w:rPr>
          <w:rFonts w:hint="eastAsia" w:ascii="宋体" w:hAnsi="宋体" w:cs="宋体"/>
          <w:color w:val="auto"/>
          <w:sz w:val="24"/>
          <w:highlight w:val="none"/>
        </w:rPr>
        <w:t>4.投标委托</w:t>
      </w:r>
      <w:bookmarkEnd w:id="194"/>
      <w:bookmarkEnd w:id="195"/>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投标人代表参加投标活动过程中必须携带个人有效身份证件。如投标人代表不是法定代表人，须持有法定代表人授权委托书（按第六章要求格式填写）。</w:t>
      </w:r>
    </w:p>
    <w:p>
      <w:pPr>
        <w:spacing w:line="360" w:lineRule="auto"/>
        <w:ind w:firstLine="480" w:firstLineChars="200"/>
        <w:rPr>
          <w:rFonts w:hint="eastAsia" w:ascii="宋体" w:hAnsi="宋体" w:cs="宋体"/>
          <w:color w:val="auto"/>
          <w:sz w:val="24"/>
          <w:highlight w:val="none"/>
        </w:rPr>
      </w:pPr>
      <w:bookmarkStart w:id="196" w:name="_5.投标费用"/>
      <w:bookmarkEnd w:id="196"/>
      <w:bookmarkStart w:id="197" w:name="_Toc254970531"/>
      <w:bookmarkStart w:id="198" w:name="_Toc254970672"/>
      <w:r>
        <w:rPr>
          <w:rFonts w:hint="eastAsia" w:ascii="宋体" w:hAnsi="宋体" w:cs="宋体"/>
          <w:color w:val="auto"/>
          <w:sz w:val="24"/>
          <w:highlight w:val="none"/>
        </w:rPr>
        <w:t>5.投标费用</w:t>
      </w:r>
      <w:bookmarkEnd w:id="197"/>
      <w:bookmarkEnd w:id="198"/>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6.联合体投标</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6.1本项目是否接受联合体投标，详见“投标人须知前附表”。</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6.2如接受联合体投标，联合体投标要求详见“投标人须知前附表”。</w:t>
      </w:r>
    </w:p>
    <w:p>
      <w:pPr>
        <w:pStyle w:val="9"/>
        <w:spacing w:line="360" w:lineRule="auto"/>
        <w:rPr>
          <w:rFonts w:hint="eastAsia" w:ascii="宋体" w:hAnsi="宋体" w:cs="宋体"/>
          <w:color w:val="auto"/>
          <w:sz w:val="24"/>
          <w:highlight w:val="none"/>
          <w:shd w:val="clear" w:color="auto" w:fill="FFFFFF"/>
        </w:rPr>
      </w:pPr>
      <w:r>
        <w:rPr>
          <w:rFonts w:hint="eastAsia" w:ascii="宋体" w:hAnsi="宋体" w:cs="宋体"/>
          <w:bCs/>
          <w:color w:val="auto"/>
          <w:szCs w:val="21"/>
          <w:highlight w:val="none"/>
        </w:rPr>
        <w:t>6.3根据《政府采购促进中小企业发展管理办法》（财库〔2020〕46号）第九条，《</w:t>
      </w:r>
      <w:r>
        <w:rPr>
          <w:rFonts w:hint="eastAsia"/>
          <w:bCs/>
          <w:color w:val="auto"/>
          <w:highlight w:val="none"/>
        </w:rPr>
        <w:t>广西壮族自治区财政厅关于贯彻落实政府采购支持中小企业发展政策的通知</w:t>
      </w:r>
      <w:r>
        <w:rPr>
          <w:rFonts w:hint="eastAsia" w:ascii="宋体" w:hAnsi="宋体" w:cs="宋体"/>
          <w:bCs/>
          <w:color w:val="auto"/>
          <w:szCs w:val="21"/>
          <w:highlight w:val="none"/>
        </w:rPr>
        <w:t>》（桂财采〔2022〕31号）规定，接受大中型企业与小微企业组成联合体的采购项目，对于联合协议约定小微企业的合同份额占到合同总金额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7.转包与分包             </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7.1 本项目不允许转包。</w:t>
      </w:r>
    </w:p>
    <w:p>
      <w:pPr>
        <w:pStyle w:val="10"/>
        <w:spacing w:after="0" w:line="360" w:lineRule="auto"/>
        <w:rPr>
          <w:rFonts w:hint="eastAsia" w:ascii="宋体" w:hAnsi="宋体" w:cs="宋体"/>
          <w:color w:val="auto"/>
          <w:highlight w:val="none"/>
        </w:rPr>
      </w:pPr>
      <w:r>
        <w:rPr>
          <w:rFonts w:hint="eastAsia" w:ascii="宋体" w:hAnsi="宋体" w:cs="宋体"/>
          <w:b/>
          <w:color w:val="auto"/>
          <w:szCs w:val="21"/>
          <w:highlight w:val="none"/>
        </w:rPr>
        <w:t>　　7.2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9"/>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7.3根据《政府采购促进中小企业发展管理办法》（财库[2020]46号）第九条及《</w:t>
      </w:r>
      <w:r>
        <w:rPr>
          <w:rFonts w:hint="eastAsia"/>
          <w:b/>
          <w:color w:val="auto"/>
          <w:highlight w:val="none"/>
        </w:rPr>
        <w:t>广西壮族自治区财政厅关于贯彻落实政府采购支持中小企业发展政策的通知</w:t>
      </w:r>
      <w:r>
        <w:rPr>
          <w:rFonts w:hint="eastAsia" w:ascii="宋体" w:hAnsi="宋体" w:cs="宋体"/>
          <w:b/>
          <w:color w:val="auto"/>
          <w:szCs w:val="21"/>
          <w:highlight w:val="none"/>
        </w:rPr>
        <w:t>》（桂财采〔2022〕31号）规定，允许大中型企业向一家或者多家小微企业分包的采购项目，对于分包意向协议约定小微企业的合同份额占到合同总金额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pacing w:line="360" w:lineRule="auto"/>
        <w:ind w:firstLine="480" w:firstLineChars="200"/>
        <w:rPr>
          <w:rFonts w:hint="eastAsia" w:ascii="宋体" w:hAnsi="宋体" w:cs="宋体"/>
          <w:color w:val="auto"/>
          <w:sz w:val="24"/>
          <w:highlight w:val="none"/>
        </w:rPr>
      </w:pPr>
      <w:bookmarkStart w:id="199" w:name="_Toc254970532"/>
      <w:bookmarkStart w:id="200" w:name="_Toc254970673"/>
      <w:r>
        <w:rPr>
          <w:rFonts w:hint="eastAsia" w:ascii="宋体" w:hAnsi="宋体" w:cs="宋体"/>
          <w:color w:val="auto"/>
          <w:sz w:val="24"/>
          <w:highlight w:val="none"/>
        </w:rPr>
        <w:t>8.特别说明：</w:t>
      </w:r>
      <w:bookmarkEnd w:id="199"/>
      <w:bookmarkEnd w:id="200"/>
      <w:bookmarkStart w:id="201" w:name="_8.1提供相同品牌产品且通过资格审查、符合性审查的不同投标人参加同一合"/>
      <w:bookmarkEnd w:id="201"/>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8.1如果本招标文件要求投标人提供资格、信誉、荣誉、业绩与企业认证等材料的，则投标人所提供的以上材料必须为该投标人所拥有。</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8.2投标人应仔细阅读招标文件的所有内容，按照招标文件的要求提交投标文件，并对所提供的全部资料的真实性承担法律责任。</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pPr>
        <w:widowControl/>
        <w:spacing w:line="360" w:lineRule="auto"/>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8.4采用最低评标价法的采购项目，提供相同品牌产品的不同投标人参加同一合同项下投标的，以其中通过资格审查、符合性审查且报价最低的参加评标；报价相同的，由采购人或者采购人委托评标委员会按照招标文件“投标人须知前附表”规定的方式确定一个参加评标的投标人，招标文件未规定的采取随机抽取方式确定，其他投标无效。</w:t>
      </w:r>
    </w:p>
    <w:p>
      <w:pPr>
        <w:widowControl/>
        <w:spacing w:line="360" w:lineRule="auto"/>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投标人须知前附表”规定的方式确定一个投标人获得中标人推荐资格，招标文件未规定的采取随机抽取方式确定，其他同品牌投标人不作为中标候选人。</w:t>
      </w:r>
    </w:p>
    <w:p>
      <w:pPr>
        <w:widowControl/>
        <w:spacing w:line="360" w:lineRule="auto"/>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非单一产品采购项目，采购人应当根据采购项目技术构成、产品价格比重等合理确定核心产品，并在招标文件中载明。多家投标人提供的核心产品品牌相同的，按前两款规定处理。</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9.回避与串通投标</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9.1在政府采购活动中，采购人员及相关人员与供应商有下列利害关系之一的，应当回避：</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（1）参加采购活动前3年内与供应商存在劳动关系；</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（2）参加采购活动前3年内担任供应商的董事、监事；</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（3）参加采购活动前3年内是供应商的控股股东或者实际控制人；</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（4）与供应商的法定代表人或者负责人有夫妻、直系血亲、三代以内旁系血亲或者近姻亲关系；</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（5）与供应商有其他可能影响政府采购活动公平、公正进行的关系。</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9.2有下列情形之一的视为投标人相互串通投标，投标文件将被视为无效：</w:t>
      </w:r>
    </w:p>
    <w:p>
      <w:pPr>
        <w:pStyle w:val="9"/>
        <w:spacing w:line="360" w:lineRule="auto"/>
        <w:rPr>
          <w:rFonts w:hint="eastAsia" w:ascii="宋体" w:hAnsi="宋体" w:cs="宋体"/>
          <w:b/>
          <w:color w:val="auto"/>
          <w:highlight w:val="none"/>
        </w:rPr>
      </w:pPr>
      <w:r>
        <w:rPr>
          <w:rFonts w:hint="eastAsia" w:ascii="宋体" w:hAnsi="宋体" w:cs="宋体"/>
          <w:b/>
          <w:color w:val="auto"/>
          <w:highlight w:val="none"/>
        </w:rPr>
        <w:t>（1）不同投标人的投标文件由同一单位或者个人编制；</w:t>
      </w:r>
      <w:r>
        <w:rPr>
          <w:rFonts w:hint="eastAsia" w:cs="宋体"/>
          <w:b/>
          <w:color w:val="auto"/>
          <w:szCs w:val="21"/>
          <w:highlight w:val="none"/>
        </w:rPr>
        <w:t>或者不同投标人报名的IP地址一致的；</w:t>
      </w:r>
    </w:p>
    <w:p>
      <w:pPr>
        <w:spacing w:line="360" w:lineRule="auto"/>
        <w:ind w:firstLine="422" w:firstLineChars="200"/>
        <w:rPr>
          <w:rFonts w:hint="eastAsia" w:ascii="宋体" w:hAnsi="宋体" w:cs="宋体"/>
          <w:b/>
          <w:color w:val="auto"/>
          <w:highlight w:val="none"/>
        </w:rPr>
      </w:pPr>
      <w:r>
        <w:rPr>
          <w:rFonts w:hint="eastAsia" w:ascii="宋体" w:hAnsi="宋体" w:cs="宋体"/>
          <w:b/>
          <w:color w:val="auto"/>
          <w:highlight w:val="none"/>
        </w:rPr>
        <w:t>（2）不同投标人委托同一单位或者个人办理投标事宜；</w:t>
      </w:r>
    </w:p>
    <w:p>
      <w:pPr>
        <w:spacing w:line="360" w:lineRule="auto"/>
        <w:ind w:firstLine="422" w:firstLineChars="200"/>
        <w:rPr>
          <w:rFonts w:hint="eastAsia" w:ascii="宋体" w:hAnsi="宋体" w:cs="宋体"/>
          <w:b/>
          <w:color w:val="auto"/>
          <w:highlight w:val="none"/>
        </w:rPr>
      </w:pPr>
      <w:r>
        <w:rPr>
          <w:rFonts w:hint="eastAsia" w:ascii="宋体" w:hAnsi="宋体" w:cs="宋体"/>
          <w:b/>
          <w:color w:val="auto"/>
          <w:highlight w:val="none"/>
        </w:rPr>
        <w:t>（3）不同的投标人的投标文件载明的项目管理员为同一个人；</w:t>
      </w:r>
    </w:p>
    <w:p>
      <w:pPr>
        <w:spacing w:line="360" w:lineRule="auto"/>
        <w:ind w:firstLine="422" w:firstLineChars="200"/>
        <w:rPr>
          <w:rFonts w:hint="eastAsia" w:ascii="宋体" w:hAnsi="宋体" w:cs="宋体"/>
          <w:b/>
          <w:color w:val="auto"/>
          <w:highlight w:val="none"/>
        </w:rPr>
      </w:pPr>
      <w:r>
        <w:rPr>
          <w:rFonts w:hint="eastAsia" w:ascii="宋体" w:hAnsi="宋体" w:cs="宋体"/>
          <w:b/>
          <w:color w:val="auto"/>
          <w:highlight w:val="none"/>
        </w:rPr>
        <w:t>（4）不同投标人的电子投标文件异常一致或者投标报价呈规律性差异；</w:t>
      </w:r>
    </w:p>
    <w:p>
      <w:pPr>
        <w:pStyle w:val="15"/>
        <w:spacing w:line="360" w:lineRule="auto"/>
        <w:rPr>
          <w:color w:val="auto"/>
          <w:highlight w:val="none"/>
        </w:rPr>
      </w:pPr>
      <w:r>
        <w:rPr>
          <w:rFonts w:hint="eastAsia" w:ascii="宋体" w:hAnsi="宋体" w:cs="宋体"/>
          <w:b/>
          <w:color w:val="auto"/>
          <w:highlight w:val="none"/>
        </w:rPr>
        <w:t xml:space="preserve"> </w:t>
      </w:r>
      <w:r>
        <w:rPr>
          <w:rFonts w:hint="eastAsia" w:ascii="宋体" w:hAnsi="宋体" w:cs="宋体"/>
          <w:b/>
          <w:color w:val="auto"/>
          <w:sz w:val="21"/>
          <w:szCs w:val="24"/>
          <w:highlight w:val="none"/>
        </w:rPr>
        <w:t xml:space="preserve">  </w:t>
      </w:r>
      <w:r>
        <w:rPr>
          <w:rFonts w:hint="eastAsia" w:ascii="宋体" w:hAnsi="宋体" w:cs="宋体"/>
          <w:b/>
          <w:color w:val="auto"/>
          <w:sz w:val="21"/>
          <w:szCs w:val="21"/>
          <w:highlight w:val="none"/>
        </w:rPr>
        <w:t xml:space="preserve"> （5）</w:t>
      </w:r>
      <w:r>
        <w:rPr>
          <w:rFonts w:hint="eastAsia" w:ascii="宋体" w:hAnsi="宋体" w:cs="宋体"/>
          <w:b/>
          <w:color w:val="auto"/>
          <w:sz w:val="21"/>
          <w:szCs w:val="24"/>
          <w:highlight w:val="none"/>
        </w:rPr>
        <w:t>不同投标人的投标文件相互混装；</w:t>
      </w:r>
    </w:p>
    <w:p>
      <w:pPr>
        <w:tabs>
          <w:tab w:val="center" w:pos="4153"/>
          <w:tab w:val="right" w:pos="8306"/>
        </w:tabs>
        <w:spacing w:line="360" w:lineRule="auto"/>
        <w:ind w:firstLine="422" w:firstLineChars="200"/>
        <w:rPr>
          <w:rFonts w:hint="eastAsia" w:ascii="宋体" w:hAnsi="宋体" w:cs="宋体"/>
          <w:b/>
          <w:color w:val="auto"/>
          <w:highlight w:val="none"/>
        </w:rPr>
      </w:pPr>
      <w:r>
        <w:rPr>
          <w:rFonts w:hint="eastAsia" w:ascii="宋体" w:hAnsi="宋体" w:cs="宋体"/>
          <w:b/>
          <w:color w:val="auto"/>
          <w:highlight w:val="none"/>
        </w:rPr>
        <w:t>（6）不同投标人的投标保证金从同一单位或者个人账户转出。</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color w:val="auto"/>
          <w:highlight w:val="none"/>
        </w:rPr>
        <w:t>9.3供应商有下列情形之一的，属于恶意串通</w:t>
      </w:r>
      <w:r>
        <w:rPr>
          <w:rFonts w:hint="eastAsia" w:ascii="宋体" w:hAnsi="宋体" w:cs="宋体"/>
          <w:b/>
          <w:bCs/>
          <w:color w:val="auto"/>
          <w:szCs w:val="21"/>
          <w:highlight w:val="none"/>
        </w:rPr>
        <w:t>行为，将报同级监督管理部门：</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（1）供应商直接或者间接从采购人或者采购代理机构处获得其他供应商的相关信息并修改其投标文件；</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（2）供应商按照采购人或者采购代理机构的授意撤换、修改投标文件；</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（3）供应商之间协商报价、技术方案等投标文件的实质性内容；</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（4）属于同一集团、协会、商会等组织成员的供应商按照该组织要求协同参加政府采购活动；</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（5）供应商之间事先约定一致抬高或者压低投标报价，或者在招标项目中事先约定轮流以高价位或者低价位中标，或者事先约定由某一特定供应商中标，然后再参加投标；</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（6）供应商之间商定部分供应商放弃参加政府采购活动或者放弃中标；</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（7）供应商与采购人或者采购代理机构之间、供应商相互之间，为谋求特定供应商中标或者排斥其他供应商的其他串通行为。</w:t>
      </w:r>
    </w:p>
    <w:p>
      <w:pPr>
        <w:pStyle w:val="13"/>
        <w:snapToGrid w:val="0"/>
        <w:spacing w:line="360" w:lineRule="auto"/>
        <w:ind w:left="2" w:leftChars="1" w:firstLine="422" w:firstLineChars="200"/>
        <w:rPr>
          <w:rFonts w:hint="eastAsia" w:hAnsi="宋体" w:cs="宋体"/>
          <w:b/>
          <w:color w:val="auto"/>
          <w:highlight w:val="none"/>
        </w:rPr>
      </w:pPr>
    </w:p>
    <w:p>
      <w:pPr>
        <w:pStyle w:val="4"/>
        <w:keepNext w:val="0"/>
        <w:keepLines w:val="0"/>
        <w:spacing w:line="360" w:lineRule="auto"/>
        <w:jc w:val="center"/>
        <w:rPr>
          <w:rFonts w:hint="eastAsia" w:ascii="宋体" w:hAnsi="宋体" w:cs="宋体"/>
          <w:color w:val="auto"/>
          <w:highlight w:val="none"/>
        </w:rPr>
      </w:pPr>
      <w:bookmarkStart w:id="202" w:name="_Toc22960"/>
      <w:bookmarkStart w:id="203" w:name="_Toc22070"/>
      <w:bookmarkStart w:id="204" w:name="_Toc25441"/>
      <w:bookmarkStart w:id="205" w:name="_Toc254970675"/>
      <w:bookmarkStart w:id="206" w:name="_Toc4100"/>
      <w:bookmarkStart w:id="207" w:name="_Toc19385"/>
      <w:bookmarkStart w:id="208" w:name="_Toc254970534"/>
      <w:r>
        <w:rPr>
          <w:rFonts w:hint="eastAsia" w:ascii="宋体" w:hAnsi="宋体" w:cs="宋体"/>
          <w:color w:val="auto"/>
          <w:highlight w:val="none"/>
        </w:rPr>
        <w:t>二、招标文件</w:t>
      </w:r>
      <w:bookmarkEnd w:id="202"/>
      <w:bookmarkEnd w:id="203"/>
      <w:bookmarkEnd w:id="204"/>
      <w:bookmarkEnd w:id="205"/>
      <w:bookmarkEnd w:id="206"/>
      <w:bookmarkEnd w:id="207"/>
      <w:bookmarkEnd w:id="208"/>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10.招标文件的组成</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第一章 招标公告；</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第二章 采购需求； </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第三章 投标人须知；</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第四章 评标方法和评标标准；</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第五章 拟签订的合同文本；</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第六章 投标文件格式；</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第七章 质疑、投诉材料格式</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根据本章第11.1项的规定对招标文件所做的澄清、修改，构成招标文件的组成部分。当招标文件与招标文件的澄清和修改就同一内容的表述不一致时，以最后澄清或修改公告为准。</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11.招标文件的澄清、修改 、现场考察和答疑会</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 xml:space="preserve"> 11.1采购人或者采购代理机构可以对已发出的招标文件进行必要的澄清或者修改，但不得改变采购标的和资格条件。澄清或者修改应当在原招标公告发布媒体上发布澄清公告。澄清或者修改的内容为招标文件的组成部分。</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11.2 投标人应认真审阅本招标文件，如有疑问，或发现其中有误或有要求不合理的，应在投标人须知前附表规定的</w:t>
      </w:r>
      <w:r>
        <w:rPr>
          <w:rFonts w:hint="eastAsia" w:ascii="宋体" w:hAnsi="宋体" w:cs="宋体"/>
          <w:color w:val="auto"/>
          <w:kern w:val="0"/>
          <w:szCs w:val="21"/>
          <w:highlight w:val="none"/>
        </w:rPr>
        <w:t>投标截止时间</w:t>
      </w:r>
      <w:r>
        <w:rPr>
          <w:rFonts w:hint="eastAsia" w:ascii="宋体" w:hAnsi="宋体" w:cs="宋体"/>
          <w:color w:val="auto"/>
          <w:highlight w:val="none"/>
        </w:rPr>
        <w:t>前以书面形式要求采购人或采购代理机构对招标文件予以澄清；否则，由此产生的后果由投标人自行负责。</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color w:val="auto"/>
          <w:szCs w:val="21"/>
          <w:highlight w:val="none"/>
        </w:rPr>
        <w:t>投标人须知前附表”</w:t>
      </w:r>
      <w:r>
        <w:rPr>
          <w:rFonts w:hint="eastAsia" w:ascii="宋体" w:hAnsi="宋体" w:cs="宋体"/>
          <w:color w:val="auto"/>
          <w:highlight w:val="none"/>
        </w:rPr>
        <w:t>规定的政府采购信息发布媒体上发布更正公告及平台短信通知)所有获取招标文件的潜在投标人；不足15日的，采购人或者采购代理机构应当顺延提交投标文件的截止时间。</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澄清或者更正公告在招标公告发布媒体上发布，一经发布，视作已以书面形式通知所有获取招标文件的潜在投标人，不再另行通知，所有潜在投标人应密切关注招标公告发布媒体，因未能及时获知，由此产生的后果均应自行承担。</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11.4 采购人和采购代理机构可以视采购具体情况，变更投标截止时间和开标时间，将变更时间将在“</w:t>
      </w:r>
      <w:r>
        <w:rPr>
          <w:rFonts w:hint="eastAsia" w:ascii="宋体" w:hAnsi="宋体" w:cs="宋体"/>
          <w:color w:val="auto"/>
          <w:szCs w:val="21"/>
          <w:highlight w:val="none"/>
        </w:rPr>
        <w:t>投标人须知前附表”</w:t>
      </w:r>
      <w:r>
        <w:rPr>
          <w:rFonts w:hint="eastAsia" w:ascii="宋体" w:hAnsi="宋体" w:cs="宋体"/>
          <w:color w:val="auto"/>
          <w:kern w:val="0"/>
          <w:szCs w:val="21"/>
          <w:highlight w:val="none"/>
        </w:rPr>
        <w:t>规定的政府采购信息发布媒体上</w:t>
      </w:r>
      <w:r>
        <w:rPr>
          <w:rFonts w:hint="eastAsia" w:ascii="宋体" w:hAnsi="宋体" w:cs="宋体"/>
          <w:color w:val="auto"/>
          <w:highlight w:val="none"/>
        </w:rPr>
        <w:t>发布更正公告。</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w:t>
      </w:r>
      <w:bookmarkStart w:id="209" w:name="_Hlk53134511"/>
      <w:r>
        <w:rPr>
          <w:rFonts w:hint="eastAsia" w:ascii="宋体" w:hAnsi="宋体" w:cs="宋体"/>
          <w:color w:val="auto"/>
          <w:highlight w:val="none"/>
        </w:rPr>
        <w:t>5采购人或者采购代理机构可以在招标文件提供期限截止后，组织已获取招标文件的潜在投标人现场考察或者召开开标前答疑会，具体详见“投标人须知前附表”。</w:t>
      </w:r>
    </w:p>
    <w:bookmarkEnd w:id="209"/>
    <w:p>
      <w:pPr>
        <w:pStyle w:val="4"/>
        <w:keepNext w:val="0"/>
        <w:keepLines w:val="0"/>
        <w:spacing w:line="360" w:lineRule="auto"/>
        <w:jc w:val="center"/>
        <w:rPr>
          <w:rFonts w:hint="eastAsia" w:ascii="宋体" w:hAnsi="宋体" w:cs="宋体"/>
          <w:color w:val="auto"/>
          <w:highlight w:val="none"/>
        </w:rPr>
      </w:pPr>
      <w:bookmarkStart w:id="210" w:name="_Toc32490"/>
      <w:bookmarkStart w:id="211" w:name="_Toc254970535"/>
      <w:bookmarkStart w:id="212" w:name="_Toc23467"/>
      <w:bookmarkStart w:id="213" w:name="_Toc254970676"/>
    </w:p>
    <w:p>
      <w:pPr>
        <w:pStyle w:val="4"/>
        <w:keepNext w:val="0"/>
        <w:keepLines w:val="0"/>
        <w:spacing w:line="360" w:lineRule="auto"/>
        <w:jc w:val="center"/>
        <w:rPr>
          <w:rFonts w:hint="eastAsia" w:ascii="宋体" w:hAnsi="宋体" w:cs="宋体"/>
          <w:color w:val="auto"/>
          <w:highlight w:val="none"/>
        </w:rPr>
      </w:pPr>
      <w:bookmarkStart w:id="214" w:name="_Toc7612"/>
      <w:bookmarkStart w:id="215" w:name="_Toc13166"/>
      <w:bookmarkStart w:id="216" w:name="_Toc31820"/>
      <w:r>
        <w:rPr>
          <w:rFonts w:hint="eastAsia" w:ascii="宋体" w:hAnsi="宋体" w:cs="宋体"/>
          <w:color w:val="auto"/>
          <w:highlight w:val="none"/>
        </w:rPr>
        <w:t>三、投标文件的编制</w:t>
      </w:r>
      <w:bookmarkEnd w:id="210"/>
      <w:bookmarkEnd w:id="211"/>
      <w:bookmarkEnd w:id="212"/>
      <w:bookmarkEnd w:id="213"/>
      <w:bookmarkEnd w:id="214"/>
      <w:bookmarkEnd w:id="215"/>
      <w:bookmarkEnd w:id="216"/>
    </w:p>
    <w:p>
      <w:pPr>
        <w:spacing w:line="360" w:lineRule="auto"/>
        <w:ind w:firstLine="480" w:firstLineChars="200"/>
        <w:rPr>
          <w:rFonts w:hint="eastAsia" w:ascii="宋体" w:hAnsi="宋体" w:cs="宋体"/>
          <w:color w:val="auto"/>
          <w:sz w:val="24"/>
          <w:highlight w:val="none"/>
        </w:rPr>
      </w:pPr>
      <w:bookmarkStart w:id="217" w:name="_Toc254970536"/>
      <w:bookmarkStart w:id="218" w:name="_Toc254970677"/>
      <w:r>
        <w:rPr>
          <w:rFonts w:hint="eastAsia" w:ascii="宋体" w:hAnsi="宋体" w:cs="宋体"/>
          <w:color w:val="auto"/>
          <w:sz w:val="24"/>
          <w:highlight w:val="none"/>
        </w:rPr>
        <w:t>12.投标文件的编制原则</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投标人必须按照招标文件的要求编制投标文件。投标文件必须对招标文件提出的要求和条件作出明确响应。</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13.投标文件的组成</w:t>
      </w:r>
      <w:bookmarkEnd w:id="217"/>
      <w:bookmarkEnd w:id="218"/>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13.1投标文件由报价文件、资格证明文件、商务文件、技术文件四部分组成。</w:t>
      </w:r>
    </w:p>
    <w:p>
      <w:pPr>
        <w:spacing w:line="360" w:lineRule="auto"/>
        <w:ind w:firstLine="420" w:firstLineChars="200"/>
        <w:rPr>
          <w:rFonts w:hint="eastAsia" w:ascii="宋体" w:hAnsi="宋体" w:cs="宋体"/>
          <w:bCs/>
          <w:color w:val="auto"/>
          <w:szCs w:val="21"/>
          <w:highlight w:val="none"/>
        </w:rPr>
      </w:pPr>
      <w:bookmarkStart w:id="219" w:name="_13.1报价文件:_具体材料见“投标人须知前附表”。"/>
      <w:bookmarkEnd w:id="219"/>
      <w:bookmarkStart w:id="220" w:name="_13.2资格证明文件：具体材料见“投标人须知前附表”。"/>
      <w:bookmarkEnd w:id="220"/>
      <w:r>
        <w:rPr>
          <w:rFonts w:hint="eastAsia" w:ascii="宋体" w:hAnsi="宋体" w:cs="宋体"/>
          <w:bCs/>
          <w:color w:val="auto"/>
          <w:szCs w:val="21"/>
          <w:highlight w:val="none"/>
        </w:rPr>
        <w:t>（1）资格证明文件：具体材料见“投标人须知前附表”。</w:t>
      </w:r>
    </w:p>
    <w:p>
      <w:pPr>
        <w:spacing w:line="360" w:lineRule="auto"/>
        <w:ind w:firstLine="420" w:firstLineChars="200"/>
        <w:rPr>
          <w:rFonts w:hint="eastAsia" w:ascii="宋体" w:hAnsi="宋体" w:cs="宋体"/>
          <w:bCs/>
          <w:color w:val="auto"/>
          <w:szCs w:val="21"/>
          <w:highlight w:val="none"/>
        </w:rPr>
      </w:pPr>
      <w:bookmarkStart w:id="221" w:name="_13.3商务文件:_具体材料见“投标人须知前附表”。"/>
      <w:bookmarkEnd w:id="221"/>
      <w:r>
        <w:rPr>
          <w:rFonts w:hint="eastAsia" w:ascii="宋体" w:hAnsi="宋体" w:cs="宋体"/>
          <w:bCs/>
          <w:color w:val="auto"/>
          <w:szCs w:val="21"/>
          <w:highlight w:val="none"/>
        </w:rPr>
        <w:t>（2）商务文件：具体材料见“投标人须知前附表”。</w:t>
      </w:r>
    </w:p>
    <w:p>
      <w:pPr>
        <w:spacing w:line="360" w:lineRule="auto"/>
        <w:ind w:firstLine="420" w:firstLineChars="200"/>
        <w:rPr>
          <w:rFonts w:hint="eastAsia" w:ascii="宋体" w:hAnsi="宋体" w:cs="宋体"/>
          <w:bCs/>
          <w:color w:val="auto"/>
          <w:szCs w:val="21"/>
          <w:highlight w:val="none"/>
        </w:rPr>
      </w:pPr>
      <w:bookmarkStart w:id="222" w:name="_13.4技术文件：具体材料见“投标人须知前附表”。"/>
      <w:bookmarkEnd w:id="222"/>
      <w:r>
        <w:rPr>
          <w:rFonts w:hint="eastAsia" w:ascii="宋体" w:hAnsi="宋体" w:cs="宋体"/>
          <w:bCs/>
          <w:color w:val="auto"/>
          <w:szCs w:val="21"/>
          <w:highlight w:val="none"/>
        </w:rPr>
        <w:t xml:space="preserve">（3）技术文件：具体材料见“投标人须知前附表”。 </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（4）报价文件： 具体材料见“投标人须知前附表”。</w:t>
      </w:r>
    </w:p>
    <w:p>
      <w:pPr>
        <w:spacing w:line="360" w:lineRule="auto"/>
        <w:ind w:firstLine="420" w:firstLineChars="200"/>
        <w:rPr>
          <w:rFonts w:hint="eastAsia" w:ascii="宋体" w:hAnsi="宋体" w:cs="宋体"/>
          <w:bCs/>
          <w:color w:val="auto"/>
          <w:szCs w:val="21"/>
          <w:highlight w:val="none"/>
        </w:rPr>
      </w:pPr>
      <w:bookmarkStart w:id="223" w:name="_13.5投标文件电子版：具体材料见“投标人须知前附表”。"/>
      <w:bookmarkEnd w:id="223"/>
      <w:r>
        <w:rPr>
          <w:rFonts w:hint="eastAsia" w:ascii="宋体" w:hAnsi="宋体" w:cs="宋体"/>
          <w:bCs/>
          <w:color w:val="auto"/>
          <w:szCs w:val="21"/>
          <w:highlight w:val="none"/>
        </w:rPr>
        <w:t>13.2投标文件电子版：具体要求见本节19.投标文件编制。</w:t>
      </w:r>
    </w:p>
    <w:p>
      <w:pPr>
        <w:spacing w:line="360" w:lineRule="auto"/>
        <w:ind w:firstLine="480" w:firstLineChars="200"/>
        <w:rPr>
          <w:rFonts w:hint="eastAsia" w:ascii="宋体" w:hAnsi="宋体" w:cs="宋体"/>
          <w:color w:val="auto"/>
          <w:sz w:val="24"/>
          <w:highlight w:val="none"/>
        </w:rPr>
      </w:pPr>
      <w:bookmarkStart w:id="224" w:name="_Toc254970537"/>
      <w:bookmarkStart w:id="225" w:name="_Toc254970678"/>
      <w:r>
        <w:rPr>
          <w:rFonts w:hint="eastAsia" w:ascii="宋体" w:hAnsi="宋体" w:cs="宋体"/>
          <w:color w:val="auto"/>
          <w:sz w:val="24"/>
          <w:highlight w:val="none"/>
        </w:rPr>
        <w:t>14.投标文件的语言及计量</w:t>
      </w:r>
      <w:bookmarkEnd w:id="224"/>
      <w:bookmarkEnd w:id="225"/>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14.1语言文字</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14.2投标计量单位</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招标文件已有明确规定的，使用招标文件规定的计量单位；招标文件没有规定的，应采用中华人民共和国法定计量单位，货币种类为人民币，</w:t>
      </w:r>
      <w:r>
        <w:rPr>
          <w:rFonts w:hint="eastAsia" w:ascii="宋体" w:hAnsi="宋体" w:cs="宋体"/>
          <w:b/>
          <w:color w:val="auto"/>
          <w:szCs w:val="21"/>
          <w:highlight w:val="none"/>
        </w:rPr>
        <w:t>否则视同未响应</w:t>
      </w:r>
      <w:r>
        <w:rPr>
          <w:rFonts w:hint="eastAsia" w:ascii="宋体" w:hAnsi="宋体" w:cs="宋体"/>
          <w:bCs/>
          <w:color w:val="auto"/>
          <w:szCs w:val="21"/>
          <w:highlight w:val="none"/>
        </w:rPr>
        <w:t>。</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15.投标文件提交的风险</w:t>
      </w:r>
    </w:p>
    <w:p>
      <w:pPr>
        <w:pStyle w:val="9"/>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投标人没有按照招标文件要求提供全部资料，或者投标人没有对招标文件作出实质性响应是投标人的风险，可能导致其投标被拒绝。</w:t>
      </w:r>
    </w:p>
    <w:p>
      <w:pPr>
        <w:spacing w:line="360" w:lineRule="auto"/>
        <w:ind w:firstLine="480" w:firstLineChars="200"/>
        <w:rPr>
          <w:rFonts w:hint="eastAsia" w:ascii="宋体" w:hAnsi="宋体" w:cs="宋体"/>
          <w:color w:val="auto"/>
          <w:sz w:val="24"/>
          <w:highlight w:val="none"/>
        </w:rPr>
      </w:pPr>
      <w:bookmarkStart w:id="226" w:name="_Toc254970679"/>
      <w:bookmarkStart w:id="227" w:name="_Toc254970538"/>
      <w:r>
        <w:rPr>
          <w:rFonts w:hint="eastAsia" w:ascii="宋体" w:hAnsi="宋体" w:cs="宋体"/>
          <w:color w:val="auto"/>
          <w:sz w:val="24"/>
          <w:highlight w:val="none"/>
        </w:rPr>
        <w:t>16.投标报价</w:t>
      </w:r>
      <w:bookmarkEnd w:id="226"/>
      <w:bookmarkEnd w:id="227"/>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16.1投标报价应</w:t>
      </w:r>
      <w:r>
        <w:rPr>
          <w:rFonts w:hint="eastAsia" w:ascii="宋体" w:hAnsi="宋体" w:cs="宋体"/>
          <w:bCs/>
          <w:color w:val="auto"/>
          <w:szCs w:val="20"/>
          <w:highlight w:val="none"/>
        </w:rPr>
        <w:t>按“第六章　投标文件格式”中“开标一览表”格式填写。</w:t>
      </w:r>
    </w:p>
    <w:p>
      <w:pPr>
        <w:spacing w:line="360" w:lineRule="auto"/>
        <w:ind w:firstLine="420" w:firstLineChars="200"/>
        <w:rPr>
          <w:rFonts w:hint="eastAsia" w:ascii="宋体" w:hAnsi="宋体" w:cs="宋体"/>
          <w:bCs/>
          <w:color w:val="auto"/>
          <w:szCs w:val="21"/>
          <w:highlight w:val="none"/>
        </w:rPr>
      </w:pPr>
      <w:bookmarkStart w:id="228" w:name="_16.2投标报价具体定义见投标人须知前附表。"/>
      <w:bookmarkEnd w:id="228"/>
      <w:r>
        <w:rPr>
          <w:rFonts w:hint="eastAsia" w:ascii="宋体" w:hAnsi="宋体" w:cs="宋体"/>
          <w:bCs/>
          <w:color w:val="auto"/>
          <w:szCs w:val="21"/>
          <w:highlight w:val="none"/>
        </w:rPr>
        <w:t>16.2投标报价具体包括内容详见“投标人须知前附表”。</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16.3投标人必须就所投项目的全部内容分别作完整唯一总价报价，不得存在漏项报价；投标人必须就所投项目的单项内容作唯一报价。</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17.投标有效期</w:t>
      </w:r>
    </w:p>
    <w:p>
      <w:pPr>
        <w:spacing w:line="360" w:lineRule="auto"/>
        <w:ind w:firstLine="420" w:firstLineChars="200"/>
        <w:rPr>
          <w:rFonts w:hint="eastAsia" w:ascii="宋体" w:hAnsi="宋体" w:cs="宋体"/>
          <w:bCs/>
          <w:color w:val="auto"/>
          <w:szCs w:val="21"/>
          <w:highlight w:val="none"/>
        </w:rPr>
      </w:pPr>
      <w:bookmarkStart w:id="229" w:name="_17.1投标有效期应按“投标人须知中的前附表”规定的期限。"/>
      <w:bookmarkEnd w:id="229"/>
      <w:r>
        <w:rPr>
          <w:rFonts w:hint="eastAsia" w:ascii="宋体" w:hAnsi="宋体" w:cs="宋体"/>
          <w:bCs/>
          <w:color w:val="auto"/>
          <w:szCs w:val="21"/>
          <w:highlight w:val="none"/>
        </w:rPr>
        <w:t>17.1投标有效期是指为保证采购人有足够的时间在开标后完成评标、定标、合同签订等工作而要求投标人提交的投标文件在一定时间内保持有效的期限。</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17.2</w:t>
      </w:r>
      <w:bookmarkStart w:id="230" w:name="_Toc254970681"/>
      <w:bookmarkStart w:id="231" w:name="_Toc254970540"/>
      <w:r>
        <w:rPr>
          <w:rFonts w:hint="eastAsia" w:ascii="宋体" w:hAnsi="宋体" w:cs="宋体"/>
          <w:bCs/>
          <w:color w:val="auto"/>
          <w:szCs w:val="21"/>
          <w:highlight w:val="none"/>
        </w:rPr>
        <w:t xml:space="preserve"> 投标有效期应按规定的期限作出承诺，具体详见“投标人须知前附表”。</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17.3投标人的投标文件在投标有效期内均保持有效。</w:t>
      </w:r>
      <w:bookmarkEnd w:id="230"/>
      <w:bookmarkEnd w:id="231"/>
    </w:p>
    <w:p>
      <w:pPr>
        <w:spacing w:line="360" w:lineRule="auto"/>
        <w:ind w:firstLine="480" w:firstLineChars="200"/>
        <w:rPr>
          <w:rFonts w:hint="eastAsia" w:ascii="宋体" w:hAnsi="宋体" w:cs="宋体"/>
          <w:color w:val="auto"/>
          <w:sz w:val="24"/>
          <w:highlight w:val="none"/>
        </w:rPr>
      </w:pPr>
      <w:bookmarkStart w:id="232" w:name="_18.投标保证金"/>
      <w:bookmarkEnd w:id="232"/>
      <w:bookmarkStart w:id="233" w:name="_Toc254970541"/>
      <w:bookmarkStart w:id="234" w:name="_Toc254970682"/>
      <w:r>
        <w:rPr>
          <w:rFonts w:hint="eastAsia" w:ascii="宋体" w:hAnsi="宋体" w:cs="宋体"/>
          <w:color w:val="auto"/>
          <w:sz w:val="24"/>
          <w:highlight w:val="none"/>
        </w:rPr>
        <w:t>18.投标保证金</w:t>
      </w:r>
      <w:bookmarkEnd w:id="233"/>
      <w:bookmarkEnd w:id="234"/>
    </w:p>
    <w:p>
      <w:pPr>
        <w:pStyle w:val="6"/>
        <w:keepNext w:val="0"/>
        <w:keepLines w:val="0"/>
        <w:spacing w:before="0" w:after="0" w:line="360" w:lineRule="auto"/>
        <w:ind w:left="420" w:leftChars="200"/>
        <w:rPr>
          <w:rFonts w:hint="eastAsia" w:ascii="宋体" w:hAnsi="宋体" w:cs="宋体"/>
          <w:b w:val="0"/>
          <w:color w:val="auto"/>
          <w:sz w:val="21"/>
          <w:szCs w:val="21"/>
          <w:highlight w:val="none"/>
        </w:rPr>
      </w:pPr>
      <w:bookmarkStart w:id="235" w:name="_Toc254970542"/>
      <w:bookmarkStart w:id="236" w:name="_Toc254970683"/>
      <w:r>
        <w:rPr>
          <w:rFonts w:hint="eastAsia" w:ascii="宋体" w:hAnsi="宋体" w:cs="宋体"/>
          <w:b w:val="0"/>
          <w:color w:val="auto"/>
          <w:sz w:val="21"/>
          <w:szCs w:val="21"/>
          <w:highlight w:val="none"/>
        </w:rPr>
        <w:t>18.1投标人须按“投标人须知前附表” 的规定提交投标保证金。</w:t>
      </w:r>
    </w:p>
    <w:p>
      <w:pPr>
        <w:pStyle w:val="6"/>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18.2投标保证金的退还</w:t>
      </w:r>
    </w:p>
    <w:p>
      <w:pPr>
        <w:pStyle w:val="6"/>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18.2.1未中标人的投标保证金自中标通知书发出之日起5个工作日内退还，退还方式如下：</w:t>
      </w:r>
    </w:p>
    <w:p>
      <w:pPr>
        <w:pStyle w:val="6"/>
        <w:keepNext w:val="0"/>
        <w:keepLines w:val="0"/>
        <w:spacing w:before="0" w:after="0" w:line="360" w:lineRule="auto"/>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（1）采用银行转账方式的，以转账方式退回到投标人银行账户。</w:t>
      </w:r>
    </w:p>
    <w:p>
      <w:pPr>
        <w:pStyle w:val="7"/>
        <w:spacing w:line="360" w:lineRule="auto"/>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 xml:space="preserve">（2）采用支票、汇票、本票或者金融机构、担保机构出具的保函等方式的，由投标人代表持相关授权证明材料至采购代理机构办理支票、汇票、本票或者金融机构、担保机构出具的保函等原件退还手续。 </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18.2.2中标人的投标保证金自采购合同签订之日起5个工作日内退还，退还方式同本须知正文第18.2.1，或者转为中标人的履约保证金。 </w:t>
      </w:r>
    </w:p>
    <w:p>
      <w:pPr>
        <w:pStyle w:val="6"/>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18.3除逾期退还投标保证金和终止招标的情形以外，投标保证金不计息。</w:t>
      </w:r>
    </w:p>
    <w:p>
      <w:pPr>
        <w:pStyle w:val="6"/>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18.4投标人有下列情形之一的，投标保证金将不予退还： </w:t>
      </w:r>
    </w:p>
    <w:p>
      <w:pPr>
        <w:snapToGrid w:val="0"/>
        <w:spacing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（1）投标人在投标有效期内撤销投标文件的；</w:t>
      </w:r>
    </w:p>
    <w:p>
      <w:pPr>
        <w:snapToGrid w:val="0"/>
        <w:spacing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（2）未按规定提交履约保证金的；</w:t>
      </w:r>
    </w:p>
    <w:p>
      <w:pPr>
        <w:snapToGrid w:val="0"/>
        <w:spacing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（3）投标人在投标过程中弄虚作假，提供虚假材料的；</w:t>
      </w:r>
    </w:p>
    <w:p>
      <w:pPr>
        <w:snapToGrid w:val="0"/>
        <w:spacing w:line="360" w:lineRule="auto"/>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（4）中标人无正当理由不与采购人签订合同的；</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（5）投标人出现本章第9.2、9.3情形的；</w:t>
      </w:r>
    </w:p>
    <w:p>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（6）其他严重扰乱招投标程序的。</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19.投标文件的</w:t>
      </w:r>
      <w:bookmarkEnd w:id="235"/>
      <w:bookmarkEnd w:id="236"/>
      <w:r>
        <w:rPr>
          <w:rFonts w:hint="eastAsia" w:ascii="宋体" w:hAnsi="宋体" w:cs="宋体"/>
          <w:color w:val="auto"/>
          <w:sz w:val="24"/>
          <w:highlight w:val="none"/>
        </w:rPr>
        <w:t>编制</w:t>
      </w:r>
    </w:p>
    <w:p>
      <w:pPr>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 xml:space="preserve"> </w:t>
      </w:r>
      <w:r>
        <w:rPr>
          <w:rFonts w:hint="eastAsia" w:ascii="宋体" w:hAnsi="宋体" w:cs="宋体"/>
          <w:color w:val="auto"/>
          <w:szCs w:val="21"/>
          <w:highlight w:val="none"/>
        </w:rPr>
        <w:t>19.1投标文件编制要求详见“投标人须知前附表”。投标人应按本招标文件规定的格式和顺序编制投标文件并标注页码，投标文件内容不完整、编排混乱导致投标文件被误读、漏读或者查找不到相关内容的，由此引发的后果由投标人承担。</w:t>
      </w:r>
      <w:bookmarkStart w:id="237" w:name="_19.2投标文件应按报价文件、资格证明文件、商务文件、技术文件分别编制"/>
      <w:bookmarkEnd w:id="237"/>
      <w:r>
        <w:rPr>
          <w:rFonts w:hint="eastAsia" w:ascii="宋体" w:hAnsi="宋体" w:cs="宋体"/>
          <w:color w:val="auto"/>
          <w:szCs w:val="21"/>
          <w:highlight w:val="none"/>
        </w:rPr>
        <w:t xml:space="preserve"> </w:t>
      </w:r>
    </w:p>
    <w:p>
      <w:pPr>
        <w:pStyle w:val="58"/>
        <w:snapToGrid w:val="0"/>
        <w:spacing w:before="0"/>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19.2投标文件按照招标文件第六章格式要求进行签署、盖章。投标人的投标文件未按照招标文件要求签署、盖章的，</w:t>
      </w:r>
      <w:r>
        <w:rPr>
          <w:rFonts w:hint="eastAsia" w:ascii="宋体" w:hAnsi="宋体" w:cs="宋体"/>
          <w:b/>
          <w:color w:val="auto"/>
          <w:sz w:val="21"/>
          <w:szCs w:val="21"/>
          <w:highlight w:val="none"/>
        </w:rPr>
        <w:t>其投标无效。</w:t>
      </w:r>
    </w:p>
    <w:p>
      <w:pPr>
        <w:pStyle w:val="58"/>
        <w:snapToGrid w:val="0"/>
        <w:spacing w:before="0"/>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19.3为确保网上操作合法、有效和安全，投标人应当在投标截止时间前完成在广西政府采购云平台的身份认证，确保在电子投标过程中能够对相关数据电文进行加密和使用电子签名。</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cs="宋体"/>
          <w:b/>
          <w:bCs/>
          <w:color w:val="auto"/>
          <w:szCs w:val="21"/>
          <w:highlight w:val="none"/>
        </w:rPr>
        <w:t>否则作无效投标处理</w:t>
      </w:r>
      <w:r>
        <w:rPr>
          <w:rFonts w:hint="eastAsia" w:ascii="宋体" w:hAnsi="宋体" w:cs="宋体"/>
          <w:b/>
          <w:color w:val="auto"/>
          <w:szCs w:val="21"/>
          <w:highlight w:val="none"/>
        </w:rPr>
        <w:t>。</w:t>
      </w:r>
    </w:p>
    <w:p>
      <w:pPr>
        <w:spacing w:line="360" w:lineRule="auto"/>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 xml:space="preserve"> 19.5投标文件应避免涂改、行间插字或者删除</w:t>
      </w:r>
      <w:r>
        <w:rPr>
          <w:rFonts w:hint="eastAsia" w:ascii="宋体" w:hAnsi="宋体" w:cs="宋体"/>
          <w:b/>
          <w:color w:val="auto"/>
          <w:szCs w:val="21"/>
          <w:highlight w:val="none"/>
        </w:rPr>
        <w:t>。</w:t>
      </w:r>
    </w:p>
    <w:p>
      <w:pPr>
        <w:spacing w:line="360" w:lineRule="auto"/>
        <w:ind w:firstLine="520" w:firstLineChars="248"/>
        <w:rPr>
          <w:rFonts w:hint="eastAsia" w:ascii="宋体" w:hAnsi="宋体" w:cs="宋体"/>
          <w:color w:val="auto"/>
          <w:highlight w:val="none"/>
        </w:rPr>
      </w:pPr>
      <w:r>
        <w:rPr>
          <w:rFonts w:hint="eastAsia" w:ascii="宋体" w:hAnsi="宋体" w:cs="宋体"/>
          <w:color w:val="auto"/>
          <w:highlight w:val="none"/>
        </w:rPr>
        <w:t>19.6 对招标文件的实质性要求和条件作出响应是指投标人必须对招标文件中标注为实质性要求和条件的</w:t>
      </w:r>
      <w:r>
        <w:rPr>
          <w:rFonts w:hint="eastAsia" w:ascii="宋体" w:hAnsi="宋体" w:cs="宋体"/>
          <w:color w:val="auto"/>
          <w:szCs w:val="21"/>
          <w:highlight w:val="none"/>
        </w:rPr>
        <w:t>服务内容及要求</w:t>
      </w:r>
      <w:r>
        <w:rPr>
          <w:rFonts w:hint="eastAsia" w:ascii="宋体" w:hAnsi="宋体" w:cs="宋体"/>
          <w:color w:val="auto"/>
          <w:highlight w:val="none"/>
        </w:rPr>
        <w:t>、商务条款及其他内容</w:t>
      </w:r>
      <w:r>
        <w:rPr>
          <w:rFonts w:hint="eastAsia" w:ascii="宋体" w:hAnsi="宋体" w:cs="宋体"/>
          <w:b/>
          <w:color w:val="auto"/>
          <w:highlight w:val="none"/>
        </w:rPr>
        <w:t>作出满足或者优于原要求和条件的承诺</w:t>
      </w:r>
      <w:r>
        <w:rPr>
          <w:rFonts w:hint="eastAsia" w:ascii="宋体" w:hAnsi="宋体" w:cs="宋体"/>
          <w:color w:val="auto"/>
          <w:highlight w:val="none"/>
        </w:rPr>
        <w:t>。</w:t>
      </w:r>
    </w:p>
    <w:p>
      <w:pPr>
        <w:spacing w:line="360" w:lineRule="auto"/>
        <w:ind w:firstLine="422" w:firstLineChars="200"/>
        <w:rPr>
          <w:rFonts w:hint="eastAsia" w:ascii="宋体" w:hAnsi="宋体" w:cs="宋体"/>
          <w:b/>
          <w:color w:val="auto"/>
          <w:szCs w:val="21"/>
          <w:highlight w:val="none"/>
          <w:u w:val="single"/>
        </w:rPr>
      </w:pPr>
      <w:r>
        <w:rPr>
          <w:rFonts w:hint="eastAsia" w:ascii="宋体" w:hAnsi="宋体" w:cs="宋体"/>
          <w:b/>
          <w:color w:val="auto"/>
          <w:szCs w:val="21"/>
          <w:highlight w:val="none"/>
          <w:u w:val="single"/>
        </w:rPr>
        <w:t>19.7本项目为全流程电子化项目，异常情况见“第二节 投标人须知正文”中“四、24.2开标程序”。</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20.备份投标文件</w:t>
      </w:r>
    </w:p>
    <w:p>
      <w:pPr>
        <w:spacing w:line="360" w:lineRule="auto"/>
        <w:ind w:firstLine="420" w:firstLineChars="200"/>
        <w:rPr>
          <w:rFonts w:hint="eastAsia" w:ascii="宋体" w:hAnsi="宋体" w:cs="宋体"/>
          <w:color w:val="auto"/>
          <w:sz w:val="24"/>
          <w:highlight w:val="none"/>
        </w:rPr>
      </w:pPr>
      <w:r>
        <w:rPr>
          <w:rFonts w:hint="eastAsia" w:ascii="宋体" w:hAnsi="宋体" w:cs="宋体"/>
          <w:bCs/>
          <w:color w:val="auto"/>
          <w:szCs w:val="21"/>
          <w:highlight w:val="none"/>
        </w:rPr>
        <w:t>详见“投标人须知前附表”。</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21.投标文件的提交</w:t>
      </w:r>
    </w:p>
    <w:p>
      <w:pPr>
        <w:spacing w:line="360" w:lineRule="auto"/>
        <w:ind w:firstLine="420" w:firstLineChars="200"/>
        <w:rPr>
          <w:rFonts w:hint="eastAsia" w:ascii="宋体" w:hAnsi="宋体" w:cs="宋体"/>
          <w:b/>
          <w:color w:val="auto"/>
          <w:highlight w:val="none"/>
        </w:rPr>
      </w:pPr>
      <w:bookmarkStart w:id="238" w:name="_21.1投标人必须在“投标人须知中的前附表”规定的投标文件接收时间和投"/>
      <w:bookmarkEnd w:id="238"/>
      <w:r>
        <w:rPr>
          <w:rFonts w:hint="eastAsia" w:ascii="宋体" w:hAnsi="宋体" w:cs="宋体"/>
          <w:bCs/>
          <w:color w:val="auto"/>
          <w:szCs w:val="21"/>
          <w:highlight w:val="none"/>
        </w:rPr>
        <w:t>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 xml:space="preserve">。 </w:t>
      </w:r>
      <w:r>
        <w:rPr>
          <w:rFonts w:hint="eastAsia" w:ascii="宋体" w:hAnsi="宋体" w:cs="宋体"/>
          <w:b/>
          <w:color w:val="auto"/>
          <w:highlight w:val="none"/>
        </w:rPr>
        <w:t xml:space="preserve"> </w:t>
      </w:r>
    </w:p>
    <w:p>
      <w:pPr>
        <w:spacing w:line="360" w:lineRule="auto"/>
        <w:ind w:firstLine="422" w:firstLineChars="200"/>
        <w:rPr>
          <w:rFonts w:hint="eastAsia" w:ascii="宋体" w:hAnsi="宋体" w:cs="宋体"/>
          <w:b/>
          <w:color w:val="auto"/>
          <w:szCs w:val="20"/>
          <w:highlight w:val="none"/>
        </w:rPr>
      </w:pPr>
      <w:r>
        <w:rPr>
          <w:rFonts w:hint="eastAsia" w:ascii="宋体" w:hAnsi="宋体" w:cs="宋体"/>
          <w:b/>
          <w:color w:val="auto"/>
          <w:szCs w:val="21"/>
          <w:highlight w:val="none"/>
        </w:rPr>
        <w:t>21.2未在规定时间内提交或者未按照招标文件要求密封或者标记的电子投标文件，广西政府采购云平台将拒收。</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21.3电子版投标文件提交方式见“招标公告”</w:t>
      </w:r>
      <w:r>
        <w:rPr>
          <w:rFonts w:hint="eastAsia" w:ascii="宋体" w:hAnsi="宋体" w:cs="宋体"/>
          <w:b/>
          <w:color w:val="auto"/>
          <w:szCs w:val="21"/>
          <w:highlight w:val="none"/>
        </w:rPr>
        <w:t>。</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 投标文件的补充、修改、撤回</w:t>
      </w:r>
      <w:bookmarkStart w:id="239" w:name="_Toc254970684"/>
      <w:bookmarkStart w:id="240" w:name="_Toc254970543"/>
    </w:p>
    <w:p>
      <w:pPr>
        <w:spacing w:line="360" w:lineRule="auto"/>
        <w:ind w:firstLine="420" w:firstLineChars="200"/>
        <w:rPr>
          <w:rFonts w:hint="eastAsia" w:ascii="宋体" w:hAnsi="宋体" w:cs="宋体"/>
          <w:color w:val="auto"/>
          <w:sz w:val="24"/>
          <w:highlight w:val="none"/>
        </w:rPr>
      </w:pPr>
      <w:r>
        <w:rPr>
          <w:rFonts w:hint="eastAsia" w:ascii="宋体" w:hAnsi="宋体" w:cs="宋体"/>
          <w:color w:val="auto"/>
          <w:szCs w:val="21"/>
          <w:highlight w:val="none"/>
        </w:rPr>
        <w:t>22.1 投标人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提交的投标文件，广西政府采购云平台将拒收。</w:t>
      </w:r>
    </w:p>
    <w:p>
      <w:pPr>
        <w:pStyle w:val="58"/>
        <w:spacing w:before="0"/>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22.2广西政府采购云平台收到投标文件，将妥善保存并即时向投标人发出确认回执通知。在投标截止时间前，除投标人补充、修改或者撤回投标文件外，任何单位和个人不得解密或提取投标文件。</w:t>
      </w:r>
    </w:p>
    <w:bookmarkEnd w:id="239"/>
    <w:bookmarkEnd w:id="240"/>
    <w:p>
      <w:pPr>
        <w:pStyle w:val="11"/>
        <w:snapToGrid w:val="0"/>
        <w:spacing w:line="360" w:lineRule="auto"/>
        <w:ind w:firstLine="739"/>
        <w:rPr>
          <w:rFonts w:hint="eastAsia" w:hAnsi="宋体" w:cs="宋体"/>
          <w:snapToGrid w:val="0"/>
          <w:color w:val="auto"/>
          <w:sz w:val="21"/>
          <w:szCs w:val="21"/>
          <w:highlight w:val="none"/>
        </w:rPr>
      </w:pPr>
    </w:p>
    <w:p>
      <w:pPr>
        <w:pStyle w:val="4"/>
        <w:keepNext w:val="0"/>
        <w:keepLines w:val="0"/>
        <w:spacing w:line="360" w:lineRule="auto"/>
        <w:jc w:val="center"/>
        <w:rPr>
          <w:rFonts w:hint="eastAsia" w:ascii="宋体" w:hAnsi="宋体" w:cs="宋体"/>
          <w:color w:val="auto"/>
          <w:highlight w:val="none"/>
        </w:rPr>
      </w:pPr>
      <w:bookmarkStart w:id="241" w:name="_Toc254970685"/>
      <w:bookmarkStart w:id="242" w:name="_Toc6762"/>
      <w:bookmarkStart w:id="243" w:name="_Toc254970544"/>
      <w:bookmarkStart w:id="244" w:name="_Toc20797"/>
      <w:bookmarkStart w:id="245" w:name="_Toc20871"/>
      <w:bookmarkStart w:id="246" w:name="_Toc13173"/>
      <w:bookmarkStart w:id="247" w:name="_Toc20620"/>
      <w:r>
        <w:rPr>
          <w:rFonts w:hint="eastAsia" w:ascii="宋体" w:hAnsi="宋体" w:cs="宋体"/>
          <w:color w:val="auto"/>
          <w:highlight w:val="none"/>
        </w:rPr>
        <w:t>四、开    标</w:t>
      </w:r>
      <w:bookmarkEnd w:id="241"/>
      <w:bookmarkEnd w:id="242"/>
      <w:bookmarkEnd w:id="243"/>
      <w:bookmarkEnd w:id="244"/>
      <w:bookmarkEnd w:id="245"/>
      <w:bookmarkEnd w:id="246"/>
      <w:bookmarkEnd w:id="247"/>
    </w:p>
    <w:p>
      <w:pPr>
        <w:spacing w:line="360" w:lineRule="auto"/>
        <w:ind w:firstLine="480" w:firstLineChars="200"/>
        <w:rPr>
          <w:rFonts w:hint="eastAsia" w:ascii="宋体" w:hAnsi="宋体" w:cs="宋体"/>
          <w:color w:val="auto"/>
          <w:sz w:val="24"/>
          <w:highlight w:val="none"/>
        </w:rPr>
      </w:pPr>
      <w:bookmarkStart w:id="248" w:name="_23.开标时间和地点"/>
      <w:bookmarkEnd w:id="248"/>
      <w:r>
        <w:rPr>
          <w:rFonts w:hint="eastAsia" w:ascii="宋体" w:hAnsi="宋体" w:cs="宋体"/>
          <w:color w:val="auto"/>
          <w:sz w:val="24"/>
          <w:highlight w:val="none"/>
        </w:rPr>
        <w:t>23.开标时间和地点</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23.1开标时间及地点详见“投标人须知前附表”</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23.2如</w:t>
      </w:r>
      <w:r>
        <w:rPr>
          <w:rFonts w:hint="eastAsia" w:ascii="宋体" w:hAnsi="宋体" w:cs="宋体"/>
          <w:bCs/>
          <w:color w:val="auto"/>
          <w:highlight w:val="none"/>
        </w:rPr>
        <w:t>投标人成功解密投标文件，但未在</w:t>
      </w:r>
      <w:r>
        <w:rPr>
          <w:rFonts w:hint="eastAsia" w:ascii="宋体" w:hAnsi="宋体" w:cs="宋体"/>
          <w:color w:val="auto"/>
          <w:szCs w:val="21"/>
          <w:highlight w:val="none"/>
        </w:rPr>
        <w:t>广西政府采购云平台</w:t>
      </w:r>
      <w:r>
        <w:rPr>
          <w:rFonts w:hint="eastAsia" w:ascii="宋体" w:hAnsi="宋体" w:cs="宋体"/>
          <w:bCs/>
          <w:color w:val="auto"/>
          <w:highlight w:val="none"/>
        </w:rPr>
        <w:t>电子开标大厅参加开标的，视同认可开标过程和结果，</w:t>
      </w:r>
      <w:r>
        <w:rPr>
          <w:rFonts w:hint="eastAsia" w:ascii="宋体" w:hAnsi="宋体" w:cs="宋体"/>
          <w:color w:val="auto"/>
          <w:highlight w:val="none"/>
        </w:rPr>
        <w:t>由此产生的后果由投标人自行负责。 投标人不足3家的，不得开标。</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24.开标程序</w:t>
      </w:r>
    </w:p>
    <w:p>
      <w:pPr>
        <w:autoSpaceDE w:val="0"/>
        <w:autoSpaceDN w:val="0"/>
        <w:adjustRightInd w:val="0"/>
        <w:spacing w:line="360" w:lineRule="auto"/>
        <w:ind w:firstLine="420" w:firstLineChars="200"/>
        <w:rPr>
          <w:rFonts w:hint="eastAsia" w:ascii="宋体" w:hAnsi="宋体" w:cs="宋体"/>
          <w:color w:val="auto"/>
          <w:kern w:val="0"/>
          <w:szCs w:val="21"/>
          <w:highlight w:val="none"/>
        </w:rPr>
      </w:pPr>
      <w:r>
        <w:rPr>
          <w:rFonts w:hint="eastAsia" w:ascii="宋体" w:hAnsi="宋体" w:cs="宋体"/>
          <w:bCs/>
          <w:color w:val="auto"/>
          <w:szCs w:val="21"/>
          <w:highlight w:val="none"/>
        </w:rPr>
        <w:t>24.1</w:t>
      </w:r>
      <w:r>
        <w:rPr>
          <w:rFonts w:hint="eastAsia" w:ascii="宋体" w:hAnsi="宋体" w:cs="宋体"/>
          <w:color w:val="auto"/>
          <w:kern w:val="0"/>
          <w:szCs w:val="21"/>
          <w:highlight w:val="none"/>
        </w:rPr>
        <w:t>开标形式：</w:t>
      </w:r>
    </w:p>
    <w:p>
      <w:pPr>
        <w:autoSpaceDE w:val="0"/>
        <w:autoSpaceDN w:val="0"/>
        <w:adjustRightInd w:val="0"/>
        <w:spacing w:line="360" w:lineRule="auto"/>
        <w:ind w:firstLine="420" w:firstLineChars="200"/>
        <w:rPr>
          <w:rFonts w:hint="eastAsia" w:ascii="宋体" w:hAnsi="宋体" w:cs="宋体"/>
          <w:bCs/>
          <w:color w:val="auto"/>
          <w:szCs w:val="21"/>
          <w:highlight w:val="none"/>
        </w:rPr>
      </w:pPr>
      <w:r>
        <w:rPr>
          <w:rFonts w:hint="eastAsia" w:ascii="宋体" w:hAnsi="宋体" w:cs="宋体"/>
          <w:color w:val="auto"/>
          <w:szCs w:val="21"/>
          <w:highlight w:val="none"/>
        </w:rPr>
        <w:t>（1）</w:t>
      </w:r>
      <w:r>
        <w:rPr>
          <w:rFonts w:hint="eastAsia" w:ascii="宋体" w:hAnsi="宋体" w:cs="宋体"/>
          <w:bCs/>
          <w:color w:val="auto"/>
          <w:szCs w:val="21"/>
          <w:highlight w:val="none"/>
        </w:rPr>
        <w:t>开标的准备工作由采购代理机构负责落实，采购代理机构必须基于</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依法抽取评审专家，如采购代理机构未按规定抽取专家的，视为本次开评标无效，应当重新采购；</w:t>
      </w:r>
    </w:p>
    <w:p>
      <w:pPr>
        <w:autoSpaceDE w:val="0"/>
        <w:autoSpaceDN w:val="0"/>
        <w:adjustRightInd w:val="0"/>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（2）采购代理机构将按照招标文件规定的时间通过</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组织线上开标活动、开启投标文件，所有投标人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pPr>
        <w:autoSpaceDE w:val="0"/>
        <w:autoSpaceDN w:val="0"/>
        <w:adjustRightInd w:val="0"/>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24.2开标程序：</w:t>
      </w:r>
    </w:p>
    <w:p>
      <w:pPr>
        <w:pStyle w:val="9"/>
        <w:spacing w:line="360" w:lineRule="auto"/>
        <w:ind w:firstLine="420" w:firstLineChars="200"/>
        <w:rPr>
          <w:rFonts w:hint="eastAsia" w:hAnsi="宋体" w:cs="宋体"/>
          <w:color w:val="auto"/>
          <w:szCs w:val="21"/>
          <w:highlight w:val="none"/>
        </w:rPr>
      </w:pPr>
      <w:r>
        <w:rPr>
          <w:rFonts w:hint="eastAsia" w:hAnsi="宋体" w:cs="宋体"/>
          <w:bCs/>
          <w:color w:val="auto"/>
          <w:szCs w:val="21"/>
          <w:highlight w:val="none"/>
        </w:rPr>
        <w:t>（1）</w:t>
      </w:r>
      <w:r>
        <w:rPr>
          <w:rFonts w:hint="eastAsia" w:hAnsi="宋体" w:cs="宋体"/>
          <w:b/>
          <w:color w:val="auto"/>
          <w:szCs w:val="21"/>
          <w:highlight w:val="none"/>
        </w:rPr>
        <w:t>解密电子投标文件。</w:t>
      </w:r>
      <w:r>
        <w:rPr>
          <w:rFonts w:hint="eastAsia" w:ascii="宋体" w:hAnsi="宋体" w:cs="宋体"/>
          <w:color w:val="auto"/>
          <w:szCs w:val="21"/>
          <w:highlight w:val="none"/>
        </w:rPr>
        <w:t>广西政府采购云平台</w:t>
      </w:r>
      <w:r>
        <w:rPr>
          <w:rFonts w:ascii="宋体" w:hAnsi="宋体" w:cs="仿宋"/>
          <w:color w:val="auto"/>
          <w:kern w:val="1"/>
          <w:szCs w:val="21"/>
          <w:highlight w:val="none"/>
        </w:rPr>
        <w:t>按开标时间自动提取所有投标文件。采购代理机构依托</w:t>
      </w:r>
      <w:r>
        <w:rPr>
          <w:rFonts w:hint="eastAsia" w:ascii="宋体" w:hAnsi="宋体" w:cs="宋体"/>
          <w:color w:val="auto"/>
          <w:szCs w:val="21"/>
          <w:highlight w:val="none"/>
        </w:rPr>
        <w:t>广西政府采购云平台</w:t>
      </w:r>
      <w:r>
        <w:rPr>
          <w:rFonts w:ascii="宋体" w:hAnsi="宋体" w:cs="宋体"/>
          <w:color w:val="auto"/>
          <w:kern w:val="1"/>
          <w:szCs w:val="21"/>
          <w:highlight w:val="none"/>
        </w:rPr>
        <w:t>向各投标人发出电子加密投标文件【开始解密】通知，由投标人</w:t>
      </w:r>
      <w:r>
        <w:rPr>
          <w:rFonts w:hint="eastAsia" w:ascii="宋体" w:hAnsi="宋体" w:cs="宋体"/>
          <w:color w:val="auto"/>
          <w:kern w:val="1"/>
          <w:szCs w:val="21"/>
          <w:highlight w:val="none"/>
        </w:rPr>
        <w:t>在</w:t>
      </w:r>
      <w:r>
        <w:rPr>
          <w:rFonts w:ascii="宋体" w:hAnsi="宋体" w:cs="宋体"/>
          <w:color w:val="auto"/>
          <w:kern w:val="1"/>
          <w:szCs w:val="21"/>
          <w:highlight w:val="none"/>
        </w:rPr>
        <w:t>规定的时间内自行</w:t>
      </w:r>
      <w:r>
        <w:rPr>
          <w:rFonts w:hint="eastAsia" w:ascii="宋体" w:hAnsi="宋体" w:cs="宋体"/>
          <w:color w:val="auto"/>
          <w:kern w:val="1"/>
          <w:szCs w:val="21"/>
          <w:highlight w:val="none"/>
        </w:rPr>
        <w:t>将</w:t>
      </w:r>
      <w:r>
        <w:rPr>
          <w:rFonts w:ascii="宋体" w:hAnsi="宋体" w:cs="宋体"/>
          <w:color w:val="auto"/>
          <w:kern w:val="1"/>
          <w:szCs w:val="21"/>
          <w:highlight w:val="none"/>
        </w:rPr>
        <w:t>投标文件</w:t>
      </w:r>
      <w:r>
        <w:rPr>
          <w:rFonts w:hint="eastAsia" w:ascii="宋体" w:hAnsi="宋体" w:cs="宋体"/>
          <w:color w:val="auto"/>
          <w:kern w:val="1"/>
          <w:szCs w:val="21"/>
          <w:highlight w:val="none"/>
        </w:rPr>
        <w:t>在线</w:t>
      </w:r>
      <w:r>
        <w:rPr>
          <w:rFonts w:ascii="宋体" w:hAnsi="宋体" w:cs="宋体"/>
          <w:color w:val="auto"/>
          <w:kern w:val="1"/>
          <w:szCs w:val="21"/>
          <w:highlight w:val="none"/>
        </w:rPr>
        <w:t>解密。投标人的法定代表人或其委托代理人</w:t>
      </w:r>
      <w:r>
        <w:rPr>
          <w:rFonts w:ascii="宋体" w:hAnsi="宋体" w:cs="宋体"/>
          <w:b/>
          <w:color w:val="auto"/>
          <w:kern w:val="1"/>
          <w:szCs w:val="21"/>
          <w:highlight w:val="none"/>
        </w:rPr>
        <w:t>须携带加密时所用的CA锁准时登录到广西政府采购云平台电子开标大厅签到并对电子投标文件</w:t>
      </w:r>
      <w:r>
        <w:rPr>
          <w:rFonts w:hint="eastAsia" w:ascii="宋体" w:hAnsi="宋体" w:cs="宋体"/>
          <w:b/>
          <w:color w:val="auto"/>
          <w:kern w:val="1"/>
          <w:szCs w:val="21"/>
          <w:highlight w:val="none"/>
        </w:rPr>
        <w:t>在线</w:t>
      </w:r>
      <w:r>
        <w:rPr>
          <w:rFonts w:ascii="宋体" w:hAnsi="宋体" w:cs="宋体"/>
          <w:b/>
          <w:color w:val="auto"/>
          <w:kern w:val="1"/>
          <w:szCs w:val="21"/>
          <w:highlight w:val="none"/>
        </w:rPr>
        <w:t>解密</w:t>
      </w:r>
      <w:r>
        <w:rPr>
          <w:rFonts w:ascii="宋体" w:hAnsi="宋体" w:cs="宋体"/>
          <w:color w:val="auto"/>
          <w:kern w:val="1"/>
          <w:szCs w:val="21"/>
          <w:highlight w:val="none"/>
        </w:rPr>
        <w:t>。</w:t>
      </w:r>
      <w:r>
        <w:rPr>
          <w:rFonts w:ascii="宋体" w:hAnsi="宋体" w:cs="仿宋"/>
          <w:color w:val="auto"/>
          <w:kern w:val="1"/>
          <w:szCs w:val="21"/>
          <w:highlight w:val="none"/>
        </w:rPr>
        <w:t>投标文件未按时解密</w:t>
      </w:r>
      <w:r>
        <w:rPr>
          <w:rFonts w:ascii="宋体" w:hAnsi="宋体" w:cs="宋体"/>
          <w:color w:val="auto"/>
          <w:kern w:val="1"/>
          <w:szCs w:val="21"/>
          <w:highlight w:val="none"/>
        </w:rPr>
        <w:t>的，</w:t>
      </w:r>
      <w:r>
        <w:rPr>
          <w:rFonts w:ascii="宋体" w:hAnsi="宋体" w:cs="宋体"/>
          <w:b/>
          <w:color w:val="auto"/>
          <w:kern w:val="1"/>
          <w:szCs w:val="21"/>
          <w:highlight w:val="none"/>
        </w:rPr>
        <w:t>均视为无效投标。</w:t>
      </w:r>
    </w:p>
    <w:p>
      <w:pPr>
        <w:pStyle w:val="13"/>
        <w:snapToGrid w:val="0"/>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（解密</w:t>
      </w:r>
      <w:r>
        <w:rPr>
          <w:rFonts w:hint="eastAsia" w:hAnsi="宋体" w:cs="宋体"/>
          <w:bCs/>
          <w:color w:val="auto"/>
          <w:szCs w:val="21"/>
          <w:highlight w:val="none"/>
        </w:rPr>
        <w:t>异常情况处理：详见本章</w:t>
      </w:r>
      <w:r>
        <w:rPr>
          <w:rFonts w:hint="eastAsia" w:hAnsi="宋体" w:cs="宋体"/>
          <w:color w:val="auto"/>
          <w:highlight w:val="none"/>
        </w:rPr>
        <w:t>29.3 电子交易活动的中止。</w:t>
      </w:r>
      <w:r>
        <w:rPr>
          <w:rFonts w:hint="eastAsia"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
          <w:color w:val="auto"/>
          <w:szCs w:val="21"/>
          <w:highlight w:val="none"/>
        </w:rPr>
        <w:t>电子唱标。</w:t>
      </w:r>
      <w:r>
        <w:rPr>
          <w:rFonts w:hint="eastAsia" w:ascii="宋体" w:hAnsi="宋体" w:cs="宋体"/>
          <w:color w:val="auto"/>
          <w:szCs w:val="21"/>
          <w:highlight w:val="none"/>
        </w:rPr>
        <w:t>投标文件解密结束，各投标人报价均在广西政府采购云平台远程不见面开标大厅展示；</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（3）开标过程由采购代理机构如实记录，并电子留痕，由参加电子开标的各投标人代表对电子开标记录在开标记录公布后15分钟内进行当场校核及勘误，并线上确认，未确认的视同认可开标结果。</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（5）开标结束。</w:t>
      </w:r>
    </w:p>
    <w:p>
      <w:pPr>
        <w:pStyle w:val="13"/>
        <w:snapToGrid w:val="0"/>
        <w:spacing w:line="360" w:lineRule="auto"/>
        <w:ind w:firstLine="422" w:firstLineChars="200"/>
        <w:rPr>
          <w:rFonts w:hint="eastAsia" w:hAnsi="宋体" w:cs="宋体"/>
          <w:color w:val="auto"/>
          <w:szCs w:val="21"/>
          <w:highlight w:val="none"/>
        </w:rPr>
      </w:pPr>
      <w:r>
        <w:rPr>
          <w:rFonts w:hint="eastAsia" w:hAnsi="宋体" w:cs="宋体"/>
          <w:b/>
          <w:bCs/>
          <w:color w:val="auto"/>
          <w:szCs w:val="21"/>
          <w:highlight w:val="none"/>
        </w:rPr>
        <w:t>特别说明：</w:t>
      </w:r>
      <w:r>
        <w:rPr>
          <w:rFonts w:hint="eastAsia" w:hAnsi="宋体" w:cs="宋体"/>
          <w:color w:val="auto"/>
          <w:szCs w:val="21"/>
          <w:highlight w:val="none"/>
        </w:rPr>
        <w:t>如遇广西政府采购云平台电子化开标或评审程序调整的，按调整后执行。</w:t>
      </w:r>
    </w:p>
    <w:p>
      <w:pPr>
        <w:pStyle w:val="13"/>
        <w:snapToGrid w:val="0"/>
        <w:spacing w:line="360" w:lineRule="auto"/>
        <w:ind w:left="689" w:leftChars="228" w:hanging="210" w:hangingChars="100"/>
        <w:rPr>
          <w:rFonts w:hint="eastAsia" w:hAnsi="宋体" w:cs="宋体"/>
          <w:color w:val="auto"/>
          <w:highlight w:val="none"/>
        </w:rPr>
      </w:pPr>
    </w:p>
    <w:p>
      <w:pPr>
        <w:pStyle w:val="4"/>
        <w:keepNext w:val="0"/>
        <w:keepLines w:val="0"/>
        <w:spacing w:line="360" w:lineRule="auto"/>
        <w:jc w:val="center"/>
        <w:rPr>
          <w:rFonts w:hint="eastAsia" w:ascii="宋体" w:hAnsi="宋体" w:cs="宋体"/>
          <w:color w:val="auto"/>
          <w:highlight w:val="none"/>
        </w:rPr>
      </w:pPr>
      <w:bookmarkStart w:id="249" w:name="_Toc29347"/>
      <w:bookmarkStart w:id="250" w:name="_Toc10935"/>
      <w:bookmarkStart w:id="251" w:name="_Toc30961"/>
      <w:bookmarkStart w:id="252" w:name="_Toc31687"/>
      <w:bookmarkStart w:id="253" w:name="_Toc29757"/>
      <w:r>
        <w:rPr>
          <w:rFonts w:hint="eastAsia" w:ascii="宋体" w:hAnsi="宋体" w:cs="宋体"/>
          <w:color w:val="auto"/>
          <w:highlight w:val="none"/>
        </w:rPr>
        <w:t>五、资格审查</w:t>
      </w:r>
      <w:bookmarkEnd w:id="249"/>
      <w:bookmarkEnd w:id="250"/>
      <w:bookmarkEnd w:id="251"/>
      <w:bookmarkEnd w:id="252"/>
      <w:bookmarkEnd w:id="253"/>
    </w:p>
    <w:p>
      <w:pPr>
        <w:pStyle w:val="6"/>
        <w:keepNext w:val="0"/>
        <w:keepLines w:val="0"/>
        <w:spacing w:before="0" w:after="0" w:line="360" w:lineRule="auto"/>
        <w:ind w:firstLine="482" w:firstLineChars="200"/>
        <w:rPr>
          <w:rFonts w:hint="eastAsia" w:ascii="宋体" w:hAnsi="宋体" w:cs="宋体"/>
          <w:color w:val="auto"/>
          <w:sz w:val="24"/>
          <w:highlight w:val="none"/>
        </w:rPr>
      </w:pPr>
      <w:r>
        <w:rPr>
          <w:rFonts w:hint="eastAsia" w:ascii="宋体" w:hAnsi="宋体" w:cs="宋体"/>
          <w:color w:val="auto"/>
          <w:sz w:val="24"/>
          <w:highlight w:val="none"/>
        </w:rPr>
        <w:t>25.资格审查</w:t>
      </w:r>
    </w:p>
    <w:p>
      <w:pPr>
        <w:spacing w:line="360" w:lineRule="auto"/>
        <w:ind w:firstLine="422" w:firstLineChars="200"/>
        <w:rPr>
          <w:rFonts w:hint="eastAsia" w:ascii="宋体" w:hAnsi="宋体" w:cs="宋体"/>
          <w:b/>
          <w:bCs/>
          <w:color w:val="auto"/>
          <w:szCs w:val="20"/>
          <w:highlight w:val="none"/>
        </w:rPr>
      </w:pPr>
      <w:r>
        <w:rPr>
          <w:rFonts w:hint="eastAsia" w:ascii="宋体" w:hAnsi="宋体" w:cs="宋体"/>
          <w:b/>
          <w:bCs/>
          <w:color w:val="auto"/>
          <w:szCs w:val="20"/>
          <w:highlight w:val="none"/>
        </w:rPr>
        <w:t>25.1开标结束后，采购人或采购代理机构依法通过电子投标文件对投标人的资格进行线上审查。</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25.2资格审查标准为本“招标文件”中“投标人须知前附表”13.1点载明对投标人资格要求的条件。本项目资格审查采用合格制，凡符合招标文件规定的投标人资格要求的投标人均通过资格审查。</w:t>
      </w:r>
    </w:p>
    <w:p>
      <w:pPr>
        <w:spacing w:line="360" w:lineRule="auto"/>
        <w:ind w:firstLine="422" w:firstLineChars="200"/>
        <w:rPr>
          <w:rFonts w:hint="eastAsia" w:ascii="宋体" w:hAnsi="宋体" w:cs="宋体"/>
          <w:b/>
          <w:bCs/>
          <w:color w:val="auto"/>
          <w:szCs w:val="20"/>
          <w:highlight w:val="none"/>
        </w:rPr>
      </w:pPr>
      <w:bookmarkStart w:id="254" w:name="_25.3_投标人有下列情形之一的，资格审查不通过而导致其投标无效："/>
      <w:bookmarkEnd w:id="254"/>
      <w:r>
        <w:rPr>
          <w:rFonts w:hint="eastAsia" w:ascii="宋体" w:hAnsi="宋体" w:cs="宋体"/>
          <w:b/>
          <w:bCs/>
          <w:color w:val="auto"/>
          <w:szCs w:val="20"/>
          <w:highlight w:val="none"/>
        </w:rPr>
        <w:t>25.3投标人有下列情形之一的，资格审查不通过，作无效投标处理：</w:t>
      </w:r>
    </w:p>
    <w:p>
      <w:pPr>
        <w:spacing w:line="360" w:lineRule="auto"/>
        <w:ind w:firstLine="420" w:firstLineChars="200"/>
        <w:rPr>
          <w:rFonts w:hint="eastAsia" w:ascii="宋体" w:hAnsi="宋体" w:cs="宋体"/>
          <w:color w:val="auto"/>
          <w:highlight w:val="none"/>
        </w:rPr>
      </w:pPr>
      <w:r>
        <w:rPr>
          <w:rFonts w:hint="eastAsia" w:hAnsi="宋体"/>
          <w:color w:val="auto"/>
          <w:highlight w:val="none"/>
        </w:rPr>
        <w:t>（1）不具备招标文件中规定的资格要求的；（注：其中信用查询规则见“投标人须知前附表”，</w:t>
      </w:r>
      <w:r>
        <w:rPr>
          <w:rFonts w:hint="eastAsia" w:ascii="宋体" w:hAnsi="宋体" w:cs="宋体"/>
          <w:color w:val="auto"/>
          <w:szCs w:val="21"/>
          <w:highlight w:val="none"/>
        </w:rPr>
        <w:t>广西政府采购云平台</w:t>
      </w:r>
      <w:r>
        <w:rPr>
          <w:rFonts w:hint="eastAsia" w:hAnsi="宋体"/>
          <w:color w:val="auto"/>
          <w:highlight w:val="none"/>
        </w:rPr>
        <w:t>已与“信用中国”平台做接口，</w:t>
      </w:r>
      <w:r>
        <w:rPr>
          <w:rFonts w:hint="eastAsia" w:ascii="宋体" w:hAnsi="宋体" w:cs="宋体"/>
          <w:color w:val="auto"/>
          <w:szCs w:val="20"/>
          <w:highlight w:val="none"/>
        </w:rPr>
        <w:t>采购人或者采购代理机构</w:t>
      </w:r>
      <w:r>
        <w:rPr>
          <w:rFonts w:hint="eastAsia" w:ascii="宋体" w:hAnsi="宋体" w:cs="宋体"/>
          <w:color w:val="auto"/>
          <w:highlight w:val="none"/>
        </w:rPr>
        <w:t>可直接在线查询）</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（2）投标文件未提供任一项“投标人须知前附表”资格证明文件规定的“必须提供”的文件资料的；</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（3）投标文件提供的资格证明文件出现任一项不符合“投标人须知前附表”资格证明文件规定的“必须提供”的文件资料要求或者无效的。</w:t>
      </w:r>
    </w:p>
    <w:p>
      <w:pPr>
        <w:pStyle w:val="15"/>
        <w:spacing w:line="360" w:lineRule="auto"/>
        <w:ind w:firstLine="420" w:firstLineChars="200"/>
        <w:rPr>
          <w:rFonts w:hint="eastAsia" w:ascii="宋体" w:hAnsi="宋体" w:cs="宋体"/>
          <w:color w:val="auto"/>
          <w:sz w:val="21"/>
          <w:szCs w:val="24"/>
          <w:highlight w:val="none"/>
        </w:rPr>
      </w:pPr>
      <w:r>
        <w:rPr>
          <w:rFonts w:hint="eastAsia" w:ascii="宋体" w:hAnsi="宋体" w:cs="宋体"/>
          <w:color w:val="auto"/>
          <w:sz w:val="21"/>
          <w:szCs w:val="24"/>
          <w:highlight w:val="none"/>
        </w:rPr>
        <w:t>（4）同一合同项下的不同供应商，单位负责人为同一人或者存在直接控股、管理关系的；为本项目提供过整体设计、规范编制或者项目管理、监理、检测等服务的。</w:t>
      </w:r>
    </w:p>
    <w:p>
      <w:pPr>
        <w:pStyle w:val="6"/>
        <w:keepNext w:val="0"/>
        <w:keepLines w:val="0"/>
        <w:spacing w:before="0" w:after="0" w:line="360" w:lineRule="auto"/>
        <w:ind w:firstLine="420" w:firstLineChars="200"/>
        <w:rPr>
          <w:rFonts w:hint="eastAsia" w:ascii="宋体" w:hAnsi="宋体" w:cs="宋体"/>
          <w:b w:val="0"/>
          <w:bCs w:val="0"/>
          <w:color w:val="auto"/>
          <w:sz w:val="21"/>
          <w:szCs w:val="20"/>
          <w:highlight w:val="none"/>
        </w:rPr>
      </w:pPr>
      <w:r>
        <w:rPr>
          <w:rFonts w:hint="eastAsia" w:ascii="宋体" w:hAnsi="宋体" w:cs="宋体"/>
          <w:b w:val="0"/>
          <w:bCs w:val="0"/>
          <w:color w:val="auto"/>
          <w:sz w:val="21"/>
          <w:szCs w:val="20"/>
          <w:highlight w:val="none"/>
        </w:rPr>
        <w:t>25.4资格审查的合格投标人不足3家的，不得评标。</w:t>
      </w:r>
    </w:p>
    <w:p>
      <w:pPr>
        <w:pStyle w:val="7"/>
        <w:rPr>
          <w:color w:val="auto"/>
          <w:highlight w:val="none"/>
        </w:rPr>
      </w:pPr>
    </w:p>
    <w:p>
      <w:pPr>
        <w:pStyle w:val="4"/>
        <w:keepNext w:val="0"/>
        <w:keepLines w:val="0"/>
        <w:spacing w:line="360" w:lineRule="auto"/>
        <w:jc w:val="center"/>
        <w:rPr>
          <w:rFonts w:hint="eastAsia" w:ascii="宋体" w:hAnsi="宋体" w:cs="宋体"/>
          <w:color w:val="auto"/>
          <w:highlight w:val="none"/>
        </w:rPr>
      </w:pPr>
      <w:bookmarkStart w:id="255" w:name="_Toc17458"/>
      <w:bookmarkStart w:id="256" w:name="_Toc28977"/>
      <w:bookmarkStart w:id="257" w:name="_Toc23135"/>
      <w:bookmarkStart w:id="258" w:name="_Toc10753"/>
      <w:bookmarkStart w:id="259" w:name="_Toc29675"/>
      <w:r>
        <w:rPr>
          <w:rFonts w:hint="eastAsia" w:ascii="宋体" w:hAnsi="宋体" w:cs="宋体"/>
          <w:color w:val="auto"/>
          <w:highlight w:val="none"/>
        </w:rPr>
        <w:t>六、评   标</w:t>
      </w:r>
      <w:bookmarkEnd w:id="255"/>
      <w:bookmarkEnd w:id="256"/>
      <w:bookmarkEnd w:id="257"/>
      <w:bookmarkEnd w:id="258"/>
      <w:bookmarkEnd w:id="259"/>
    </w:p>
    <w:p>
      <w:pPr>
        <w:spacing w:line="360" w:lineRule="auto"/>
        <w:ind w:firstLine="480" w:firstLineChars="200"/>
        <w:rPr>
          <w:rFonts w:hint="eastAsia" w:ascii="宋体" w:hAnsi="宋体" w:cs="宋体"/>
          <w:color w:val="auto"/>
          <w:sz w:val="24"/>
          <w:highlight w:val="none"/>
        </w:rPr>
      </w:pPr>
      <w:bookmarkStart w:id="260" w:name="_26.组建评标委员会"/>
      <w:bookmarkEnd w:id="260"/>
      <w:r>
        <w:rPr>
          <w:rFonts w:hint="eastAsia" w:ascii="宋体" w:hAnsi="宋体" w:cs="宋体"/>
          <w:color w:val="auto"/>
          <w:sz w:val="24"/>
          <w:highlight w:val="none"/>
        </w:rPr>
        <w:t>26.组建评标委员会</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评标委员会由采购人代表和评审专家组成，人数为5人以上单数，其中评审专家不得少于成员总数的三分之二。</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参加过采购项目前期咨询论证的专家，不得参加该采购项目的评审活动。</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27.评标的依据</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评标委员会以招标文件为依据对投标文件进行评审，“第四章 评标方法和评标标准”没有规定的方法、评审因素和标准，不作为评标依据。</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28.评标原则</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28.2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28.3评标过程的监控。本项目电子评标过程实行网上留痕、全程录音、录像监控，投标人在评标过程中所进行的试图影响评标结果的不公正活动，可能导致其投标作无效处理。</w:t>
      </w:r>
    </w:p>
    <w:p>
      <w:pPr>
        <w:pStyle w:val="15"/>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4"/>
          <w:highlight w:val="none"/>
        </w:rPr>
        <w:t>28.4</w:t>
      </w:r>
      <w:r>
        <w:rPr>
          <w:rFonts w:hint="eastAsia" w:ascii="宋体" w:hAnsi="宋体" w:cs="宋体"/>
          <w:color w:val="auto"/>
          <w:sz w:val="21"/>
          <w:szCs w:val="21"/>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29.评标方法和评标标准</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29.1本项目的评标方法详见“投标人须知前附表”。</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29.2 评标委员会按照</w:t>
      </w:r>
      <w:r>
        <w:rPr>
          <w:rFonts w:hint="eastAsia" w:ascii="宋体" w:hAnsi="宋体" w:cs="宋体"/>
          <w:b/>
          <w:color w:val="auto"/>
          <w:highlight w:val="none"/>
        </w:rPr>
        <w:t>“第四章 评标方法和评标标准”</w:t>
      </w:r>
      <w:r>
        <w:rPr>
          <w:rFonts w:hint="eastAsia" w:ascii="宋体" w:hAnsi="宋体" w:cs="宋体"/>
          <w:color w:val="auto"/>
          <w:highlight w:val="none"/>
        </w:rPr>
        <w:t>规定的方法、评审因素、标准和程序对投标文件进行评审。</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29.3 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（1）电子交易平台发生故障而无法登录访问的； </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（2）电子交易平台应用或数据库出现错误，不能进行正常操作的；</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（3）电子交易平台发现严重安全漏洞，有潜在泄密危险的；</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（4）病毒发作导致不能进行正常操作的； </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（5）其他无法保证电子交易的公平、公正和安全的情况。</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13"/>
        <w:snapToGrid w:val="0"/>
        <w:spacing w:line="360" w:lineRule="auto"/>
        <w:ind w:firstLine="420" w:firstLineChars="200"/>
        <w:rPr>
          <w:rFonts w:hint="eastAsia" w:hAnsi="宋体" w:cs="宋体"/>
          <w:color w:val="auto"/>
          <w:highlight w:val="none"/>
        </w:rPr>
      </w:pPr>
    </w:p>
    <w:p>
      <w:pPr>
        <w:pStyle w:val="4"/>
        <w:keepNext w:val="0"/>
        <w:keepLines w:val="0"/>
        <w:spacing w:line="360" w:lineRule="auto"/>
        <w:jc w:val="center"/>
        <w:rPr>
          <w:rFonts w:hint="eastAsia" w:ascii="宋体" w:hAnsi="宋体" w:cs="宋体"/>
          <w:color w:val="auto"/>
          <w:highlight w:val="none"/>
        </w:rPr>
      </w:pPr>
      <w:bookmarkStart w:id="261" w:name="_Toc254970546"/>
      <w:bookmarkStart w:id="262" w:name="_Toc254970687"/>
      <w:bookmarkStart w:id="263" w:name="_Toc11609"/>
      <w:bookmarkStart w:id="264" w:name="_Toc20927"/>
      <w:bookmarkStart w:id="265" w:name="_Toc17138"/>
      <w:bookmarkStart w:id="266" w:name="_Toc16461"/>
      <w:bookmarkStart w:id="267" w:name="_Toc6053"/>
      <w:r>
        <w:rPr>
          <w:rFonts w:hint="eastAsia" w:ascii="宋体" w:hAnsi="宋体" w:cs="宋体"/>
          <w:color w:val="auto"/>
          <w:highlight w:val="none"/>
        </w:rPr>
        <w:t>七、</w:t>
      </w:r>
      <w:bookmarkEnd w:id="261"/>
      <w:bookmarkEnd w:id="262"/>
      <w:r>
        <w:rPr>
          <w:rFonts w:hint="eastAsia" w:ascii="宋体" w:hAnsi="宋体" w:cs="宋体"/>
          <w:color w:val="auto"/>
          <w:highlight w:val="none"/>
        </w:rPr>
        <w:t>中标和合同</w:t>
      </w:r>
      <w:bookmarkEnd w:id="263"/>
      <w:bookmarkEnd w:id="264"/>
      <w:bookmarkEnd w:id="265"/>
      <w:bookmarkEnd w:id="266"/>
      <w:bookmarkEnd w:id="267"/>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30.确定中标人</w:t>
      </w:r>
    </w:p>
    <w:p>
      <w:pPr>
        <w:spacing w:line="360" w:lineRule="auto"/>
        <w:ind w:firstLine="420" w:firstLineChars="200"/>
        <w:rPr>
          <w:rFonts w:hint="eastAsia" w:ascii="宋体" w:hAnsi="宋体" w:cs="宋体"/>
          <w:b/>
          <w:bCs/>
          <w:color w:val="auto"/>
          <w:szCs w:val="21"/>
          <w:highlight w:val="none"/>
        </w:rPr>
      </w:pPr>
      <w:r>
        <w:rPr>
          <w:rFonts w:hint="eastAsia" w:ascii="宋体" w:hAnsi="宋体" w:cs="宋体"/>
          <w:color w:val="auto"/>
          <w:szCs w:val="21"/>
          <w:highlight w:val="none"/>
        </w:rPr>
        <w:t>30.1</w:t>
      </w:r>
      <w:r>
        <w:rPr>
          <w:rFonts w:hint="eastAsia" w:ascii="宋体" w:hAnsi="宋体" w:cs="宋体"/>
          <w:color w:val="auto"/>
          <w:highlight w:val="none"/>
        </w:rPr>
        <w:t>采购人在收到评标委员会出具的评标报告之日起5个工作日内在评标报告推荐的中标候选人名单中按顺序确定中标人。采购人也可以事先授权评标委员会直接确定中标人。</w:t>
      </w:r>
      <w:r>
        <w:rPr>
          <w:rFonts w:ascii="宋体" w:hAnsi="宋体" w:cs="宋体"/>
          <w:color w:val="auto"/>
          <w:highlight w:val="none"/>
        </w:rPr>
        <w:t>中标候选人并列的，由采购人或者采购人委托评标委员会按照</w:t>
      </w:r>
      <w:r>
        <w:rPr>
          <w:rFonts w:hint="eastAsia"/>
          <w:color w:val="auto"/>
          <w:highlight w:val="none"/>
        </w:rPr>
        <w:t>“投标人须知前附表”</w:t>
      </w:r>
      <w:r>
        <w:rPr>
          <w:rFonts w:ascii="宋体" w:hAnsi="宋体" w:cs="宋体"/>
          <w:color w:val="auto"/>
          <w:highlight w:val="none"/>
        </w:rPr>
        <w:t>规定的方式确定中标人；招标文件未规定的，采取随机抽取的方式确定。</w:t>
      </w:r>
      <w:r>
        <w:rPr>
          <w:rFonts w:hint="eastAsia" w:ascii="宋体" w:hAnsi="宋体" w:cs="宋体"/>
          <w:b/>
          <w:bCs/>
          <w:color w:val="auto"/>
          <w:szCs w:val="21"/>
          <w:highlight w:val="none"/>
        </w:rPr>
        <w:t xml:space="preserve">   </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30.3中标人无正当理由拒签合同的，根据《中华人民共和国政府采购法》第七十七条第一款规定处理。</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30.4根据《中华人民共和国民法典》</w:t>
      </w:r>
      <w:r>
        <w:rPr>
          <w:rFonts w:hint="eastAsia" w:ascii="宋体" w:hAnsi="宋体" w:cs="宋体"/>
          <w:color w:val="auto"/>
          <w:sz w:val="19"/>
          <w:szCs w:val="19"/>
          <w:highlight w:val="none"/>
        </w:rPr>
        <w:t>第五百六十三条</w:t>
      </w:r>
      <w:r>
        <w:rPr>
          <w:rFonts w:hint="eastAsia" w:ascii="宋体" w:hAnsi="宋体" w:cs="宋体"/>
          <w:color w:val="auto"/>
          <w:szCs w:val="21"/>
          <w:highlight w:val="none"/>
        </w:rPr>
        <w:t>，因不可抗力致使不能实现合同目的的，当事人可以解除合同。</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31. 结果公告</w:t>
      </w:r>
    </w:p>
    <w:p>
      <w:pPr>
        <w:spacing w:line="360" w:lineRule="auto"/>
        <w:ind w:firstLine="420" w:firstLineChars="200"/>
        <w:rPr>
          <w:rFonts w:hint="eastAsia" w:ascii="宋体" w:hAnsi="宋体" w:cs="宋体"/>
          <w:color w:val="auto"/>
          <w:highlight w:val="none"/>
        </w:rPr>
      </w:pPr>
      <w:r>
        <w:rPr>
          <w:rFonts w:hint="eastAsia" w:ascii="宋体" w:hAnsi="宋体" w:cs="宋体"/>
          <w:color w:val="auto"/>
          <w:szCs w:val="21"/>
          <w:highlight w:val="none"/>
        </w:rPr>
        <w:t>31.1</w:t>
      </w:r>
      <w:r>
        <w:rPr>
          <w:rFonts w:hint="eastAsia" w:ascii="宋体" w:hAnsi="宋体" w:cs="宋体"/>
          <w:color w:val="auto"/>
          <w:highlight w:val="none"/>
        </w:rPr>
        <w:t>在中标人确定之日起2个工作日内，由采购代理机构</w:t>
      </w:r>
      <w:r>
        <w:rPr>
          <w:rFonts w:hint="eastAsia" w:ascii="宋体" w:hAnsi="宋体" w:cs="宋体"/>
          <w:b/>
          <w:color w:val="auto"/>
          <w:szCs w:val="21"/>
          <w:highlight w:val="none"/>
        </w:rPr>
        <w:t>在招标公告发布媒体上</w:t>
      </w:r>
      <w:r>
        <w:rPr>
          <w:rFonts w:hint="eastAsia" w:ascii="宋体" w:hAnsi="宋体" w:cs="宋体"/>
          <w:color w:val="auto"/>
          <w:highlight w:val="none"/>
        </w:rPr>
        <w:t>发布中标结果公告，中标结果公告期限为1个工作日，发布中标结果公告的同时向中标人发出中标通知书。</w:t>
      </w:r>
      <w:r>
        <w:rPr>
          <w:rFonts w:hint="eastAsia" w:ascii="宋体" w:hAnsi="宋体" w:cs="宋体"/>
          <w:b/>
          <w:color w:val="auto"/>
          <w:szCs w:val="21"/>
          <w:highlight w:val="none"/>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依法确定排名第二的中标候选人为中标人。</w:t>
      </w:r>
      <w:r>
        <w:rPr>
          <w:rFonts w:hint="eastAsia" w:ascii="宋体" w:hAnsi="宋体" w:cs="宋体"/>
          <w:color w:val="auto"/>
          <w:szCs w:val="21"/>
          <w:highlight w:val="none"/>
        </w:rPr>
        <w:t>排名第二的中标候选人因前款规定的同样原因被取消中标资格的，采购人可以依法确定排名第三的中标候选人为中标人，以此类推。</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以上信息查询记录及相关证据与采购文件一并保存。</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31.2中小企业在政府采购活动过程中，请根据企业的真实情况出具《中小企业声明函》。依法享受中小企业扶持政策的，采购人或者采购代理机构在公告中标结果时，同时公告其《中小企业声明函》，接受社会监督。</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32.发出中标通知书</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32.1在发布中标公告的同时，采购代理机构向中标人通过广西政府采购云平台发出电子中标通知书。</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32.2对未通过资格审查的投标人，采购人或采购代理机构应当告知其未通过的原因；采用综合评分办法评审的，采购人或采购机构还应当告知未中标人本人的评审得分与排序。</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 无义务解释未中标原因</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采购代理机构无义务向未中标的投标人解释未中标原因和退还投标文件。</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34.合同授予标准</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合同将授予被确定实质上响应招标文件要求，具备履行合同能力的中标人（招标文件另有约定多名中标人的除外）。</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35.履约保证金</w:t>
      </w:r>
    </w:p>
    <w:p>
      <w:pPr>
        <w:pStyle w:val="6"/>
        <w:keepNext w:val="0"/>
        <w:keepLines w:val="0"/>
        <w:spacing w:before="0" w:after="0" w:line="360" w:lineRule="auto"/>
        <w:ind w:firstLine="315" w:firstLineChars="150"/>
        <w:rPr>
          <w:rFonts w:hint="eastAsia" w:ascii="宋体" w:hAnsi="宋体" w:cs="宋体"/>
          <w:b w:val="0"/>
          <w:color w:val="auto"/>
          <w:sz w:val="21"/>
          <w:szCs w:val="21"/>
          <w:highlight w:val="none"/>
        </w:rPr>
      </w:pPr>
      <w:bookmarkStart w:id="268" w:name="_39.1中标人须于签订合同前按本须知前附表规定的金额转账或电汇到指定账"/>
      <w:bookmarkEnd w:id="268"/>
      <w:r>
        <w:rPr>
          <w:rFonts w:hint="eastAsia" w:ascii="宋体" w:hAnsi="宋体" w:cs="宋体"/>
          <w:b w:val="0"/>
          <w:color w:val="auto"/>
          <w:sz w:val="21"/>
          <w:szCs w:val="21"/>
          <w:highlight w:val="none"/>
        </w:rPr>
        <w:t xml:space="preserve"> 35.1 履约保证金的金额、提交方式、退付的时间和条件详见 “投标人须知前附表”。中标人未按规定提交履约保证金的，视为拒绝与采购人签订合同，采购人可以按照评标报告推荐的中标候选人名单排序，依法确定下一候选人为中标人，也可以重新开展政府采购活动。</w:t>
      </w:r>
    </w:p>
    <w:p>
      <w:pPr>
        <w:pStyle w:val="6"/>
        <w:keepNext w:val="0"/>
        <w:keepLines w:val="0"/>
        <w:spacing w:before="0" w:after="0" w:line="360" w:lineRule="auto"/>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 xml:space="preserve"> 35.2签订合同后，如中标人不按双方签订的合同规定履约，则没收其全部履约保证金，履约保证金不足以赔偿损失的，按实际损失赔偿。</w:t>
      </w:r>
    </w:p>
    <w:p>
      <w:pPr>
        <w:pStyle w:val="6"/>
        <w:keepNext w:val="0"/>
        <w:keepLines w:val="0"/>
        <w:spacing w:before="0" w:after="0" w:line="360" w:lineRule="auto"/>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35.3在履约保证金退还日期前，若中标人的开户名称、开户银行、账号有变动的，请以书面形式通知履约保证金收取单位，否则由此产生的后果由中标人自行承担。</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36.签订合同</w:t>
      </w:r>
    </w:p>
    <w:p>
      <w:pPr>
        <w:spacing w:line="360" w:lineRule="auto"/>
        <w:ind w:firstLine="420" w:firstLineChars="200"/>
        <w:rPr>
          <w:b/>
          <w:bCs/>
          <w:i/>
          <w:iCs/>
          <w:color w:val="auto"/>
          <w:szCs w:val="21"/>
          <w:highlight w:val="none"/>
        </w:rPr>
      </w:pPr>
      <w:bookmarkStart w:id="269" w:name="_40.1投标人接到中标通知书后，按须知前附表规定向采购人出示相关资格证"/>
      <w:bookmarkEnd w:id="269"/>
      <w:r>
        <w:rPr>
          <w:rFonts w:hint="eastAsia" w:ascii="宋体" w:hAnsi="宋体" w:cs="宋体"/>
          <w:color w:val="auto"/>
          <w:szCs w:val="21"/>
          <w:highlight w:val="none"/>
        </w:rPr>
        <w:t>36.1中标人在中标通知书发出之日起，按规定的日期、时间、地点，由法定代表人或其授权代表与采购人代表签订采购合同。如中标人为联合体的，由联合体成员各方法定代表人或其授权代表与采购人代表签订合同，签订携带资料详见“投标人须知前附表”。</w:t>
      </w:r>
    </w:p>
    <w:p>
      <w:pPr>
        <w:spacing w:line="360" w:lineRule="auto"/>
        <w:ind w:firstLine="420" w:firstLineChars="200"/>
        <w:rPr>
          <w:b/>
          <w:bCs/>
          <w:i/>
          <w:iCs/>
          <w:color w:val="auto"/>
          <w:szCs w:val="21"/>
          <w:highlight w:val="none"/>
        </w:rPr>
      </w:pPr>
      <w:r>
        <w:rPr>
          <w:rFonts w:hint="eastAsia" w:ascii="宋体" w:hAnsi="宋体"/>
          <w:color w:val="auto"/>
          <w:szCs w:val="21"/>
          <w:highlight w:val="none"/>
          <w:lang w:val="zh-CN"/>
        </w:rPr>
        <w:t>36.2采购合同由采购人与中标人根据招标文件、投标文件等内容签订。</w:t>
      </w:r>
    </w:p>
    <w:p>
      <w:pPr>
        <w:pStyle w:val="58"/>
        <w:snapToGrid w:val="0"/>
        <w:spacing w:before="0"/>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36.3签订合同时间：按中标通知书规定的时间与采购人签订合同。</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36.4中标人拒绝与采购人签订合同的，采购人可以按照评审报告推荐的中标候选人名单排序，依法确定下一候选人为中标人，也可以重新开展政府采购活动。如采购人无正当理由拒签合同的，给中标人造成损失的，中标人可追究采购人承担相应的法律责任。</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36.6采购人或中标人不得单方面向合同另一方提出任何招标文件没有约定的条件或不合理的要求，作为签订合同的条件；也不得协商另行订立背离招标文件和合同实质性内容的协议。</w:t>
      </w:r>
    </w:p>
    <w:p>
      <w:pPr>
        <w:spacing w:line="360" w:lineRule="auto"/>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36.7如签订合同并生效后，中标人无故拒绝或延期，除按照合同条款处理外，将承担相应的法律责任。</w:t>
      </w:r>
    </w:p>
    <w:p>
      <w:pPr>
        <w:spacing w:line="360" w:lineRule="auto"/>
        <w:ind w:firstLine="480" w:firstLineChars="200"/>
        <w:rPr>
          <w:rFonts w:hint="eastAsia" w:ascii="宋体" w:hAnsi="宋体" w:cs="宋体"/>
          <w:color w:val="auto"/>
          <w:sz w:val="24"/>
          <w:highlight w:val="none"/>
        </w:rPr>
      </w:pPr>
      <w:bookmarkStart w:id="270" w:name="_41.政府采购合同公告"/>
      <w:bookmarkEnd w:id="270"/>
      <w:r>
        <w:rPr>
          <w:rFonts w:hint="eastAsia" w:ascii="宋体" w:hAnsi="宋体" w:cs="宋体"/>
          <w:color w:val="auto"/>
          <w:sz w:val="24"/>
          <w:highlight w:val="none"/>
        </w:rPr>
        <w:t>37.政府采购合同公告</w:t>
      </w:r>
    </w:p>
    <w:p>
      <w:pPr>
        <w:spacing w:line="360" w:lineRule="auto"/>
        <w:ind w:firstLine="420" w:firstLineChars="200"/>
        <w:rPr>
          <w:rFonts w:hint="eastAsia" w:ascii="宋体" w:hAnsi="宋体" w:cs="宋体"/>
          <w:color w:val="auto"/>
          <w:highlight w:val="none"/>
        </w:rPr>
      </w:pPr>
      <w:r>
        <w:rPr>
          <w:rFonts w:hint="eastAsia" w:cs="宋体"/>
          <w:color w:val="auto"/>
          <w:kern w:val="1"/>
          <w:highlight w:val="none"/>
        </w:rPr>
        <w:t>采购人应当自政府采购合同签订之日起2个工作日内，将政府采购合同</w:t>
      </w:r>
      <w:r>
        <w:rPr>
          <w:rFonts w:hint="eastAsia" w:ascii="宋体" w:hAnsi="宋体" w:cs="宋体"/>
          <w:bCs/>
          <w:color w:val="auto"/>
          <w:kern w:val="1"/>
          <w:highlight w:val="none"/>
        </w:rPr>
        <w:t>在</w:t>
      </w:r>
      <w:r>
        <w:rPr>
          <w:rFonts w:hint="eastAsia"/>
          <w:color w:val="auto"/>
          <w:highlight w:val="none"/>
        </w:rPr>
        <w:t>省级以上人民政府财政部门指定的</w:t>
      </w:r>
      <w:r>
        <w:rPr>
          <w:rFonts w:hint="eastAsia" w:ascii="宋体" w:hAnsi="宋体" w:cs="宋体"/>
          <w:bCs/>
          <w:color w:val="auto"/>
          <w:kern w:val="1"/>
          <w:highlight w:val="none"/>
        </w:rPr>
        <w:t>媒体上</w:t>
      </w:r>
      <w:r>
        <w:rPr>
          <w:rFonts w:hint="eastAsia" w:cs="宋体"/>
          <w:color w:val="auto"/>
          <w:kern w:val="1"/>
          <w:highlight w:val="none"/>
        </w:rPr>
        <w:t>公告，</w:t>
      </w:r>
      <w:r>
        <w:rPr>
          <w:rFonts w:cs="宋体"/>
          <w:color w:val="auto"/>
          <w:kern w:val="1"/>
          <w:highlight w:val="none"/>
        </w:rPr>
        <w:t>但政府采购合同中涉及国家秘密、商业秘密的内容除外。</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38. 询问、质疑和投诉</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38.1询问</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38.1.1供应商在开标前对政府采购活动事项有疑问的，可以向采购人或采购代理机构项目负责人提出询问。</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38.1.2采购人或采购人委托的采购代理机构自受理询问之日起3个工作日内对供应商依法提出的询问作出答复，</w:t>
      </w:r>
      <w:r>
        <w:rPr>
          <w:rFonts w:hint="eastAsia" w:ascii="宋体" w:hAnsi="宋体" w:cs="宋体"/>
          <w:color w:val="auto"/>
          <w:highlight w:val="none"/>
        </w:rPr>
        <w:t>但答复内容不得涉及商业秘密</w:t>
      </w:r>
      <w:r>
        <w:rPr>
          <w:rFonts w:hint="eastAsia" w:ascii="宋体" w:hAnsi="宋体" w:cs="宋体"/>
          <w:bCs/>
          <w:color w:val="auto"/>
          <w:szCs w:val="21"/>
          <w:highlight w:val="none"/>
        </w:rPr>
        <w:t>。</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38.1.3 询问事项可能影响中标结果的，采购人应当暂停签订合同，已经签订合同的，应当中止履行合同。</w:t>
      </w:r>
    </w:p>
    <w:p>
      <w:pPr>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 xml:space="preserve"> </w:t>
      </w:r>
      <w:r>
        <w:rPr>
          <w:rFonts w:hint="eastAsia" w:ascii="宋体" w:hAnsi="宋体" w:cs="宋体"/>
          <w:color w:val="auto"/>
          <w:szCs w:val="21"/>
          <w:highlight w:val="none"/>
        </w:rPr>
        <w:t>38.2质疑</w:t>
      </w:r>
    </w:p>
    <w:p>
      <w:pPr>
        <w:spacing w:line="360" w:lineRule="auto"/>
        <w:ind w:firstLine="420" w:firstLineChars="200"/>
        <w:rPr>
          <w:rFonts w:hint="eastAsia" w:ascii="宋体" w:hAnsi="宋体" w:cs="宋体"/>
          <w:b/>
          <w:color w:val="auto"/>
          <w:szCs w:val="21"/>
          <w:highlight w:val="none"/>
        </w:rPr>
      </w:pPr>
      <w:r>
        <w:rPr>
          <w:rFonts w:hint="eastAsia" w:ascii="宋体" w:hAnsi="宋体" w:cs="宋体"/>
          <w:bCs/>
          <w:color w:val="auto"/>
          <w:szCs w:val="21"/>
          <w:highlight w:val="none"/>
        </w:rPr>
        <w:t>38.2.1</w:t>
      </w:r>
      <w:r>
        <w:rPr>
          <w:rFonts w:hint="eastAsia" w:ascii="宋体" w:hAnsi="宋体" w:cs="宋体"/>
          <w:b/>
          <w:color w:val="auto"/>
          <w:szCs w:val="21"/>
          <w:highlight w:val="none"/>
        </w:rPr>
        <w:t xml:space="preserve">供应商认为招标文件、采购过程或者中标结果使自己的合法权益受到损害的，必须在知道或者应知其权益受到损害之日起7个工作日内，以书面形式向采购人或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（1）潜在供应商依法获取招标文件后，认为采购文件使自己的权益受到损害的，应当在招标文件公告期限届满之日起7个工作日内提出质疑。</w:t>
      </w:r>
      <w:r>
        <w:rPr>
          <w:rFonts w:hint="eastAsia" w:ascii="宋体" w:hAnsi="宋体" w:cs="宋体"/>
          <w:color w:val="auto"/>
          <w:highlight w:val="none"/>
        </w:rPr>
        <w:t>委托代理协议无特殊约定的，</w:t>
      </w:r>
      <w:r>
        <w:rPr>
          <w:rFonts w:hint="eastAsia" w:ascii="宋体" w:hAnsi="宋体" w:cs="宋体"/>
          <w:bCs/>
          <w:color w:val="auto"/>
          <w:highlight w:val="none"/>
        </w:rPr>
        <w:t>对招标文件中采购需求（含资格要求、采购预算和评分办法）的质疑由采购人受理并负责答复；对招标文件中的采购执行程序的质疑由采购代理机构受理并负责答复。</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采购代理机构提出，由采购人或采购代理机构受理并负责答复；对采购过程中采购执行程序的质疑由采购代理机构受理并负责答复。</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（3）供应商认为中标或者成交结果使自己的权益受到损害的，应当在中标或者成交结果公告期限届满之日起7个工作日内提出质疑，由采购人受理并负责答复。</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38.2.2供应商质疑实行实名制，其质疑应当有具体的质疑事项及事实根据，质疑应当坚持依法依规、诚实信用原则，不得进行虚假、恶意质疑。</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szCs w:val="21"/>
          <w:highlight w:val="none"/>
        </w:rPr>
        <w:t>38.2.3</w:t>
      </w:r>
      <w:r>
        <w:rPr>
          <w:rFonts w:hint="eastAsia" w:ascii="宋体" w:hAnsi="宋体" w:cs="宋体"/>
          <w:bCs/>
          <w:color w:val="auto"/>
          <w:highlight w:val="none"/>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color w:val="auto"/>
          <w:highlight w:val="none"/>
        </w:rPr>
        <w:t>。</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38.2.4 质疑供应商提起质疑应当符合下列条件：</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（1）质疑供应商是参与所质疑</w:t>
      </w:r>
      <w:r>
        <w:rPr>
          <w:rFonts w:hint="eastAsia" w:ascii="宋体" w:hAnsi="宋体" w:cs="宋体"/>
          <w:bCs/>
          <w:color w:val="auto"/>
          <w:szCs w:val="21"/>
          <w:highlight w:val="none"/>
        </w:rPr>
        <w:t>项目</w:t>
      </w:r>
      <w:r>
        <w:rPr>
          <w:rFonts w:hint="eastAsia" w:ascii="宋体" w:hAnsi="宋体" w:cs="宋体"/>
          <w:bCs/>
          <w:color w:val="auto"/>
          <w:highlight w:val="none"/>
        </w:rPr>
        <w:t>采购活动的供应商（潜在供应商已依法获取可质疑的采购文件的，可以对该采购文件质疑）；</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（2）质疑函内容符合本章第38.2.5项的规定；</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（3）在质疑有效期限内提起质疑；</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 xml:space="preserve">（4）属于所质疑的采购人或采购人委托的采购代理机构组织的采购活动； </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（5）供应商对同一采购程序环节的质疑应当在质疑有效期内一次性提出；</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（6）供应商提交质疑应当提交必要的证明材料，证明材料应以合法手段取得；</w:t>
      </w:r>
    </w:p>
    <w:p>
      <w:pPr>
        <w:spacing w:line="360" w:lineRule="auto"/>
        <w:ind w:firstLine="420" w:firstLineChars="200"/>
        <w:rPr>
          <w:rFonts w:hint="eastAsia" w:ascii="宋体" w:hAnsi="宋体" w:cs="宋体"/>
          <w:color w:val="auto"/>
          <w:highlight w:val="none"/>
        </w:rPr>
      </w:pPr>
      <w:r>
        <w:rPr>
          <w:rFonts w:hint="eastAsia" w:ascii="宋体" w:hAnsi="宋体" w:cs="宋体"/>
          <w:bCs/>
          <w:color w:val="auto"/>
          <w:highlight w:val="none"/>
        </w:rPr>
        <w:t>（7）财政部门规定的其他条件。</w:t>
      </w:r>
    </w:p>
    <w:p>
      <w:pPr>
        <w:spacing w:line="360" w:lineRule="auto"/>
        <w:ind w:firstLine="422" w:firstLineChars="200"/>
        <w:rPr>
          <w:rFonts w:hint="eastAsia" w:ascii="宋体" w:hAnsi="宋体" w:cs="宋体"/>
          <w:b/>
          <w:color w:val="auto"/>
          <w:szCs w:val="21"/>
          <w:highlight w:val="none"/>
        </w:rPr>
      </w:pPr>
      <w:bookmarkStart w:id="271" w:name="_9.2质疑、投诉应当采用书面形式，质疑函、投诉书均应明确阐述招标文件、"/>
      <w:bookmarkEnd w:id="271"/>
      <w:r>
        <w:rPr>
          <w:rFonts w:hint="eastAsia" w:ascii="宋体" w:hAnsi="宋体" w:cs="宋体"/>
          <w:b/>
          <w:bCs/>
          <w:color w:val="auto"/>
          <w:szCs w:val="21"/>
          <w:highlight w:val="none"/>
        </w:rPr>
        <w:t xml:space="preserve"> 38.2.5 </w:t>
      </w:r>
      <w:r>
        <w:rPr>
          <w:rFonts w:hint="eastAsia" w:ascii="宋体" w:hAnsi="宋体" w:cs="宋体"/>
          <w:b/>
          <w:color w:val="auto"/>
          <w:highlight w:val="none"/>
        </w:rPr>
        <w:t>供应商提出质疑应当提交质疑函和必要的证明材料，针对同一采购程序环节的质疑必须在法定质疑期内一次性提出。质疑函应当包括下列内容（质疑函格式后附）</w:t>
      </w:r>
      <w:r>
        <w:rPr>
          <w:rFonts w:hint="eastAsia" w:ascii="宋体" w:hAnsi="宋体" w:cs="宋体"/>
          <w:bCs/>
          <w:color w:val="auto"/>
          <w:highlight w:val="none"/>
        </w:rPr>
        <w:t>：</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（1）供应商的姓名或者名称、地址、邮编、联系人及联系电话；</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（2）质疑项目的名称、编号；</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（3）具体、明确的质疑事项和与质疑事项相关的请求；</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（4）事实依据（列明权益受到损害的事实和理由）；</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（5）必要的法律依据；</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（6）提出质疑的日期。</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供应商为自然人的，应当由本人签字；供应商为法人或者其他组织的，应当由法定代表人、主要负责人，或者其委托代理人签字或者盖章，并加盖公章。</w:t>
      </w:r>
    </w:p>
    <w:p>
      <w:pPr>
        <w:spacing w:line="360" w:lineRule="auto"/>
        <w:ind w:firstLine="422" w:firstLineChars="200"/>
        <w:rPr>
          <w:rFonts w:hint="eastAsia" w:ascii="宋体" w:hAnsi="宋体" w:cs="宋体"/>
          <w:b/>
          <w:color w:val="auto"/>
          <w:szCs w:val="20"/>
          <w:highlight w:val="none"/>
        </w:rPr>
      </w:pPr>
      <w:r>
        <w:rPr>
          <w:rFonts w:hint="eastAsia" w:ascii="宋体" w:hAnsi="宋体" w:cs="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r>
        <w:rPr>
          <w:rFonts w:hint="eastAsia" w:ascii="宋体" w:hAnsi="宋体" w:cs="宋体"/>
          <w:bCs/>
          <w:color w:val="auto"/>
          <w:highlight w:val="none"/>
        </w:rPr>
        <w:t>。</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color w:val="auto"/>
          <w:szCs w:val="21"/>
          <w:highlight w:val="none"/>
        </w:rPr>
        <w:t>3</w:t>
      </w:r>
      <w:r>
        <w:rPr>
          <w:rFonts w:hint="eastAsia" w:ascii="宋体" w:hAnsi="宋体" w:cs="宋体"/>
          <w:bCs/>
          <w:color w:val="auto"/>
          <w:szCs w:val="21"/>
          <w:highlight w:val="none"/>
        </w:rPr>
        <w:t>8.2.7采购人、采购代理机构认为供应商质疑不成立，或者成立但未对中标结果构成影响的，继续开展采购活动；认为供应商质疑成立且影响或者可能影响中标结果的，按照下列情况处理：</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　　（一）对招标文件提出的质疑，依法通过澄清或者修改可以继续开展采购活动的，澄清或者修改招标文件后继续开展采购活动；否则应当修改招标文件后重新开展采购活动。</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　　（二）对采购过程、中标结果提出的质疑，合格供应商符合法定数量时，可以从合格的中标候选人中另行确定中标人的，应当依法另行确定中标人；否则应当重新开展采购活动。</w:t>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质疑答复导致中标结果改变的，采购人或者采购代理机构应当将有关情况书面报告</w:t>
      </w:r>
      <w:r>
        <w:rPr>
          <w:rFonts w:hint="eastAsia" w:ascii="宋体" w:hAnsi="宋体" w:cs="宋体"/>
          <w:color w:val="auto"/>
          <w:szCs w:val="21"/>
          <w:highlight w:val="none"/>
        </w:rPr>
        <w:t>本级财政部门</w:t>
      </w:r>
      <w:r>
        <w:rPr>
          <w:rFonts w:hint="eastAsia" w:ascii="宋体" w:hAnsi="宋体" w:cs="宋体"/>
          <w:bCs/>
          <w:color w:val="auto"/>
          <w:highlight w:val="none"/>
        </w:rPr>
        <w:t>。</w:t>
      </w:r>
    </w:p>
    <w:p>
      <w:pPr>
        <w:spacing w:line="360" w:lineRule="auto"/>
        <w:ind w:firstLine="422" w:firstLineChars="200"/>
        <w:rPr>
          <w:rFonts w:hint="eastAsia" w:ascii="宋体" w:hAnsi="宋体" w:cs="宋体"/>
          <w:b/>
          <w:color w:val="auto"/>
          <w:highlight w:val="none"/>
        </w:rPr>
      </w:pPr>
      <w:r>
        <w:rPr>
          <w:rFonts w:hint="eastAsia" w:ascii="宋体" w:hAnsi="宋体" w:cs="宋体"/>
          <w:b/>
          <w:color w:val="auto"/>
          <w:highlight w:val="none"/>
        </w:rPr>
        <w:t>38.3投诉</w:t>
      </w:r>
    </w:p>
    <w:p>
      <w:pPr>
        <w:spacing w:line="360" w:lineRule="auto"/>
        <w:ind w:firstLine="422" w:firstLineChars="200"/>
        <w:rPr>
          <w:rFonts w:hint="eastAsia" w:ascii="宋体" w:hAnsi="宋体" w:cs="宋体"/>
          <w:bCs/>
          <w:color w:val="auto"/>
          <w:highlight w:val="none"/>
        </w:rPr>
      </w:pPr>
      <w:r>
        <w:rPr>
          <w:rFonts w:hint="eastAsia" w:ascii="宋体" w:hAnsi="宋体" w:cs="宋体"/>
          <w:b/>
          <w:color w:val="auto"/>
          <w:highlight w:val="none"/>
        </w:rPr>
        <w:t>38.3</w:t>
      </w:r>
      <w:r>
        <w:rPr>
          <w:rFonts w:hint="eastAsia" w:ascii="宋体" w:hAnsi="宋体" w:cs="宋体"/>
          <w:bCs/>
          <w:color w:val="auto"/>
          <w:highlight w:val="none"/>
        </w:rPr>
        <w:t>.</w:t>
      </w:r>
      <w:r>
        <w:rPr>
          <w:rFonts w:hint="eastAsia" w:ascii="宋体" w:hAnsi="宋体" w:cs="宋体"/>
          <w:b/>
          <w:bCs/>
          <w:color w:val="auto"/>
          <w:highlight w:val="none"/>
        </w:rPr>
        <w:t xml:space="preserve">1 </w:t>
      </w:r>
      <w:r>
        <w:rPr>
          <w:rFonts w:hint="eastAsia" w:ascii="宋体" w:hAnsi="宋体" w:cs="宋体"/>
          <w:bCs/>
          <w:color w:val="auto"/>
          <w:highlight w:val="none"/>
        </w:rPr>
        <w:t xml:space="preserve"> 供应商认为采购文件、采购过程、中标和成交结果使自己的合法权益受到损害的，应当首先依法向采购人或采购人委托的</w:t>
      </w:r>
      <w:r>
        <w:rPr>
          <w:rFonts w:hint="eastAsia" w:ascii="宋体" w:hAnsi="宋体" w:cs="宋体"/>
          <w:color w:val="auto"/>
          <w:highlight w:val="none"/>
        </w:rPr>
        <w:t>采购代理机构</w:t>
      </w:r>
      <w:r>
        <w:rPr>
          <w:rFonts w:hint="eastAsia" w:ascii="宋体" w:hAnsi="宋体" w:cs="宋体"/>
          <w:bCs/>
          <w:color w:val="auto"/>
          <w:highlight w:val="none"/>
        </w:rPr>
        <w:t>提出质疑。对采购人或</w:t>
      </w:r>
      <w:r>
        <w:rPr>
          <w:rFonts w:hint="eastAsia" w:ascii="宋体" w:hAnsi="宋体" w:cs="宋体"/>
          <w:color w:val="auto"/>
          <w:highlight w:val="none"/>
        </w:rPr>
        <w:t>采购代理机构</w:t>
      </w:r>
      <w:r>
        <w:rPr>
          <w:rFonts w:hint="eastAsia" w:ascii="宋体" w:hAnsi="宋体" w:cs="宋体"/>
          <w:bCs/>
          <w:color w:val="auto"/>
          <w:highlight w:val="none"/>
        </w:rPr>
        <w:t>的答复不满意，或者采购人或</w:t>
      </w:r>
      <w:r>
        <w:rPr>
          <w:rFonts w:hint="eastAsia" w:ascii="宋体" w:hAnsi="宋体" w:cs="宋体"/>
          <w:color w:val="auto"/>
          <w:highlight w:val="none"/>
        </w:rPr>
        <w:t>采购代理机构</w:t>
      </w:r>
      <w:r>
        <w:rPr>
          <w:rFonts w:hint="eastAsia" w:ascii="宋体" w:hAnsi="宋体" w:cs="宋体"/>
          <w:bCs/>
          <w:color w:val="auto"/>
          <w:highlight w:val="none"/>
        </w:rPr>
        <w:t>未在规定期限内做出答复的，供应商可以在答复期满后15个工作日内向本级财政部门提起投诉，投诉联系方式见“投标人须知前附表”。</w:t>
      </w:r>
    </w:p>
    <w:p>
      <w:pPr>
        <w:spacing w:line="360" w:lineRule="auto"/>
        <w:ind w:firstLine="422" w:firstLineChars="200"/>
        <w:rPr>
          <w:rFonts w:hint="eastAsia" w:ascii="宋体" w:hAnsi="宋体" w:cs="宋体"/>
          <w:b/>
          <w:color w:val="auto"/>
          <w:highlight w:val="none"/>
        </w:rPr>
      </w:pPr>
      <w:r>
        <w:rPr>
          <w:rFonts w:hint="eastAsia" w:ascii="宋体" w:hAnsi="宋体" w:cs="宋体"/>
          <w:b/>
          <w:color w:val="auto"/>
          <w:highlight w:val="none"/>
        </w:rPr>
        <w:t>38.3.2  投诉人投诉时，应当提交投诉书，并按照被投诉采购人、采购代理机构和与投诉事项有关的供应商数量提供投诉书的副本。投诉书</w:t>
      </w:r>
      <w:r>
        <w:rPr>
          <w:rFonts w:hint="eastAsia" w:ascii="宋体" w:hAnsi="宋体" w:cs="宋体"/>
          <w:b/>
          <w:color w:val="auto"/>
          <w:szCs w:val="21"/>
          <w:highlight w:val="none"/>
        </w:rPr>
        <w:t>应当包括下列主要内容</w:t>
      </w:r>
      <w:r>
        <w:rPr>
          <w:rFonts w:hint="eastAsia" w:ascii="宋体" w:hAnsi="宋体" w:cs="宋体"/>
          <w:b/>
          <w:color w:val="auto"/>
          <w:highlight w:val="none"/>
        </w:rPr>
        <w:t>（如材料中有外文资料应同时附上对应的中文译本）（投诉书格式后附）</w:t>
      </w:r>
      <w:r>
        <w:rPr>
          <w:rFonts w:hint="eastAsia" w:ascii="宋体" w:hAnsi="宋体" w:cs="宋体"/>
          <w:b/>
          <w:color w:val="auto"/>
          <w:szCs w:val="21"/>
          <w:highlight w:val="none"/>
        </w:rPr>
        <w:t>：</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（1）投诉人和被投诉人的名称、地址、邮编、联系人及联系电话等； </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（2）质疑和质疑答复情况及相关证明材料； </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（3）具体、明确的投诉事项和与投诉事项相关的投诉请求；</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（5）法律依据；</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（6）提起投诉的日期。</w:t>
      </w:r>
      <w:r>
        <w:rPr>
          <w:rFonts w:hint="eastAsia" w:ascii="宋体" w:hAnsi="宋体" w:cs="宋体"/>
          <w:color w:val="auto"/>
          <w:highlight w:val="none"/>
        </w:rPr>
        <w:tab/>
      </w:r>
    </w:p>
    <w:p>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rPr>
        <w:t>投诉人为自然人的，应当由本人签字；投诉人为法人或者其他组织的，应当由法定代表人、主要负责人，或者其授权代表签字或者盖章，并加盖公章。</w:t>
      </w:r>
    </w:p>
    <w:p>
      <w:pPr>
        <w:spacing w:line="360" w:lineRule="auto"/>
        <w:ind w:firstLine="422" w:firstLineChars="200"/>
        <w:rPr>
          <w:rFonts w:hint="eastAsia" w:ascii="宋体" w:hAnsi="宋体" w:cs="宋体"/>
          <w:bCs/>
          <w:color w:val="auto"/>
          <w:highlight w:val="none"/>
        </w:rPr>
      </w:pPr>
      <w:r>
        <w:rPr>
          <w:rFonts w:hint="eastAsia" w:ascii="宋体" w:hAnsi="宋体" w:cs="宋体"/>
          <w:b/>
          <w:color w:val="auto"/>
          <w:highlight w:val="none"/>
        </w:rPr>
        <w:t xml:space="preserve">38.3.3  </w:t>
      </w:r>
      <w:r>
        <w:rPr>
          <w:rFonts w:hint="eastAsia" w:ascii="宋体" w:hAnsi="宋体" w:cs="宋体"/>
          <w:color w:val="auto"/>
          <w:highlight w:val="none"/>
        </w:rPr>
        <w:t>投诉人可以委托代理人办理投诉事务。</w:t>
      </w:r>
      <w:r>
        <w:rPr>
          <w:rFonts w:hint="eastAsia" w:ascii="宋体" w:hAnsi="宋体" w:cs="宋体"/>
          <w:bCs/>
          <w:color w:val="auto"/>
          <w:highlight w:val="none"/>
        </w:rPr>
        <w:t>委托代理人应熟悉相关业务情况。</w:t>
      </w:r>
      <w:r>
        <w:rPr>
          <w:rFonts w:hint="eastAsia" w:ascii="宋体" w:hAnsi="宋体" w:cs="宋体"/>
          <w:color w:val="auto"/>
          <w:highlight w:val="none"/>
        </w:rPr>
        <w:t>代理人办理投诉事务时，除提交投诉书外，还应当提交投诉人的授权委托书和委托代理人身份证明复印件。</w:t>
      </w:r>
    </w:p>
    <w:p>
      <w:pPr>
        <w:spacing w:line="360" w:lineRule="auto"/>
        <w:ind w:firstLine="422" w:firstLineChars="200"/>
        <w:rPr>
          <w:rFonts w:hint="eastAsia" w:ascii="宋体" w:hAnsi="宋体" w:cs="宋体"/>
          <w:color w:val="auto"/>
          <w:highlight w:val="none"/>
        </w:rPr>
      </w:pPr>
      <w:r>
        <w:rPr>
          <w:rFonts w:hint="eastAsia" w:ascii="宋体" w:hAnsi="宋体" w:cs="宋体"/>
          <w:b/>
          <w:color w:val="auto"/>
          <w:highlight w:val="none"/>
        </w:rPr>
        <w:t>38.3.4</w:t>
      </w:r>
      <w:r>
        <w:rPr>
          <w:rFonts w:hint="eastAsia" w:ascii="宋体" w:hAnsi="宋体" w:cs="宋体"/>
          <w:color w:val="auto"/>
          <w:highlight w:val="none"/>
        </w:rPr>
        <w:t xml:space="preserve">  投诉人提起投诉应当符合下列条件：</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（1）投诉人是参与所投诉政府采购活动的供应商；</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（2）提起投诉前已依法进行质疑；</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（3）投诉书内容符合本章第38.3.2项的规定；</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（4）在投诉有效期限内提起投诉；</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（5）同一投诉事项未经</w:t>
      </w:r>
      <w:r>
        <w:rPr>
          <w:rFonts w:hint="eastAsia" w:ascii="宋体" w:hAnsi="宋体" w:cs="宋体"/>
          <w:bCs/>
          <w:color w:val="auto"/>
          <w:highlight w:val="none"/>
        </w:rPr>
        <w:t>财政部门</w:t>
      </w:r>
      <w:r>
        <w:rPr>
          <w:rFonts w:hint="eastAsia" w:ascii="宋体" w:hAnsi="宋体" w:cs="宋体"/>
          <w:color w:val="auto"/>
          <w:highlight w:val="none"/>
        </w:rPr>
        <w:t>投诉处理；</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（6）国务院财政部门规定的其他条件。</w:t>
      </w:r>
    </w:p>
    <w:p>
      <w:pPr>
        <w:pStyle w:val="4"/>
        <w:spacing w:line="360" w:lineRule="auto"/>
        <w:ind w:firstLine="4498" w:firstLineChars="1400"/>
        <w:rPr>
          <w:rFonts w:hint="eastAsia" w:ascii="宋体" w:hAnsi="宋体" w:cs="宋体"/>
          <w:color w:val="auto"/>
          <w:highlight w:val="none"/>
        </w:rPr>
      </w:pPr>
      <w:bookmarkStart w:id="272" w:name="_Toc28886"/>
      <w:bookmarkStart w:id="273" w:name="_Toc22303"/>
      <w:bookmarkStart w:id="274" w:name="_Toc18873"/>
      <w:bookmarkStart w:id="275" w:name="_Toc17335"/>
      <w:bookmarkStart w:id="276" w:name="_Toc17503"/>
      <w:r>
        <w:rPr>
          <w:rFonts w:hint="eastAsia" w:ascii="宋体" w:hAnsi="宋体" w:cs="宋体"/>
          <w:color w:val="auto"/>
          <w:highlight w:val="none"/>
        </w:rPr>
        <w:t>八、验收</w:t>
      </w:r>
      <w:bookmarkEnd w:id="272"/>
      <w:bookmarkEnd w:id="273"/>
      <w:bookmarkEnd w:id="274"/>
      <w:bookmarkEnd w:id="275"/>
      <w:bookmarkEnd w:id="276"/>
    </w:p>
    <w:p>
      <w:pPr>
        <w:spacing w:line="360" w:lineRule="auto"/>
        <w:ind w:firstLine="422" w:firstLineChars="200"/>
        <w:rPr>
          <w:rFonts w:hint="eastAsia" w:ascii="宋体" w:hAnsi="宋体" w:cs="宋体"/>
          <w:b/>
          <w:color w:val="auto"/>
          <w:highlight w:val="none"/>
        </w:rPr>
      </w:pPr>
      <w:r>
        <w:rPr>
          <w:rFonts w:hint="eastAsia" w:ascii="宋体" w:hAnsi="宋体" w:cs="宋体"/>
          <w:b/>
          <w:color w:val="auto"/>
          <w:highlight w:val="none"/>
        </w:rPr>
        <w:t>39.验收</w:t>
      </w:r>
    </w:p>
    <w:p>
      <w:pPr>
        <w:tabs>
          <w:tab w:val="left" w:pos="0"/>
        </w:tabs>
        <w:spacing w:line="360" w:lineRule="auto"/>
        <w:ind w:firstLine="480"/>
        <w:rPr>
          <w:rFonts w:hint="eastAsia" w:ascii="宋体" w:hAnsi="宋体" w:cs="宋体"/>
          <w:color w:val="auto"/>
          <w:highlight w:val="none"/>
        </w:rPr>
      </w:pPr>
      <w:r>
        <w:rPr>
          <w:rFonts w:hint="eastAsia" w:ascii="宋体" w:hAnsi="宋体" w:cs="宋体"/>
          <w:color w:val="auto"/>
          <w:highlight w:val="none"/>
        </w:rPr>
        <w:t>39.1采购人组织对中标人履约的验收。大型或者复杂的政府采购项目，应当邀请国家认可的质量检测机构参加验收工作。验收方成员应当在验收书上签字，并承担相应的法律责任。如果发现与合同中要求不符，中标人须承担由此发生的一切损失和费用，并接受相应的处理。</w:t>
      </w:r>
    </w:p>
    <w:p>
      <w:pPr>
        <w:tabs>
          <w:tab w:val="left" w:pos="0"/>
        </w:tabs>
        <w:spacing w:line="360" w:lineRule="auto"/>
        <w:ind w:firstLine="480"/>
        <w:rPr>
          <w:rFonts w:hint="eastAsia" w:ascii="宋体" w:hAnsi="宋体" w:cs="宋体"/>
          <w:color w:val="auto"/>
          <w:highlight w:val="none"/>
        </w:rPr>
      </w:pPr>
      <w:r>
        <w:rPr>
          <w:rFonts w:hint="eastAsia" w:ascii="宋体" w:hAnsi="宋体" w:cs="宋体"/>
          <w:color w:val="auto"/>
          <w:highlight w:val="none"/>
        </w:rPr>
        <w:t>39.2采购人可以邀请参加本项目的其他投标人或者第三方机构参与验收。参与验收的投标人或者第三方机构的意见作为验收书的参考资料一并存档。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hAnsi="宋体"/>
          <w:color w:val="auto"/>
          <w:highlight w:val="none"/>
        </w:rPr>
      </w:pPr>
      <w:r>
        <w:rPr>
          <w:rFonts w:hint="eastAsia" w:ascii="宋体" w:hAnsi="宋体" w:cs="宋体"/>
          <w:color w:val="auto"/>
          <w:highlight w:val="none"/>
        </w:rPr>
        <w:t>39.3严格按照采购合同开展履约验收。采购人成立验收小组，按照采购合同的约定对中标人履约情况进行验收。</w:t>
      </w:r>
      <w:r>
        <w:rPr>
          <w:rFonts w:hint="eastAsia" w:hAnsi="宋体"/>
          <w:color w:val="auto"/>
          <w:highlight w:val="none"/>
        </w:rPr>
        <w:t>验收时，按照采购合同的约定对每一项服务的履约情况进行确认。验收结束后，应当出具验收书，列明各项标准的验收情况及项目总体评价，由验收双方共同签署。验收结果与采购合同约定的资金支付及履约保证金</w:t>
      </w:r>
      <w:r>
        <w:rPr>
          <w:rFonts w:hint="eastAsia"/>
          <w:color w:val="auto"/>
          <w:highlight w:val="none"/>
        </w:rPr>
        <w:t>（如有）</w:t>
      </w:r>
      <w:r>
        <w:rPr>
          <w:rFonts w:hint="eastAsia" w:hAnsi="宋体"/>
          <w:color w:val="auto"/>
          <w:highlight w:val="none"/>
        </w:rPr>
        <w:t>返还条件挂钩。履约验收的各项资料应当存档备查。</w:t>
      </w:r>
    </w:p>
    <w:p>
      <w:pPr>
        <w:tabs>
          <w:tab w:val="left" w:pos="0"/>
        </w:tabs>
        <w:spacing w:line="360" w:lineRule="auto"/>
        <w:ind w:firstLine="480"/>
        <w:rPr>
          <w:rFonts w:hint="eastAsia" w:ascii="宋体" w:hAnsi="宋体" w:cs="宋体"/>
          <w:color w:val="auto"/>
          <w:highlight w:val="none"/>
        </w:rPr>
      </w:pPr>
      <w:r>
        <w:rPr>
          <w:rFonts w:hint="eastAsia" w:ascii="宋体" w:hAnsi="宋体" w:cs="宋体"/>
          <w:color w:val="auto"/>
          <w:highlight w:val="none"/>
        </w:rPr>
        <w:t>39.4验收合格的项目，采购人将根据采购合同的约定及时向中标人支付采购资金。验收不合格的项目，采购人将依法及时处理。采购合同的履行、违约责任和解决争议的方式等适用《中华人民共和国民法典》。中标人在履约过程中有政府采购法律法规规定的违法违规情形的，采购人应当及时报告本级财政部门。</w:t>
      </w:r>
    </w:p>
    <w:p>
      <w:pPr>
        <w:pStyle w:val="13"/>
        <w:snapToGrid w:val="0"/>
        <w:spacing w:line="360" w:lineRule="auto"/>
        <w:rPr>
          <w:rFonts w:hint="eastAsia" w:hAnsi="宋体" w:cs="宋体"/>
          <w:color w:val="auto"/>
          <w:highlight w:val="none"/>
        </w:rPr>
      </w:pPr>
    </w:p>
    <w:p>
      <w:pPr>
        <w:pStyle w:val="4"/>
        <w:keepNext w:val="0"/>
        <w:keepLines w:val="0"/>
        <w:spacing w:line="360" w:lineRule="auto"/>
        <w:jc w:val="center"/>
        <w:rPr>
          <w:rFonts w:hint="eastAsia" w:ascii="宋体" w:hAnsi="宋体" w:cs="宋体"/>
          <w:color w:val="auto"/>
          <w:highlight w:val="none"/>
        </w:rPr>
      </w:pPr>
      <w:bookmarkStart w:id="277" w:name="_八、其他事项"/>
      <w:bookmarkEnd w:id="277"/>
      <w:bookmarkStart w:id="278" w:name="_Toc22183"/>
      <w:bookmarkStart w:id="279" w:name="_Toc18658"/>
      <w:bookmarkStart w:id="280" w:name="_Toc32572"/>
      <w:bookmarkStart w:id="281" w:name="_Toc13415"/>
      <w:bookmarkStart w:id="282" w:name="_Toc30046"/>
      <w:r>
        <w:rPr>
          <w:rFonts w:hint="eastAsia" w:ascii="宋体" w:hAnsi="宋体" w:cs="宋体"/>
          <w:color w:val="auto"/>
          <w:highlight w:val="none"/>
        </w:rPr>
        <w:t>九、其他事项</w:t>
      </w:r>
      <w:bookmarkEnd w:id="278"/>
      <w:bookmarkEnd w:id="279"/>
      <w:bookmarkEnd w:id="280"/>
      <w:bookmarkEnd w:id="281"/>
      <w:bookmarkEnd w:id="282"/>
    </w:p>
    <w:p>
      <w:pPr>
        <w:spacing w:line="360" w:lineRule="auto"/>
        <w:ind w:firstLine="480" w:firstLineChars="200"/>
        <w:rPr>
          <w:rFonts w:hint="eastAsia" w:ascii="宋体" w:hAnsi="宋体" w:cs="宋体"/>
          <w:color w:val="auto"/>
          <w:sz w:val="24"/>
          <w:highlight w:val="none"/>
        </w:rPr>
      </w:pPr>
      <w:bookmarkStart w:id="283" w:name="_42.代理服务费"/>
      <w:bookmarkEnd w:id="283"/>
      <w:r>
        <w:rPr>
          <w:rFonts w:hint="eastAsia" w:ascii="宋体" w:hAnsi="宋体" w:cs="宋体"/>
          <w:color w:val="auto"/>
          <w:sz w:val="24"/>
          <w:highlight w:val="none"/>
        </w:rPr>
        <w:t>40.采购代理服务费</w:t>
      </w:r>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40.1采购代理服务费收费标准及缴费账户详见“投标人须知前附表”，投标人为联合体的，可以由联合体中的一方或者多方共同缴纳采购代理服务费。</w:t>
      </w:r>
    </w:p>
    <w:p>
      <w:pPr>
        <w:pStyle w:val="6"/>
        <w:keepNext w:val="0"/>
        <w:keepLines w:val="0"/>
        <w:spacing w:before="0" w:after="0" w:line="360" w:lineRule="auto"/>
        <w:ind w:left="420" w:left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40.2采购代理服务费收费标准：</w:t>
      </w:r>
    </w:p>
    <w:tbl>
      <w:tblPr>
        <w:tblStyle w:val="25"/>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中标金额</w:t>
            </w:r>
          </w:p>
        </w:tc>
        <w:tc>
          <w:tcPr>
            <w:tcW w:w="1659" w:type="dxa"/>
          </w:tcPr>
          <w:p>
            <w:pPr>
              <w:spacing w:line="360" w:lineRule="auto"/>
              <w:rPr>
                <w:rFonts w:hint="eastAsia" w:ascii="宋体" w:hAnsi="宋体" w:cs="宋体"/>
                <w:color w:val="auto"/>
                <w:kern w:val="0"/>
                <w:szCs w:val="21"/>
                <w:highlight w:val="none"/>
              </w:rPr>
            </w:pPr>
            <w:r>
              <w:rPr>
                <w:rFonts w:hint="eastAsia" w:ascii="宋体" w:hAnsi="宋体" w:cs="宋体"/>
                <w:color w:val="auto"/>
                <w:szCs w:val="21"/>
                <w:highlight w:val="none"/>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100万元以下</w:t>
            </w:r>
          </w:p>
        </w:tc>
        <w:tc>
          <w:tcPr>
            <w:tcW w:w="1659" w:type="dxa"/>
          </w:tcPr>
          <w:p>
            <w:pPr>
              <w:spacing w:line="360" w:lineRule="auto"/>
              <w:rPr>
                <w:rFonts w:hint="eastAsia" w:ascii="宋体" w:hAnsi="宋体" w:cs="宋体"/>
                <w:color w:val="auto"/>
                <w:szCs w:val="21"/>
                <w:highlight w:val="none"/>
              </w:rPr>
            </w:pPr>
            <w:r>
              <w:rPr>
                <w:rFonts w:hint="eastAsia" w:ascii="宋体" w:hAnsi="宋体" w:cs="宋体"/>
                <w:color w:val="auto"/>
                <w:kern w:val="0"/>
                <w:szCs w:val="21"/>
                <w:highlight w:val="none"/>
              </w:rPr>
              <w:t xml:space="preserve">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100～500万元</w:t>
            </w:r>
          </w:p>
        </w:tc>
        <w:tc>
          <w:tcPr>
            <w:tcW w:w="1659" w:type="dxa"/>
          </w:tcPr>
          <w:p>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500～1000万元</w:t>
            </w:r>
          </w:p>
        </w:tc>
        <w:tc>
          <w:tcPr>
            <w:tcW w:w="1659" w:type="dxa"/>
          </w:tcPr>
          <w:p>
            <w:pPr>
              <w:spacing w:line="360" w:lineRule="auto"/>
              <w:rPr>
                <w:rFonts w:hint="eastAsia" w:ascii="宋体" w:hAnsi="宋体" w:cs="宋体"/>
                <w:color w:val="auto"/>
                <w:szCs w:val="21"/>
                <w:highlight w:val="none"/>
              </w:rPr>
            </w:pPr>
            <w:r>
              <w:rPr>
                <w:rFonts w:hint="eastAsia" w:ascii="宋体" w:hAnsi="宋体" w:cs="宋体"/>
                <w:color w:val="auto"/>
                <w:kern w:val="0"/>
                <w:szCs w:val="21"/>
                <w:highlight w:val="none"/>
              </w:rPr>
              <w:t xml:space="preserve">  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1000～5000万元</w:t>
            </w:r>
          </w:p>
        </w:tc>
        <w:tc>
          <w:tcPr>
            <w:tcW w:w="1659" w:type="dxa"/>
          </w:tcPr>
          <w:p>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tcPr>
          <w:p>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0.25%                 </w:t>
            </w:r>
          </w:p>
        </w:tc>
      </w:tr>
    </w:tbl>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注： </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（1）按本表费率计算的收费为采购代理的收费基准价格；</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（2）采购代理收费按差额定率累进法计算。</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例如：某项目采购代理业务中标金额或者暂定价为200万元，计算采购代理收费额如下：</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100 万元×l.5 ％＝ 1.5 万元</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200 － 100 ）万元 ×1.1％＝1.1万元</w:t>
      </w:r>
    </w:p>
    <w:p>
      <w:pPr>
        <w:pStyle w:val="13"/>
        <w:snapToGrid w:val="0"/>
        <w:spacing w:line="360" w:lineRule="auto"/>
        <w:ind w:firstLine="420" w:firstLineChars="200"/>
        <w:rPr>
          <w:rFonts w:hint="eastAsia" w:hAnsi="宋体" w:cs="宋体"/>
          <w:color w:val="auto"/>
          <w:highlight w:val="none"/>
        </w:rPr>
      </w:pPr>
      <w:r>
        <w:rPr>
          <w:rFonts w:hint="eastAsia" w:hAnsi="宋体" w:cs="宋体"/>
          <w:color w:val="auto"/>
          <w:highlight w:val="none"/>
        </w:rPr>
        <w:t>合计收费＝ 1.5+1.1＝ 2.6 （万元）</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41. 需要补充的其他内容</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41.1本招标文件解释规则详见“投标人须知前附表”。</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41.2 其他事项详见“投标人须知前附表”。</w:t>
      </w:r>
    </w:p>
    <w:p>
      <w:pPr>
        <w:spacing w:line="360" w:lineRule="auto"/>
        <w:ind w:firstLine="420" w:firstLineChars="200"/>
        <w:textAlignment w:val="center"/>
        <w:rPr>
          <w:rFonts w:hint="eastAsia" w:ascii="宋体" w:hAnsi="宋体" w:cs="宋体"/>
          <w:color w:val="auto"/>
          <w:szCs w:val="21"/>
          <w:highlight w:val="none"/>
        </w:rPr>
      </w:pPr>
      <w:r>
        <w:rPr>
          <w:rFonts w:hint="eastAsia" w:hAnsi="宋体" w:cs="宋体"/>
          <w:color w:val="auto"/>
          <w:highlight w:val="none"/>
        </w:rPr>
        <w:t>41.3</w:t>
      </w:r>
      <w:bookmarkStart w:id="284" w:name="_Hlk65857140"/>
      <w:r>
        <w:rPr>
          <w:rFonts w:hint="eastAsia" w:hAnsi="宋体" w:cs="宋体"/>
          <w:color w:val="auto"/>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Pr>
          <w:rFonts w:hint="eastAsia" w:ascii="宋体" w:hAnsi="宋体" w:cs="宋体"/>
          <w:color w:val="auto"/>
          <w:szCs w:val="21"/>
          <w:highlight w:val="none"/>
        </w:rPr>
        <w:t>在政府采购活动中，投标人提供的</w:t>
      </w:r>
      <w:r>
        <w:rPr>
          <w:rFonts w:hint="eastAsia" w:ascii="宋体" w:hAnsi="宋体" w:cs="宋体"/>
          <w:color w:val="auto"/>
          <w:kern w:val="0"/>
          <w:szCs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ascii="宋体" w:hAnsi="宋体" w:cs="宋体"/>
          <w:color w:val="auto"/>
          <w:szCs w:val="21"/>
          <w:highlight w:val="none"/>
        </w:rPr>
        <w:t>，享受本文件规定的中小企业扶持政策。</w:t>
      </w:r>
    </w:p>
    <w:p>
      <w:pPr>
        <w:pStyle w:val="13"/>
        <w:spacing w:line="360" w:lineRule="auto"/>
        <w:ind w:firstLine="420" w:firstLineChars="200"/>
        <w:contextualSpacing/>
        <w:rPr>
          <w:rFonts w:hint="eastAsia" w:hAnsi="宋体" w:cs="宋体"/>
          <w:color w:val="auto"/>
          <w:highlight w:val="none"/>
        </w:rPr>
      </w:pPr>
      <w:r>
        <w:rPr>
          <w:rFonts w:hint="eastAsia" w:hAnsi="宋体" w:cs="宋体"/>
          <w:color w:val="auto"/>
          <w:highlight w:val="none"/>
        </w:rPr>
        <w:t>以联合体形式参加政府采购活动，联合体各方均为中小企业的，联合体视同中小企业。其中，联合体各方均为小微企业的，联合体视同小微企业。</w:t>
      </w:r>
    </w:p>
    <w:p>
      <w:pPr>
        <w:pStyle w:val="13"/>
        <w:spacing w:line="360" w:lineRule="auto"/>
        <w:ind w:firstLine="420" w:firstLineChars="200"/>
        <w:contextualSpacing/>
        <w:rPr>
          <w:rFonts w:hint="eastAsia" w:hAnsi="宋体" w:cs="宋体"/>
          <w:color w:val="auto"/>
          <w:highlight w:val="none"/>
        </w:rPr>
      </w:pPr>
      <w:r>
        <w:rPr>
          <w:rFonts w:hint="eastAsia" w:hAnsi="宋体" w:cs="宋体"/>
          <w:color w:val="auto"/>
          <w:highlight w:val="none"/>
        </w:rPr>
        <w:t>依据本文件规定享受扶持政策获得政府采购合同的，小微企业不得将合同分包给大中型企业，中型企业不得将合同分包给大型企业。</w:t>
      </w:r>
      <w:bookmarkEnd w:id="284"/>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42. 广西线上“政采贷”政策告知函</w:t>
      </w:r>
    </w:p>
    <w:p>
      <w:pPr>
        <w:spacing w:line="580" w:lineRule="exact"/>
        <w:jc w:val="center"/>
        <w:rPr>
          <w:rFonts w:hint="eastAsia" w:ascii="宋体" w:hAnsi="宋体" w:cs="宋体"/>
          <w:color w:val="auto"/>
          <w:sz w:val="44"/>
          <w:szCs w:val="44"/>
          <w:highlight w:val="none"/>
        </w:rPr>
      </w:pPr>
    </w:p>
    <w:p>
      <w:pPr>
        <w:spacing w:line="580" w:lineRule="exact"/>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广西线上“政采贷”政策告知函</w:t>
      </w:r>
    </w:p>
    <w:p>
      <w:pPr>
        <w:spacing w:line="580" w:lineRule="exact"/>
        <w:ind w:firstLine="420" w:firstLineChars="200"/>
        <w:rPr>
          <w:rFonts w:hint="eastAsia" w:ascii="宋体" w:hAnsi="宋体" w:cs="宋体"/>
          <w:color w:val="auto"/>
          <w:szCs w:val="32"/>
          <w:highlight w:val="none"/>
        </w:rPr>
      </w:pPr>
    </w:p>
    <w:p>
      <w:pPr>
        <w:spacing w:line="580" w:lineRule="exact"/>
        <w:rPr>
          <w:rFonts w:hint="eastAsia" w:ascii="宋体" w:hAnsi="宋体" w:cs="宋体"/>
          <w:color w:val="auto"/>
          <w:szCs w:val="21"/>
          <w:highlight w:val="none"/>
        </w:rPr>
      </w:pPr>
      <w:r>
        <w:rPr>
          <w:rFonts w:hint="eastAsia" w:ascii="宋体" w:hAnsi="宋体" w:cs="宋体"/>
          <w:color w:val="auto"/>
          <w:szCs w:val="21"/>
          <w:highlight w:val="none"/>
        </w:rPr>
        <w:t>各供应商：</w:t>
      </w:r>
    </w:p>
    <w:p>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欢迎贵公司参与广西政府采购活动！</w:t>
      </w:r>
    </w:p>
    <w:p>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相关金融产品和银行业金融机构联系方式，可在中征应收账款融资服务平台查询（网址：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Style w:val="30"/>
          <w:rFonts w:hint="default" w:ascii="宋体" w:hAnsi="宋体" w:eastAsia="宋体" w:cs="宋体"/>
          <w:color w:val="auto"/>
          <w:szCs w:val="21"/>
          <w:highlight w:val="none"/>
        </w:rPr>
        <w:t>https://www.crcrfsp.com/</w:t>
      </w:r>
      <w:r>
        <w:rPr>
          <w:rStyle w:val="30"/>
          <w:rFonts w:hint="default" w:ascii="宋体" w:hAnsi="宋体" w:eastAsia="宋体" w:cs="宋体"/>
          <w:color w:val="auto"/>
          <w:szCs w:val="21"/>
          <w:highlight w:val="none"/>
        </w:rPr>
        <w:fldChar w:fldCharType="end"/>
      </w:r>
      <w:r>
        <w:rPr>
          <w:rFonts w:hint="eastAsia" w:ascii="宋体" w:hAnsi="宋体" w:cs="宋体"/>
          <w:color w:val="auto"/>
          <w:szCs w:val="21"/>
          <w:highlight w:val="none"/>
        </w:rPr>
        <w:t>，客服电话：400-009-0001）。</w:t>
      </w:r>
    </w:p>
    <w:p>
      <w:pPr>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br w:type="page"/>
      </w:r>
      <w:bookmarkStart w:id="285" w:name="_Toc532545043"/>
    </w:p>
    <w:p>
      <w:pPr>
        <w:pStyle w:val="13"/>
        <w:jc w:val="center"/>
        <w:outlineLvl w:val="0"/>
        <w:rPr>
          <w:rFonts w:hint="eastAsia" w:hAnsi="宋体" w:cs="宋体"/>
          <w:b/>
          <w:color w:val="auto"/>
          <w:sz w:val="36"/>
          <w:highlight w:val="none"/>
        </w:rPr>
      </w:pPr>
      <w:bookmarkStart w:id="286" w:name="_Toc18150"/>
      <w:bookmarkStart w:id="287" w:name="_Toc5517"/>
      <w:bookmarkStart w:id="288" w:name="_Toc25066"/>
      <w:bookmarkStart w:id="289" w:name="_Toc31334"/>
      <w:bookmarkStart w:id="290" w:name="_Toc26538"/>
      <w:bookmarkStart w:id="291" w:name="_Toc22348"/>
      <w:bookmarkStart w:id="292" w:name="_Toc2111"/>
      <w:bookmarkStart w:id="293" w:name="_Toc6459"/>
      <w:bookmarkStart w:id="294" w:name="_Toc22076"/>
      <w:bookmarkStart w:id="295" w:name="_Toc28215"/>
      <w:bookmarkStart w:id="296" w:name="_Toc12598"/>
      <w:r>
        <w:rPr>
          <w:rFonts w:hint="eastAsia" w:hAnsi="宋体" w:cs="宋体"/>
          <w:b/>
          <w:color w:val="auto"/>
          <w:sz w:val="36"/>
          <w:highlight w:val="none"/>
        </w:rPr>
        <w:t xml:space="preserve">第四章  </w:t>
      </w:r>
      <w:bookmarkEnd w:id="285"/>
      <w:bookmarkEnd w:id="286"/>
      <w:bookmarkEnd w:id="287"/>
      <w:r>
        <w:rPr>
          <w:rFonts w:hint="eastAsia" w:hAnsi="宋体" w:cs="宋体"/>
          <w:b/>
          <w:color w:val="auto"/>
          <w:sz w:val="36"/>
          <w:highlight w:val="none"/>
        </w:rPr>
        <w:t>评标方法和评标标准</w:t>
      </w:r>
      <w:bookmarkEnd w:id="288"/>
      <w:bookmarkEnd w:id="289"/>
      <w:bookmarkEnd w:id="290"/>
      <w:bookmarkEnd w:id="291"/>
      <w:bookmarkEnd w:id="292"/>
      <w:bookmarkEnd w:id="293"/>
      <w:bookmarkEnd w:id="294"/>
      <w:bookmarkEnd w:id="295"/>
      <w:bookmarkEnd w:id="296"/>
    </w:p>
    <w:p>
      <w:pPr>
        <w:pStyle w:val="13"/>
        <w:jc w:val="center"/>
        <w:outlineLvl w:val="1"/>
        <w:rPr>
          <w:rFonts w:hint="eastAsia" w:hAnsi="宋体" w:cs="宋体"/>
          <w:b/>
          <w:bCs/>
          <w:color w:val="auto"/>
          <w:sz w:val="32"/>
          <w:szCs w:val="32"/>
          <w:highlight w:val="none"/>
        </w:rPr>
      </w:pPr>
      <w:bookmarkStart w:id="297" w:name="_Toc31286"/>
      <w:bookmarkStart w:id="298" w:name="_Toc3364"/>
      <w:bookmarkStart w:id="299" w:name="_Toc8187"/>
      <w:bookmarkStart w:id="300" w:name="_Toc18908"/>
      <w:bookmarkStart w:id="301" w:name="_Toc2086"/>
      <w:r>
        <w:rPr>
          <w:rFonts w:hint="eastAsia" w:hAnsi="宋体" w:cs="宋体"/>
          <w:b/>
          <w:bCs/>
          <w:color w:val="auto"/>
          <w:sz w:val="32"/>
          <w:szCs w:val="32"/>
          <w:highlight w:val="none"/>
        </w:rPr>
        <w:t>第一节 评标方法</w:t>
      </w:r>
      <w:bookmarkEnd w:id="297"/>
      <w:bookmarkEnd w:id="298"/>
      <w:bookmarkEnd w:id="299"/>
      <w:bookmarkEnd w:id="300"/>
      <w:bookmarkEnd w:id="301"/>
    </w:p>
    <w:p>
      <w:pPr>
        <w:pStyle w:val="13"/>
        <w:tabs>
          <w:tab w:val="left" w:pos="2472"/>
        </w:tabs>
        <w:spacing w:line="460" w:lineRule="exact"/>
        <w:ind w:firstLine="420" w:firstLineChars="200"/>
        <w:rPr>
          <w:rFonts w:hint="eastAsia" w:hAnsi="宋体" w:cs="宋体"/>
          <w:color w:val="auto"/>
          <w:szCs w:val="21"/>
          <w:highlight w:val="none"/>
        </w:rPr>
      </w:pPr>
      <w:r>
        <w:rPr>
          <w:rFonts w:hint="eastAsia" w:hAnsi="宋体" w:cs="宋体"/>
          <w:color w:val="auto"/>
          <w:szCs w:val="21"/>
          <w:highlight w:val="none"/>
        </w:rPr>
        <w:t>本项目采用</w:t>
      </w:r>
      <w:r>
        <w:rPr>
          <w:rFonts w:hint="eastAsia" w:hAnsi="宋体" w:cs="宋体"/>
          <w:color w:val="auto"/>
          <w:szCs w:val="21"/>
          <w:highlight w:val="none"/>
          <w:u w:val="single"/>
        </w:rPr>
        <w:t xml:space="preserve"> 以下勾选的方式</w:t>
      </w:r>
      <w:r>
        <w:rPr>
          <w:rFonts w:hint="eastAsia" w:hAnsi="宋体" w:cs="宋体"/>
          <w:color w:val="auto"/>
          <w:szCs w:val="21"/>
          <w:highlight w:val="none"/>
        </w:rPr>
        <w:t>进行评审。</w:t>
      </w:r>
    </w:p>
    <w:p>
      <w:pPr>
        <w:pStyle w:val="13"/>
        <w:spacing w:line="360" w:lineRule="auto"/>
        <w:ind w:firstLine="420"/>
        <w:rPr>
          <w:rFonts w:hint="eastAsia" w:hAnsi="宋体" w:cs="宋体"/>
          <w:color w:val="auto"/>
          <w:highlight w:val="none"/>
        </w:rPr>
      </w:pPr>
      <w:r>
        <w:rPr>
          <w:rFonts w:hint="eastAsia" w:hAnsi="宋体" w:cs="宋体"/>
          <w:color w:val="auto"/>
          <w:szCs w:val="21"/>
          <w:highlight w:val="none"/>
        </w:rPr>
        <w:t>□最低评标价法，是指投标文件满足招标文件</w:t>
      </w:r>
      <w:r>
        <w:rPr>
          <w:rFonts w:hint="eastAsia" w:hAnsi="宋体" w:cs="宋体"/>
          <w:color w:val="auto"/>
          <w:highlight w:val="none"/>
        </w:rPr>
        <w:t>全部实质性要求，且投标报价最低的投标人为中标候选人的评标方法。</w:t>
      </w:r>
    </w:p>
    <w:p>
      <w:pPr>
        <w:widowControl/>
        <w:spacing w:before="100" w:beforeAutospacing="1" w:after="100" w:afterAutospacing="1"/>
        <w:ind w:firstLine="420" w:firstLineChars="200"/>
        <w:jc w:val="left"/>
        <w:rPr>
          <w:rFonts w:hint="eastAsia" w:ascii="宋体" w:hAnsi="宋体" w:cs="宋体"/>
          <w:color w:val="auto"/>
          <w:sz w:val="24"/>
          <w:highlight w:val="none"/>
        </w:rPr>
      </w:pPr>
      <w:r>
        <w:rPr>
          <w:rFonts w:hint="eastAsia" w:ascii="宋体" w:hAnsi="宋体" w:cs="宋体"/>
          <w:color w:val="auto"/>
          <w:highlight w:val="none"/>
        </w:rPr>
        <w:sym w:font="Wingdings 2" w:char="0052"/>
      </w:r>
      <w:r>
        <w:rPr>
          <w:rFonts w:hint="eastAsia" w:ascii="宋体" w:hAnsi="宋体" w:cs="宋体"/>
          <w:color w:val="auto"/>
          <w:highlight w:val="none"/>
        </w:rPr>
        <w:t>综合评分法，</w:t>
      </w:r>
      <w:r>
        <w:rPr>
          <w:rFonts w:hint="eastAsia" w:ascii="宋体" w:hAnsi="宋体" w:cs="宋体"/>
          <w:color w:val="auto"/>
          <w:szCs w:val="20"/>
          <w:highlight w:val="none"/>
        </w:rPr>
        <w:t xml:space="preserve">是指投标文件满足招标文件全部实质性要求，且按照评审因素的量化指标评审得分最高的投标人为中标候选人的评标方法。 </w:t>
      </w:r>
    </w:p>
    <w:p>
      <w:pPr>
        <w:pStyle w:val="13"/>
        <w:spacing w:line="360" w:lineRule="auto"/>
        <w:ind w:firstLine="420"/>
        <w:rPr>
          <w:rFonts w:hint="eastAsia" w:hAnsi="宋体" w:cs="宋体"/>
          <w:color w:val="auto"/>
          <w:highlight w:val="none"/>
        </w:rPr>
      </w:pPr>
    </w:p>
    <w:p>
      <w:pPr>
        <w:pStyle w:val="13"/>
        <w:tabs>
          <w:tab w:val="left" w:pos="2472"/>
        </w:tabs>
        <w:spacing w:line="460" w:lineRule="exact"/>
        <w:jc w:val="center"/>
        <w:outlineLvl w:val="1"/>
        <w:rPr>
          <w:rFonts w:hint="eastAsia" w:hAnsi="宋体" w:cs="宋体"/>
          <w:b/>
          <w:bCs/>
          <w:color w:val="auto"/>
          <w:sz w:val="32"/>
          <w:szCs w:val="32"/>
          <w:highlight w:val="none"/>
        </w:rPr>
      </w:pPr>
      <w:bookmarkStart w:id="302" w:name="_Toc6695"/>
      <w:bookmarkStart w:id="303" w:name="_Toc12508"/>
      <w:bookmarkStart w:id="304" w:name="_Toc13065"/>
      <w:bookmarkStart w:id="305" w:name="_Toc13037"/>
      <w:bookmarkStart w:id="306" w:name="_Toc11308"/>
      <w:r>
        <w:rPr>
          <w:rFonts w:hint="eastAsia" w:hAnsi="宋体" w:cs="宋体"/>
          <w:b/>
          <w:bCs/>
          <w:color w:val="auto"/>
          <w:sz w:val="32"/>
          <w:szCs w:val="32"/>
          <w:highlight w:val="none"/>
        </w:rPr>
        <w:t>第二节 评标程序</w:t>
      </w:r>
      <w:bookmarkEnd w:id="302"/>
      <w:bookmarkEnd w:id="303"/>
      <w:bookmarkEnd w:id="304"/>
      <w:bookmarkEnd w:id="305"/>
      <w:bookmarkEnd w:id="306"/>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1.符合性审查</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评标委员会应当对符合资格的投标人的投标文件进行投标报价、商务、技术等实质性内容符合性审查，以确定其是否满足招标文件的实质性要求。</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2.符合性审查不通过而导致投标无效的情形</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投标人的投标文件中存在对招标文件的任何实质性要求和条件的负偏离，将被视为投标无效。</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2.1在报价评审时，如发现下列情形之一的，将被视为投标无效：</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（1）投标文件未提供“投标人须知前附表”第13.1条规定中“必须提供”的文件资料的；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（2）未采用人民币报价或者未按照招标文件标明的币种报价的；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（3）报价超出招标文件规定最高限价，或者超出采购预算金额的；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（4）投标人未就所投</w:t>
      </w:r>
      <w:r>
        <w:rPr>
          <w:rFonts w:hint="eastAsia"/>
          <w:color w:val="auto"/>
          <w:highlight w:val="none"/>
        </w:rPr>
        <w:t>项目</w:t>
      </w:r>
      <w:r>
        <w:rPr>
          <w:rFonts w:hint="eastAsia" w:ascii="宋体" w:hAnsi="宋体" w:cs="宋体"/>
          <w:color w:val="auto"/>
          <w:szCs w:val="21"/>
          <w:highlight w:val="none"/>
        </w:rPr>
        <w:t>进行报价或者存在漏项报价；投标人未就所投</w:t>
      </w:r>
      <w:r>
        <w:rPr>
          <w:rFonts w:hint="eastAsia"/>
          <w:color w:val="auto"/>
          <w:highlight w:val="none"/>
        </w:rPr>
        <w:t>项目</w:t>
      </w:r>
      <w:r>
        <w:rPr>
          <w:rFonts w:hint="eastAsia" w:ascii="宋体" w:hAnsi="宋体" w:cs="宋体"/>
          <w:color w:val="auto"/>
          <w:szCs w:val="21"/>
          <w:highlight w:val="none"/>
        </w:rPr>
        <w:t>的单项内容作唯一报价；投标人未就所投</w:t>
      </w:r>
      <w:r>
        <w:rPr>
          <w:rFonts w:hint="eastAsia"/>
          <w:color w:val="auto"/>
          <w:highlight w:val="none"/>
        </w:rPr>
        <w:t>项目</w:t>
      </w:r>
      <w:r>
        <w:rPr>
          <w:rFonts w:hint="eastAsia" w:ascii="宋体" w:hAnsi="宋体" w:cs="宋体"/>
          <w:color w:val="auto"/>
          <w:szCs w:val="21"/>
          <w:highlight w:val="none"/>
        </w:rPr>
        <w:t>的全部内容作唯一总价报价；存在有选择、有条件报价的（招标文件允许有备选方案或者其他约定的除外）；</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（5）修正后的报价，投标人不确认的；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（6）投标人属于本章第5条第（4）项情形的。</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2.2在商务评审时，如发现下列情形之一的，将被视为投标无效：</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（1）投标文件未按招标文件要求签署、盖章的；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（2）委托代理人未能出具有效身份证明或者出具的身份证明与授权委托书中的信息不符的； </w:t>
      </w:r>
    </w:p>
    <w:p>
      <w:pPr>
        <w:pStyle w:val="15"/>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（3）为无效投标保证金的或者未按照招标文件的规定提交投标保证金的；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（4）投标文件未提供“投标人须知前附表”第13.1条规定中“必须提供”或者“委托时必须提供”的文件资料的；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（5）投标有效期、项目完成时间（交付时间或者服务期等）、质保期及招标文件中标“▲”的商务条款发生负偏离的；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（6）商务条款评审允许负偏离的条款数超过“投标人须知前附表”规定项数的。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（7）投标文件的实质性内容未使用中文表述、使用计量单位不符合招标文件要求的；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（8）投标文件中的文件资料因填写不齐全或者内容虚假或者出现其他情形而导致被评标委员会认定无效的；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（9）投标文件含有采购人不能接受的附加条件的；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（10）未响应招标文件实质性要求的；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（11）属于投标人须知正文第9.2条情形的；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（12）法律、法规和招标文件规定的其他无效情形。</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2.3在技术评审时，如发现下列情形之一的，将被视为投标无效：</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（1）不满足招标文件要求的服务内容、技术要求、安全、质量标准，或者与招标文件中标“▲”的技术需求发生负偏离的；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（2）技术需求评审允许负偏离的条款数超过“投标人须知前附表”规定项数的；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（3）投标文件未提供“投标人须知前附表”第13.1条规定中“必须提供”的文件资料的；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（4）虚假投标，或者出现其他情形而导致被评标委员会认定无效的；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）招标文件要求提供技术方案的，投标技术方案不明确，招标文件未允许但存在一个或者一个以上备选（替代）投标方案的。</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3.澄清补正、说明或者补正</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公章后在线上传至评标委员会。投标人的澄清、说明或者补正不得超出投标文件的范围或者改变投标文件的实质性内容。</w:t>
      </w:r>
      <w:r>
        <w:rPr>
          <w:rFonts w:hint="eastAsia" w:ascii="宋体" w:hAnsi="宋体" w:cs="宋体"/>
          <w:b/>
          <w:bCs/>
          <w:color w:val="auto"/>
          <w:szCs w:val="21"/>
          <w:highlight w:val="none"/>
        </w:rPr>
        <w:t>投标人未在规定时间内进行澄清、说明或者补正的，有可能对评审产生影响</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pP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4.投标文件修正</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4.1投标文件报价出现前后不一致的，按照下列规定修正： </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（1）报价文件中“开标一览表”内容与投标文件中相应内容不一致的，以“开标一览表”为准；</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（2）大写金额和小写金额不一致的，以大写金额为准；</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（3）单价金额小数点或者百分比有明显错位的，以开标一览表的总价为准，并修改单价；</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（4）总价金额与按单价汇总金额不一致的，以单价金额计算结果为准。</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同时出现两种以上不一致的，按照以上（1）-（4）规定的顺序修正。</w:t>
      </w:r>
      <w:r>
        <w:rPr>
          <w:rFonts w:hint="eastAsia" w:ascii="宋体" w:hAnsi="宋体" w:cs="宋体"/>
          <w:b/>
          <w:bCs/>
          <w:color w:val="auto"/>
          <w:highlight w:val="none"/>
        </w:rPr>
        <w:t>修正后的报价经投标人确认后产生约束力，投标人不确认的，其投标无效</w:t>
      </w:r>
      <w:r>
        <w:rPr>
          <w:rFonts w:hint="eastAsia" w:ascii="宋体" w:hAnsi="宋体" w:cs="宋体"/>
          <w:color w:val="auto"/>
          <w:highlight w:val="none"/>
        </w:rPr>
        <w:t>。</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4.2经投标人确认修正后的报价若超过采购预算金额或者最高限价，投标人的投标文件作无效投标处理。</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4.3经投标人确认修正后的报价作为签订合同的依据，并以此报价计算价格分。</w:t>
      </w:r>
    </w:p>
    <w:p>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5.比较与评价</w:t>
      </w:r>
    </w:p>
    <w:p>
      <w:pPr>
        <w:tabs>
          <w:tab w:val="center" w:pos="4153"/>
          <w:tab w:val="right" w:pos="8306"/>
        </w:tabs>
        <w:spacing w:line="360" w:lineRule="auto"/>
        <w:ind w:firstLine="420" w:firstLineChars="200"/>
        <w:rPr>
          <w:color w:val="auto"/>
          <w:highlight w:val="none"/>
        </w:rPr>
      </w:pPr>
      <w:r>
        <w:rPr>
          <w:rFonts w:hint="eastAsia" w:ascii="宋体" w:hAnsi="宋体" w:cs="宋体"/>
          <w:color w:val="auto"/>
          <w:highlight w:val="none"/>
        </w:rPr>
        <w:t>（1）</w:t>
      </w:r>
      <w:r>
        <w:rPr>
          <w:rFonts w:hint="eastAsia" w:ascii="宋体" w:hAnsi="宋体" w:cs="宋体"/>
          <w:color w:val="auto"/>
          <w:szCs w:val="21"/>
          <w:highlight w:val="none"/>
        </w:rPr>
        <w:t>评审委员会成员要根据政府采购法律法规和招标文件所载明的评标方法、标准进行评审。对投标人的价格分等客观评分项的评分应当一致，对其他需要借助专业知识评判的主观评分项，应当严格按照评分细则公正评分。</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（2）评标委员会按照招标文件中规定的评标方法和评标标准，对符合性审查合格的投标文件进行商务和技术评估，综合比较与评价。</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（3）评标委员会各成员独立对每个投标人的投标文件进行评价，并汇总每个投标人的得分。</w:t>
      </w:r>
    </w:p>
    <w:p>
      <w:pPr>
        <w:spacing w:line="360" w:lineRule="auto"/>
        <w:ind w:firstLine="422" w:firstLineChars="200"/>
        <w:rPr>
          <w:rFonts w:hint="eastAsia" w:ascii="宋体" w:hAnsi="宋体" w:cs="宋体"/>
          <w:b/>
          <w:bCs/>
          <w:color w:val="auto"/>
          <w:highlight w:val="none"/>
        </w:rPr>
      </w:pPr>
      <w:r>
        <w:rPr>
          <w:rFonts w:hint="eastAsia" w:ascii="宋体" w:hAnsi="宋体" w:cs="宋体"/>
          <w:b/>
          <w:bCs/>
          <w:color w:val="auto"/>
          <w:highlight w:val="none"/>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（5）评标委员会按照招标文件中规定的评标方法和标准计算各投标人的报价得分。在评标过程中，不得去掉报价中的最高报价和最低报价。</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（6）各投标人的得分为评标委员会各成员的有效评分的算术平均数。</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（7）评标委员会按照招标文件中的规定推荐中标候选人。</w:t>
      </w:r>
    </w:p>
    <w:p>
      <w:pPr>
        <w:tabs>
          <w:tab w:val="center" w:pos="4153"/>
          <w:tab w:val="right" w:pos="8306"/>
        </w:tabs>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8）起草并签署评标报告。评标委员会根据评标委员会各成员签字的原始评标记录和评标结果编写评标报告。评标委员会各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6.评审复核</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6.1评标报告签署前，评标委员会要对评审结果进行复核，复核意见要体现在评标报告中。</w:t>
      </w:r>
    </w:p>
    <w:p>
      <w:pPr>
        <w:widowControl/>
        <w:spacing w:line="360" w:lineRule="auto"/>
        <w:ind w:firstLine="420" w:firstLineChars="200"/>
        <w:jc w:val="left"/>
        <w:textAlignment w:val="baseline"/>
        <w:rPr>
          <w:rFonts w:hint="eastAsia" w:hAnsi="宋体"/>
          <w:color w:val="auto"/>
          <w:highlight w:val="none"/>
        </w:rPr>
      </w:pPr>
      <w:r>
        <w:rPr>
          <w:rFonts w:hint="eastAsia" w:ascii="宋体" w:hAnsi="宋体" w:cs="宋体"/>
          <w:color w:val="auto"/>
          <w:highlight w:val="none"/>
        </w:rPr>
        <w:t>6.2</w:t>
      </w:r>
      <w:r>
        <w:rPr>
          <w:rFonts w:hint="eastAsia" w:hAnsi="宋体"/>
          <w:color w:val="auto"/>
          <w:highlight w:val="none"/>
        </w:rPr>
        <w:t>评标结果汇总完成后，除下列情形外，任何人不得修改评标结果：</w:t>
      </w:r>
    </w:p>
    <w:p>
      <w:pPr>
        <w:widowControl/>
        <w:spacing w:line="360" w:lineRule="auto"/>
        <w:jc w:val="left"/>
        <w:textAlignment w:val="baseline"/>
        <w:rPr>
          <w:rFonts w:hint="eastAsia" w:hAnsi="宋体"/>
          <w:color w:val="auto"/>
          <w:highlight w:val="none"/>
        </w:rPr>
      </w:pPr>
      <w:r>
        <w:rPr>
          <w:rFonts w:hint="eastAsia" w:hAnsi="宋体"/>
          <w:color w:val="auto"/>
          <w:highlight w:val="none"/>
        </w:rPr>
        <w:t>　　（一）分值汇总计算错误的；</w:t>
      </w:r>
    </w:p>
    <w:p>
      <w:pPr>
        <w:widowControl/>
        <w:spacing w:line="360" w:lineRule="auto"/>
        <w:jc w:val="left"/>
        <w:textAlignment w:val="baseline"/>
        <w:rPr>
          <w:rFonts w:hint="eastAsia" w:hAnsi="宋体"/>
          <w:color w:val="auto"/>
          <w:highlight w:val="none"/>
        </w:rPr>
      </w:pPr>
      <w:r>
        <w:rPr>
          <w:rFonts w:hint="eastAsia" w:hAnsi="宋体"/>
          <w:color w:val="auto"/>
          <w:highlight w:val="none"/>
        </w:rPr>
        <w:t>　　（二）分项评分超出评分标准范围的；</w:t>
      </w:r>
    </w:p>
    <w:p>
      <w:pPr>
        <w:widowControl/>
        <w:spacing w:line="360" w:lineRule="auto"/>
        <w:jc w:val="left"/>
        <w:textAlignment w:val="baseline"/>
        <w:rPr>
          <w:rFonts w:hint="eastAsia" w:hAnsi="宋体"/>
          <w:color w:val="auto"/>
          <w:highlight w:val="none"/>
        </w:rPr>
      </w:pPr>
      <w:r>
        <w:rPr>
          <w:rFonts w:hint="eastAsia" w:hAnsi="宋体"/>
          <w:color w:val="auto"/>
          <w:highlight w:val="none"/>
        </w:rPr>
        <w:t>　　（三）评标委员会成员对客观评审因素评分不一致的；</w:t>
      </w:r>
    </w:p>
    <w:p>
      <w:pPr>
        <w:widowControl/>
        <w:spacing w:line="360" w:lineRule="auto"/>
        <w:jc w:val="left"/>
        <w:textAlignment w:val="baseline"/>
        <w:rPr>
          <w:rFonts w:hint="eastAsia" w:hAnsi="宋体"/>
          <w:color w:val="auto"/>
          <w:highlight w:val="none"/>
        </w:rPr>
      </w:pPr>
      <w:r>
        <w:rPr>
          <w:rFonts w:hint="eastAsia" w:hAnsi="宋体"/>
          <w:color w:val="auto"/>
          <w:highlight w:val="none"/>
        </w:rPr>
        <w:t>　　（四）经评标委员会认定评分畸高、畸低的。</w:t>
      </w:r>
    </w:p>
    <w:p>
      <w:pPr>
        <w:spacing w:line="360" w:lineRule="auto"/>
        <w:ind w:firstLine="420" w:firstLineChars="200"/>
        <w:rPr>
          <w:rFonts w:hint="eastAsia" w:hAnsi="宋体"/>
          <w:color w:val="auto"/>
          <w:highlight w:val="none"/>
        </w:rPr>
      </w:pPr>
      <w:r>
        <w:rPr>
          <w:rFonts w:hint="eastAsia" w:hAnsi="宋体"/>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
        <w:jc w:val="center"/>
        <w:rPr>
          <w:rFonts w:hint="eastAsia" w:ascii="宋体" w:hAnsi="宋体" w:eastAsia="宋体" w:cs="宋体"/>
          <w:b w:val="0"/>
          <w:color w:val="auto"/>
          <w:sz w:val="30"/>
          <w:szCs w:val="30"/>
          <w:highlight w:val="none"/>
        </w:rPr>
      </w:pPr>
      <w:bookmarkStart w:id="307" w:name="_Toc25387"/>
      <w:bookmarkStart w:id="308" w:name="_Toc17840"/>
      <w:bookmarkStart w:id="309" w:name="_Toc2655"/>
      <w:bookmarkStart w:id="310" w:name="_Toc17655"/>
      <w:bookmarkStart w:id="311" w:name="_Toc32041"/>
      <w:r>
        <w:rPr>
          <w:rFonts w:hint="eastAsia" w:ascii="宋体" w:hAnsi="宋体" w:eastAsia="宋体" w:cs="宋体"/>
          <w:b w:val="0"/>
          <w:color w:val="auto"/>
          <w:sz w:val="30"/>
          <w:szCs w:val="30"/>
          <w:highlight w:val="none"/>
        </w:rPr>
        <w:t>第三节 评分标准</w:t>
      </w:r>
      <w:bookmarkEnd w:id="307"/>
      <w:bookmarkEnd w:id="308"/>
      <w:bookmarkEnd w:id="309"/>
      <w:bookmarkEnd w:id="310"/>
      <w:bookmarkEnd w:id="311"/>
    </w:p>
    <w:p>
      <w:pPr>
        <w:pStyle w:val="13"/>
        <w:ind w:firstLine="602" w:firstLineChars="200"/>
        <w:jc w:val="center"/>
        <w:rPr>
          <w:rFonts w:hint="eastAsia" w:hAnsi="宋体" w:cs="宋体"/>
          <w:b/>
          <w:color w:val="auto"/>
          <w:sz w:val="30"/>
          <w:szCs w:val="30"/>
          <w:highlight w:val="none"/>
        </w:rPr>
      </w:pPr>
      <w:r>
        <w:rPr>
          <w:rFonts w:hint="eastAsia" w:hAnsi="宋体" w:cs="宋体"/>
          <w:b/>
          <w:color w:val="auto"/>
          <w:sz w:val="30"/>
          <w:szCs w:val="30"/>
          <w:highlight w:val="none"/>
        </w:rPr>
        <w:t>综合评分法</w:t>
      </w:r>
    </w:p>
    <w:p>
      <w:pPr>
        <w:pStyle w:val="13"/>
        <w:spacing w:line="360" w:lineRule="auto"/>
        <w:ind w:firstLine="420"/>
        <w:rPr>
          <w:rFonts w:hint="eastAsia" w:hAnsi="宋体" w:cs="宋体"/>
          <w:bCs/>
          <w:color w:val="auto"/>
          <w:highlight w:val="none"/>
        </w:rPr>
      </w:pPr>
      <w:r>
        <w:rPr>
          <w:rFonts w:hint="eastAsia" w:hAnsi="宋体" w:cs="宋体"/>
          <w:bCs/>
          <w:color w:val="auto"/>
          <w:highlight w:val="none"/>
        </w:rPr>
        <w:t>注：计分方法按四舍五入取至百分位。</w:t>
      </w:r>
    </w:p>
    <w:tbl>
      <w:tblPr>
        <w:tblStyle w:val="25"/>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
        <w:gridCol w:w="903"/>
        <w:gridCol w:w="1377"/>
        <w:gridCol w:w="6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gridSpan w:val="2"/>
            <w:vAlign w:val="center"/>
          </w:tcPr>
          <w:p>
            <w:pPr>
              <w:adjustRightInd w:val="0"/>
              <w:spacing w:line="360" w:lineRule="auto"/>
              <w:jc w:val="center"/>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序号</w:t>
            </w:r>
          </w:p>
        </w:tc>
        <w:tc>
          <w:tcPr>
            <w:tcW w:w="1377" w:type="dxa"/>
            <w:vAlign w:val="center"/>
          </w:tcPr>
          <w:p>
            <w:pPr>
              <w:adjustRightInd w:val="0"/>
              <w:spacing w:line="360" w:lineRule="auto"/>
              <w:jc w:val="center"/>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评审因素</w:t>
            </w:r>
          </w:p>
        </w:tc>
        <w:tc>
          <w:tcPr>
            <w:tcW w:w="6810" w:type="dxa"/>
            <w:vAlign w:val="center"/>
          </w:tcPr>
          <w:p>
            <w:pPr>
              <w:adjustRightInd w:val="0"/>
              <w:spacing w:line="360" w:lineRule="auto"/>
              <w:jc w:val="center"/>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dxa"/>
            <w:vAlign w:val="center"/>
          </w:tcPr>
          <w:p>
            <w:pPr>
              <w:adjustRightInd w:val="0"/>
              <w:spacing w:line="360" w:lineRule="auto"/>
              <w:jc w:val="center"/>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w:t>
            </w:r>
          </w:p>
        </w:tc>
        <w:tc>
          <w:tcPr>
            <w:tcW w:w="903" w:type="dxa"/>
            <w:vAlign w:val="center"/>
          </w:tcPr>
          <w:p>
            <w:pPr>
              <w:adjustRightInd w:val="0"/>
              <w:spacing w:line="360" w:lineRule="auto"/>
              <w:jc w:val="center"/>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价格分</w:t>
            </w:r>
          </w:p>
          <w:p>
            <w:pPr>
              <w:adjustRightInd w:val="0"/>
              <w:spacing w:line="360" w:lineRule="auto"/>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（满分10分）</w:t>
            </w:r>
          </w:p>
        </w:tc>
        <w:tc>
          <w:tcPr>
            <w:tcW w:w="1377" w:type="dxa"/>
            <w:vAlign w:val="center"/>
          </w:tcPr>
          <w:p>
            <w:pPr>
              <w:adjustRightInd w:val="0"/>
              <w:spacing w:line="360" w:lineRule="auto"/>
              <w:jc w:val="center"/>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投标报价</w:t>
            </w:r>
          </w:p>
          <w:p>
            <w:pPr>
              <w:adjustRightInd w:val="0"/>
              <w:spacing w:line="360" w:lineRule="auto"/>
              <w:jc w:val="center"/>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（满分10分）</w:t>
            </w:r>
          </w:p>
        </w:tc>
        <w:tc>
          <w:tcPr>
            <w:tcW w:w="6810" w:type="dxa"/>
            <w:vAlign w:val="center"/>
          </w:tcPr>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（1）评标报价为投标人的投标报价进行政策性扣除后的价格，评标报价只是作为评标时使用。最终中标人的中标金额等于投标报价。</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按照《政府采购促进中小企业发展管理办法》（财库〔2020〕46号）及《广西壮族自治区财政厅关于进一步发挥政府采购政策功能促进企业发展的通知》（桂财采〔2022〕30号）的规定，投标文件中提供《中小企业声明函》，且服务全部由符合政策要求的小型、微型企业承接的，对其投标价格给予10%的扣除。</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（5）政策性扣除计算方法。</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投标人被评定为监狱企业或残疾人福利性单位或其服务全部由符合政策要求的小型、微型企业承接的，该投标人的投标报价给予10%的扣除，扣除后的价格为评标报价，即评标报价=投标报价×（1-10%）；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的扣除，用扣除后的价格参加评审，扣除后的价格为评标报价，即评标报价=投标报价×（1－6%）；除上述情况外，评标报价=投标报价。</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（6）满足招标文件要求且评标报价最低的评标报价为评标基准价，基准价得分为10分。</w:t>
            </w:r>
          </w:p>
          <w:p>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color w:val="auto"/>
                <w:highlight w:val="none"/>
              </w:rPr>
              <w:t>（7）价格分计算公式：价格分=（评标基准价／评标报价）×10分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5" w:hRule="atLeast"/>
          <w:jc w:val="center"/>
        </w:trPr>
        <w:tc>
          <w:tcPr>
            <w:tcW w:w="360" w:type="dxa"/>
            <w:vMerge w:val="restart"/>
            <w:vAlign w:val="center"/>
          </w:tcPr>
          <w:p>
            <w:pPr>
              <w:adjustRightInd w:val="0"/>
              <w:spacing w:line="360" w:lineRule="auto"/>
              <w:jc w:val="center"/>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w:t>
            </w:r>
          </w:p>
        </w:tc>
        <w:tc>
          <w:tcPr>
            <w:tcW w:w="903" w:type="dxa"/>
            <w:vMerge w:val="restart"/>
            <w:vAlign w:val="center"/>
          </w:tcPr>
          <w:p>
            <w:pPr>
              <w:adjustRightInd w:val="0"/>
              <w:spacing w:line="360" w:lineRule="auto"/>
              <w:ind w:left="-105" w:leftChars="-50" w:right="-105" w:rightChars="-50"/>
              <w:jc w:val="center"/>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技术分</w:t>
            </w:r>
          </w:p>
          <w:p>
            <w:pPr>
              <w:adjustRightInd w:val="0"/>
              <w:spacing w:line="360" w:lineRule="auto"/>
              <w:ind w:left="-105" w:leftChars="-50" w:right="-105" w:rightChars="-50"/>
              <w:jc w:val="center"/>
              <w:textAlignment w:val="baseline"/>
              <w:rPr>
                <w:rFonts w:hint="eastAsia" w:ascii="宋体" w:hAnsi="宋体" w:eastAsia="宋体" w:cs="宋体"/>
                <w:bCs/>
                <w:color w:val="auto"/>
                <w:spacing w:val="-18"/>
                <w:szCs w:val="21"/>
                <w:highlight w:val="none"/>
              </w:rPr>
            </w:pPr>
            <w:r>
              <w:rPr>
                <w:rFonts w:hint="eastAsia" w:ascii="宋体" w:hAnsi="宋体" w:eastAsia="宋体" w:cs="宋体"/>
                <w:bCs/>
                <w:color w:val="auto"/>
                <w:szCs w:val="21"/>
                <w:highlight w:val="none"/>
              </w:rPr>
              <w:t>（满分79分）</w:t>
            </w:r>
          </w:p>
        </w:tc>
        <w:tc>
          <w:tcPr>
            <w:tcW w:w="1377" w:type="dxa"/>
            <w:vAlign w:val="center"/>
          </w:tcPr>
          <w:p>
            <w:pPr>
              <w:adjustRightInd w:val="0"/>
              <w:spacing w:line="360" w:lineRule="auto"/>
              <w:jc w:val="center"/>
              <w:textAlignment w:val="baseline"/>
              <w:rPr>
                <w:rFonts w:hint="eastAsia" w:ascii="宋体" w:hAnsi="宋体" w:eastAsia="宋体" w:cs="宋体"/>
                <w:bCs/>
                <w:color w:val="auto"/>
                <w:szCs w:val="21"/>
                <w:highlight w:val="none"/>
              </w:rPr>
            </w:pPr>
          </w:p>
          <w:p>
            <w:pPr>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系统设计方案（满分12分）</w:t>
            </w:r>
          </w:p>
        </w:tc>
        <w:tc>
          <w:tcPr>
            <w:tcW w:w="6810" w:type="dxa"/>
            <w:vAlign w:val="center"/>
          </w:tcPr>
          <w:p>
            <w:pPr>
              <w:snapToGrid w:val="0"/>
              <w:spacing w:line="360" w:lineRule="auto"/>
              <w:rPr>
                <w:rFonts w:hint="eastAsia" w:ascii="宋体" w:hAnsi="宋体" w:eastAsia="宋体" w:cs="宋体"/>
                <w:color w:val="auto"/>
                <w:highlight w:val="none"/>
              </w:rPr>
            </w:pPr>
            <w:bookmarkStart w:id="312" w:name="OLE_LINK28"/>
            <w:r>
              <w:rPr>
                <w:rFonts w:hint="eastAsia" w:ascii="宋体" w:hAnsi="宋体" w:eastAsia="宋体" w:cs="宋体"/>
                <w:color w:val="auto"/>
                <w:highlight w:val="none"/>
              </w:rPr>
              <w:t>一档（2分）：系统设计方案内容详细，具有可行性，对本项目系统开发总体要求理解正确；</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档（7分）：提出详细的系统设计方案，方案贴近项目需求，内容包括：系统架构、平台门户系统、应用支撑平台、数据支撑平台、广西科技计划项目管理子系统、广西项目科研经费监管子系统、科技研发经费投入运行监控子系统、广西科技项目监测分析系统的建设，提供上述系统的整体架构设计、业务流程设计、部署设计方面内容，各系统能够实现整体集成，整体技术方案具有可行性，方案整体架构设计符合项目需求，有对平台开发中对不可预见问题的解决方案或预案，准确地描述了平台开发的技术路线；</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档（12分）：提出的系统设计方案内容详细，方案描述详细，内容包括：系统架构、平台门户系统、应用支撑平台、数据支撑平台、广西科技计划项目管理子系统、广西项目科研经费监管子系统、科技研发经费投入运行监控子系统、广西科技项目监测分析系统的建设，提供上述系统的整体架构设计、业务流程设计、部署设计方面内容，每个系统能够提供详细的模块设计方案和系统原型范例，各系统能够实现整体集成，整体系统开发技术方案设计符合项目实际情况，有对系统开发中对不可预见问题的解决方案或预案，能够利用新技术提升系统查询、处理效率，技术路线与实施管理等措施具有可行性。技术方案考虑并满足项目建设需求，项目理解透彻。</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注：方案不满足一档要求或无方案的，不得分。</w:t>
            </w:r>
            <w:bookmarkEnd w:id="3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360" w:type="dxa"/>
            <w:vMerge w:val="continue"/>
          </w:tcPr>
          <w:p>
            <w:pPr>
              <w:adjustRightInd w:val="0"/>
              <w:spacing w:line="360" w:lineRule="auto"/>
              <w:jc w:val="center"/>
              <w:textAlignment w:val="baseline"/>
              <w:rPr>
                <w:rFonts w:hint="eastAsia" w:ascii="宋体" w:hAnsi="宋体" w:eastAsia="宋体" w:cs="宋体"/>
                <w:bCs/>
                <w:color w:val="auto"/>
                <w:szCs w:val="21"/>
                <w:highlight w:val="none"/>
              </w:rPr>
            </w:pPr>
          </w:p>
        </w:tc>
        <w:tc>
          <w:tcPr>
            <w:tcW w:w="903" w:type="dxa"/>
            <w:vMerge w:val="continue"/>
          </w:tcPr>
          <w:p>
            <w:pPr>
              <w:adjustRightInd w:val="0"/>
              <w:spacing w:line="360" w:lineRule="auto"/>
              <w:jc w:val="center"/>
              <w:textAlignment w:val="baseline"/>
              <w:rPr>
                <w:rFonts w:hint="eastAsia" w:ascii="宋体" w:hAnsi="宋体" w:eastAsia="宋体" w:cs="宋体"/>
                <w:bCs/>
                <w:color w:val="auto"/>
                <w:szCs w:val="21"/>
                <w:highlight w:val="none"/>
              </w:rPr>
            </w:pPr>
          </w:p>
        </w:tc>
        <w:tc>
          <w:tcPr>
            <w:tcW w:w="1377" w:type="dxa"/>
            <w:tcMar>
              <w:left w:w="57" w:type="dxa"/>
              <w:right w:w="57" w:type="dxa"/>
            </w:tcMar>
            <w:vAlign w:val="center"/>
          </w:tcPr>
          <w:p>
            <w:pPr>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项目实施方案（满分11分）</w:t>
            </w:r>
          </w:p>
        </w:tc>
        <w:tc>
          <w:tcPr>
            <w:tcW w:w="6810" w:type="dxa"/>
          </w:tcPr>
          <w:p>
            <w:pPr>
              <w:spacing w:line="360" w:lineRule="auto"/>
              <w:rPr>
                <w:rFonts w:hint="eastAsia" w:ascii="宋体" w:hAnsi="宋体" w:eastAsia="宋体" w:cs="宋体"/>
                <w:color w:val="auto"/>
                <w:highlight w:val="none"/>
              </w:rPr>
            </w:pPr>
            <w:bookmarkStart w:id="313" w:name="OLE_LINK29"/>
            <w:r>
              <w:rPr>
                <w:rFonts w:hint="eastAsia" w:ascii="宋体" w:hAnsi="宋体" w:eastAsia="宋体" w:cs="宋体"/>
                <w:color w:val="auto"/>
                <w:highlight w:val="none"/>
              </w:rPr>
              <w:t>一档（1分）：有开发计划和进度措施；有实施质量控制保证方案；实施方案中对各项工作的描述详细；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二档（6分）：有详细的开发计划和进度保证措施；有实施质量保证措施及质量管理程序，满足本项目的采购需求，且承诺项目</w:t>
            </w:r>
            <w:r>
              <w:rPr>
                <w:rFonts w:hint="eastAsia" w:ascii="宋体" w:hAnsi="宋体" w:eastAsia="宋体" w:cs="宋体"/>
                <w:color w:val="auto"/>
                <w:szCs w:val="21"/>
                <w:highlight w:val="none"/>
                <w:shd w:val="clear" w:color="auto" w:fill="FFFFFF"/>
              </w:rPr>
              <w:t>系统开发服务期间</w:t>
            </w:r>
            <w:r>
              <w:rPr>
                <w:rFonts w:hint="eastAsia" w:ascii="宋体" w:hAnsi="宋体" w:eastAsia="宋体" w:cs="宋体"/>
                <w:color w:val="auto"/>
                <w:highlight w:val="none"/>
              </w:rPr>
              <w:t>驻场人员总数不少于10人（各驻场人员均需具备2年相关工作经验，以提供同类软件开发项目合同扫描件以及在同类软件开发项目合同工作岗位的承诺为准）；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档（11分）：项目实施方案详细，满足实际情况，有项目实施计划、实施进度计划，项目管理组织机构及职能完全满足要求，进度与质量安排清晰，能够用于项目实施及进度管理；具有可满足本项目各项工作需要的实施质量保证措施及质量管理程序的内容，指明重点难点及解决办法。且承诺项目</w:t>
            </w:r>
            <w:r>
              <w:rPr>
                <w:rFonts w:hint="eastAsia" w:ascii="宋体" w:hAnsi="宋体" w:eastAsia="宋体" w:cs="宋体"/>
                <w:color w:val="auto"/>
                <w:szCs w:val="21"/>
                <w:highlight w:val="none"/>
                <w:shd w:val="clear" w:color="auto" w:fill="FFFFFF"/>
              </w:rPr>
              <w:t>系统开发服务期间</w:t>
            </w:r>
            <w:r>
              <w:rPr>
                <w:rFonts w:hint="eastAsia" w:ascii="宋体" w:hAnsi="宋体" w:eastAsia="宋体" w:cs="宋体"/>
                <w:color w:val="auto"/>
                <w:highlight w:val="none"/>
              </w:rPr>
              <w:t>驻场人员总数不少于12人（各驻场人员均需具备2年相关工作经验，以提供同类软件开发项目合同扫描件以及在同类软件开发项目合同工作岗位的承诺为准）。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注：1.驻场人员须提供劳动合同或工资流水或响应截止时间前半年内任意一个月的社保证明，并附工作经验相关说明（以提供同类软件开发项目合同扫描件以及在同类软件开发项目合同工作岗位的承诺为准）。</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2.方案不满足一档要求或无方案的，不得分。 </w:t>
            </w:r>
            <w:bookmarkEnd w:id="3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360" w:type="dxa"/>
            <w:vMerge w:val="continue"/>
          </w:tcPr>
          <w:p>
            <w:pPr>
              <w:adjustRightInd w:val="0"/>
              <w:spacing w:line="360" w:lineRule="auto"/>
              <w:jc w:val="center"/>
              <w:textAlignment w:val="baseline"/>
              <w:rPr>
                <w:rFonts w:hint="eastAsia" w:ascii="宋体" w:hAnsi="宋体" w:eastAsia="宋体" w:cs="宋体"/>
                <w:bCs/>
                <w:color w:val="auto"/>
                <w:szCs w:val="21"/>
                <w:highlight w:val="none"/>
              </w:rPr>
            </w:pPr>
          </w:p>
        </w:tc>
        <w:tc>
          <w:tcPr>
            <w:tcW w:w="903" w:type="dxa"/>
            <w:vMerge w:val="continue"/>
          </w:tcPr>
          <w:p>
            <w:pPr>
              <w:adjustRightInd w:val="0"/>
              <w:spacing w:line="360" w:lineRule="auto"/>
              <w:jc w:val="center"/>
              <w:textAlignment w:val="baseline"/>
              <w:rPr>
                <w:rFonts w:hint="eastAsia" w:ascii="宋体" w:hAnsi="宋体" w:eastAsia="宋体" w:cs="宋体"/>
                <w:bCs/>
                <w:color w:val="auto"/>
                <w:szCs w:val="21"/>
                <w:highlight w:val="none"/>
              </w:rPr>
            </w:pPr>
          </w:p>
        </w:tc>
        <w:tc>
          <w:tcPr>
            <w:tcW w:w="1377" w:type="dxa"/>
            <w:tcMar>
              <w:left w:w="57" w:type="dxa"/>
              <w:right w:w="57" w:type="dxa"/>
            </w:tcMar>
            <w:vAlign w:val="center"/>
          </w:tcPr>
          <w:p>
            <w:pPr>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系统数据治理方案（满分11分）</w:t>
            </w:r>
          </w:p>
        </w:tc>
        <w:tc>
          <w:tcPr>
            <w:tcW w:w="6810" w:type="dxa"/>
          </w:tcPr>
          <w:p>
            <w:pPr>
              <w:spacing w:line="360" w:lineRule="auto"/>
              <w:rPr>
                <w:rFonts w:hint="eastAsia" w:ascii="宋体" w:hAnsi="宋体" w:eastAsia="宋体" w:cs="宋体"/>
                <w:color w:val="auto"/>
                <w:highlight w:val="none"/>
              </w:rPr>
            </w:pPr>
            <w:bookmarkStart w:id="314" w:name="OLE_LINK30"/>
            <w:r>
              <w:rPr>
                <w:rFonts w:hint="eastAsia" w:ascii="宋体" w:hAnsi="宋体" w:eastAsia="宋体" w:cs="宋体"/>
                <w:color w:val="auto"/>
                <w:highlight w:val="none"/>
              </w:rPr>
              <w:t>一档（1分）：系统数据治理方案具有可行性，对本项目系统数据治理总体要求理解正确；</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档（6分）：提出详细的系统数据治理方案，方案符合项目需求，内容应包括：①数据标准化②历史数据处理③数据分析④数据清洗⑤数据标引⑥数据共享交换等，整体技术方案具有可行性，提供数据治理举措及说明，技术方案满足项目需求，描述了系统数据治理的技术路线；</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档（11分）：提出的系统数据治理方案描述详细，技术方案充分考虑并切实满足项目建设需求，项目理解透彻。内容应包括①数据标准化②历史数据处理③数据分析④数据清洗⑤数据标引⑥数据共享交换等，每项技术流程须包含技术流程图、示范案例；系统数据治理方案设计符合项目实际情况，确保有数据治理中对不可预见问题的解决方案或预案，提供数据安全保障举措及说明。</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注：方案不满足一档要求或无方案的，不得分。</w:t>
            </w:r>
            <w:bookmarkEnd w:id="3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360" w:type="dxa"/>
            <w:vMerge w:val="continue"/>
          </w:tcPr>
          <w:p>
            <w:pPr>
              <w:adjustRightInd w:val="0"/>
              <w:spacing w:line="360" w:lineRule="auto"/>
              <w:jc w:val="center"/>
              <w:textAlignment w:val="baseline"/>
              <w:rPr>
                <w:rFonts w:hint="eastAsia" w:ascii="宋体" w:hAnsi="宋体" w:eastAsia="宋体" w:cs="宋体"/>
                <w:bCs/>
                <w:color w:val="auto"/>
                <w:szCs w:val="21"/>
                <w:highlight w:val="none"/>
              </w:rPr>
            </w:pPr>
          </w:p>
        </w:tc>
        <w:tc>
          <w:tcPr>
            <w:tcW w:w="903" w:type="dxa"/>
            <w:vMerge w:val="continue"/>
          </w:tcPr>
          <w:p>
            <w:pPr>
              <w:adjustRightInd w:val="0"/>
              <w:spacing w:line="360" w:lineRule="auto"/>
              <w:jc w:val="center"/>
              <w:textAlignment w:val="baseline"/>
              <w:rPr>
                <w:rFonts w:hint="eastAsia" w:ascii="宋体" w:hAnsi="宋体" w:eastAsia="宋体" w:cs="宋体"/>
                <w:bCs/>
                <w:color w:val="auto"/>
                <w:szCs w:val="21"/>
                <w:highlight w:val="none"/>
              </w:rPr>
            </w:pPr>
          </w:p>
        </w:tc>
        <w:tc>
          <w:tcPr>
            <w:tcW w:w="1377" w:type="dxa"/>
            <w:tcMar>
              <w:left w:w="57" w:type="dxa"/>
              <w:right w:w="57" w:type="dxa"/>
            </w:tcMar>
            <w:vAlign w:val="center"/>
          </w:tcPr>
          <w:p>
            <w:pPr>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系统运维及售后服务方案（满分10分）</w:t>
            </w:r>
          </w:p>
        </w:tc>
        <w:tc>
          <w:tcPr>
            <w:tcW w:w="6810" w:type="dxa"/>
          </w:tcPr>
          <w:p>
            <w:pPr>
              <w:spacing w:line="360" w:lineRule="auto"/>
              <w:rPr>
                <w:rFonts w:hint="eastAsia" w:ascii="宋体" w:hAnsi="宋体" w:eastAsia="宋体" w:cs="宋体"/>
                <w:color w:val="auto"/>
                <w:highlight w:val="none"/>
              </w:rPr>
            </w:pPr>
            <w:bookmarkStart w:id="315" w:name="OLE_LINK31"/>
            <w:r>
              <w:rPr>
                <w:rFonts w:hint="eastAsia" w:ascii="宋体" w:hAnsi="宋体" w:eastAsia="宋体" w:cs="宋体"/>
                <w:color w:val="auto"/>
                <w:highlight w:val="none"/>
              </w:rPr>
              <w:t>一档(2分)：投标人提供了系统运维方案及售后服务，但无具体承诺，服务内容能满足采购人要求。</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档(6分)：投标人提供了系统运维方案、售后服务承诺，售后服务承诺详细，满足采购需求，有定期维护售后维护方式等售后服务体系。相关方案中包含维护方案、各阶段服务计划、维护期内外的后续技术支持和维护能力情况说明的内容。且承诺项目完成验收后，派驻4名有驻场相关工作经验5年（含）以上工程师驻场。</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档(10分)：投标人提供了详细的系统运维方案及售后服务承诺，包含维护方案、各阶段服务计划、维护期内外的后续技术支持和维护能力情况说明、应急预案措施的内容。售后服务承诺详细，对响应时间、服务团队配备培训计划、应急预案、保密承诺、故障解决方案有描述详细、有服务流程，服务承诺有配套的处罚措施，并针对本项目提出切实可行的并经评委认可的其他售后服务承诺。且承诺项目完成验收后，至少派驻6名有驻场相关工作经验5年（含）以上工程师驻场。</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注：1.驻场工程师须提供劳动合同或工资流水或响应截止时间前半年内任意一个月的社保证明，并附工作经验相关说明。</w:t>
            </w:r>
          </w:p>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2.方案不满足一档要求或无方案的，不得分。</w:t>
            </w:r>
            <w:bookmarkEnd w:id="3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dxa"/>
            <w:vMerge w:val="continue"/>
          </w:tcPr>
          <w:p>
            <w:pPr>
              <w:adjustRightInd w:val="0"/>
              <w:spacing w:line="360" w:lineRule="auto"/>
              <w:jc w:val="center"/>
              <w:textAlignment w:val="baseline"/>
              <w:rPr>
                <w:rFonts w:hint="eastAsia" w:ascii="宋体" w:hAnsi="宋体" w:eastAsia="宋体" w:cs="宋体"/>
                <w:bCs/>
                <w:color w:val="auto"/>
                <w:szCs w:val="21"/>
                <w:highlight w:val="none"/>
              </w:rPr>
            </w:pPr>
          </w:p>
        </w:tc>
        <w:tc>
          <w:tcPr>
            <w:tcW w:w="903" w:type="dxa"/>
            <w:vMerge w:val="continue"/>
          </w:tcPr>
          <w:p>
            <w:pPr>
              <w:adjustRightInd w:val="0"/>
              <w:spacing w:line="360" w:lineRule="auto"/>
              <w:jc w:val="center"/>
              <w:textAlignment w:val="baseline"/>
              <w:rPr>
                <w:rFonts w:hint="eastAsia" w:ascii="宋体" w:hAnsi="宋体" w:eastAsia="宋体" w:cs="宋体"/>
                <w:bCs/>
                <w:color w:val="auto"/>
                <w:szCs w:val="21"/>
                <w:highlight w:val="none"/>
              </w:rPr>
            </w:pPr>
          </w:p>
        </w:tc>
        <w:tc>
          <w:tcPr>
            <w:tcW w:w="1377" w:type="dxa"/>
            <w:tcMar>
              <w:left w:w="57" w:type="dxa"/>
              <w:right w:w="57" w:type="dxa"/>
            </w:tcMar>
            <w:vAlign w:val="center"/>
          </w:tcPr>
          <w:p>
            <w:pPr>
              <w:snapToGrid w:val="0"/>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系统演示分（满分35分）</w:t>
            </w:r>
          </w:p>
        </w:tc>
        <w:tc>
          <w:tcPr>
            <w:tcW w:w="6810" w:type="dxa"/>
            <w:vAlign w:val="center"/>
          </w:tcPr>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color w:val="auto"/>
                <w:highlight w:val="none"/>
              </w:rPr>
              <w:t>本项目系统演示</w:t>
            </w:r>
            <w:r>
              <w:rPr>
                <w:color w:val="auto"/>
                <w:highlight w:val="none"/>
              </w:rPr>
              <w:t>仅针对投标</w:t>
            </w:r>
            <w:r>
              <w:rPr>
                <w:rFonts w:hint="eastAsia"/>
                <w:color w:val="auto"/>
                <w:highlight w:val="none"/>
              </w:rPr>
              <w:t>人</w:t>
            </w:r>
            <w:r>
              <w:rPr>
                <w:color w:val="auto"/>
                <w:highlight w:val="none"/>
              </w:rPr>
              <w:t>的实时操作</w:t>
            </w:r>
            <w:r>
              <w:rPr>
                <w:rFonts w:hint="eastAsia"/>
                <w:color w:val="auto"/>
                <w:highlight w:val="none"/>
              </w:rPr>
              <w:t>实体软件功能模块的演示效果</w:t>
            </w:r>
            <w:r>
              <w:rPr>
                <w:color w:val="auto"/>
                <w:highlight w:val="none"/>
              </w:rPr>
              <w:t>进行评分</w:t>
            </w:r>
            <w:r>
              <w:rPr>
                <w:rFonts w:hint="eastAsia"/>
                <w:color w:val="auto"/>
                <w:highlight w:val="none"/>
              </w:rPr>
              <w:t>，如以PPT、视频等非实体软件方式进行演示的，演示分得0分。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一、技术底座演示（10分）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以技术底座为应用场景，包括：</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（一）系统主题管理（3分）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1.在系统中预设至少5种及以上不同风格的主题，并支持在线1秒内完成主题一键切换；</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2.支持系统风格的颜色设置；</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3.支持系统字体大小设置；</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4.支持系统间距设置；</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5.支持按钮风格设置；</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6.切换或修改主题后，随机抽查系统中至少5个不同功能页面（包含表单、功能列表、弹窗页面）。系统中所有可见组件的样式都必须统一应用新主题；</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7.支持跨会话主题保持，用户重新登录后会默认展示该用户最后一次设置的主题。</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投标人全部演示上述1至7项内容的，得3分，未进行演示或演示不全的，得0分。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（二）技术底座平台管理（7分）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1.支持数据标准规范管理得1分，否则不得分；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2.支持在线配置业务表单得1分，否则不得分；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3.支持在线配置业务规则得1分，否则不得分；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4.支持与电子证照系统接入接口得1分，否则不得分；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5.支持与电子印章系统接入接口得1分，否则不得分；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6.支持从第三方</w:t>
            </w:r>
            <w:r>
              <w:rPr>
                <w:rFonts w:hint="eastAsia" w:ascii="宋体" w:hAnsi="宋体" w:cs="宋体"/>
                <w:bCs/>
                <w:color w:val="auto"/>
                <w:kern w:val="0"/>
                <w:szCs w:val="21"/>
                <w:highlight w:val="none"/>
                <w:lang w:val="en-US" w:eastAsia="zh-CN"/>
              </w:rPr>
              <w:t>系统</w:t>
            </w:r>
            <w:r>
              <w:rPr>
                <w:rFonts w:hint="eastAsia" w:ascii="宋体" w:hAnsi="宋体" w:eastAsia="宋体" w:cs="宋体"/>
                <w:bCs/>
                <w:color w:val="auto"/>
                <w:kern w:val="0"/>
                <w:szCs w:val="21"/>
                <w:highlight w:val="none"/>
              </w:rPr>
              <w:t>导入用户成果数据得1分，否则不得分；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7.支持AI辅助</w:t>
            </w:r>
            <w:r>
              <w:rPr>
                <w:rFonts w:hint="eastAsia" w:ascii="宋体" w:hAnsi="宋体" w:cs="宋体"/>
                <w:bCs/>
                <w:color w:val="auto"/>
                <w:kern w:val="0"/>
                <w:szCs w:val="21"/>
                <w:highlight w:val="none"/>
                <w:lang w:val="en-US" w:eastAsia="zh-CN"/>
              </w:rPr>
              <w:t>根据word等格式文档自动生成表单</w:t>
            </w:r>
            <w:r>
              <w:rPr>
                <w:rFonts w:hint="eastAsia" w:ascii="宋体" w:hAnsi="宋体" w:eastAsia="宋体" w:cs="宋体"/>
                <w:bCs/>
                <w:color w:val="auto"/>
                <w:kern w:val="0"/>
                <w:szCs w:val="21"/>
                <w:highlight w:val="none"/>
              </w:rPr>
              <w:t>得1分，否则不得分。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二、应用系统演示（25分）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（一）项目申报（9分）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以项目申报管理为应用场景（表单要求详见</w:t>
            </w:r>
            <w:r>
              <w:rPr>
                <w:rFonts w:hint="eastAsia" w:ascii="宋体" w:hAnsi="宋体" w:cs="宋体"/>
                <w:bCs/>
                <w:color w:val="auto"/>
                <w:kern w:val="0"/>
                <w:szCs w:val="21"/>
                <w:highlight w:val="none"/>
                <w:lang w:val="en-US" w:eastAsia="zh-CN"/>
              </w:rPr>
              <w:t>采购需求演示附件</w:t>
            </w:r>
            <w:r>
              <w:rPr>
                <w:rFonts w:hint="eastAsia" w:ascii="宋体" w:hAnsi="宋体" w:eastAsia="宋体" w:cs="宋体"/>
                <w:bCs/>
                <w:color w:val="auto"/>
                <w:kern w:val="0"/>
                <w:szCs w:val="21"/>
                <w:highlight w:val="none"/>
              </w:rPr>
              <w:t>），包括：</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1.支持</w:t>
            </w:r>
            <w:r>
              <w:rPr>
                <w:rFonts w:hint="eastAsia" w:ascii="宋体" w:hAnsi="宋体" w:cs="宋体"/>
                <w:bCs/>
                <w:color w:val="auto"/>
                <w:kern w:val="0"/>
                <w:szCs w:val="21"/>
                <w:highlight w:val="none"/>
                <w:lang w:val="en-US" w:eastAsia="zh-CN"/>
              </w:rPr>
              <w:t>根据演示附件“项目申报书”完成</w:t>
            </w:r>
            <w:r>
              <w:rPr>
                <w:rFonts w:hint="eastAsia" w:ascii="宋体" w:hAnsi="宋体" w:eastAsia="宋体" w:cs="宋体"/>
                <w:bCs/>
                <w:color w:val="auto"/>
                <w:kern w:val="0"/>
                <w:szCs w:val="21"/>
                <w:highlight w:val="none"/>
              </w:rPr>
              <w:t>表单在线配置及填写表单验证，完全满足要求得2分，未进行演示或不符合项目要求得0分；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2.支持申请书合规检查，完全满足得2分，未进行演示或不符合项目要求得0分；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3.支持多维度项目内容语义查重，完全满足得1.5分，未进行演示或不符合项目要求得0分；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4.支持对项目前期研究成果的真实性验证，完全满足得1.5分，未进行演示或不符合项目要求得0分；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5.支持AI完整读取离线申报书表单信息，且可验证读取结果正确性，完全满足得2分，未进行演示或不符合项目要求得0分。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（二）智能客服（3分）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以广西科技专家库建设与管理为应用场景（管理办法详见采购需求演示附件），包括：</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1.提供问答对治理功能，完全满足得1分，未进行演示或不符合项目要求得0分。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2.评委现场提出的任意一个与管理办法相关问题，系统回答正确且未超出原文范围，无虚构、推断或生成性解释。完全满足要求得2分，不完全满足要求得0.5分，未进行演示或不符合项目要求得0分；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（三）智能评审（10分）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以专家评审为应用场景，演示辅助专家进行评审：</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1.提供基于自然语言方式的智能指派专家服务，且支持验证指派的正确性，完全满足得2分，未进行演示或不符合项目要求得0分；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2.提供双盲评审服务，实现管理端、申报端、评审专家三方信息互盲，完全满足得2分，未进行演示或不符合项目要求得0分；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3.提供项目综合评估报告，根据项目申报书智能生成</w:t>
            </w:r>
            <w:r>
              <w:rPr>
                <w:rFonts w:hint="eastAsia" w:eastAsia="宋体"/>
                <w:color w:val="auto"/>
                <w:szCs w:val="21"/>
                <w:highlight w:val="none"/>
              </w:rPr>
              <w:t>项目综合评估报告</w:t>
            </w:r>
            <w:r>
              <w:rPr>
                <w:rFonts w:hint="eastAsia"/>
                <w:color w:val="auto"/>
                <w:highlight w:val="none"/>
              </w:rPr>
              <w:t>，完全满足</w:t>
            </w:r>
            <w:r>
              <w:rPr>
                <w:rFonts w:hint="eastAsia" w:ascii="宋体" w:hAnsi="宋体" w:eastAsia="宋体" w:cs="宋体"/>
                <w:bCs/>
                <w:color w:val="auto"/>
                <w:kern w:val="0"/>
                <w:szCs w:val="21"/>
                <w:highlight w:val="none"/>
              </w:rPr>
              <w:t>得3分，</w:t>
            </w:r>
            <w:bookmarkStart w:id="316" w:name="OLE_LINK6"/>
            <w:r>
              <w:rPr>
                <w:rFonts w:hint="eastAsia" w:ascii="宋体" w:hAnsi="宋体" w:eastAsia="宋体" w:cs="宋体"/>
                <w:bCs/>
                <w:color w:val="auto"/>
                <w:kern w:val="0"/>
                <w:szCs w:val="21"/>
                <w:highlight w:val="none"/>
              </w:rPr>
              <w:t>未进行演示或</w:t>
            </w:r>
            <w:bookmarkEnd w:id="316"/>
            <w:r>
              <w:rPr>
                <w:rFonts w:hint="eastAsia" w:ascii="宋体" w:hAnsi="宋体" w:eastAsia="宋体" w:cs="宋体"/>
                <w:bCs/>
                <w:color w:val="auto"/>
                <w:kern w:val="0"/>
                <w:szCs w:val="21"/>
                <w:highlight w:val="none"/>
              </w:rPr>
              <w:t>不符合项目要求得0分；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4.提供</w:t>
            </w:r>
            <w:r>
              <w:rPr>
                <w:rFonts w:hint="eastAsia" w:eastAsia="宋体"/>
                <w:color w:val="auto"/>
                <w:szCs w:val="21"/>
                <w:highlight w:val="none"/>
              </w:rPr>
              <w:t>基于自然语言方式</w:t>
            </w:r>
            <w:r>
              <w:rPr>
                <w:rFonts w:hint="eastAsia" w:ascii="宋体" w:hAnsi="宋体" w:eastAsia="宋体" w:cs="宋体"/>
                <w:bCs/>
                <w:color w:val="auto"/>
                <w:kern w:val="0"/>
                <w:szCs w:val="21"/>
                <w:highlight w:val="none"/>
              </w:rPr>
              <w:t>的项目内容智能问答服务，可通过问答方式快速获取项目内容，完全满足得3分，未进行演示或不符合项目要求得0分。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（四）智能结题（3分）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以辅助管理人员对项目进行结题为应用场景，演示辅助：</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1.根据结题管理办法设定的指标，对项目所完成的指标进行比对分析，满足采购需求得1.5分，未进行演示或不符合项目要求得0分。</w:t>
            </w:r>
          </w:p>
          <w:p>
            <w:pPr>
              <w:tabs>
                <w:tab w:val="center" w:pos="4153"/>
                <w:tab w:val="right" w:pos="8306"/>
              </w:tabs>
              <w:snapToGrid w:val="0"/>
              <w:spacing w:line="360" w:lineRule="auto"/>
              <w:ind w:firstLine="420" w:firstLineChars="200"/>
              <w:jc w:val="left"/>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2.根据分析结果，生成结题意见，并提供相应的解释说明，满足采购需求得1.5分，未进行演示或不符合项目要求得0分。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360" w:type="dxa"/>
            <w:vMerge w:val="restart"/>
            <w:vAlign w:val="center"/>
          </w:tcPr>
          <w:p>
            <w:pPr>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w:t>
            </w:r>
          </w:p>
        </w:tc>
        <w:tc>
          <w:tcPr>
            <w:tcW w:w="903" w:type="dxa"/>
            <w:vMerge w:val="restart"/>
            <w:vAlign w:val="center"/>
          </w:tcPr>
          <w:p>
            <w:pPr>
              <w:adjustRightInd w:val="0"/>
              <w:spacing w:line="360" w:lineRule="auto"/>
              <w:jc w:val="center"/>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商务分</w:t>
            </w:r>
          </w:p>
          <w:p>
            <w:pPr>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（满分11分）</w:t>
            </w:r>
          </w:p>
        </w:tc>
        <w:tc>
          <w:tcPr>
            <w:tcW w:w="1377" w:type="dxa"/>
            <w:tcMar>
              <w:left w:w="57" w:type="dxa"/>
              <w:right w:w="57" w:type="dxa"/>
            </w:tcMar>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bCs/>
                <w:color w:val="auto"/>
                <w:szCs w:val="21"/>
                <w:highlight w:val="none"/>
              </w:rPr>
              <w:t>企业资质分</w:t>
            </w:r>
          </w:p>
          <w:p>
            <w:pPr>
              <w:spacing w:line="360" w:lineRule="auto"/>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（1分）</w:t>
            </w:r>
          </w:p>
        </w:tc>
        <w:tc>
          <w:tcPr>
            <w:tcW w:w="6810" w:type="dxa"/>
            <w:vAlign w:val="center"/>
          </w:tcPr>
          <w:p>
            <w:pPr>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1.投标人通过 ISO9001 质量体系认证的，得0.5分。 </w:t>
            </w:r>
          </w:p>
          <w:p>
            <w:pPr>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 xml:space="preserve">2.投标人通过 ISO27001 信息安全管理体系认证的，得0.5分。 </w:t>
            </w:r>
          </w:p>
          <w:p>
            <w:pPr>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投标文件提供上述效证书扫描件，否则不计分。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60" w:type="dxa"/>
            <w:vMerge w:val="continue"/>
            <w:vAlign w:val="center"/>
          </w:tcPr>
          <w:p>
            <w:pPr>
              <w:spacing w:line="360" w:lineRule="auto"/>
              <w:jc w:val="center"/>
              <w:rPr>
                <w:rFonts w:hint="eastAsia" w:ascii="宋体" w:hAnsi="宋体" w:eastAsia="宋体" w:cs="宋体"/>
                <w:bCs/>
                <w:color w:val="auto"/>
                <w:szCs w:val="21"/>
                <w:highlight w:val="none"/>
              </w:rPr>
            </w:pPr>
          </w:p>
        </w:tc>
        <w:tc>
          <w:tcPr>
            <w:tcW w:w="903" w:type="dxa"/>
            <w:vMerge w:val="continue"/>
            <w:vAlign w:val="center"/>
          </w:tcPr>
          <w:p>
            <w:pPr>
              <w:spacing w:line="360" w:lineRule="auto"/>
              <w:jc w:val="center"/>
              <w:rPr>
                <w:rFonts w:hint="eastAsia" w:ascii="宋体" w:hAnsi="宋体" w:eastAsia="宋体" w:cs="宋体"/>
                <w:bCs/>
                <w:color w:val="auto"/>
                <w:szCs w:val="21"/>
                <w:highlight w:val="none"/>
                <w:u w:val="single"/>
              </w:rPr>
            </w:pPr>
          </w:p>
        </w:tc>
        <w:tc>
          <w:tcPr>
            <w:tcW w:w="1377" w:type="dxa"/>
            <w:tcMar>
              <w:left w:w="57" w:type="dxa"/>
              <w:right w:w="57" w:type="dxa"/>
            </w:tcMar>
            <w:vAlign w:val="center"/>
          </w:tcPr>
          <w:p>
            <w:pPr>
              <w:adjustRightInd w:val="0"/>
              <w:spacing w:line="360" w:lineRule="auto"/>
              <w:jc w:val="center"/>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企业业绩</w:t>
            </w:r>
          </w:p>
          <w:p>
            <w:pPr>
              <w:adjustRightInd w:val="0"/>
              <w:spacing w:line="360" w:lineRule="auto"/>
              <w:jc w:val="center"/>
              <w:textAlignment w:val="baseline"/>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（3分）</w:t>
            </w:r>
          </w:p>
        </w:tc>
        <w:tc>
          <w:tcPr>
            <w:tcW w:w="6810" w:type="dxa"/>
            <w:vAlign w:val="center"/>
          </w:tcPr>
          <w:p>
            <w:pPr>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自2022年1月1日至投标截止日期，投标人具有同类软件开发项目业绩，每个案例得1分，最多得3分，以合同签订时间为准。（投标文件中提供合同复印件，合同要求列明合同双方名称、 采购项目内容、双方盖章、签署日期等信息）</w:t>
            </w:r>
          </w:p>
          <w:p>
            <w:pPr>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备注：同一个单位项目多期建设合同，不重复计算。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 w:type="dxa"/>
            <w:vMerge w:val="continue"/>
            <w:vAlign w:val="center"/>
          </w:tcPr>
          <w:p>
            <w:pPr>
              <w:spacing w:line="360" w:lineRule="auto"/>
              <w:jc w:val="center"/>
              <w:rPr>
                <w:rFonts w:hint="eastAsia" w:ascii="宋体" w:hAnsi="宋体" w:eastAsia="宋体" w:cs="宋体"/>
                <w:bCs/>
                <w:color w:val="auto"/>
                <w:szCs w:val="21"/>
                <w:highlight w:val="none"/>
              </w:rPr>
            </w:pPr>
          </w:p>
        </w:tc>
        <w:tc>
          <w:tcPr>
            <w:tcW w:w="903" w:type="dxa"/>
            <w:vMerge w:val="continue"/>
            <w:vAlign w:val="center"/>
          </w:tcPr>
          <w:p>
            <w:pPr>
              <w:spacing w:line="360" w:lineRule="auto"/>
              <w:jc w:val="center"/>
              <w:rPr>
                <w:rFonts w:hint="eastAsia" w:ascii="宋体" w:hAnsi="宋体" w:eastAsia="宋体" w:cs="宋体"/>
                <w:bCs/>
                <w:color w:val="auto"/>
                <w:szCs w:val="21"/>
                <w:highlight w:val="none"/>
              </w:rPr>
            </w:pPr>
          </w:p>
        </w:tc>
        <w:tc>
          <w:tcPr>
            <w:tcW w:w="1377" w:type="dxa"/>
            <w:tcMar>
              <w:left w:w="57" w:type="dxa"/>
              <w:right w:w="57" w:type="dxa"/>
            </w:tcMar>
            <w:vAlign w:val="center"/>
          </w:tcPr>
          <w:p>
            <w:pPr>
              <w:spacing w:line="360" w:lineRule="auto"/>
              <w:jc w:val="center"/>
              <w:rPr>
                <w:rFonts w:hint="eastAsia" w:ascii="宋体" w:hAnsi="宋体" w:eastAsia="宋体" w:cs="宋体"/>
                <w:bCs/>
                <w:color w:val="auto"/>
                <w:highlight w:val="none"/>
              </w:rPr>
            </w:pPr>
            <w:bookmarkStart w:id="317" w:name="OLE_LINK32"/>
            <w:r>
              <w:rPr>
                <w:rFonts w:hint="eastAsia" w:ascii="宋体" w:hAnsi="宋体" w:eastAsia="宋体" w:cs="宋体"/>
                <w:bCs/>
                <w:color w:val="auto"/>
                <w:highlight w:val="none"/>
              </w:rPr>
              <w:t>开发实施团队质量分</w:t>
            </w:r>
          </w:p>
          <w:p>
            <w:pPr>
              <w:spacing w:line="360" w:lineRule="auto"/>
              <w:jc w:val="center"/>
              <w:rPr>
                <w:rFonts w:hint="eastAsia" w:ascii="宋体" w:hAnsi="宋体" w:eastAsia="宋体" w:cs="宋体"/>
                <w:bCs/>
                <w:color w:val="auto"/>
                <w:highlight w:val="none"/>
              </w:rPr>
            </w:pPr>
            <w:r>
              <w:rPr>
                <w:rFonts w:hint="eastAsia" w:ascii="宋体" w:hAnsi="宋体" w:eastAsia="宋体" w:cs="宋体"/>
                <w:bCs/>
                <w:color w:val="auto"/>
                <w:highlight w:val="none"/>
              </w:rPr>
              <w:t>（满分7分）</w:t>
            </w:r>
            <w:bookmarkEnd w:id="317"/>
          </w:p>
        </w:tc>
        <w:tc>
          <w:tcPr>
            <w:tcW w:w="6810" w:type="dxa"/>
            <w:vAlign w:val="center"/>
          </w:tcPr>
          <w:p>
            <w:pPr>
              <w:spacing w:line="360" w:lineRule="auto"/>
              <w:rPr>
                <w:rFonts w:hint="eastAsia" w:ascii="宋体" w:hAnsi="宋体" w:eastAsia="宋体" w:cs="宋体"/>
                <w:bCs/>
                <w:color w:val="auto"/>
                <w:highlight w:val="none"/>
              </w:rPr>
            </w:pPr>
            <w:r>
              <w:rPr>
                <w:rFonts w:hint="eastAsia" w:ascii="宋体" w:hAnsi="宋体" w:eastAsia="宋体" w:cs="宋体"/>
                <w:bCs/>
                <w:color w:val="auto"/>
                <w:highlight w:val="none"/>
              </w:rPr>
              <w:t>1.项目经理具有人力资源和社会保障部门颁发的信息系统项目管理师（高级）证书的且具有同类软件开发5年工作经验的，得1分。</w:t>
            </w:r>
          </w:p>
          <w:p>
            <w:pPr>
              <w:spacing w:line="360" w:lineRule="auto"/>
              <w:rPr>
                <w:rFonts w:hint="eastAsia" w:ascii="宋体" w:hAnsi="宋体" w:eastAsia="宋体" w:cs="宋体"/>
                <w:bCs/>
                <w:color w:val="auto"/>
                <w:highlight w:val="none"/>
              </w:rPr>
            </w:pPr>
            <w:r>
              <w:rPr>
                <w:rFonts w:hint="eastAsia" w:ascii="宋体" w:hAnsi="宋体" w:eastAsia="宋体" w:cs="宋体"/>
                <w:bCs/>
                <w:color w:val="auto"/>
                <w:highlight w:val="none"/>
              </w:rPr>
              <w:t>备注：以上证书加盖投标人公章，同时提供项目经理从事同类软件开发工作业绩证明材料</w:t>
            </w:r>
            <w:bookmarkStart w:id="318" w:name="OLE_LINK4"/>
            <w:r>
              <w:rPr>
                <w:rFonts w:hint="eastAsia" w:ascii="宋体" w:hAnsi="宋体" w:eastAsia="宋体" w:cs="宋体"/>
                <w:bCs/>
                <w:color w:val="auto"/>
                <w:highlight w:val="none"/>
              </w:rPr>
              <w:t>（提供有效合同扫描件，并提供投标人出具的合同参与人员的证明材料包含人员姓名、身份证号）</w:t>
            </w:r>
            <w:bookmarkEnd w:id="318"/>
            <w:r>
              <w:rPr>
                <w:rFonts w:hint="eastAsia" w:ascii="宋体" w:hAnsi="宋体" w:eastAsia="宋体" w:cs="宋体"/>
                <w:bCs/>
                <w:color w:val="auto"/>
                <w:highlight w:val="none"/>
              </w:rPr>
              <w:t>，并附投标人与拟投入人员的劳动合同或工资流水或投标截止时间前半年内任意一个月的社保证明，否则不予计分。</w:t>
            </w:r>
          </w:p>
          <w:p>
            <w:pPr>
              <w:spacing w:line="360" w:lineRule="auto"/>
              <w:rPr>
                <w:rFonts w:hint="eastAsia" w:ascii="宋体" w:hAnsi="宋体" w:eastAsia="宋体" w:cs="宋体"/>
                <w:bCs/>
                <w:color w:val="auto"/>
                <w:highlight w:val="none"/>
              </w:rPr>
            </w:pPr>
            <w:r>
              <w:rPr>
                <w:rFonts w:hint="eastAsia" w:ascii="宋体" w:hAnsi="宋体" w:eastAsia="宋体" w:cs="宋体"/>
                <w:bCs/>
                <w:color w:val="auto"/>
                <w:highlight w:val="none"/>
              </w:rPr>
              <w:t>2.项目成员具有人力资源和社会保障部门颁发的计算机技术与软件专业技术资格（水平）中级及以上证书的且具有同类软件开发工作业绩的，每人得0.5分，满分6分。</w:t>
            </w:r>
          </w:p>
          <w:p>
            <w:pPr>
              <w:spacing w:line="360" w:lineRule="auto"/>
              <w:rPr>
                <w:rFonts w:hint="eastAsia" w:ascii="宋体" w:hAnsi="宋体" w:eastAsia="宋体" w:cs="宋体"/>
                <w:bCs/>
                <w:color w:val="auto"/>
                <w:highlight w:val="none"/>
              </w:rPr>
            </w:pPr>
            <w:r>
              <w:rPr>
                <w:rFonts w:hint="eastAsia" w:ascii="宋体" w:hAnsi="宋体" w:eastAsia="宋体" w:cs="宋体"/>
                <w:bCs/>
                <w:color w:val="auto"/>
                <w:highlight w:val="none"/>
              </w:rPr>
              <w:t>备注：以上证书加盖投标人公章，同时提供项目成员从事同类软件开发工作业绩证明材料（提供有效合同扫描件，并提供投标人出具的合同参与人员的证明材料包含人员姓名、身份证号），并附投标人与拟投入人员的劳动合同或工资流水或投标截止时间前半年内任意一个月的社保证明，否则不予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0" w:type="dxa"/>
            <w:gridSpan w:val="4"/>
            <w:vAlign w:val="center"/>
          </w:tcPr>
          <w:p>
            <w:pPr>
              <w:spacing w:line="360" w:lineRule="auto"/>
              <w:ind w:firstLine="420"/>
              <w:rPr>
                <w:rFonts w:hint="eastAsia" w:ascii="宋体" w:hAnsi="宋体" w:eastAsia="宋体" w:cs="宋体"/>
                <w:bCs/>
                <w:color w:val="auto"/>
                <w:szCs w:val="20"/>
                <w:highlight w:val="none"/>
              </w:rPr>
            </w:pPr>
            <w:r>
              <w:rPr>
                <w:rFonts w:hint="eastAsia" w:ascii="宋体" w:hAnsi="宋体" w:eastAsia="宋体" w:cs="宋体"/>
                <w:bCs/>
                <w:color w:val="auto"/>
                <w:szCs w:val="20"/>
                <w:highlight w:val="none"/>
              </w:rPr>
              <w:t>总得分=1+2+3。</w:t>
            </w:r>
          </w:p>
        </w:tc>
      </w:tr>
    </w:tbl>
    <w:p>
      <w:pPr>
        <w:spacing w:line="560" w:lineRule="exact"/>
        <w:ind w:firstLine="420" w:firstLineChars="200"/>
        <w:rPr>
          <w:rFonts w:hint="eastAsia" w:ascii="宋体" w:hAnsi="宋体" w:cs="宋体"/>
          <w:color w:val="auto"/>
          <w:szCs w:val="21"/>
          <w:highlight w:val="none"/>
        </w:rPr>
      </w:pPr>
    </w:p>
    <w:p>
      <w:pPr>
        <w:pStyle w:val="3"/>
        <w:jc w:val="center"/>
        <w:rPr>
          <w:rFonts w:hint="eastAsia" w:ascii="宋体" w:hAnsi="宋体" w:eastAsia="宋体" w:cs="宋体"/>
          <w:b w:val="0"/>
          <w:color w:val="auto"/>
          <w:sz w:val="30"/>
          <w:szCs w:val="30"/>
          <w:highlight w:val="none"/>
        </w:rPr>
      </w:pPr>
      <w:bookmarkStart w:id="319" w:name="_Toc30734"/>
      <w:bookmarkStart w:id="320" w:name="_Toc16607"/>
      <w:bookmarkStart w:id="321" w:name="_Toc28332"/>
      <w:bookmarkStart w:id="322" w:name="_Toc1251"/>
      <w:bookmarkStart w:id="323" w:name="_Toc5054"/>
      <w:r>
        <w:rPr>
          <w:rFonts w:hint="eastAsia" w:ascii="宋体" w:hAnsi="宋体" w:eastAsia="宋体" w:cs="宋体"/>
          <w:b w:val="0"/>
          <w:color w:val="auto"/>
          <w:sz w:val="30"/>
          <w:szCs w:val="30"/>
          <w:highlight w:val="none"/>
        </w:rPr>
        <w:t>第四节 中标候选人推荐原则</w:t>
      </w:r>
      <w:bookmarkEnd w:id="319"/>
      <w:bookmarkEnd w:id="320"/>
      <w:bookmarkEnd w:id="321"/>
      <w:bookmarkEnd w:id="322"/>
      <w:bookmarkEnd w:id="323"/>
    </w:p>
    <w:p>
      <w:pPr>
        <w:pStyle w:val="13"/>
        <w:spacing w:line="360" w:lineRule="auto"/>
        <w:ind w:firstLine="420" w:firstLineChars="200"/>
        <w:rPr>
          <w:rFonts w:hint="eastAsia" w:hAnsi="宋体" w:cs="宋体"/>
          <w:color w:val="auto"/>
          <w:highlight w:val="none"/>
        </w:rPr>
      </w:pPr>
      <w:r>
        <w:rPr>
          <w:rFonts w:hint="eastAsia" w:hAnsi="宋体" w:cs="宋体"/>
          <w:color w:val="auto"/>
          <w:highlight w:val="none"/>
        </w:rPr>
        <w:t>评标委员会将根据评审后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pPr>
        <w:pStyle w:val="3"/>
        <w:spacing w:before="0" w:after="0" w:line="360" w:lineRule="auto"/>
        <w:ind w:firstLine="600" w:firstLineChars="200"/>
        <w:jc w:val="center"/>
        <w:rPr>
          <w:rFonts w:hint="eastAsia" w:ascii="宋体" w:hAnsi="宋体" w:eastAsia="宋体" w:cs="宋体"/>
          <w:b w:val="0"/>
          <w:color w:val="auto"/>
          <w:sz w:val="30"/>
          <w:szCs w:val="30"/>
          <w:highlight w:val="none"/>
        </w:rPr>
      </w:pPr>
      <w:bookmarkStart w:id="324" w:name="_Toc8014"/>
      <w:bookmarkStart w:id="325" w:name="_Toc29998"/>
      <w:bookmarkStart w:id="326" w:name="_Toc24005"/>
      <w:bookmarkStart w:id="327" w:name="_Toc21738"/>
      <w:bookmarkStart w:id="328" w:name="_Toc671"/>
    </w:p>
    <w:p>
      <w:pPr>
        <w:pStyle w:val="3"/>
        <w:spacing w:before="0" w:after="0" w:line="360" w:lineRule="auto"/>
        <w:ind w:firstLine="600" w:firstLineChars="200"/>
        <w:jc w:val="center"/>
        <w:rPr>
          <w:rFonts w:hint="eastAsia" w:ascii="宋体" w:hAnsi="宋体" w:eastAsia="宋体" w:cs="宋体"/>
          <w:b w:val="0"/>
          <w:color w:val="auto"/>
          <w:sz w:val="30"/>
          <w:szCs w:val="30"/>
          <w:highlight w:val="none"/>
        </w:rPr>
      </w:pPr>
      <w:r>
        <w:rPr>
          <w:rFonts w:hint="eastAsia" w:ascii="宋体" w:hAnsi="宋体" w:eastAsia="宋体" w:cs="宋体"/>
          <w:b w:val="0"/>
          <w:color w:val="auto"/>
          <w:sz w:val="30"/>
          <w:szCs w:val="30"/>
          <w:highlight w:val="none"/>
        </w:rPr>
        <w:t>第五节 评标报告</w:t>
      </w:r>
      <w:bookmarkEnd w:id="324"/>
      <w:bookmarkEnd w:id="325"/>
      <w:bookmarkEnd w:id="326"/>
      <w:bookmarkEnd w:id="327"/>
      <w:bookmarkEnd w:id="328"/>
    </w:p>
    <w:p>
      <w:pPr>
        <w:pStyle w:val="58"/>
        <w:spacing w:before="0"/>
        <w:ind w:firstLine="482"/>
        <w:rPr>
          <w:rFonts w:hint="eastAsia" w:ascii="宋体" w:hAnsi="宋体" w:cs="宋体"/>
          <w:b/>
          <w:bCs/>
          <w:color w:val="auto"/>
          <w:szCs w:val="24"/>
          <w:highlight w:val="none"/>
        </w:rPr>
      </w:pPr>
      <w:r>
        <w:rPr>
          <w:rFonts w:hint="eastAsia" w:ascii="宋体" w:hAnsi="宋体" w:cs="宋体"/>
          <w:b/>
          <w:bCs/>
          <w:color w:val="auto"/>
          <w:szCs w:val="24"/>
          <w:highlight w:val="none"/>
        </w:rPr>
        <w:t>（一）评标报告与推荐中标候选人</w:t>
      </w:r>
    </w:p>
    <w:p>
      <w:pPr>
        <w:pStyle w:val="13"/>
        <w:tabs>
          <w:tab w:val="left" w:pos="2472"/>
        </w:tabs>
        <w:spacing w:line="360" w:lineRule="auto"/>
        <w:ind w:firstLine="420" w:firstLineChars="200"/>
        <w:rPr>
          <w:rFonts w:hint="eastAsia" w:hAnsi="宋体" w:cs="宋体"/>
          <w:color w:val="auto"/>
          <w:highlight w:val="none"/>
        </w:rPr>
      </w:pPr>
      <w:r>
        <w:rPr>
          <w:rFonts w:hint="eastAsia" w:hAnsi="宋体" w:cs="宋体"/>
          <w:color w:val="auto"/>
          <w:highlight w:val="none"/>
        </w:rPr>
        <w:t>评标委员会根据原始评标记录和评标结果编写评标报告，并通过电子交易平台向采购人、采购代理机构提交。</w:t>
      </w:r>
    </w:p>
    <w:p>
      <w:pPr>
        <w:widowControl/>
        <w:spacing w:line="360" w:lineRule="auto"/>
        <w:ind w:firstLine="482" w:firstLineChars="200"/>
        <w:jc w:val="left"/>
        <w:rPr>
          <w:rFonts w:hint="eastAsia" w:ascii="宋体" w:hAnsi="宋体" w:cs="宋体"/>
          <w:b/>
          <w:bCs/>
          <w:color w:val="auto"/>
          <w:sz w:val="24"/>
          <w:highlight w:val="none"/>
        </w:rPr>
      </w:pPr>
      <w:r>
        <w:rPr>
          <w:rFonts w:hint="eastAsia" w:ascii="宋体" w:hAnsi="宋体" w:cs="宋体"/>
          <w:b/>
          <w:bCs/>
          <w:color w:val="auto"/>
          <w:sz w:val="24"/>
          <w:highlight w:val="none"/>
        </w:rPr>
        <w:t>（二）评标争议事项处理</w:t>
      </w:r>
    </w:p>
    <w:p>
      <w:pPr>
        <w:pStyle w:val="13"/>
        <w:tabs>
          <w:tab w:val="left" w:pos="2472"/>
        </w:tabs>
        <w:spacing w:line="360" w:lineRule="auto"/>
        <w:ind w:firstLine="420" w:firstLineChars="200"/>
        <w:rPr>
          <w:rFonts w:hint="eastAsia" w:hAnsi="宋体" w:cs="宋体"/>
          <w:color w:val="auto"/>
          <w:highlight w:val="none"/>
        </w:rPr>
      </w:pPr>
      <w:r>
        <w:rPr>
          <w:rFonts w:hint="eastAsia" w:hAnsi="宋体" w:cs="宋体"/>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pPr>
        <w:widowControl/>
        <w:jc w:val="left"/>
        <w:rPr>
          <w:rFonts w:hint="eastAsia" w:ascii="宋体" w:hAnsi="宋体" w:cs="宋体"/>
          <w:b/>
          <w:color w:val="auto"/>
          <w:sz w:val="36"/>
          <w:szCs w:val="20"/>
          <w:highlight w:val="none"/>
        </w:rPr>
        <w:sectPr>
          <w:pgSz w:w="11906" w:h="16838"/>
          <w:pgMar w:top="1134" w:right="1020" w:bottom="1020" w:left="1134" w:header="720" w:footer="720" w:gutter="0"/>
          <w:cols w:space="720" w:num="1"/>
          <w:docGrid w:type="lines" w:linePitch="331" w:charSpace="0"/>
        </w:sect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outlineLvl w:val="0"/>
        <w:rPr>
          <w:rFonts w:hint="eastAsia" w:hAnsi="宋体" w:cs="宋体"/>
          <w:b/>
          <w:color w:val="auto"/>
          <w:sz w:val="36"/>
          <w:highlight w:val="none"/>
        </w:rPr>
      </w:pPr>
      <w:bookmarkStart w:id="329" w:name="_Toc15462"/>
      <w:bookmarkStart w:id="330" w:name="_Toc30669"/>
      <w:bookmarkStart w:id="331" w:name="_Toc14956"/>
      <w:bookmarkStart w:id="332" w:name="_Toc1174"/>
      <w:bookmarkStart w:id="333" w:name="_Toc27349"/>
      <w:bookmarkStart w:id="334" w:name="_Toc14385"/>
      <w:bookmarkStart w:id="335" w:name="_Toc1169"/>
      <w:bookmarkStart w:id="336" w:name="_Toc17443"/>
      <w:bookmarkStart w:id="337" w:name="_Toc3087"/>
      <w:bookmarkStart w:id="338" w:name="_Toc24905"/>
      <w:bookmarkStart w:id="339" w:name="_Toc5426"/>
      <w:r>
        <w:rPr>
          <w:rFonts w:hint="eastAsia" w:hAnsi="宋体" w:cs="宋体"/>
          <w:b/>
          <w:color w:val="auto"/>
          <w:sz w:val="36"/>
          <w:highlight w:val="none"/>
        </w:rPr>
        <w:t>第五章 拟签订的合同文本</w:t>
      </w:r>
      <w:bookmarkEnd w:id="329"/>
      <w:bookmarkEnd w:id="330"/>
      <w:bookmarkEnd w:id="331"/>
      <w:bookmarkEnd w:id="332"/>
      <w:bookmarkEnd w:id="333"/>
      <w:bookmarkEnd w:id="334"/>
      <w:bookmarkEnd w:id="335"/>
      <w:bookmarkEnd w:id="336"/>
      <w:bookmarkEnd w:id="337"/>
      <w:bookmarkEnd w:id="338"/>
      <w:bookmarkEnd w:id="339"/>
    </w:p>
    <w:p>
      <w:pPr>
        <w:widowControl/>
        <w:jc w:val="left"/>
        <w:rPr>
          <w:rFonts w:hint="eastAsia" w:ascii="宋体" w:hAnsi="宋体" w:cs="宋体"/>
          <w:bCs/>
          <w:color w:val="auto"/>
          <w:szCs w:val="20"/>
          <w:highlight w:val="none"/>
        </w:rPr>
        <w:sectPr>
          <w:pgSz w:w="11906" w:h="16838"/>
          <w:pgMar w:top="1134" w:right="1020" w:bottom="1020" w:left="1134" w:header="720" w:footer="720" w:gutter="0"/>
          <w:cols w:space="720" w:num="1"/>
          <w:docGrid w:type="lines" w:linePitch="331" w:charSpace="0"/>
        </w:sectPr>
      </w:pPr>
    </w:p>
    <w:p>
      <w:pPr>
        <w:spacing w:line="360" w:lineRule="auto"/>
        <w:jc w:val="center"/>
        <w:rPr>
          <w:bCs/>
          <w:color w:val="auto"/>
          <w:sz w:val="36"/>
          <w:szCs w:val="36"/>
          <w:highlight w:val="none"/>
        </w:rPr>
      </w:pPr>
      <w:r>
        <w:rPr>
          <w:rFonts w:hint="eastAsia" w:ascii="方正小标宋简体" w:hAnsi="方正小标宋简体" w:eastAsia="方正小标宋简体" w:cs="方正小标宋简体"/>
          <w:bCs/>
          <w:color w:val="auto"/>
          <w:sz w:val="36"/>
          <w:szCs w:val="36"/>
          <w:highlight w:val="none"/>
        </w:rPr>
        <w:t>广西科技项目管理平台开发服务合同</w:t>
      </w:r>
    </w:p>
    <w:p>
      <w:pPr>
        <w:snapToGrid w:val="0"/>
        <w:spacing w:line="360" w:lineRule="exact"/>
        <w:ind w:right="480" w:firstLine="5985" w:firstLineChars="2850"/>
        <w:rPr>
          <w:rFonts w:hint="eastAsia" w:ascii="宋体" w:hAnsi="宋体"/>
          <w:bCs/>
          <w:color w:val="auto"/>
          <w:szCs w:val="21"/>
          <w:highlight w:val="none"/>
          <w:u w:val="single"/>
        </w:rPr>
      </w:pPr>
      <w:r>
        <w:rPr>
          <w:rFonts w:ascii="宋体" w:hAnsi="宋体"/>
          <w:bCs/>
          <w:color w:val="auto"/>
          <w:szCs w:val="21"/>
          <w:highlight w:val="none"/>
        </w:rPr>
        <w:t>合同编号：</w:t>
      </w:r>
    </w:p>
    <w:p>
      <w:pPr>
        <w:snapToGrid w:val="0"/>
        <w:spacing w:line="360" w:lineRule="exact"/>
        <w:rPr>
          <w:rFonts w:hint="eastAsia" w:ascii="宋体" w:hAnsi="宋体"/>
          <w:color w:val="auto"/>
          <w:szCs w:val="21"/>
          <w:highlight w:val="none"/>
        </w:rPr>
      </w:pPr>
    </w:p>
    <w:p>
      <w:pPr>
        <w:snapToGrid w:val="0"/>
        <w:spacing w:line="360" w:lineRule="auto"/>
        <w:rPr>
          <w:rFonts w:hint="eastAsia" w:ascii="宋体" w:hAnsi="宋体"/>
          <w:color w:val="auto"/>
          <w:szCs w:val="21"/>
          <w:highlight w:val="none"/>
          <w:u w:val="single"/>
        </w:rPr>
      </w:pPr>
      <w:r>
        <w:rPr>
          <w:rFonts w:ascii="宋体" w:hAnsi="宋体"/>
          <w:color w:val="auto"/>
          <w:szCs w:val="21"/>
          <w:highlight w:val="none"/>
        </w:rPr>
        <w:t>采购单位（甲方）</w:t>
      </w:r>
      <w:r>
        <w:rPr>
          <w:rFonts w:ascii="宋体" w:hAnsi="宋体"/>
          <w:color w:val="auto"/>
          <w:szCs w:val="21"/>
          <w:highlight w:val="none"/>
          <w:u w:val="single"/>
        </w:rPr>
        <w:t xml:space="preserve"> </w:t>
      </w:r>
      <w:r>
        <w:rPr>
          <w:rFonts w:hint="eastAsia" w:ascii="宋体" w:hAnsi="宋体"/>
          <w:color w:val="auto"/>
          <w:szCs w:val="21"/>
          <w:highlight w:val="none"/>
          <w:u w:val="single"/>
        </w:rPr>
        <w:t>广西科技信息网络中心</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rPr>
        <w:t xml:space="preserve">  </w:t>
      </w:r>
      <w:r>
        <w:rPr>
          <w:rFonts w:ascii="宋体" w:hAnsi="宋体"/>
          <w:color w:val="auto"/>
          <w:spacing w:val="-20"/>
          <w:szCs w:val="21"/>
          <w:highlight w:val="none"/>
        </w:rPr>
        <w:t>采 购 计 划 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pPr>
        <w:snapToGrid w:val="0"/>
        <w:spacing w:line="360" w:lineRule="auto"/>
        <w:rPr>
          <w:rFonts w:hint="eastAsia" w:ascii="宋体" w:hAnsi="宋体"/>
          <w:color w:val="auto"/>
          <w:szCs w:val="21"/>
          <w:highlight w:val="none"/>
          <w:u w:val="single"/>
        </w:rPr>
      </w:pPr>
      <w:r>
        <w:rPr>
          <w:rFonts w:ascii="宋体" w:hAnsi="宋体"/>
          <w:color w:val="auto"/>
          <w:szCs w:val="21"/>
          <w:highlight w:val="none"/>
        </w:rPr>
        <w:t>供 应 商（乙方）</w:t>
      </w:r>
      <w:r>
        <w:rPr>
          <w:rFonts w:ascii="宋体" w:hAnsi="宋体"/>
          <w:color w:val="auto"/>
          <w:szCs w:val="21"/>
          <w:highlight w:val="none"/>
          <w:u w:val="single"/>
        </w:rPr>
        <w:t xml:space="preserve">                          </w:t>
      </w:r>
      <w:r>
        <w:rPr>
          <w:rFonts w:ascii="宋体" w:hAnsi="宋体"/>
          <w:color w:val="auto"/>
          <w:szCs w:val="21"/>
          <w:highlight w:val="none"/>
        </w:rPr>
        <w:t xml:space="preserve">  项目名称</w:t>
      </w:r>
      <w:r>
        <w:rPr>
          <w:rFonts w:ascii="宋体" w:hAnsi="宋体"/>
          <w:color w:val="auto"/>
          <w:spacing w:val="-20"/>
          <w:szCs w:val="21"/>
          <w:highlight w:val="none"/>
        </w:rPr>
        <w:t>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pPr>
        <w:snapToGrid w:val="0"/>
        <w:spacing w:line="360" w:lineRule="auto"/>
        <w:rPr>
          <w:rFonts w:hint="eastAsia" w:ascii="宋体" w:hAnsi="宋体"/>
          <w:color w:val="auto"/>
          <w:szCs w:val="21"/>
          <w:highlight w:val="none"/>
          <w:u w:val="single"/>
        </w:rPr>
      </w:pPr>
      <w:r>
        <w:rPr>
          <w:rFonts w:ascii="宋体" w:hAnsi="宋体"/>
          <w:color w:val="auto"/>
          <w:szCs w:val="21"/>
          <w:highlight w:val="none"/>
        </w:rPr>
        <w:t xml:space="preserve">签  订  地  点  </w:t>
      </w:r>
      <w:r>
        <w:rPr>
          <w:rFonts w:ascii="宋体" w:hAnsi="宋体"/>
          <w:color w:val="auto"/>
          <w:szCs w:val="21"/>
          <w:highlight w:val="none"/>
          <w:u w:val="single"/>
        </w:rPr>
        <w:t xml:space="preserve">                          </w:t>
      </w:r>
      <w:r>
        <w:rPr>
          <w:rFonts w:ascii="宋体" w:hAnsi="宋体"/>
          <w:color w:val="auto"/>
          <w:szCs w:val="21"/>
          <w:highlight w:val="none"/>
        </w:rPr>
        <w:t xml:space="preserve">  签 订 时 间</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p>
      <w:pPr>
        <w:snapToGrid w:val="0"/>
        <w:spacing w:line="360" w:lineRule="auto"/>
        <w:rPr>
          <w:rFonts w:hint="eastAsia" w:ascii="宋体" w:hAnsi="宋体"/>
          <w:color w:val="auto"/>
          <w:szCs w:val="21"/>
          <w:highlight w:val="none"/>
        </w:rPr>
      </w:pP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根据《中华人民共和国政府采购法》《中华人民共和国民法典》等法律、法规规定，按照招标文件规定条款和乙方投标文件及其承诺，甲乙双方签订本合同。</w:t>
      </w:r>
    </w:p>
    <w:p>
      <w:pPr>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第一条　合同标的</w:t>
      </w:r>
    </w:p>
    <w:p>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1.项目名称：</w:t>
      </w:r>
      <w:r>
        <w:rPr>
          <w:rFonts w:hint="eastAsia" w:ascii="宋体" w:hAnsi="宋体" w:cs="宋体"/>
          <w:color w:val="auto"/>
          <w:szCs w:val="21"/>
          <w:highlight w:val="none"/>
          <w:u w:val="single"/>
        </w:rPr>
        <w:t xml:space="preserve">                                                 </w:t>
      </w:r>
    </w:p>
    <w:p>
      <w:pPr>
        <w:snapToGrid w:val="0"/>
        <w:spacing w:line="440" w:lineRule="exact"/>
        <w:ind w:firstLine="420" w:firstLineChars="200"/>
        <w:rPr>
          <w:rFonts w:hint="eastAsia" w:ascii="宋体" w:hAnsi="宋体"/>
          <w:color w:val="auto"/>
          <w:szCs w:val="21"/>
          <w:highlight w:val="none"/>
        </w:rPr>
      </w:pPr>
      <w:r>
        <w:rPr>
          <w:rFonts w:hint="eastAsia" w:ascii="宋体" w:hAnsi="宋体" w:cs="宋体"/>
          <w:color w:val="auto"/>
          <w:szCs w:val="21"/>
          <w:highlight w:val="none"/>
        </w:rPr>
        <w:t>2.合同总金额：（大写）</w:t>
      </w:r>
      <w:r>
        <w:rPr>
          <w:rFonts w:hint="eastAsia" w:ascii="宋体" w:hAnsi="宋体" w:cs="宋体"/>
          <w:color w:val="auto"/>
          <w:szCs w:val="21"/>
          <w:highlight w:val="none"/>
          <w:u w:val="single"/>
        </w:rPr>
        <w:t xml:space="preserve">人民币                      </w:t>
      </w:r>
      <w:r>
        <w:rPr>
          <w:rFonts w:hint="eastAsia" w:ascii="宋体" w:hAnsi="宋体" w:cs="宋体"/>
          <w:color w:val="auto"/>
          <w:szCs w:val="21"/>
          <w:highlight w:val="none"/>
        </w:rPr>
        <w:t>（小写）¥</w:t>
      </w:r>
      <w:r>
        <w:rPr>
          <w:rFonts w:hint="eastAsia" w:ascii="宋体" w:hAnsi="宋体" w:cs="宋体"/>
          <w:color w:val="auto"/>
          <w:szCs w:val="21"/>
          <w:highlight w:val="none"/>
          <w:u w:val="single"/>
        </w:rPr>
        <w:t xml:space="preserve">               </w:t>
      </w:r>
    </w:p>
    <w:p>
      <w:pPr>
        <w:spacing w:line="440" w:lineRule="exact"/>
        <w:ind w:firstLine="420" w:firstLineChars="200"/>
        <w:rPr>
          <w:rFonts w:hint="eastAsia" w:ascii="宋体" w:hAnsi="宋体" w:cs="宋体"/>
          <w:b/>
          <w:bCs/>
          <w:color w:val="auto"/>
          <w:szCs w:val="21"/>
          <w:highlight w:val="none"/>
        </w:rPr>
      </w:pPr>
      <w:r>
        <w:rPr>
          <w:rFonts w:hint="eastAsia" w:ascii="宋体" w:hAnsi="宋体" w:cs="宋体"/>
          <w:color w:val="auto"/>
          <w:szCs w:val="21"/>
          <w:highlight w:val="none"/>
        </w:rPr>
        <w:t>3.合同总金额</w:t>
      </w:r>
      <w:r>
        <w:rPr>
          <w:rFonts w:hint="eastAsia"/>
          <w:color w:val="auto"/>
          <w:highlight w:val="none"/>
        </w:rPr>
        <w:t>是履行合同的最终价格，</w:t>
      </w:r>
      <w:r>
        <w:rPr>
          <w:rFonts w:hint="eastAsia" w:ascii="宋体" w:hAnsi="宋体" w:cs="宋体"/>
          <w:color w:val="auto"/>
          <w:szCs w:val="21"/>
          <w:highlight w:val="none"/>
        </w:rPr>
        <w:t>必须包含完成本项目所需所有费用，含服务费用、税金、代理服务费及其他与本项目服务相关的一切费用。</w:t>
      </w:r>
    </w:p>
    <w:p>
      <w:pPr>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第二条　质量要求</w:t>
      </w:r>
    </w:p>
    <w:p>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1.乙方所提供的标的内容必须与投标文件承诺相一致，有国家强制性标准的，还必须符合国家强制性标准的规定，没有国家强制性标准但有其他强制性标准的，必须符合其他强制性标准的规定。</w:t>
      </w:r>
    </w:p>
    <w:p>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2.乙方所提供的服务成果质量必须与招标文件规定及投标文件承诺相一致。</w:t>
      </w:r>
    </w:p>
    <w:p>
      <w:pPr>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第三条　</w:t>
      </w:r>
      <w:r>
        <w:rPr>
          <w:rFonts w:ascii="宋体" w:hAnsi="宋体"/>
          <w:b/>
          <w:color w:val="auto"/>
          <w:szCs w:val="21"/>
          <w:highlight w:val="none"/>
        </w:rPr>
        <w:t>权利和义务</w:t>
      </w:r>
    </w:p>
    <w:p>
      <w:pPr>
        <w:snapToGrid w:val="0"/>
        <w:spacing w:line="4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一、</w:t>
      </w:r>
      <w:r>
        <w:rPr>
          <w:rFonts w:ascii="宋体" w:hAnsi="宋体"/>
          <w:b/>
          <w:color w:val="auto"/>
          <w:szCs w:val="21"/>
          <w:highlight w:val="none"/>
        </w:rPr>
        <w:t>甲方权利和义务</w:t>
      </w:r>
    </w:p>
    <w:p>
      <w:pPr>
        <w:numPr>
          <w:ilvl w:val="0"/>
          <w:numId w:val="54"/>
        </w:numPr>
        <w:snapToGrid w:val="0"/>
        <w:spacing w:line="440" w:lineRule="exact"/>
        <w:ind w:left="0" w:firstLine="420" w:firstLineChars="200"/>
        <w:rPr>
          <w:rFonts w:hint="eastAsia" w:ascii="宋体" w:hAnsi="宋体"/>
          <w:color w:val="auto"/>
          <w:szCs w:val="21"/>
          <w:highlight w:val="none"/>
        </w:rPr>
      </w:pPr>
      <w:r>
        <w:rPr>
          <w:rFonts w:ascii="宋体" w:hAnsi="宋体"/>
          <w:color w:val="auto"/>
          <w:szCs w:val="21"/>
          <w:highlight w:val="none"/>
        </w:rPr>
        <w:t>甲方有权要求乙方按时、按质、按量、按计划与合同协议约定完成本项目，并有权对乙方工作情况进行监督。</w:t>
      </w:r>
    </w:p>
    <w:p>
      <w:pPr>
        <w:numPr>
          <w:ilvl w:val="0"/>
          <w:numId w:val="54"/>
        </w:numPr>
        <w:snapToGrid w:val="0"/>
        <w:spacing w:line="440" w:lineRule="exact"/>
        <w:ind w:left="0" w:firstLine="420" w:firstLineChars="200"/>
        <w:rPr>
          <w:rFonts w:hint="eastAsia" w:ascii="宋体" w:hAnsi="宋体"/>
          <w:color w:val="auto"/>
          <w:szCs w:val="21"/>
          <w:highlight w:val="none"/>
        </w:rPr>
      </w:pPr>
      <w:r>
        <w:rPr>
          <w:rFonts w:ascii="宋体" w:hAnsi="宋体"/>
          <w:color w:val="auto"/>
          <w:szCs w:val="21"/>
          <w:highlight w:val="none"/>
        </w:rPr>
        <w:t>根据项目进度，甲方有权及时对乙方提交的方案提出修改意见，并要求乙方按修改意见完成服务工作。</w:t>
      </w:r>
    </w:p>
    <w:p>
      <w:pPr>
        <w:numPr>
          <w:ilvl w:val="0"/>
          <w:numId w:val="54"/>
        </w:numPr>
        <w:snapToGrid w:val="0"/>
        <w:spacing w:line="440" w:lineRule="exact"/>
        <w:ind w:left="0" w:firstLine="420" w:firstLineChars="200"/>
        <w:rPr>
          <w:rFonts w:hint="eastAsia" w:ascii="宋体" w:hAnsi="宋体"/>
          <w:color w:val="auto"/>
          <w:szCs w:val="21"/>
          <w:highlight w:val="none"/>
        </w:rPr>
      </w:pPr>
      <w:r>
        <w:rPr>
          <w:rFonts w:ascii="宋体" w:hAnsi="宋体"/>
          <w:color w:val="auto"/>
          <w:szCs w:val="21"/>
          <w:highlight w:val="none"/>
        </w:rPr>
        <w:t>乙方配备的项目投入人员应得到甲方的认可；对派遣到甲方的服务人员进行管理、考核、检查与奖惩。</w:t>
      </w:r>
    </w:p>
    <w:p>
      <w:pPr>
        <w:numPr>
          <w:ilvl w:val="0"/>
          <w:numId w:val="54"/>
        </w:numPr>
        <w:snapToGrid w:val="0"/>
        <w:spacing w:line="440" w:lineRule="exact"/>
        <w:ind w:left="0" w:firstLine="420" w:firstLineChars="200"/>
        <w:rPr>
          <w:rFonts w:hint="eastAsia" w:ascii="宋体" w:hAnsi="宋体"/>
          <w:color w:val="auto"/>
          <w:szCs w:val="21"/>
          <w:highlight w:val="none"/>
        </w:rPr>
      </w:pPr>
      <w:r>
        <w:rPr>
          <w:rFonts w:ascii="宋体" w:hAnsi="宋体"/>
          <w:color w:val="auto"/>
          <w:szCs w:val="21"/>
          <w:highlight w:val="none"/>
        </w:rPr>
        <w:t>甲方有权要求乙方更换不合格的工作人员。</w:t>
      </w:r>
    </w:p>
    <w:p>
      <w:pPr>
        <w:numPr>
          <w:ilvl w:val="0"/>
          <w:numId w:val="54"/>
        </w:numPr>
        <w:snapToGrid w:val="0"/>
        <w:spacing w:line="440" w:lineRule="exact"/>
        <w:ind w:left="0" w:firstLine="420" w:firstLineChars="200"/>
        <w:rPr>
          <w:rFonts w:hint="eastAsia" w:ascii="宋体" w:hAnsi="宋体"/>
          <w:color w:val="auto"/>
          <w:szCs w:val="21"/>
          <w:highlight w:val="none"/>
        </w:rPr>
      </w:pPr>
      <w:r>
        <w:rPr>
          <w:rFonts w:ascii="宋体" w:hAnsi="宋体"/>
          <w:color w:val="auto"/>
          <w:szCs w:val="21"/>
          <w:highlight w:val="none"/>
        </w:rPr>
        <w:t>按合同要求及时向乙方支付产品和服务费用。</w:t>
      </w:r>
    </w:p>
    <w:p>
      <w:pPr>
        <w:numPr>
          <w:ilvl w:val="0"/>
          <w:numId w:val="54"/>
        </w:numPr>
        <w:snapToGrid w:val="0"/>
        <w:spacing w:line="440" w:lineRule="exact"/>
        <w:ind w:left="0" w:firstLine="420" w:firstLineChars="200"/>
        <w:rPr>
          <w:rFonts w:hint="eastAsia" w:ascii="宋体" w:hAnsi="宋体"/>
          <w:color w:val="auto"/>
          <w:szCs w:val="21"/>
          <w:highlight w:val="none"/>
        </w:rPr>
      </w:pPr>
      <w:r>
        <w:rPr>
          <w:rFonts w:hint="eastAsia" w:ascii="宋体" w:hAnsi="宋体"/>
          <w:color w:val="auto"/>
          <w:szCs w:val="21"/>
          <w:highlight w:val="none"/>
        </w:rPr>
        <w:t>如采购项目涉及采购标的的知识产权归属的，产权归属为：</w:t>
      </w:r>
      <w:r>
        <w:rPr>
          <w:rFonts w:hint="eastAsia" w:ascii="宋体" w:hAnsi="宋体"/>
          <w:color w:val="auto"/>
          <w:szCs w:val="21"/>
          <w:highlight w:val="none"/>
          <w:u w:val="single"/>
        </w:rPr>
        <w:t xml:space="preserve">    甲方    </w:t>
      </w:r>
      <w:r>
        <w:rPr>
          <w:rFonts w:hint="eastAsia" w:ascii="宋体" w:hAnsi="宋体"/>
          <w:color w:val="auto"/>
          <w:szCs w:val="21"/>
          <w:highlight w:val="none"/>
        </w:rPr>
        <w:t xml:space="preserve">    </w:t>
      </w:r>
    </w:p>
    <w:p>
      <w:pPr>
        <w:numPr>
          <w:ilvl w:val="0"/>
          <w:numId w:val="54"/>
        </w:numPr>
        <w:snapToGrid w:val="0"/>
        <w:spacing w:line="440" w:lineRule="exact"/>
        <w:ind w:left="0" w:firstLine="420" w:firstLineChars="200"/>
        <w:rPr>
          <w:rFonts w:hint="eastAsia" w:ascii="宋体" w:hAnsi="宋体"/>
          <w:color w:val="auto"/>
          <w:szCs w:val="21"/>
          <w:highlight w:val="none"/>
          <w:u w:val="single"/>
        </w:rPr>
      </w:pPr>
      <w:r>
        <w:rPr>
          <w:rFonts w:hint="eastAsia" w:ascii="宋体" w:hAnsi="宋体"/>
          <w:color w:val="auto"/>
          <w:highlight w:val="none"/>
        </w:rPr>
        <w:t>产权纠纷</w:t>
      </w:r>
      <w:r>
        <w:rPr>
          <w:rFonts w:hint="eastAsia" w:ascii="宋体" w:hAnsi="宋体"/>
          <w:color w:val="auto"/>
          <w:szCs w:val="21"/>
          <w:highlight w:val="none"/>
        </w:rPr>
        <w:t>处理方式：</w:t>
      </w:r>
      <w:r>
        <w:rPr>
          <w:rFonts w:hint="eastAsia" w:ascii="宋体" w:hAnsi="宋体"/>
          <w:color w:val="auto"/>
          <w:szCs w:val="21"/>
          <w:highlight w:val="none"/>
          <w:u w:val="single"/>
        </w:rPr>
        <w:t>甲方在中华人民共和国境内使用供应商提供的产品及服务时免受第三方提出的侵犯其专利权或其它知识产权的起诉。如果第三方提出侵权指控，乙方应妥善处理纠纷并承担由此而引起的一切法律责任和费用。</w:t>
      </w:r>
    </w:p>
    <w:p>
      <w:pPr>
        <w:snapToGrid w:val="0"/>
        <w:spacing w:line="44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二、</w:t>
      </w:r>
      <w:r>
        <w:rPr>
          <w:rFonts w:ascii="宋体" w:hAnsi="宋体"/>
          <w:b/>
          <w:color w:val="auto"/>
          <w:szCs w:val="21"/>
          <w:highlight w:val="none"/>
        </w:rPr>
        <w:t>乙方权利和义务</w:t>
      </w:r>
    </w:p>
    <w:p>
      <w:pPr>
        <w:numPr>
          <w:ilvl w:val="0"/>
          <w:numId w:val="55"/>
        </w:numPr>
        <w:snapToGrid w:val="0"/>
        <w:spacing w:line="440" w:lineRule="exact"/>
        <w:ind w:left="0" w:firstLine="420" w:firstLineChars="200"/>
        <w:rPr>
          <w:rFonts w:hint="eastAsia" w:ascii="宋体" w:hAnsi="宋体"/>
          <w:color w:val="auto"/>
          <w:szCs w:val="21"/>
          <w:highlight w:val="none"/>
        </w:rPr>
      </w:pPr>
      <w:r>
        <w:rPr>
          <w:rFonts w:ascii="宋体" w:hAnsi="宋体"/>
          <w:color w:val="auto"/>
          <w:szCs w:val="21"/>
          <w:highlight w:val="none"/>
        </w:rPr>
        <w:t>严格履行合同文件（含采购文件、响应文件等）约定和承诺的服务内容和质量标准，保证甲方项目的相关工作质量和进度。</w:t>
      </w:r>
    </w:p>
    <w:p>
      <w:pPr>
        <w:numPr>
          <w:ilvl w:val="0"/>
          <w:numId w:val="55"/>
        </w:numPr>
        <w:snapToGrid w:val="0"/>
        <w:spacing w:line="440" w:lineRule="exact"/>
        <w:ind w:left="0" w:firstLine="420" w:firstLineChars="200"/>
        <w:rPr>
          <w:rFonts w:hint="eastAsia" w:ascii="宋体" w:hAnsi="宋体"/>
          <w:color w:val="auto"/>
          <w:szCs w:val="21"/>
          <w:highlight w:val="none"/>
        </w:rPr>
      </w:pPr>
      <w:r>
        <w:rPr>
          <w:rFonts w:ascii="宋体" w:hAnsi="宋体"/>
          <w:color w:val="auto"/>
          <w:szCs w:val="21"/>
          <w:highlight w:val="none"/>
        </w:rPr>
        <w:t>必须严格实施乙方响应文件中承诺的人力资源配置。在必须补充或更换人员时，必须补充或更换优于或等同于响应文件所承诺资质的服务人员，并需取得甲方书面同意。</w:t>
      </w:r>
    </w:p>
    <w:p>
      <w:pPr>
        <w:numPr>
          <w:ilvl w:val="0"/>
          <w:numId w:val="55"/>
        </w:numPr>
        <w:snapToGrid w:val="0"/>
        <w:spacing w:line="440" w:lineRule="exact"/>
        <w:ind w:left="0" w:firstLine="420" w:firstLineChars="200"/>
        <w:rPr>
          <w:rFonts w:hint="eastAsia" w:ascii="宋体" w:hAnsi="宋体"/>
          <w:color w:val="auto"/>
          <w:szCs w:val="21"/>
          <w:highlight w:val="none"/>
        </w:rPr>
      </w:pPr>
      <w:r>
        <w:rPr>
          <w:rFonts w:ascii="宋体" w:hAnsi="宋体"/>
          <w:color w:val="auto"/>
          <w:szCs w:val="21"/>
          <w:highlight w:val="none"/>
        </w:rPr>
        <w:t>乙方项目负责人及服务团队成员须与响应文件保持一致。合同存续期内，未经甲方书面要求或同意，项目负责人不应调整。项目负责人及服务团队成员必须保证在岗工作时间和重要活动在岗，如有变化，须取得甲方同意。</w:t>
      </w:r>
    </w:p>
    <w:p>
      <w:pPr>
        <w:numPr>
          <w:ilvl w:val="0"/>
          <w:numId w:val="55"/>
        </w:numPr>
        <w:snapToGrid w:val="0"/>
        <w:spacing w:line="440" w:lineRule="exact"/>
        <w:ind w:left="0" w:firstLine="420" w:firstLineChars="200"/>
        <w:rPr>
          <w:rFonts w:hint="eastAsia" w:ascii="宋体" w:hAnsi="宋体"/>
          <w:color w:val="auto"/>
          <w:szCs w:val="21"/>
          <w:highlight w:val="none"/>
        </w:rPr>
      </w:pPr>
      <w:r>
        <w:rPr>
          <w:rFonts w:ascii="宋体" w:hAnsi="宋体"/>
          <w:color w:val="auto"/>
          <w:szCs w:val="21"/>
          <w:highlight w:val="none"/>
        </w:rPr>
        <w:t>乙方依本合同约定向甲方提供的报告、资料、文件等内容及服务成果后，甲方即对上述内容享有充分、完整和排他的著作权和知识产权。未经甲方书面许可，乙方不得向任何第三方提供上述报告、资料、文件等内容及服务成果。即使向履行本合同有关的人员提供，也应注意保密并限于履行合同的必需范围。</w:t>
      </w:r>
    </w:p>
    <w:p>
      <w:pPr>
        <w:numPr>
          <w:ilvl w:val="0"/>
          <w:numId w:val="55"/>
        </w:numPr>
        <w:snapToGrid w:val="0"/>
        <w:spacing w:line="440" w:lineRule="exact"/>
        <w:ind w:left="0" w:firstLine="420" w:firstLineChars="200"/>
        <w:rPr>
          <w:rFonts w:hint="eastAsia" w:ascii="宋体" w:hAnsi="宋体"/>
          <w:color w:val="auto"/>
          <w:szCs w:val="21"/>
          <w:highlight w:val="none"/>
        </w:rPr>
      </w:pPr>
      <w:r>
        <w:rPr>
          <w:rFonts w:ascii="宋体" w:hAnsi="宋体"/>
          <w:color w:val="auto"/>
          <w:szCs w:val="21"/>
          <w:highlight w:val="none"/>
        </w:rPr>
        <w:t>乙方服务人员应履行保密义务。如乙方因违反本条约定给甲方造成损失的，乙方应当承担相应的法律责任，并赔偿由此给甲方造成的一切损失。</w:t>
      </w:r>
    </w:p>
    <w:p>
      <w:pPr>
        <w:numPr>
          <w:ilvl w:val="0"/>
          <w:numId w:val="55"/>
        </w:numPr>
        <w:snapToGrid w:val="0"/>
        <w:spacing w:line="440" w:lineRule="exact"/>
        <w:ind w:left="0" w:firstLine="420" w:firstLineChars="200"/>
        <w:rPr>
          <w:rFonts w:hint="eastAsia" w:ascii="宋体" w:hAnsi="宋体"/>
          <w:color w:val="auto"/>
          <w:szCs w:val="21"/>
          <w:highlight w:val="none"/>
        </w:rPr>
      </w:pPr>
      <w:r>
        <w:rPr>
          <w:rFonts w:ascii="宋体" w:hAnsi="宋体"/>
          <w:color w:val="auto"/>
          <w:szCs w:val="21"/>
          <w:highlight w:val="none"/>
        </w:rPr>
        <w:t>乙方按照合同约定收取服务费，当甲方出现无故拖欠费用时，乙方有权采取适当方式进行催缴，若甲方仍未支付费用，乙方有权停止工作。</w:t>
      </w:r>
    </w:p>
    <w:p>
      <w:pPr>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第四条　交付和验收</w:t>
      </w:r>
    </w:p>
    <w:p>
      <w:pPr>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一、交付时间和地点</w:t>
      </w:r>
    </w:p>
    <w:p>
      <w:pPr>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 1.交付时间：</w:t>
      </w:r>
    </w:p>
    <w:p>
      <w:pPr>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合同签订后，乙方按以下时间交付系统建设工作成果:</w:t>
      </w:r>
    </w:p>
    <w:p>
      <w:pPr>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（1）2026年5月底前，完成技术底座（即数据支撑平台和应用支撑平台）开发和部署工作。</w:t>
      </w:r>
    </w:p>
    <w:p>
      <w:pPr>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（2）2026年11月底前，完成全部系统功能开发并上线运行，完成项目中期检查。</w:t>
      </w:r>
    </w:p>
    <w:p>
      <w:pPr>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（3）2027年11月底前，根据系统运行情况，处理系统故障，完善系统功能；完成数据标准化、历史数据处理、数据标引、数据共享交换等数据治理工作；完成系统培训工作；完成项目初步验收。</w:t>
      </w:r>
    </w:p>
    <w:p>
      <w:pPr>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（4）2028年5月底前完成项目终验。</w:t>
      </w:r>
    </w:p>
    <w:p>
      <w:pPr>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 交付地点：南宁市</w:t>
      </w:r>
    </w:p>
    <w:p>
      <w:pPr>
        <w:snapToGrid w:val="0"/>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二、验收要求</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1.验收组织</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项目验收分为初验和终验，均由甲方进行组织，甲方与相关人员组成验收小组，对乙方提交的项目成果进行会议验收，通过验收组验收合格，即视为项目验收通过。</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2.中期检查</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乙方完成全部系统功能开发并上线运行后，提交中期检查书面申请及相关交付物。甲方收到申请，并确认乙方已完成对应的工作成果后，由甲方组织中期检查。</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项目中期检查应满足以下要求：</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（1）乙方完成全部系统功能开发工作，系统功能、性能及安全参数均达到甲方最终确认的需求标准和合同要求，并完成上线运行。</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（2）乙方须对系统功能、业务流程及系统接口等全面测试，测试范围包括系统功能、系统性能、可靠性、易用性及安全性等内容，并形成软件测试报告。</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（3）系统通过甲方组织的渗透测试，并完成高、中风险漏洞修复。</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（4）乙方需提供完备的中期检查交付物，包括：</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①开发服务成果：需求分析说明书、总体设计方案、详细设计说明书、数据库设计说明书、系统部署安装手册、用户操作手册、系统测试方案及测试报告、软件系统源代码（含详细代码注释说明、数据库脚本等），源代码须为可编译、可运行的原始代码，不得提供经过混淆、加密或压缩处理的代码。</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②实施类文档：项目实施方案。</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③检测类文档：软件测试报告。</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3.初步验收</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乙方完成系统运行期间的故障处理和功能完善，并完成数据治理工作后，提交项目初验书面申请及相关交付物。甲方收到申请，并确认乙方已完成对应的工作成果后，由甲方组织初步验收。甲方依据合同，对项目的工程、技术和档案等进行验收，形成初步验收报告。 </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项目初验应满足以下要求：</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（1）系统上线运行后，乙方应及时处理系统故障，完善系统功能，确保系统正常提供服务。所有系统运行期间系统的修改和软件变化都应由乙方写入开发、实施的相关文档中。 </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（2）完成数据标准化、历史数据处理、数据标引、数据共享交换等数据治理工作。 </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（3）根据甲方要求，分阶段、分对象完成系统培训工作。</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（4）系统通过甲方组织的渗透测试，并完成高、中风险漏洞修复。</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（5）乙方需提供完备的初步验收交付物。包括：</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①开发服务成果：需求分析说明书、总体设计方案、详细设计说明书、数据库设计说明书、系统部署安装手册、用户操作手册、培训手册、系统测试方案及测试报告、全部软件系统最新版本的源代码（含详细代码注释说明、数据库脚本等），源代码须为可编译、可运行的原始代码，不得提供经过混淆、加密或压缩处理的代码。</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②数据治理工作成果：数据标准化方案、旧系统数据分析报告、清洗后的旧系统数据资源、数据标引后的系统数据资源。</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③实施类文档：项目实施方案。</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4.项目终验</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乙方完成全部系统建设工作后，由乙方提出项目终验书面申请及相关交付物。甲方收到申请，并确认乙方已完成对应的工作成果后，由甲方组织项目终验。</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项目终验应满足以下要求：</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（1）乙方及时处理系统故障，完善系统功能，确保系统正常提供服务。所有系统运行期间系统的修改和软件变化都应由乙方写入开发、实施的相关文档中。</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2）甲方委托具备资质的第三方专业机构对系统进行密码应用安全性评估、网络安全等级保护测评、功能和性能测评，乙方委托具备资质的第三方专业机构开展代码审计工作。终验前乙方须确保密码应用安全性评估、网络安全等级保护测评、功能和性能测评、代码审计、渗透测试中出现的问题均已处理</w:t>
      </w:r>
      <w:r>
        <w:rPr>
          <w:rFonts w:hint="eastAsia"/>
          <w:color w:val="auto"/>
          <w:szCs w:val="21"/>
          <w:highlight w:val="none"/>
        </w:rPr>
        <w:t>，并</w:t>
      </w:r>
      <w:r>
        <w:rPr>
          <w:rFonts w:hint="eastAsia" w:eastAsia="宋体"/>
          <w:color w:val="auto"/>
          <w:szCs w:val="21"/>
          <w:highlight w:val="none"/>
          <w:shd w:val="clear" w:color="auto" w:fill="FFFFFF"/>
        </w:rPr>
        <w:t>取得合格的</w:t>
      </w:r>
      <w:r>
        <w:rPr>
          <w:color w:val="auto"/>
          <w:szCs w:val="21"/>
          <w:highlight w:val="none"/>
        </w:rPr>
        <w:t>密码应用安全</w:t>
      </w:r>
      <w:r>
        <w:rPr>
          <w:rFonts w:hint="eastAsia"/>
          <w:color w:val="auto"/>
          <w:szCs w:val="21"/>
          <w:highlight w:val="none"/>
        </w:rPr>
        <w:t>性</w:t>
      </w:r>
      <w:r>
        <w:rPr>
          <w:color w:val="auto"/>
          <w:szCs w:val="21"/>
          <w:highlight w:val="none"/>
        </w:rPr>
        <w:t>评估</w:t>
      </w:r>
      <w:r>
        <w:rPr>
          <w:rFonts w:hint="eastAsia"/>
          <w:color w:val="auto"/>
          <w:szCs w:val="21"/>
          <w:highlight w:val="none"/>
        </w:rPr>
        <w:t>报告</w:t>
      </w:r>
      <w:r>
        <w:rPr>
          <w:color w:val="auto"/>
          <w:szCs w:val="21"/>
          <w:highlight w:val="none"/>
        </w:rPr>
        <w:t>、网络安全等级保护测评</w:t>
      </w:r>
      <w:r>
        <w:rPr>
          <w:rFonts w:hint="eastAsia"/>
          <w:color w:val="auto"/>
          <w:szCs w:val="21"/>
          <w:highlight w:val="none"/>
        </w:rPr>
        <w:t>报告</w:t>
      </w:r>
      <w:r>
        <w:rPr>
          <w:color w:val="auto"/>
          <w:szCs w:val="21"/>
          <w:highlight w:val="none"/>
        </w:rPr>
        <w:t>、功能和性能测评</w:t>
      </w:r>
      <w:r>
        <w:rPr>
          <w:rFonts w:hint="eastAsia"/>
          <w:color w:val="auto"/>
          <w:szCs w:val="21"/>
          <w:highlight w:val="none"/>
        </w:rPr>
        <w:t>报告及</w:t>
      </w:r>
      <w:r>
        <w:rPr>
          <w:color w:val="auto"/>
          <w:szCs w:val="21"/>
          <w:highlight w:val="none"/>
        </w:rPr>
        <w:t>代码审计</w:t>
      </w:r>
      <w:r>
        <w:rPr>
          <w:rFonts w:hint="eastAsia"/>
          <w:color w:val="auto"/>
          <w:szCs w:val="21"/>
          <w:highlight w:val="none"/>
        </w:rPr>
        <w:t>报告</w:t>
      </w:r>
      <w:r>
        <w:rPr>
          <w:color w:val="auto"/>
          <w:szCs w:val="21"/>
          <w:highlight w:val="none"/>
        </w:rPr>
        <w:t>。</w:t>
      </w:r>
      <w:r>
        <w:rPr>
          <w:rFonts w:hint="eastAsia" w:ascii="宋体" w:hAnsi="宋体" w:cs="宋体"/>
          <w:bCs/>
          <w:color w:val="auto"/>
          <w:szCs w:val="21"/>
          <w:highlight w:val="none"/>
        </w:rPr>
        <w:t xml:space="preserve"> </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（3）终验前乙方须确保本项目已按合同要求完成全部系统建设工作，如未完成系统建设或相关工作，乙方继续进行项目实施，直至系统所有功能、性能及安全参数均达到甲方最终确认的需求标准和合同要求。</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（4）乙方需提供完备的项目终验交付物，包括：</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①开发类文档：需求分析说明书、总体设计方案、详细设计说明书、数据库设计说明书、系统安装部署手册、用户操作手册、培训手册、系统测试方案及测试报告、全部软件系统最新版本的源代码（含详细代码注释说明、数据库脚本等），源代码须为可编译、可运行的原始代码，不得提供经过混淆、加密或压缩处理的代码。 </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②数据治理工作成果：数据标准化方案、旧系统数据分析报告、清洗后的旧系统数据资源、数据标引后的系统数据资源。</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③实施类文档：项目实施方案、初步验收报告、项目巡检报告（含巡检记录）、项目总结报告。 </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④检测类文档：第三方代码审计报告 。 </w:t>
      </w:r>
    </w:p>
    <w:p>
      <w:pPr>
        <w:snapToGrid w:val="0"/>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第五条　部署和培训</w:t>
      </w:r>
    </w:p>
    <w:p>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1.甲方应提供必要系统部署安装条件（如运行环境、电源等）。</w:t>
      </w:r>
    </w:p>
    <w:p>
      <w:pPr>
        <w:snapToGrid w:val="0"/>
        <w:spacing w:line="440" w:lineRule="exact"/>
        <w:ind w:firstLine="420" w:firstLineChars="200"/>
        <w:rPr>
          <w:rFonts w:hint="eastAsia" w:ascii="宋体" w:hAnsi="宋体"/>
          <w:color w:val="auto"/>
          <w:szCs w:val="21"/>
          <w:highlight w:val="none"/>
          <w:u w:val="single"/>
        </w:rPr>
      </w:pPr>
      <w:r>
        <w:rPr>
          <w:rFonts w:ascii="宋体" w:hAnsi="宋体"/>
          <w:color w:val="auto"/>
          <w:szCs w:val="21"/>
          <w:highlight w:val="none"/>
        </w:rPr>
        <w:t>2.乙方负责甲方有关人员的培训。培训时间、地点：</w:t>
      </w:r>
      <w:r>
        <w:rPr>
          <w:rFonts w:ascii="宋体" w:hAnsi="宋体"/>
          <w:color w:val="auto"/>
          <w:szCs w:val="21"/>
          <w:highlight w:val="none"/>
          <w:u w:val="single"/>
        </w:rPr>
        <w:t xml:space="preserve"> 由甲方决定。</w:t>
      </w:r>
    </w:p>
    <w:p>
      <w:pPr>
        <w:snapToGrid w:val="0"/>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第六条  售后服务、质保期</w:t>
      </w:r>
    </w:p>
    <w:p>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1.乙方应按照国家有关法律法规和“三包”规定以及本合同所附的《售后服务承诺》，为甲方提供售后服务。</w:t>
      </w:r>
    </w:p>
    <w:p>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2.项目质保期：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3.乙方提供的服务承诺和售后服务及质保服务责任等其他具体约定事项详见合同附件。</w:t>
      </w:r>
    </w:p>
    <w:p>
      <w:pPr>
        <w:snapToGrid w:val="0"/>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第七条　付款方式</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1.乙方完成技术底座（即数据支撑平台和应用支撑平台）开发和部署工作，由乙方向甲方提出付款申请，甲方认可乙方已完成工作，由乙方开具等额、合法有效的发票，甲方在收到发票后10个工作日向乙方支付合同总价的40%。 </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2.项目完成中期检查后，由乙方向甲方提出付款申请并开具等额、合法有效的发票，甲方在收到发票后10个工作日内，向乙方支付合同总价的20%。 </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 xml:space="preserve">3.项目初验合格后，由乙方向甲方提出付款申请并开具等额、合法有效的发票，甲方在收到发票后10个工作日内，向乙方支付合同总价的28%。 </w:t>
      </w:r>
    </w:p>
    <w:p>
      <w:pPr>
        <w:snapToGrid w:val="0"/>
        <w:spacing w:line="44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4.项目终验合格后，由乙方向甲方提出付款申请并开具等额、合法有效的发票，甲方在收到发票后10个工作日内，向乙方支付合同总价的12%。</w:t>
      </w:r>
    </w:p>
    <w:p>
      <w:pPr>
        <w:snapToGrid w:val="0"/>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第八条　履约保证金</w:t>
      </w:r>
    </w:p>
    <w:p>
      <w:pPr>
        <w:spacing w:line="44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 本项目不需要缴</w:t>
      </w:r>
      <w:r>
        <w:rPr>
          <w:rFonts w:hint="eastAsia" w:ascii="宋体" w:hAnsi="宋体" w:cs="宋体"/>
          <w:b/>
          <w:bCs/>
          <w:color w:val="auto"/>
          <w:kern w:val="0"/>
          <w:szCs w:val="21"/>
          <w:highlight w:val="none"/>
        </w:rPr>
        <w:t>纳</w:t>
      </w:r>
      <w:r>
        <w:rPr>
          <w:rFonts w:hint="eastAsia" w:ascii="宋体" w:hAnsi="宋体" w:cs="宋体"/>
          <w:b/>
          <w:bCs/>
          <w:color w:val="auto"/>
          <w:szCs w:val="21"/>
          <w:highlight w:val="none"/>
        </w:rPr>
        <w:t>履约保证金。</w:t>
      </w:r>
    </w:p>
    <w:p>
      <w:pPr>
        <w:spacing w:line="44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 本项目需要缴</w:t>
      </w:r>
      <w:r>
        <w:rPr>
          <w:rFonts w:hint="eastAsia" w:ascii="宋体" w:hAnsi="宋体" w:cs="宋体"/>
          <w:b/>
          <w:bCs/>
          <w:color w:val="auto"/>
          <w:kern w:val="0"/>
          <w:szCs w:val="21"/>
          <w:highlight w:val="none"/>
        </w:rPr>
        <w:t>纳</w:t>
      </w:r>
      <w:r>
        <w:rPr>
          <w:rFonts w:hint="eastAsia" w:ascii="宋体" w:hAnsi="宋体" w:cs="宋体"/>
          <w:b/>
          <w:bCs/>
          <w:color w:val="auto"/>
          <w:szCs w:val="21"/>
          <w:highlight w:val="none"/>
        </w:rPr>
        <w:t>履约保证金，相关要求如下：</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1.履约保证金金额：按项目中标总金额的</w:t>
      </w:r>
      <w:r>
        <w:rPr>
          <w:rFonts w:hint="eastAsia" w:ascii="宋体" w:hAnsi="宋体" w:cs="宋体"/>
          <w:color w:val="auto"/>
          <w:szCs w:val="21"/>
          <w:highlight w:val="none"/>
          <w:u w:val="single"/>
        </w:rPr>
        <w:t xml:space="preserve"> 5  </w:t>
      </w:r>
      <w:r>
        <w:rPr>
          <w:rFonts w:hint="eastAsia" w:ascii="宋体" w:hAnsi="宋体" w:cs="宋体"/>
          <w:color w:val="auto"/>
          <w:szCs w:val="21"/>
          <w:highlight w:val="none"/>
        </w:rPr>
        <w:t>%。（乙方被认定为中小企业的，按合同金额的2%收取）</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2.履约保证金递交方式：乙方在签订合同前以银行转账、支票、汇票、本票或者金融机构、担保机构出具的保函等非现金方式向甲方提交。</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3.履约保证金退付方式、时间及条件：项目完成并验收合格，在乙方履行完合同约定的权利义务事项后且乙方无违约情形的，由乙方向甲方提供审签完成的《采购项目合同验收书》（格式见详见第五章，规定详见桂财采〔2015〕22号）及《采购项目履约保证金退付意见书》（格式后附），甲方在收到合格材料后5个工作日内办理退还手续（不计利息）。如最终验收与合同不符，全部履约保证金不予退还，而且由乙方按合同标的额的30%承担违约责任，并承担甲方为此而支付的一切损失（包括但不限于律师费、公证费、鉴定费、诉讼费、保全费、公告费、诉讼财产保全责任险保费等一切费用）。</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4.缴纳履约保证金的指定账户：</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 xml:space="preserve">开户名称：广西科技信息网络中心 </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 xml:space="preserve">开户银行：中国银行南宁新竹支行 </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 xml:space="preserve">银行账号：6132 6245 0112 </w:t>
      </w:r>
    </w:p>
    <w:p>
      <w:pPr>
        <w:snapToGrid w:val="0"/>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第九条　知识产权</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1.乙方同意甲方委托开发的系统所属的知识产权及其他一切合法权益归甲方所有。项目建设完成后形成的项目成果（如设计文件、源代码、测试文档、数据资源、数据接口等）及相关知识产权归甲方所有。</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2.乙方应保证甲方及其用户在使用过程中不受到第三方关于侵犯专利权等知识产权的指控。如果任何第三方提出侵权指控，乙方须与第三方交涉并承担可能发生的侵权等法律责任，如第三方要求赔偿经济损失的，由乙方承担，与采购方无关。</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3.乙方就本项目开发的软件，应向甲方提供全部源代码和不限次数的使用权以及二次开发权。甲方对本项目实施过程中所产生的所有成果（包括发明、发现、可运行系统、源代码、数据资源、数据接口及相关技术资料、文档等）享有永久免费使用权、复制权和修改权。除本项目工作所需外，未经甲方书面同意，乙方不得擅自使用、复制甲方的商标、标志、数据信息、文档、成果及其他资料。</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4.乙方在为采购方提供开发服务期间，出于项目的需要使用任何第三方的软件知识产权的产品，乙方必须确保所使用的第三方软件已获得合法授权，且授权范围覆盖服务甲方的需求，在不侵犯第三方合法权益的情况下使用，使用第三方产品产生的费用纳入本项目的开发成本。乙方应确保第三方软件的稳定性和安全性，避免因软件问题导致甲方数据泄露、服务中断等风险。若软件出现故障或侵权纠纷，乙方需承担相应法律责任。</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5.项目正式运行，系统中不应出现第三方LOGO及授权信息。</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6.乙方在为采购方提供开发服务期间使用乙方已有的获得国家认可知识产权的技术成果用于本项目的开发建设，产生费用的计入本项目的开发成本并及时向采购方申明。经采购方核实，确认属于专利成果的，采购方只享有该技术的使用权，在采购方的业务范围内可以充分使用，但不得用于其它商用目的，亦不得自行向第三方转让。乙方没有申明的，推定其属于开发服务成果，采购方可以使用这些成果进行相关的业务活动。即使日后证明实际上是属于专利成果的，乙方亦不得要求采购方承担任何法律责任。</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7.如因乙方提供开发服务导致任何第三方向甲方提出索赔的，由乙方承担相应的赔偿责任，与甲方无关。如应由甲方先行承担赔偿责任的，甲方有权要求乙方赔偿甲方因此遭受的全部损失，包括但不限于因此产生的律师费、诉讼费、保全费、保全保险费、差旅费等。</w:t>
      </w:r>
    </w:p>
    <w:p>
      <w:pPr>
        <w:snapToGrid w:val="0"/>
        <w:spacing w:line="440" w:lineRule="exact"/>
        <w:ind w:firstLine="420" w:firstLineChars="200"/>
        <w:textAlignment w:val="bottom"/>
        <w:rPr>
          <w:rFonts w:hint="eastAsia" w:ascii="宋体" w:hAnsi="宋体" w:cs="宋体"/>
          <w:color w:val="auto"/>
          <w:szCs w:val="21"/>
          <w:highlight w:val="none"/>
        </w:rPr>
      </w:pPr>
      <w:r>
        <w:rPr>
          <w:rFonts w:hint="eastAsia" w:ascii="宋体" w:hAnsi="宋体" w:cs="宋体"/>
          <w:color w:val="auto"/>
          <w:szCs w:val="21"/>
          <w:highlight w:val="none"/>
        </w:rPr>
        <w:t>8.乙方不能遵守上述承诺，导致甲方不能继续使用本项目标的的，甲方有权要求乙方免费为甲方重新开发符合上述知识产权承诺及本项目约定的技术水平的新系统。如甲方拒不履行上述约定的义务的，甲方有权要求乙方承担，因重新开发符合上述知识产权承诺及本项目约定的技术水平的新系统的费用，包括但不限于软件开发费、专家评审费、第三方测试（测评/检测费）、工程监理费等。</w:t>
      </w:r>
    </w:p>
    <w:p>
      <w:pPr>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第十条  税费</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pPr>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第十一条　违约责任</w:t>
      </w:r>
    </w:p>
    <w:p>
      <w:pPr>
        <w:snapToGrid w:val="0"/>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t>1. 若因乙方原因而未能履行合同或最终验收不合格的，甲方</w:t>
      </w:r>
      <w:r>
        <w:rPr>
          <w:rFonts w:hint="eastAsia" w:ascii="宋体" w:hAnsi="宋体"/>
          <w:color w:val="auto"/>
          <w:szCs w:val="21"/>
          <w:highlight w:val="none"/>
        </w:rPr>
        <w:t>有权</w:t>
      </w:r>
      <w:r>
        <w:rPr>
          <w:rFonts w:ascii="宋体" w:hAnsi="宋体"/>
          <w:color w:val="auto"/>
          <w:szCs w:val="21"/>
          <w:highlight w:val="none"/>
        </w:rPr>
        <w:t>解除合同，由此产生的费用由乙方承担</w:t>
      </w:r>
      <w:r>
        <w:rPr>
          <w:rFonts w:hint="eastAsia" w:ascii="宋体" w:hAnsi="宋体"/>
          <w:color w:val="auto"/>
          <w:szCs w:val="21"/>
          <w:highlight w:val="none"/>
        </w:rPr>
        <w:t>，给甲方造成其他损失的，乙方应进行赔偿，并承担甲方追究的其他违约责任。</w:t>
      </w:r>
    </w:p>
    <w:p>
      <w:pPr>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.乙方逾期交</w:t>
      </w:r>
      <w:r>
        <w:rPr>
          <w:rFonts w:hint="eastAsia" w:ascii="宋体" w:hAnsi="宋体"/>
          <w:color w:val="auto"/>
          <w:szCs w:val="21"/>
          <w:highlight w:val="none"/>
        </w:rPr>
        <w:t>付产品</w:t>
      </w:r>
      <w:r>
        <w:rPr>
          <w:rFonts w:ascii="宋体" w:hAnsi="宋体"/>
          <w:color w:val="auto"/>
          <w:szCs w:val="21"/>
          <w:highlight w:val="none"/>
        </w:rPr>
        <w:t>或服务成果的，</w:t>
      </w:r>
      <w:r>
        <w:rPr>
          <w:rFonts w:hint="eastAsia" w:ascii="宋体" w:hAnsi="宋体"/>
          <w:color w:val="auto"/>
          <w:szCs w:val="21"/>
          <w:highlight w:val="none"/>
        </w:rPr>
        <w:t>应</w:t>
      </w:r>
      <w:r>
        <w:rPr>
          <w:rFonts w:ascii="宋体" w:hAnsi="宋体"/>
          <w:color w:val="auto"/>
          <w:szCs w:val="21"/>
          <w:highlight w:val="none"/>
        </w:rPr>
        <w:t>向</w:t>
      </w:r>
      <w:r>
        <w:rPr>
          <w:rFonts w:hint="eastAsia" w:ascii="宋体" w:hAnsi="宋体"/>
          <w:color w:val="auto"/>
          <w:szCs w:val="21"/>
          <w:highlight w:val="none"/>
        </w:rPr>
        <w:t>甲</w:t>
      </w:r>
      <w:r>
        <w:rPr>
          <w:rFonts w:ascii="宋体" w:hAnsi="宋体"/>
          <w:color w:val="auto"/>
          <w:szCs w:val="21"/>
          <w:highlight w:val="none"/>
        </w:rPr>
        <w:t>方</w:t>
      </w:r>
      <w:r>
        <w:rPr>
          <w:rFonts w:hint="eastAsia" w:ascii="宋体" w:hAnsi="宋体"/>
          <w:color w:val="auto"/>
          <w:szCs w:val="21"/>
          <w:highlight w:val="none"/>
        </w:rPr>
        <w:t>支付</w:t>
      </w:r>
      <w:r>
        <w:rPr>
          <w:rFonts w:ascii="宋体" w:hAnsi="宋体"/>
          <w:color w:val="auto"/>
          <w:szCs w:val="21"/>
          <w:highlight w:val="none"/>
        </w:rPr>
        <w:t>违约</w:t>
      </w:r>
      <w:r>
        <w:rPr>
          <w:rFonts w:hint="eastAsia" w:ascii="宋体" w:hAnsi="宋体"/>
          <w:color w:val="auto"/>
          <w:szCs w:val="21"/>
          <w:highlight w:val="none"/>
        </w:rPr>
        <w:t>金，标准为合同总价</w:t>
      </w:r>
      <w:r>
        <w:rPr>
          <w:rFonts w:ascii="宋体" w:hAnsi="宋体"/>
          <w:color w:val="auto"/>
          <w:szCs w:val="21"/>
          <w:highlight w:val="none"/>
          <w:u w:val="single"/>
        </w:rPr>
        <w:t>3‰</w:t>
      </w:r>
      <w:r>
        <w:rPr>
          <w:rFonts w:ascii="宋体" w:hAnsi="宋体"/>
          <w:color w:val="auto"/>
          <w:szCs w:val="21"/>
          <w:highlight w:val="none"/>
        </w:rPr>
        <w:t>/</w:t>
      </w:r>
      <w:r>
        <w:rPr>
          <w:rFonts w:hint="eastAsia" w:ascii="宋体" w:hAnsi="宋体"/>
          <w:color w:val="auto"/>
          <w:szCs w:val="21"/>
          <w:highlight w:val="none"/>
        </w:rPr>
        <w:t>日</w:t>
      </w:r>
      <w:r>
        <w:rPr>
          <w:rFonts w:ascii="宋体" w:hAnsi="宋体"/>
          <w:color w:val="auto"/>
          <w:szCs w:val="21"/>
          <w:highlight w:val="none"/>
        </w:rPr>
        <w:t>，但违约金累计不得超过</w:t>
      </w:r>
      <w:r>
        <w:rPr>
          <w:rFonts w:hint="eastAsia" w:ascii="宋体" w:hAnsi="宋体"/>
          <w:color w:val="auto"/>
          <w:highlight w:val="none"/>
        </w:rPr>
        <w:t>合同总金额</w:t>
      </w:r>
      <w:r>
        <w:rPr>
          <w:rFonts w:ascii="宋体" w:hAnsi="宋体"/>
          <w:color w:val="auto"/>
          <w:szCs w:val="21"/>
          <w:highlight w:val="none"/>
          <w:u w:val="single"/>
        </w:rPr>
        <w:t>5%，</w:t>
      </w:r>
      <w:r>
        <w:rPr>
          <w:rFonts w:ascii="宋体" w:hAnsi="宋体"/>
          <w:color w:val="auto"/>
          <w:szCs w:val="21"/>
          <w:highlight w:val="none"/>
        </w:rPr>
        <w:t>甲方延期</w:t>
      </w:r>
      <w:r>
        <w:rPr>
          <w:rFonts w:hint="eastAsia" w:ascii="宋体" w:hAnsi="宋体"/>
          <w:color w:val="auto"/>
          <w:szCs w:val="21"/>
          <w:highlight w:val="none"/>
        </w:rPr>
        <w:t>支</w:t>
      </w:r>
      <w:r>
        <w:rPr>
          <w:rFonts w:ascii="宋体" w:hAnsi="宋体"/>
          <w:color w:val="auto"/>
          <w:szCs w:val="21"/>
          <w:highlight w:val="none"/>
        </w:rPr>
        <w:t>付</w:t>
      </w:r>
      <w:r>
        <w:rPr>
          <w:rFonts w:hint="eastAsia" w:ascii="宋体" w:hAnsi="宋体"/>
          <w:color w:val="auto"/>
          <w:szCs w:val="21"/>
          <w:highlight w:val="none"/>
        </w:rPr>
        <w:t>产品或服务费用</w:t>
      </w:r>
      <w:r>
        <w:rPr>
          <w:rFonts w:ascii="宋体" w:hAnsi="宋体"/>
          <w:color w:val="auto"/>
          <w:szCs w:val="21"/>
          <w:highlight w:val="none"/>
        </w:rPr>
        <w:t>的，</w:t>
      </w:r>
      <w:r>
        <w:rPr>
          <w:rFonts w:hint="eastAsia" w:ascii="宋体" w:hAnsi="宋体"/>
          <w:color w:val="auto"/>
          <w:szCs w:val="21"/>
          <w:highlight w:val="none"/>
        </w:rPr>
        <w:t>应</w:t>
      </w:r>
      <w:r>
        <w:rPr>
          <w:rFonts w:ascii="宋体" w:hAnsi="宋体"/>
          <w:color w:val="auto"/>
          <w:szCs w:val="21"/>
          <w:highlight w:val="none"/>
        </w:rPr>
        <w:t>向乙方</w:t>
      </w:r>
      <w:r>
        <w:rPr>
          <w:rFonts w:hint="eastAsia" w:ascii="宋体" w:hAnsi="宋体"/>
          <w:color w:val="auto"/>
          <w:szCs w:val="21"/>
          <w:highlight w:val="none"/>
        </w:rPr>
        <w:t>支</w:t>
      </w:r>
      <w:r>
        <w:rPr>
          <w:rFonts w:ascii="宋体" w:hAnsi="宋体"/>
          <w:color w:val="auto"/>
          <w:szCs w:val="21"/>
          <w:highlight w:val="none"/>
        </w:rPr>
        <w:t>付延期滞纳金</w:t>
      </w:r>
      <w:r>
        <w:rPr>
          <w:rFonts w:hint="eastAsia" w:ascii="宋体" w:hAnsi="宋体"/>
          <w:color w:val="auto"/>
          <w:szCs w:val="21"/>
          <w:highlight w:val="none"/>
        </w:rPr>
        <w:t>，标准为合同总价</w:t>
      </w:r>
      <w:r>
        <w:rPr>
          <w:rFonts w:ascii="宋体" w:hAnsi="宋体"/>
          <w:color w:val="auto"/>
          <w:szCs w:val="21"/>
          <w:highlight w:val="none"/>
        </w:rPr>
        <w:t>额</w:t>
      </w:r>
      <w:r>
        <w:rPr>
          <w:rFonts w:ascii="宋体" w:hAnsi="宋体"/>
          <w:color w:val="auto"/>
          <w:szCs w:val="21"/>
          <w:highlight w:val="none"/>
          <w:u w:val="single"/>
        </w:rPr>
        <w:t>3‰/</w:t>
      </w:r>
      <w:r>
        <w:rPr>
          <w:rFonts w:hint="eastAsia" w:ascii="宋体" w:hAnsi="宋体"/>
          <w:color w:val="auto"/>
          <w:szCs w:val="21"/>
          <w:highlight w:val="none"/>
          <w:u w:val="single"/>
        </w:rPr>
        <w:t>日</w:t>
      </w:r>
      <w:r>
        <w:rPr>
          <w:rFonts w:ascii="宋体" w:hAnsi="宋体"/>
          <w:color w:val="auto"/>
          <w:szCs w:val="21"/>
          <w:highlight w:val="none"/>
        </w:rPr>
        <w:t>，但滞纳金累计不得超过</w:t>
      </w:r>
      <w:r>
        <w:rPr>
          <w:rFonts w:hint="eastAsia" w:ascii="宋体" w:hAnsi="宋体"/>
          <w:color w:val="auto"/>
          <w:highlight w:val="none"/>
        </w:rPr>
        <w:t>合同总金额</w:t>
      </w:r>
      <w:r>
        <w:rPr>
          <w:rFonts w:ascii="宋体" w:hAnsi="宋体"/>
          <w:color w:val="auto"/>
          <w:szCs w:val="21"/>
          <w:highlight w:val="none"/>
          <w:u w:val="single"/>
        </w:rPr>
        <w:t>5%</w:t>
      </w:r>
      <w:r>
        <w:rPr>
          <w:rFonts w:ascii="宋体" w:hAnsi="宋体"/>
          <w:color w:val="auto"/>
          <w:szCs w:val="21"/>
          <w:highlight w:val="none"/>
        </w:rPr>
        <w:t>。</w:t>
      </w:r>
    </w:p>
    <w:p>
      <w:pPr>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 乙方未得到甲方同意，擅自更换项目负责人及服务团队成员时，甲方有权书面通知乙方解除合同，且无需支付合同解除后的合同后续费用。同时，乙方必须退还甲方已付出的所有服务费用，并赔偿由此给甲方造成的全部损失。</w:t>
      </w:r>
    </w:p>
    <w:p>
      <w:pPr>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.乙方或乙方人员违反保密义务时，甲方有权书面通知乙方解除合同，且无需支付合同解除后的合同后续费用。同时，乙方必须退还甲方已付出的所有咨询费用，并赔偿由此给甲方造成的全部损失。</w:t>
      </w:r>
    </w:p>
    <w:p>
      <w:pPr>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.乙方未按本合同和响应文件中规定的服务承诺提供售后服务的，乙方应按本合同</w:t>
      </w:r>
      <w:r>
        <w:rPr>
          <w:rFonts w:hint="eastAsia" w:ascii="宋体" w:hAnsi="宋体"/>
          <w:color w:val="auto"/>
          <w:szCs w:val="21"/>
          <w:highlight w:val="none"/>
        </w:rPr>
        <w:t>总</w:t>
      </w:r>
      <w:r>
        <w:rPr>
          <w:rFonts w:ascii="宋体" w:hAnsi="宋体"/>
          <w:color w:val="auto"/>
          <w:szCs w:val="21"/>
          <w:highlight w:val="none"/>
        </w:rPr>
        <w:t>金额</w:t>
      </w:r>
      <w:r>
        <w:rPr>
          <w:rFonts w:ascii="宋体" w:hAnsi="宋体"/>
          <w:color w:val="auto"/>
          <w:szCs w:val="21"/>
          <w:highlight w:val="none"/>
          <w:u w:val="single"/>
        </w:rPr>
        <w:t xml:space="preserve"> 5%</w:t>
      </w:r>
      <w:r>
        <w:rPr>
          <w:rFonts w:ascii="宋体" w:hAnsi="宋体"/>
          <w:color w:val="auto"/>
          <w:szCs w:val="21"/>
          <w:highlight w:val="none"/>
        </w:rPr>
        <w:t>向甲方支付违约金。</w:t>
      </w:r>
    </w:p>
    <w:p>
      <w:pPr>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ascii="宋体" w:hAnsi="宋体"/>
          <w:color w:val="auto"/>
          <w:szCs w:val="21"/>
          <w:highlight w:val="none"/>
        </w:rPr>
        <w:t>.乙方提供的</w:t>
      </w:r>
      <w:r>
        <w:rPr>
          <w:rFonts w:hint="eastAsia" w:ascii="宋体" w:hAnsi="宋体"/>
          <w:color w:val="auto"/>
          <w:szCs w:val="21"/>
          <w:highlight w:val="none"/>
        </w:rPr>
        <w:t>产品</w:t>
      </w:r>
      <w:r>
        <w:rPr>
          <w:rFonts w:ascii="宋体" w:hAnsi="宋体"/>
          <w:color w:val="auto"/>
          <w:szCs w:val="21"/>
          <w:highlight w:val="none"/>
        </w:rPr>
        <w:t>或服务成果在质量保证期内，因设计、工艺或材料的缺陷和其它质量原因造成的问题，由乙方负责，费用从质量保证金中扣除，质量保证金不足以支付的，由乙方另行支付。</w:t>
      </w:r>
    </w:p>
    <w:p>
      <w:pPr>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w:t>
      </w:r>
      <w:r>
        <w:rPr>
          <w:rFonts w:ascii="宋体" w:hAnsi="宋体"/>
          <w:color w:val="auto"/>
          <w:szCs w:val="21"/>
          <w:highlight w:val="none"/>
        </w:rPr>
        <w:t>.乙方提供的</w:t>
      </w:r>
      <w:r>
        <w:rPr>
          <w:rFonts w:hint="eastAsia" w:ascii="宋体" w:hAnsi="宋体"/>
          <w:color w:val="auto"/>
          <w:szCs w:val="21"/>
          <w:highlight w:val="none"/>
        </w:rPr>
        <w:t>产品</w:t>
      </w:r>
      <w:r>
        <w:rPr>
          <w:rFonts w:ascii="宋体" w:hAnsi="宋体"/>
          <w:color w:val="auto"/>
          <w:szCs w:val="21"/>
          <w:highlight w:val="none"/>
        </w:rPr>
        <w:t>或服务如侵犯了第三方合法权益而引发的任何纠纷或诉讼，均由乙方负责交涉并承担全部责任。</w:t>
      </w:r>
    </w:p>
    <w:p>
      <w:pPr>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w:t>
      </w:r>
      <w:r>
        <w:rPr>
          <w:rFonts w:ascii="宋体" w:hAnsi="宋体"/>
          <w:color w:val="auto"/>
          <w:szCs w:val="21"/>
          <w:highlight w:val="none"/>
        </w:rPr>
        <w:t>.其它违约行为按违约</w:t>
      </w:r>
      <w:r>
        <w:rPr>
          <w:rFonts w:hint="eastAsia" w:ascii="宋体" w:hAnsi="宋体"/>
          <w:color w:val="auto"/>
          <w:szCs w:val="21"/>
          <w:highlight w:val="none"/>
        </w:rPr>
        <w:t>部分产品</w:t>
      </w:r>
      <w:r>
        <w:rPr>
          <w:rFonts w:ascii="宋体" w:hAnsi="宋体"/>
          <w:color w:val="auto"/>
          <w:szCs w:val="21"/>
          <w:highlight w:val="none"/>
        </w:rPr>
        <w:t>或服务费用金额5%收取违约金并赔偿经济损失。</w:t>
      </w:r>
    </w:p>
    <w:p>
      <w:pPr>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w:t>
      </w:r>
      <w:r>
        <w:rPr>
          <w:rFonts w:ascii="宋体" w:hAnsi="宋体"/>
          <w:color w:val="auto"/>
          <w:szCs w:val="21"/>
          <w:highlight w:val="none"/>
        </w:rPr>
        <w:t>.</w:t>
      </w:r>
      <w:r>
        <w:rPr>
          <w:rFonts w:hint="eastAsia" w:ascii="宋体" w:hAnsi="宋体"/>
          <w:color w:val="auto"/>
          <w:szCs w:val="21"/>
          <w:highlight w:val="none"/>
        </w:rPr>
        <w:t>因甲方原因导致变更、中止或者终止政府采购合同的，应当依照合同约定对乙方受到的损失予以赔偿或者补偿。</w:t>
      </w:r>
      <w:r>
        <w:rPr>
          <w:rFonts w:ascii="宋体" w:hAnsi="宋体"/>
          <w:color w:val="auto"/>
          <w:szCs w:val="21"/>
          <w:highlight w:val="none"/>
        </w:rPr>
        <w:t>赔偿（补偿）标准：</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按实际损失赔偿</w:t>
      </w:r>
      <w:r>
        <w:rPr>
          <w:rFonts w:ascii="宋体" w:hAnsi="宋体"/>
          <w:color w:val="auto"/>
          <w:szCs w:val="21"/>
          <w:highlight w:val="none"/>
          <w:u w:val="single"/>
        </w:rPr>
        <w:t xml:space="preserve">  </w:t>
      </w:r>
      <w:r>
        <w:rPr>
          <w:rFonts w:hint="eastAsia" w:ascii="宋体" w:hAnsi="宋体"/>
          <w:color w:val="auto"/>
          <w:szCs w:val="21"/>
          <w:highlight w:val="none"/>
        </w:rPr>
        <w:t>。</w:t>
      </w:r>
    </w:p>
    <w:p>
      <w:pPr>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第十二条  不可抗力事件处理</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1.在合同有效期内，任何一方因不可抗力事件导致不能履行合同，则合同履行期可延长，其延长期与不可抗力影响期相同。</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3.不可抗力事件延续一百二十天以上，双方应通过友好协商，确定是否继续履行合同。</w:t>
      </w:r>
    </w:p>
    <w:p>
      <w:pPr>
        <w:spacing w:line="44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第十三条  合同争议解决</w:t>
      </w:r>
    </w:p>
    <w:p>
      <w:pPr>
        <w:snapToGrid w:val="0"/>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因</w:t>
      </w:r>
      <w:r>
        <w:rPr>
          <w:rFonts w:hint="eastAsia" w:ascii="宋体" w:hAnsi="宋体"/>
          <w:color w:val="auto"/>
          <w:szCs w:val="21"/>
          <w:highlight w:val="none"/>
        </w:rPr>
        <w:t>产品</w:t>
      </w:r>
      <w:r>
        <w:rPr>
          <w:rFonts w:ascii="宋体" w:hAnsi="宋体"/>
          <w:color w:val="auto"/>
          <w:szCs w:val="21"/>
          <w:highlight w:val="none"/>
        </w:rPr>
        <w:t>或服务成果质量问题</w:t>
      </w:r>
      <w:r>
        <w:rPr>
          <w:rFonts w:hint="eastAsia" w:ascii="宋体" w:hAnsi="宋体"/>
          <w:color w:val="auto"/>
          <w:szCs w:val="21"/>
          <w:highlight w:val="none"/>
        </w:rPr>
        <w:t>或验收结果</w:t>
      </w:r>
      <w:r>
        <w:rPr>
          <w:rFonts w:ascii="宋体" w:hAnsi="宋体"/>
          <w:color w:val="auto"/>
          <w:szCs w:val="21"/>
          <w:highlight w:val="none"/>
        </w:rPr>
        <w:t>发生争议的，应邀请国家认</w:t>
      </w:r>
      <w:r>
        <w:rPr>
          <w:rFonts w:hint="eastAsia" w:ascii="宋体" w:hAnsi="宋体"/>
          <w:color w:val="auto"/>
          <w:szCs w:val="21"/>
          <w:highlight w:val="none"/>
        </w:rPr>
        <w:t>定</w:t>
      </w:r>
      <w:r>
        <w:rPr>
          <w:rFonts w:ascii="宋体" w:hAnsi="宋体"/>
          <w:color w:val="auto"/>
          <w:szCs w:val="21"/>
          <w:highlight w:val="none"/>
        </w:rPr>
        <w:t>的质量检测机构按照国家标准对</w:t>
      </w:r>
      <w:r>
        <w:rPr>
          <w:rFonts w:hint="eastAsia" w:ascii="宋体" w:hAnsi="宋体"/>
          <w:color w:val="auto"/>
          <w:szCs w:val="21"/>
          <w:highlight w:val="none"/>
        </w:rPr>
        <w:t>产品</w:t>
      </w:r>
      <w:r>
        <w:rPr>
          <w:rFonts w:ascii="宋体" w:hAnsi="宋体"/>
          <w:color w:val="auto"/>
          <w:szCs w:val="21"/>
          <w:highlight w:val="none"/>
        </w:rPr>
        <w:t>或服务成果质量进行验收。</w:t>
      </w:r>
      <w:r>
        <w:rPr>
          <w:rFonts w:hint="eastAsia" w:ascii="宋体" w:hAnsi="宋体"/>
          <w:color w:val="auto"/>
          <w:szCs w:val="21"/>
          <w:highlight w:val="none"/>
        </w:rPr>
        <w:t>产品</w:t>
      </w:r>
      <w:r>
        <w:rPr>
          <w:rFonts w:ascii="宋体" w:hAnsi="宋体"/>
          <w:color w:val="auto"/>
          <w:szCs w:val="21"/>
          <w:highlight w:val="none"/>
        </w:rPr>
        <w:t>或服务成果符合国家标准的，鉴定费由甲方承担；</w:t>
      </w:r>
      <w:r>
        <w:rPr>
          <w:rFonts w:hint="eastAsia" w:ascii="宋体" w:hAnsi="宋体"/>
          <w:color w:val="auto"/>
          <w:szCs w:val="21"/>
          <w:highlight w:val="none"/>
        </w:rPr>
        <w:t>产品</w:t>
      </w:r>
      <w:r>
        <w:rPr>
          <w:rFonts w:ascii="宋体" w:hAnsi="宋体"/>
          <w:color w:val="auto"/>
          <w:szCs w:val="21"/>
          <w:highlight w:val="none"/>
        </w:rPr>
        <w:t>或服务成果不符合国家标准的，鉴定费由乙方承担。</w:t>
      </w:r>
    </w:p>
    <w:p>
      <w:pPr>
        <w:snapToGrid w:val="0"/>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因履行本合同引起的或与本合同有关的争议，甲乙双方应首先通过友好协商解决，如果协商不能解决，可向甲方所在地人民法院提起诉讼。</w:t>
      </w:r>
    </w:p>
    <w:p>
      <w:pPr>
        <w:snapToGrid w:val="0"/>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诉讼期间，本合同继续履行。</w:t>
      </w:r>
    </w:p>
    <w:p>
      <w:pPr>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第十四条  合同生效及其他</w:t>
      </w:r>
    </w:p>
    <w:p>
      <w:pPr>
        <w:snapToGrid w:val="0"/>
        <w:spacing w:line="44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1.合同履行地点为：南宁市 ；合同履行的方式： 按照本合同约定。</w:t>
      </w:r>
    </w:p>
    <w:p>
      <w:pPr>
        <w:snapToGrid w:val="0"/>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合同经双方法定代表人或授权代表签字并加盖单位公章后生效。</w:t>
      </w:r>
    </w:p>
    <w:p>
      <w:pPr>
        <w:snapToGrid w:val="0"/>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合同执行中涉及采购资金和采购内容修改或补充的，须经财政部门</w:t>
      </w:r>
      <w:r>
        <w:rPr>
          <w:rFonts w:hint="eastAsia" w:ascii="宋体" w:hAnsi="宋体"/>
          <w:color w:val="auto"/>
          <w:szCs w:val="21"/>
          <w:highlight w:val="none"/>
        </w:rPr>
        <w:t>备案</w:t>
      </w:r>
      <w:r>
        <w:rPr>
          <w:rFonts w:ascii="宋体" w:hAnsi="宋体"/>
          <w:color w:val="auto"/>
          <w:szCs w:val="21"/>
          <w:highlight w:val="none"/>
        </w:rPr>
        <w:t>，</w:t>
      </w:r>
      <w:r>
        <w:rPr>
          <w:rFonts w:hint="eastAsia" w:ascii="宋体" w:hAnsi="宋体"/>
          <w:color w:val="auto"/>
          <w:szCs w:val="21"/>
          <w:highlight w:val="none"/>
        </w:rPr>
        <w:t>经</w:t>
      </w:r>
      <w:r>
        <w:rPr>
          <w:rFonts w:ascii="宋体" w:hAnsi="宋体"/>
          <w:color w:val="auto"/>
          <w:szCs w:val="21"/>
          <w:highlight w:val="none"/>
        </w:rPr>
        <w:t>财政部门</w:t>
      </w:r>
      <w:r>
        <w:rPr>
          <w:rFonts w:hint="eastAsia" w:ascii="宋体" w:hAnsi="宋体"/>
          <w:color w:val="auto"/>
          <w:szCs w:val="21"/>
          <w:highlight w:val="none"/>
        </w:rPr>
        <w:t>同意后签订</w:t>
      </w:r>
      <w:r>
        <w:rPr>
          <w:rFonts w:ascii="宋体" w:hAnsi="宋体"/>
          <w:color w:val="auto"/>
          <w:szCs w:val="21"/>
          <w:highlight w:val="none"/>
        </w:rPr>
        <w:t>书面补充协议。</w:t>
      </w:r>
    </w:p>
    <w:p>
      <w:pPr>
        <w:snapToGrid w:val="0"/>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.如无特别说明，</w:t>
      </w:r>
      <w:r>
        <w:rPr>
          <w:rFonts w:ascii="宋体" w:hAnsi="宋体"/>
          <w:color w:val="auto"/>
          <w:szCs w:val="21"/>
          <w:highlight w:val="none"/>
        </w:rPr>
        <w:t>本合同使用货币币制为人民币</w:t>
      </w:r>
      <w:r>
        <w:rPr>
          <w:rFonts w:hint="eastAsia" w:ascii="宋体" w:hAnsi="宋体"/>
          <w:color w:val="auto"/>
          <w:szCs w:val="21"/>
          <w:highlight w:val="none"/>
        </w:rPr>
        <w:t>，使用单位为中国国家法定计量单位。</w:t>
      </w:r>
    </w:p>
    <w:p>
      <w:pPr>
        <w:snapToGrid w:val="0"/>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5.本合同中提及的招标与谈判、磋商、询价、单一来源采购为同一含义，提及的投标与响应为同一含义，提及的中标与成交为同一含义。</w:t>
      </w:r>
    </w:p>
    <w:p>
      <w:pPr>
        <w:snapToGrid w:val="0"/>
        <w:spacing w:line="44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6.</w:t>
      </w:r>
      <w:r>
        <w:rPr>
          <w:rFonts w:ascii="宋体" w:hAnsi="宋体"/>
          <w:color w:val="auto"/>
          <w:szCs w:val="21"/>
          <w:highlight w:val="none"/>
        </w:rPr>
        <w:t>本合同未尽事宜，遵照《</w:t>
      </w:r>
      <w:r>
        <w:rPr>
          <w:rFonts w:hint="eastAsia" w:ascii="宋体" w:hAnsi="宋体"/>
          <w:color w:val="auto"/>
          <w:szCs w:val="21"/>
          <w:highlight w:val="none"/>
        </w:rPr>
        <w:t>中华人民共和国民法典</w:t>
      </w:r>
      <w:r>
        <w:rPr>
          <w:rFonts w:ascii="宋体" w:hAnsi="宋体"/>
          <w:color w:val="auto"/>
          <w:szCs w:val="21"/>
          <w:highlight w:val="none"/>
        </w:rPr>
        <w:t>》有关条文执行。</w:t>
      </w:r>
    </w:p>
    <w:p>
      <w:pPr>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第十五条　合同的变更、终止与转让</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1.除《中华人民共和国政府采购法》第五十条规定的情形外，本合同一经签订，甲乙双方不得擅自变更、中止或者终止。</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2.乙方不得擅自转让其应履行的合同义务。</w:t>
      </w:r>
    </w:p>
    <w:p>
      <w:pPr>
        <w:spacing w:line="44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第十六条　本合同书与下列文件一起构成合同文件</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1.中标通知书；</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2.投标函</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3.商务条款偏离表和技术要求偏离表；</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4.采购需求；</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5.开标一览表；</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6.其他合同文件。</w:t>
      </w:r>
    </w:p>
    <w:p>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上述合同文件互相补充和解释。如果合同文件之间存在矛盾或者不一致之处，以上述文件的排列顺序在先者为准。</w:t>
      </w:r>
    </w:p>
    <w:p>
      <w:pPr>
        <w:spacing w:line="440" w:lineRule="exact"/>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第十七条　</w:t>
      </w:r>
      <w:r>
        <w:rPr>
          <w:rFonts w:hint="eastAsia" w:ascii="宋体" w:hAnsi="宋体" w:cs="宋体"/>
          <w:color w:val="auto"/>
          <w:szCs w:val="21"/>
          <w:highlight w:val="none"/>
        </w:rPr>
        <w:t>本合同一式陆份，具有同等法律效力，甲方执三份，乙方执二份，采购代理机构执一份。</w:t>
      </w:r>
    </w:p>
    <w:p>
      <w:pPr>
        <w:snapToGrid w:val="0"/>
        <w:spacing w:line="440" w:lineRule="exact"/>
        <w:ind w:firstLine="420" w:firstLineChars="200"/>
        <w:rPr>
          <w:rFonts w:hint="eastAsia" w:ascii="宋体" w:hAnsi="宋体"/>
          <w:color w:val="auto"/>
          <w:szCs w:val="21"/>
          <w:highlight w:val="none"/>
        </w:rPr>
      </w:pPr>
      <w:r>
        <w:rPr>
          <w:rFonts w:ascii="宋体" w:hAnsi="宋体"/>
          <w:color w:val="auto"/>
          <w:szCs w:val="21"/>
          <w:highlight w:val="none"/>
        </w:rPr>
        <w:t>本合同经甲乙双方法定代表人或</w:t>
      </w:r>
      <w:r>
        <w:rPr>
          <w:rFonts w:hint="eastAsia" w:ascii="宋体" w:hAnsi="宋体"/>
          <w:color w:val="auto"/>
          <w:szCs w:val="21"/>
          <w:highlight w:val="none"/>
        </w:rPr>
        <w:t>授权负责人</w:t>
      </w:r>
      <w:r>
        <w:rPr>
          <w:rFonts w:ascii="宋体" w:hAnsi="宋体"/>
          <w:color w:val="auto"/>
          <w:szCs w:val="21"/>
          <w:highlight w:val="none"/>
        </w:rPr>
        <w:t>签字并加盖单位公章后生效。</w:t>
      </w:r>
    </w:p>
    <w:tbl>
      <w:tblPr>
        <w:tblStyle w:val="25"/>
        <w:tblW w:w="9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2"/>
        <w:gridCol w:w="4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0"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甲方：（章）</w:t>
            </w:r>
          </w:p>
          <w:p>
            <w:pPr>
              <w:snapToGrid w:val="0"/>
              <w:spacing w:line="360" w:lineRule="auto"/>
              <w:rPr>
                <w:rFonts w:hint="eastAsia" w:ascii="宋体" w:hAnsi="宋体" w:cs="宋体"/>
                <w:color w:val="auto"/>
                <w:szCs w:val="21"/>
                <w:highlight w:val="none"/>
              </w:rPr>
            </w:pPr>
          </w:p>
          <w:p>
            <w:pPr>
              <w:snapToGrid w:val="0"/>
              <w:spacing w:line="360" w:lineRule="auto"/>
              <w:rPr>
                <w:rFonts w:hint="eastAsia" w:ascii="宋体" w:hAnsi="宋体" w:cs="宋体"/>
                <w:color w:val="auto"/>
                <w:szCs w:val="21"/>
                <w:highlight w:val="none"/>
              </w:rPr>
            </w:pPr>
          </w:p>
          <w:p>
            <w:pPr>
              <w:snapToGrid w:val="0"/>
              <w:spacing w:line="360" w:lineRule="auto"/>
              <w:ind w:firstLine="945" w:firstLineChars="450"/>
              <w:jc w:val="right"/>
              <w:rPr>
                <w:rFonts w:hint="eastAsia" w:ascii="宋体" w:hAnsi="宋体" w:cs="宋体"/>
                <w:color w:val="auto"/>
                <w:szCs w:val="21"/>
                <w:highlight w:val="none"/>
              </w:rPr>
            </w:pPr>
          </w:p>
          <w:p>
            <w:pPr>
              <w:snapToGrid w:val="0"/>
              <w:spacing w:line="360" w:lineRule="auto"/>
              <w:ind w:firstLine="945" w:firstLineChars="450"/>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乙方：（章）       </w:t>
            </w:r>
          </w:p>
          <w:p>
            <w:pPr>
              <w:snapToGrid w:val="0"/>
              <w:spacing w:line="360" w:lineRule="auto"/>
              <w:rPr>
                <w:rFonts w:hint="eastAsia" w:ascii="宋体" w:hAnsi="宋体" w:cs="宋体"/>
                <w:color w:val="auto"/>
                <w:szCs w:val="21"/>
                <w:highlight w:val="none"/>
              </w:rPr>
            </w:pP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w:t>
            </w:r>
          </w:p>
          <w:p>
            <w:pPr>
              <w:snapToGrid w:val="0"/>
              <w:spacing w:line="360" w:lineRule="auto"/>
              <w:jc w:val="right"/>
              <w:rPr>
                <w:rFonts w:hint="eastAsia" w:ascii="宋体" w:hAnsi="宋体" w:cs="宋体"/>
                <w:color w:val="auto"/>
                <w:szCs w:val="21"/>
                <w:highlight w:val="none"/>
              </w:rPr>
            </w:pPr>
          </w:p>
          <w:p>
            <w:pPr>
              <w:snapToGrid w:val="0"/>
              <w:spacing w:line="360" w:lineRule="auto"/>
              <w:jc w:val="right"/>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rPr>
                <w:rFonts w:hint="eastAsia" w:ascii="宋体" w:hAnsi="宋体" w:cs="宋体"/>
                <w:color w:val="auto"/>
                <w:szCs w:val="21"/>
                <w:highlight w:val="none"/>
              </w:rPr>
            </w:pPr>
            <w:r>
              <w:rPr>
                <w:rFonts w:hint="eastAsia" w:ascii="宋体" w:hAnsi="宋体" w:cs="宋体"/>
                <w:color w:val="auto"/>
                <w:szCs w:val="21"/>
                <w:highlight w:val="none"/>
              </w:rPr>
              <w:t xml:space="preserve">单位地址： </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rPr>
                <w:rFonts w:hint="eastAsia" w:ascii="宋体" w:hAnsi="宋体" w:cs="宋体"/>
                <w:color w:val="auto"/>
                <w:szCs w:val="21"/>
                <w:highlight w:val="none"/>
              </w:rPr>
            </w:pPr>
            <w:r>
              <w:rPr>
                <w:rFonts w:hint="eastAsia" w:ascii="宋体" w:hAnsi="宋体" w:cs="宋体"/>
                <w:color w:val="auto"/>
                <w:szCs w:val="21"/>
                <w:highlight w:val="none"/>
              </w:rPr>
              <w:t xml:space="preserve">单位地址：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rPr>
                <w:rFonts w:hint="eastAsia" w:ascii="宋体" w:hAnsi="宋体" w:cs="宋体"/>
                <w:color w:val="auto"/>
                <w:szCs w:val="21"/>
                <w:highlight w:val="none"/>
              </w:rPr>
            </w:pPr>
            <w:r>
              <w:rPr>
                <w:rFonts w:hint="eastAsia" w:ascii="宋体" w:hAnsi="宋体" w:cs="宋体"/>
                <w:color w:val="auto"/>
                <w:szCs w:val="21"/>
                <w:highlight w:val="none"/>
              </w:rPr>
              <w:t>法定代表人或</w:t>
            </w:r>
          </w:p>
          <w:p>
            <w:pPr>
              <w:snapToGrid w:val="0"/>
              <w:spacing w:line="440" w:lineRule="exact"/>
              <w:rPr>
                <w:rFonts w:hint="eastAsia" w:ascii="宋体" w:hAnsi="宋体" w:cs="宋体"/>
                <w:color w:val="auto"/>
                <w:szCs w:val="21"/>
                <w:highlight w:val="none"/>
              </w:rPr>
            </w:pPr>
            <w:r>
              <w:rPr>
                <w:rFonts w:hint="eastAsia" w:ascii="宋体" w:hAnsi="宋体"/>
                <w:color w:val="auto"/>
                <w:szCs w:val="21"/>
                <w:highlight w:val="none"/>
              </w:rPr>
              <w:t>授权负责人</w:t>
            </w:r>
            <w:r>
              <w:rPr>
                <w:rFonts w:hint="eastAsia" w:ascii="宋体" w:hAnsi="宋体" w:cs="宋体"/>
                <w:color w:val="auto"/>
                <w:szCs w:val="21"/>
                <w:highlight w:val="none"/>
              </w:rPr>
              <w:t>：</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rPr>
                <w:rFonts w:hint="eastAsia" w:ascii="宋体" w:hAnsi="宋体" w:cs="宋体"/>
                <w:color w:val="auto"/>
                <w:szCs w:val="21"/>
                <w:highlight w:val="none"/>
              </w:rPr>
            </w:pPr>
            <w:r>
              <w:rPr>
                <w:rFonts w:hint="eastAsia" w:ascii="宋体" w:hAnsi="宋体" w:cs="宋体"/>
                <w:color w:val="auto"/>
                <w:szCs w:val="21"/>
                <w:highlight w:val="none"/>
              </w:rPr>
              <w:t>法定代表人或</w:t>
            </w:r>
          </w:p>
          <w:p>
            <w:pPr>
              <w:snapToGrid w:val="0"/>
              <w:spacing w:line="440" w:lineRule="exact"/>
              <w:rPr>
                <w:rFonts w:hint="eastAsia" w:ascii="宋体" w:hAnsi="宋体" w:cs="宋体"/>
                <w:color w:val="auto"/>
                <w:szCs w:val="21"/>
                <w:highlight w:val="none"/>
              </w:rPr>
            </w:pPr>
            <w:r>
              <w:rPr>
                <w:rFonts w:hint="eastAsia" w:ascii="宋体" w:hAnsi="宋体"/>
                <w:color w:val="auto"/>
                <w:szCs w:val="21"/>
                <w:highlight w:val="none"/>
              </w:rPr>
              <w:t>授权负责人</w:t>
            </w:r>
            <w:r>
              <w:rPr>
                <w:rFonts w:hint="eastAsia" w:ascii="宋体" w:hAnsi="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5"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pPr>
              <w:snapToGrid w:val="0"/>
              <w:rPr>
                <w:rFonts w:hint="eastAsia" w:ascii="宋体" w:hAnsi="宋体" w:cs="宋体"/>
                <w:color w:val="auto"/>
                <w:szCs w:val="21"/>
                <w:highlight w:val="none"/>
              </w:rPr>
            </w:pPr>
            <w:r>
              <w:rPr>
                <w:rFonts w:hint="eastAsia" w:ascii="宋体" w:hAnsi="宋体" w:cs="宋体"/>
                <w:color w:val="auto"/>
                <w:szCs w:val="21"/>
                <w:highlight w:val="none"/>
              </w:rPr>
              <w:t>项目联系人：</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rPr>
                <w:rFonts w:hint="eastAsia" w:ascii="宋体" w:hAnsi="宋体" w:cs="宋体"/>
                <w:color w:val="auto"/>
                <w:szCs w:val="21"/>
                <w:highlight w:val="none"/>
              </w:rPr>
            </w:pPr>
            <w:r>
              <w:rPr>
                <w:rFonts w:hint="eastAsia" w:ascii="宋体" w:hAnsi="宋体" w:cs="宋体"/>
                <w:color w:val="auto"/>
                <w:szCs w:val="21"/>
                <w:highlight w:val="none"/>
              </w:rPr>
              <w:t>项目联系人：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rPr>
                <w:rFonts w:hint="eastAsia" w:ascii="宋体" w:hAnsi="宋体" w:cs="宋体"/>
                <w:color w:val="auto"/>
                <w:szCs w:val="21"/>
                <w:highlight w:val="none"/>
              </w:rPr>
            </w:pPr>
            <w:r>
              <w:rPr>
                <w:rFonts w:hint="eastAsia" w:ascii="宋体" w:hAnsi="宋体" w:cs="宋体"/>
                <w:color w:val="auto"/>
                <w:szCs w:val="21"/>
                <w:highlight w:val="none"/>
              </w:rPr>
              <w:t>电话：</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rPr>
                <w:rFonts w:hint="eastAsia" w:ascii="宋体" w:hAnsi="宋体" w:cs="宋体"/>
                <w:color w:val="auto"/>
                <w:szCs w:val="21"/>
                <w:highlight w:val="none"/>
              </w:rPr>
            </w:pPr>
            <w:r>
              <w:rPr>
                <w:rFonts w:hint="eastAsia" w:ascii="宋体" w:hAnsi="宋体" w:cs="宋体"/>
                <w:color w:val="auto"/>
                <w:szCs w:val="21"/>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rPr>
                <w:rFonts w:hint="eastAsia" w:ascii="宋体" w:hAnsi="宋体" w:cs="宋体"/>
                <w:color w:val="auto"/>
                <w:szCs w:val="21"/>
                <w:highlight w:val="none"/>
              </w:rPr>
            </w:pPr>
            <w:r>
              <w:rPr>
                <w:rFonts w:hint="eastAsia" w:ascii="宋体" w:hAnsi="宋体" w:cs="宋体"/>
                <w:color w:val="auto"/>
                <w:szCs w:val="21"/>
                <w:highlight w:val="none"/>
              </w:rPr>
              <w:t>账号：</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rPr>
                <w:rFonts w:hint="eastAsia" w:ascii="宋体" w:hAnsi="宋体" w:cs="宋体"/>
                <w:color w:val="auto"/>
                <w:szCs w:val="21"/>
                <w:highlight w:val="none"/>
              </w:rPr>
            </w:pPr>
            <w:r>
              <w:rPr>
                <w:rFonts w:hint="eastAsia" w:ascii="宋体" w:hAnsi="宋体" w:cs="宋体"/>
                <w:color w:val="auto"/>
                <w:szCs w:val="21"/>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58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rPr>
                <w:rFonts w:hint="eastAsia" w:ascii="宋体" w:hAnsi="宋体" w:cs="宋体"/>
                <w:color w:val="auto"/>
                <w:szCs w:val="21"/>
                <w:highlight w:val="none"/>
              </w:rPr>
            </w:pPr>
            <w:r>
              <w:rPr>
                <w:rFonts w:hint="eastAsia" w:ascii="宋体" w:hAnsi="宋体" w:cs="宋体"/>
                <w:color w:val="auto"/>
                <w:szCs w:val="21"/>
                <w:highlight w:val="none"/>
              </w:rPr>
              <w:t>邮政编码：</w:t>
            </w:r>
          </w:p>
        </w:tc>
        <w:tc>
          <w:tcPr>
            <w:tcW w:w="458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rPr>
                <w:rFonts w:hint="eastAsia" w:ascii="宋体" w:hAnsi="宋体" w:cs="宋体"/>
                <w:color w:val="auto"/>
                <w:szCs w:val="21"/>
                <w:highlight w:val="none"/>
              </w:rPr>
            </w:pPr>
            <w:r>
              <w:rPr>
                <w:rFonts w:hint="eastAsia" w:ascii="宋体" w:hAnsi="宋体" w:cs="宋体"/>
                <w:color w:val="auto"/>
                <w:szCs w:val="21"/>
                <w:highlight w:val="none"/>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916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80" w:lineRule="exact"/>
              <w:rPr>
                <w:rFonts w:hint="eastAsia" w:ascii="宋体" w:hAnsi="宋体"/>
                <w:color w:val="auto"/>
                <w:szCs w:val="21"/>
                <w:highlight w:val="none"/>
              </w:rPr>
            </w:pPr>
            <w:r>
              <w:rPr>
                <w:rFonts w:ascii="宋体" w:hAnsi="宋体"/>
                <w:color w:val="auto"/>
                <w:szCs w:val="21"/>
                <w:highlight w:val="none"/>
              </w:rPr>
              <w:t>经办人：</w:t>
            </w:r>
          </w:p>
          <w:p>
            <w:pPr>
              <w:snapToGrid w:val="0"/>
              <w:spacing w:line="360" w:lineRule="auto"/>
              <w:jc w:val="right"/>
              <w:rPr>
                <w:rFonts w:hint="eastAsia" w:ascii="宋体" w:hAnsi="宋体" w:cs="宋体"/>
                <w:color w:val="auto"/>
                <w:szCs w:val="21"/>
                <w:highlight w:val="none"/>
              </w:rPr>
            </w:pPr>
            <w:r>
              <w:rPr>
                <w:rFonts w:ascii="宋体" w:hAnsi="宋体"/>
                <w:color w:val="auto"/>
                <w:szCs w:val="21"/>
                <w:highlight w:val="none"/>
              </w:rPr>
              <w:t>年    月    日</w:t>
            </w:r>
          </w:p>
        </w:tc>
      </w:tr>
    </w:tbl>
    <w:p>
      <w:pPr>
        <w:tabs>
          <w:tab w:val="left" w:pos="-1470"/>
          <w:tab w:val="left" w:pos="525"/>
        </w:tabs>
        <w:spacing w:line="440" w:lineRule="exact"/>
        <w:ind w:firstLine="420" w:firstLineChars="200"/>
        <w:rPr>
          <w:rFonts w:hint="eastAsia" w:ascii="宋体" w:hAnsi="宋体"/>
          <w:color w:val="auto"/>
          <w:szCs w:val="21"/>
          <w:highlight w:val="none"/>
        </w:rPr>
      </w:pPr>
    </w:p>
    <w:p>
      <w:pPr>
        <w:tabs>
          <w:tab w:val="left" w:pos="-1470"/>
          <w:tab w:val="left" w:pos="525"/>
        </w:tabs>
        <w:spacing w:line="440" w:lineRule="exact"/>
        <w:ind w:firstLine="420" w:firstLineChars="200"/>
        <w:rPr>
          <w:rFonts w:hint="eastAsia" w:ascii="宋体" w:hAnsi="宋体"/>
          <w:color w:val="auto"/>
          <w:szCs w:val="21"/>
          <w:highlight w:val="none"/>
        </w:rPr>
      </w:pPr>
    </w:p>
    <w:p>
      <w:pPr>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br w:type="page"/>
      </w:r>
    </w:p>
    <w:p>
      <w:pPr>
        <w:snapToGrid w:val="0"/>
        <w:spacing w:line="360" w:lineRule="exact"/>
        <w:jc w:val="center"/>
        <w:rPr>
          <w:rFonts w:hint="eastAsia" w:ascii="宋体" w:hAnsi="宋体"/>
          <w:b/>
          <w:bCs/>
          <w:color w:val="auto"/>
          <w:szCs w:val="21"/>
          <w:highlight w:val="none"/>
        </w:rPr>
      </w:pPr>
      <w:r>
        <w:rPr>
          <w:rFonts w:hint="eastAsia" w:ascii="宋体" w:hAnsi="宋体" w:cs="宋体"/>
          <w:b/>
          <w:bCs/>
          <w:color w:val="auto"/>
          <w:kern w:val="0"/>
          <w:sz w:val="32"/>
          <w:szCs w:val="32"/>
          <w:highlight w:val="none"/>
        </w:rPr>
        <w:t>广西壮族自治区政府采购项目合同验收书</w:t>
      </w:r>
    </w:p>
    <w:p>
      <w:pPr>
        <w:snapToGrid w:val="0"/>
        <w:spacing w:before="100" w:beforeAutospacing="1" w:after="100" w:afterAutospacing="1" w:line="320" w:lineRule="exact"/>
        <w:ind w:left="-359" w:leftChars="-171" w:firstLine="420" w:firstLineChars="200"/>
        <w:rPr>
          <w:rFonts w:hint="eastAsia" w:ascii="宋体" w:hAnsi="宋体"/>
          <w:color w:val="auto"/>
          <w:szCs w:val="21"/>
          <w:highlight w:val="none"/>
        </w:rPr>
      </w:pPr>
      <w:r>
        <w:rPr>
          <w:rFonts w:ascii="宋体" w:hAnsi="宋体"/>
          <w:color w:val="auto"/>
          <w:szCs w:val="21"/>
          <w:highlight w:val="none"/>
        </w:rPr>
        <w:t>根据政府采购项目（</w:t>
      </w:r>
      <w:r>
        <w:rPr>
          <w:rFonts w:ascii="宋体" w:hAnsi="宋体"/>
          <w:color w:val="auto"/>
          <w:szCs w:val="21"/>
          <w:highlight w:val="none"/>
          <w:u w:val="single"/>
        </w:rPr>
        <w:t>采购合同编号：</w:t>
      </w:r>
      <w:r>
        <w:rPr>
          <w:rFonts w:hint="eastAsia" w:ascii="宋体" w:hAnsi="宋体" w:cs="Arial"/>
          <w:color w:val="auto"/>
          <w:szCs w:val="21"/>
          <w:highlight w:val="none"/>
          <w:u w:val="single"/>
        </w:rPr>
        <w:t xml:space="preserve">XXXX </w:t>
      </w:r>
      <w:r>
        <w:rPr>
          <w:rFonts w:ascii="宋体" w:hAnsi="宋体"/>
          <w:color w:val="auto"/>
          <w:szCs w:val="21"/>
          <w:highlight w:val="none"/>
        </w:rPr>
        <w:t>）的约定，我单位对（</w:t>
      </w:r>
      <w:r>
        <w:rPr>
          <w:rFonts w:hint="eastAsia" w:ascii="宋体" w:hAnsi="宋体" w:cs="Arial"/>
          <w:color w:val="auto"/>
          <w:szCs w:val="21"/>
          <w:highlight w:val="none"/>
          <w:u w:val="single"/>
        </w:rPr>
        <w:t>XXXX采购项目</w:t>
      </w:r>
      <w:r>
        <w:rPr>
          <w:rFonts w:ascii="宋体" w:hAnsi="宋体"/>
          <w:color w:val="auto"/>
          <w:szCs w:val="21"/>
          <w:highlight w:val="none"/>
        </w:rPr>
        <w:t>）政府采购项目中标（或成交）供应商</w:t>
      </w:r>
      <w:r>
        <w:rPr>
          <w:rFonts w:hint="eastAsia" w:ascii="宋体" w:hAnsi="宋体"/>
          <w:color w:val="auto"/>
          <w:szCs w:val="21"/>
          <w:highlight w:val="none"/>
          <w:u w:val="single"/>
        </w:rPr>
        <w:t>XX公司（填写供应商名称）</w:t>
      </w:r>
      <w:r>
        <w:rPr>
          <w:rFonts w:ascii="宋体" w:hAnsi="宋体"/>
          <w:color w:val="auto"/>
          <w:szCs w:val="21"/>
          <w:highlight w:val="none"/>
        </w:rPr>
        <w:t>提供的</w:t>
      </w:r>
      <w:r>
        <w:rPr>
          <w:rFonts w:hint="eastAsia" w:ascii="宋体" w:hAnsi="宋体"/>
          <w:color w:val="auto"/>
          <w:szCs w:val="21"/>
          <w:highlight w:val="none"/>
        </w:rPr>
        <w:t>服务（或工程、货物）</w:t>
      </w:r>
      <w:r>
        <w:rPr>
          <w:rFonts w:ascii="宋体" w:hAnsi="宋体"/>
          <w:color w:val="auto"/>
          <w:szCs w:val="21"/>
          <w:highlight w:val="none"/>
        </w:rPr>
        <w:t>进行了验收，验收情况如下：</w:t>
      </w:r>
    </w:p>
    <w:tbl>
      <w:tblPr>
        <w:tblStyle w:val="25"/>
        <w:tblW w:w="962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61"/>
        <w:gridCol w:w="866"/>
        <w:gridCol w:w="977"/>
        <w:gridCol w:w="2263"/>
        <w:gridCol w:w="1608"/>
        <w:gridCol w:w="850"/>
        <w:gridCol w:w="242"/>
        <w:gridCol w:w="21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1" w:hRule="atLeast"/>
          <w:jc w:val="center"/>
        </w:trPr>
        <w:tc>
          <w:tcPr>
            <w:tcW w:w="2504" w:type="dxa"/>
            <w:gridSpan w:val="3"/>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left="-3" w:firstLine="4" w:firstLineChars="2"/>
              <w:jc w:val="center"/>
              <w:rPr>
                <w:rFonts w:hint="eastAsia" w:ascii="宋体" w:hAnsi="宋体"/>
                <w:color w:val="auto"/>
                <w:szCs w:val="21"/>
                <w:highlight w:val="none"/>
              </w:rPr>
            </w:pPr>
            <w:r>
              <w:rPr>
                <w:rFonts w:ascii="宋体" w:hAnsi="宋体"/>
                <w:color w:val="auto"/>
                <w:szCs w:val="21"/>
                <w:highlight w:val="none"/>
              </w:rPr>
              <w:t>验收方式：</w:t>
            </w:r>
          </w:p>
        </w:tc>
        <w:tc>
          <w:tcPr>
            <w:tcW w:w="7123" w:type="dxa"/>
            <w:gridSpan w:val="5"/>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left="-3" w:firstLine="420" w:firstLineChars="200"/>
              <w:jc w:val="center"/>
              <w:rPr>
                <w:rFonts w:hint="eastAsia" w:ascii="宋体" w:hAnsi="宋体"/>
                <w:color w:val="auto"/>
                <w:szCs w:val="21"/>
                <w:highlight w:val="none"/>
              </w:rPr>
            </w:pPr>
            <w:r>
              <w:rPr>
                <w:rFonts w:ascii="宋体" w:hAnsi="宋体" w:cs="Arial"/>
                <w:color w:val="auto"/>
                <w:szCs w:val="21"/>
                <w:highlight w:val="none"/>
              </w:rPr>
              <w:t>□</w:t>
            </w:r>
            <w:r>
              <w:rPr>
                <w:rFonts w:ascii="宋体" w:hAnsi="宋体"/>
                <w:color w:val="auto"/>
                <w:szCs w:val="21"/>
                <w:highlight w:val="none"/>
              </w:rPr>
              <w:t>自行验收        </w:t>
            </w:r>
            <w:r>
              <w:rPr>
                <w:rFonts w:ascii="宋体" w:hAnsi="宋体" w:cs="Arial"/>
                <w:color w:val="auto"/>
                <w:szCs w:val="21"/>
                <w:highlight w:val="none"/>
              </w:rPr>
              <w:sym w:font="Wingdings 2" w:char="00A3"/>
            </w:r>
            <w:r>
              <w:rPr>
                <w:rFonts w:ascii="宋体" w:hAnsi="宋体"/>
                <w:color w:val="auto"/>
                <w:szCs w:val="21"/>
                <w:highlight w:val="none"/>
              </w:rPr>
              <w:t>委托验收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4" w:hRule="atLeast"/>
          <w:jc w:val="center"/>
        </w:trPr>
        <w:tc>
          <w:tcPr>
            <w:tcW w:w="661" w:type="dxa"/>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firstLine="2" w:firstLineChars="1"/>
              <w:jc w:val="center"/>
              <w:rPr>
                <w:rFonts w:hint="eastAsia" w:ascii="宋体" w:hAnsi="宋体"/>
                <w:color w:val="auto"/>
                <w:szCs w:val="21"/>
                <w:highlight w:val="none"/>
              </w:rPr>
            </w:pPr>
            <w:r>
              <w:rPr>
                <w:rFonts w:ascii="宋体" w:hAnsi="宋体"/>
                <w:color w:val="auto"/>
                <w:szCs w:val="21"/>
                <w:highlight w:val="none"/>
              </w:rPr>
              <w:t>序号</w:t>
            </w:r>
          </w:p>
        </w:tc>
        <w:tc>
          <w:tcPr>
            <w:tcW w:w="1843" w:type="dxa"/>
            <w:gridSpan w:val="2"/>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left="-3" w:firstLine="2" w:firstLineChars="1"/>
              <w:jc w:val="center"/>
              <w:rPr>
                <w:rFonts w:hint="eastAsia" w:ascii="宋体" w:hAnsi="宋体"/>
                <w:color w:val="auto"/>
                <w:szCs w:val="21"/>
                <w:highlight w:val="none"/>
              </w:rPr>
            </w:pPr>
            <w:r>
              <w:rPr>
                <w:rFonts w:ascii="宋体" w:hAnsi="宋体"/>
                <w:color w:val="auto"/>
                <w:szCs w:val="21"/>
                <w:highlight w:val="none"/>
              </w:rPr>
              <w:t>名  称</w:t>
            </w:r>
          </w:p>
        </w:tc>
        <w:tc>
          <w:tcPr>
            <w:tcW w:w="3871" w:type="dxa"/>
            <w:gridSpan w:val="2"/>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left="-3" w:firstLine="2" w:firstLineChars="1"/>
              <w:jc w:val="center"/>
              <w:rPr>
                <w:rFonts w:hint="eastAsia" w:ascii="宋体" w:hAnsi="宋体"/>
                <w:color w:val="auto"/>
                <w:szCs w:val="21"/>
                <w:highlight w:val="none"/>
              </w:rPr>
            </w:pPr>
            <w:r>
              <w:rPr>
                <w:rFonts w:ascii="宋体" w:hAnsi="宋体"/>
                <w:color w:val="auto"/>
                <w:szCs w:val="21"/>
                <w:highlight w:val="none"/>
              </w:rPr>
              <w:t>服务内容、标准等</w:t>
            </w:r>
          </w:p>
        </w:tc>
        <w:tc>
          <w:tcPr>
            <w:tcW w:w="850" w:type="dxa"/>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jc w:val="center"/>
              <w:rPr>
                <w:rFonts w:hint="eastAsia" w:ascii="宋体" w:hAnsi="宋体"/>
                <w:color w:val="auto"/>
                <w:szCs w:val="21"/>
                <w:highlight w:val="none"/>
              </w:rPr>
            </w:pPr>
            <w:r>
              <w:rPr>
                <w:rFonts w:ascii="宋体" w:hAnsi="宋体"/>
                <w:color w:val="auto"/>
                <w:szCs w:val="21"/>
                <w:highlight w:val="none"/>
              </w:rPr>
              <w:t>数量</w:t>
            </w:r>
          </w:p>
        </w:tc>
        <w:tc>
          <w:tcPr>
            <w:tcW w:w="2402" w:type="dxa"/>
            <w:gridSpan w:val="2"/>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left="-3" w:firstLine="2" w:firstLineChars="1"/>
              <w:jc w:val="center"/>
              <w:rPr>
                <w:rFonts w:hint="eastAsia" w:ascii="宋体" w:hAnsi="宋体"/>
                <w:color w:val="auto"/>
                <w:szCs w:val="21"/>
                <w:highlight w:val="none"/>
              </w:rPr>
            </w:pPr>
            <w:r>
              <w:rPr>
                <w:rFonts w:ascii="宋体" w:hAnsi="宋体"/>
                <w:color w:val="auto"/>
                <w:szCs w:val="21"/>
                <w:highlight w:val="none"/>
              </w:rPr>
              <w:t>金  额</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61" w:type="dxa"/>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left="-3" w:firstLine="4" w:firstLineChars="2"/>
              <w:jc w:val="center"/>
              <w:rPr>
                <w:rFonts w:hint="eastAsia" w:ascii="宋体" w:hAnsi="宋体"/>
                <w:color w:val="auto"/>
                <w:szCs w:val="21"/>
                <w:highlight w:val="none"/>
              </w:rPr>
            </w:pPr>
            <w:r>
              <w:rPr>
                <w:rFonts w:ascii="宋体" w:hAnsi="宋体"/>
                <w:color w:val="auto"/>
                <w:szCs w:val="21"/>
                <w:highlight w:val="none"/>
              </w:rPr>
              <w:t>1</w:t>
            </w:r>
          </w:p>
        </w:tc>
        <w:tc>
          <w:tcPr>
            <w:tcW w:w="1843" w:type="dxa"/>
            <w:gridSpan w:val="2"/>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left="-3" w:firstLine="420" w:firstLineChars="200"/>
              <w:rPr>
                <w:rFonts w:hint="eastAsia" w:ascii="宋体" w:hAnsi="宋体"/>
                <w:color w:val="auto"/>
                <w:szCs w:val="21"/>
                <w:highlight w:val="none"/>
              </w:rPr>
            </w:pPr>
          </w:p>
        </w:tc>
        <w:tc>
          <w:tcPr>
            <w:tcW w:w="3871" w:type="dxa"/>
            <w:gridSpan w:val="2"/>
            <w:tcBorders>
              <w:top w:val="single" w:color="auto" w:sz="8" w:space="0"/>
              <w:left w:val="single" w:color="auto" w:sz="8" w:space="0"/>
              <w:bottom w:val="single" w:color="auto" w:sz="8" w:space="0"/>
              <w:right w:val="single" w:color="auto" w:sz="8" w:space="0"/>
            </w:tcBorders>
            <w:vAlign w:val="center"/>
          </w:tcPr>
          <w:p>
            <w:pPr>
              <w:spacing w:before="120" w:after="120"/>
              <w:rPr>
                <w:rFonts w:hint="eastAsia" w:ascii="宋体" w:hAnsi="宋体"/>
                <w:color w:val="auto"/>
                <w:szCs w:val="21"/>
                <w:highlight w:val="none"/>
              </w:rPr>
            </w:pPr>
          </w:p>
        </w:tc>
        <w:tc>
          <w:tcPr>
            <w:tcW w:w="850" w:type="dxa"/>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jc w:val="center"/>
              <w:rPr>
                <w:rFonts w:hint="eastAsia" w:ascii="宋体" w:hAnsi="宋体"/>
                <w:color w:val="auto"/>
                <w:szCs w:val="21"/>
                <w:highlight w:val="none"/>
              </w:rPr>
            </w:pPr>
            <w:r>
              <w:rPr>
                <w:rFonts w:ascii="宋体" w:hAnsi="宋体"/>
                <w:color w:val="auto"/>
                <w:szCs w:val="21"/>
                <w:highlight w:val="none"/>
              </w:rPr>
              <w:t>1套</w:t>
            </w:r>
          </w:p>
        </w:tc>
        <w:tc>
          <w:tcPr>
            <w:tcW w:w="2402" w:type="dxa"/>
            <w:gridSpan w:val="2"/>
            <w:tcBorders>
              <w:top w:val="single" w:color="auto" w:sz="8" w:space="0"/>
              <w:left w:val="single" w:color="auto" w:sz="8" w:space="0"/>
              <w:bottom w:val="single" w:color="auto" w:sz="8" w:space="0"/>
              <w:right w:val="single" w:color="auto" w:sz="8" w:space="0"/>
            </w:tcBorders>
            <w:vAlign w:val="center"/>
          </w:tcPr>
          <w:p>
            <w:pPr>
              <w:spacing w:before="120" w:after="120"/>
              <w:jc w:val="center"/>
              <w:rPr>
                <w:rFonts w:hint="eastAsia" w:ascii="宋体" w:hAnsi="宋体"/>
                <w:color w:val="auto"/>
                <w:szCs w:val="21"/>
                <w:highlight w:val="none"/>
              </w:rPr>
            </w:pPr>
            <w:r>
              <w:rPr>
                <w:rFonts w:ascii="宋体" w:hAnsi="宋体"/>
                <w:color w:val="auto"/>
                <w:szCs w:val="21"/>
                <w:highlight w:val="none"/>
              </w:rPr>
              <w:t>¥0.00元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375" w:type="dxa"/>
            <w:gridSpan w:val="5"/>
            <w:tcBorders>
              <w:top w:val="single" w:color="auto" w:sz="8" w:space="0"/>
              <w:left w:val="single" w:color="auto" w:sz="8" w:space="0"/>
              <w:bottom w:val="single" w:color="auto" w:sz="8" w:space="0"/>
              <w:right w:val="single" w:color="auto" w:sz="8" w:space="0"/>
            </w:tcBorders>
            <w:vAlign w:val="center"/>
          </w:tcPr>
          <w:p>
            <w:pPr>
              <w:spacing w:before="120" w:after="120"/>
              <w:jc w:val="center"/>
              <w:rPr>
                <w:rFonts w:hint="eastAsia" w:ascii="宋体" w:hAnsi="宋体"/>
                <w:color w:val="auto"/>
                <w:szCs w:val="21"/>
                <w:highlight w:val="none"/>
              </w:rPr>
            </w:pPr>
            <w:r>
              <w:rPr>
                <w:rFonts w:ascii="宋体" w:hAnsi="宋体"/>
                <w:color w:val="auto"/>
                <w:szCs w:val="21"/>
                <w:highlight w:val="none"/>
              </w:rPr>
              <w:t>合 计</w:t>
            </w:r>
          </w:p>
        </w:tc>
        <w:tc>
          <w:tcPr>
            <w:tcW w:w="850" w:type="dxa"/>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jc w:val="center"/>
              <w:rPr>
                <w:rFonts w:hint="eastAsia" w:ascii="宋体" w:hAnsi="宋体"/>
                <w:color w:val="auto"/>
                <w:szCs w:val="21"/>
                <w:highlight w:val="none"/>
              </w:rPr>
            </w:pPr>
          </w:p>
        </w:tc>
        <w:tc>
          <w:tcPr>
            <w:tcW w:w="2402" w:type="dxa"/>
            <w:gridSpan w:val="2"/>
            <w:tcBorders>
              <w:top w:val="single" w:color="auto" w:sz="8" w:space="0"/>
              <w:left w:val="single" w:color="auto" w:sz="8" w:space="0"/>
              <w:bottom w:val="single" w:color="auto" w:sz="8" w:space="0"/>
              <w:right w:val="single" w:color="auto" w:sz="8" w:space="0"/>
            </w:tcBorders>
            <w:vAlign w:val="center"/>
          </w:tcPr>
          <w:p>
            <w:pPr>
              <w:spacing w:before="120" w:after="120"/>
              <w:jc w:val="center"/>
              <w:rPr>
                <w:rFonts w:hint="eastAsia" w:ascii="宋体" w:hAnsi="宋体"/>
                <w:color w:val="auto"/>
                <w:szCs w:val="21"/>
                <w:highlight w:val="none"/>
              </w:rPr>
            </w:pPr>
            <w:r>
              <w:rPr>
                <w:rFonts w:ascii="宋体" w:hAnsi="宋体"/>
                <w:color w:val="auto"/>
                <w:szCs w:val="21"/>
                <w:highlight w:val="none"/>
              </w:rPr>
              <w:t>¥0.00元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5" w:hRule="atLeast"/>
          <w:jc w:val="center"/>
        </w:trPr>
        <w:tc>
          <w:tcPr>
            <w:tcW w:w="9627" w:type="dxa"/>
            <w:gridSpan w:val="8"/>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firstLine="105" w:firstLineChars="50"/>
              <w:rPr>
                <w:rFonts w:hint="eastAsia" w:ascii="宋体" w:hAnsi="宋体"/>
                <w:color w:val="auto"/>
                <w:szCs w:val="21"/>
                <w:highlight w:val="none"/>
              </w:rPr>
            </w:pPr>
            <w:r>
              <w:rPr>
                <w:rFonts w:ascii="宋体" w:hAnsi="宋体"/>
                <w:color w:val="auto"/>
                <w:szCs w:val="21"/>
                <w:highlight w:val="none"/>
              </w:rPr>
              <w:t>合计大写金额：人民币元整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9" w:hRule="atLeast"/>
          <w:jc w:val="center"/>
        </w:trPr>
        <w:tc>
          <w:tcPr>
            <w:tcW w:w="1527" w:type="dxa"/>
            <w:gridSpan w:val="2"/>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firstLine="105" w:firstLineChars="50"/>
              <w:rPr>
                <w:rFonts w:hint="eastAsia" w:ascii="宋体" w:hAnsi="宋体" w:cs="宋体"/>
                <w:color w:val="auto"/>
                <w:szCs w:val="21"/>
                <w:highlight w:val="none"/>
              </w:rPr>
            </w:pPr>
            <w:r>
              <w:rPr>
                <w:rFonts w:ascii="宋体" w:hAnsi="宋体" w:cs="宋体"/>
                <w:color w:val="auto"/>
                <w:szCs w:val="21"/>
                <w:highlight w:val="none"/>
              </w:rPr>
              <w:t>实际交付日期</w:t>
            </w:r>
          </w:p>
        </w:tc>
        <w:tc>
          <w:tcPr>
            <w:tcW w:w="3240" w:type="dxa"/>
            <w:gridSpan w:val="2"/>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firstLine="420" w:firstLineChars="200"/>
              <w:rPr>
                <w:rFonts w:hint="eastAsia" w:ascii="宋体" w:hAnsi="宋体" w:cs="宋体"/>
                <w:color w:val="auto"/>
                <w:szCs w:val="21"/>
                <w:highlight w:val="none"/>
              </w:rPr>
            </w:pPr>
            <w:r>
              <w:rPr>
                <w:rFonts w:ascii="宋体" w:hAnsi="宋体" w:cs="宋体"/>
                <w:color w:val="auto"/>
                <w:szCs w:val="21"/>
                <w:highlight w:val="none"/>
              </w:rPr>
              <w:t>20  年  月  日</w:t>
            </w:r>
          </w:p>
        </w:tc>
        <w:tc>
          <w:tcPr>
            <w:tcW w:w="2700" w:type="dxa"/>
            <w:gridSpan w:val="3"/>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firstLine="39" w:firstLineChars="19"/>
              <w:jc w:val="center"/>
              <w:rPr>
                <w:rFonts w:hint="eastAsia" w:ascii="宋体" w:hAnsi="宋体" w:cs="宋体"/>
                <w:color w:val="auto"/>
                <w:szCs w:val="21"/>
                <w:highlight w:val="none"/>
              </w:rPr>
            </w:pPr>
            <w:r>
              <w:rPr>
                <w:rFonts w:ascii="宋体" w:hAnsi="宋体" w:cs="宋体"/>
                <w:color w:val="auto"/>
                <w:szCs w:val="21"/>
                <w:highlight w:val="none"/>
              </w:rPr>
              <w:t>合同交付验收日期</w:t>
            </w:r>
          </w:p>
        </w:tc>
        <w:tc>
          <w:tcPr>
            <w:tcW w:w="2160" w:type="dxa"/>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exact"/>
              <w:ind w:firstLine="420" w:firstLineChars="200"/>
              <w:rPr>
                <w:rFonts w:hint="eastAsia" w:ascii="宋体" w:hAnsi="宋体" w:cs="宋体"/>
                <w:color w:val="auto"/>
                <w:szCs w:val="21"/>
                <w:highlight w:val="none"/>
              </w:rPr>
            </w:pPr>
            <w:r>
              <w:rPr>
                <w:rFonts w:ascii="宋体" w:hAnsi="宋体" w:cs="宋体"/>
                <w:color w:val="auto"/>
                <w:szCs w:val="21"/>
                <w:highlight w:val="none"/>
              </w:rPr>
              <w:t>20  年  月  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527"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napToGrid w:val="0"/>
              <w:spacing w:before="100" w:beforeAutospacing="1" w:after="100" w:afterAutospacing="1" w:line="320" w:lineRule="exact"/>
              <w:rPr>
                <w:rFonts w:hint="eastAsia" w:ascii="宋体" w:hAnsi="宋体" w:cs="宋体"/>
                <w:color w:val="auto"/>
                <w:szCs w:val="21"/>
                <w:highlight w:val="none"/>
              </w:rPr>
            </w:pPr>
            <w:r>
              <w:rPr>
                <w:rFonts w:ascii="宋体" w:hAnsi="宋体" w:cs="宋体"/>
                <w:color w:val="auto"/>
                <w:szCs w:val="21"/>
                <w:highlight w:val="none"/>
              </w:rPr>
              <w:t>验收具体内容</w:t>
            </w:r>
          </w:p>
        </w:tc>
        <w:tc>
          <w:tcPr>
            <w:tcW w:w="8100" w:type="dxa"/>
            <w:gridSpan w:val="6"/>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20" w:after="120"/>
              <w:rPr>
                <w:rFonts w:hint="eastAsia" w:ascii="宋体" w:hAnsi="宋体" w:cs="宋体"/>
                <w:color w:val="auto"/>
                <w:szCs w:val="21"/>
                <w:highlight w:val="none"/>
              </w:rPr>
            </w:pPr>
            <w:r>
              <w:rPr>
                <w:rFonts w:hint="eastAsia" w:ascii="宋体" w:hAnsi="宋体" w:cs="宋体"/>
                <w:color w:val="auto"/>
                <w:szCs w:val="21"/>
                <w:highlight w:val="none"/>
              </w:rPr>
              <w:t>（核对</w:t>
            </w:r>
            <w:r>
              <w:rPr>
                <w:rFonts w:ascii="宋体" w:hAnsi="宋体" w:cs="宋体"/>
                <w:color w:val="auto"/>
                <w:szCs w:val="21"/>
                <w:highlight w:val="none"/>
              </w:rPr>
              <w:t>中标人所提供服务的内容</w:t>
            </w:r>
            <w:r>
              <w:rPr>
                <w:rFonts w:hint="eastAsia" w:ascii="宋体" w:hAnsi="宋体" w:cs="宋体"/>
                <w:color w:val="auto"/>
                <w:szCs w:val="21"/>
                <w:highlight w:val="none"/>
              </w:rPr>
              <w:t>是否</w:t>
            </w:r>
            <w:r>
              <w:rPr>
                <w:rFonts w:ascii="宋体" w:hAnsi="宋体" w:cs="宋体"/>
                <w:color w:val="auto"/>
                <w:szCs w:val="21"/>
                <w:highlight w:val="none"/>
              </w:rPr>
              <w:t>满足采购合同约定的要求、标准。</w:t>
            </w:r>
            <w:r>
              <w:rPr>
                <w:rFonts w:hint="eastAsia" w:ascii="宋体" w:hAnsi="宋体" w:cs="宋体"/>
                <w:color w:val="auto"/>
                <w:szCs w:val="21"/>
                <w:highlight w:val="none"/>
              </w:rPr>
              <w:t>）</w:t>
            </w:r>
          </w:p>
          <w:p>
            <w:pPr>
              <w:spacing w:before="120" w:after="120"/>
              <w:rPr>
                <w:rFonts w:hint="eastAsia" w:ascii="宋体" w:hAnsi="宋体" w:cs="宋体"/>
                <w:color w:val="auto"/>
                <w:szCs w:val="21"/>
                <w:highlight w:val="none"/>
              </w:rPr>
            </w:pPr>
          </w:p>
          <w:p>
            <w:pPr>
              <w:spacing w:before="120" w:after="120"/>
              <w:rPr>
                <w:rFonts w:hint="eastAsia" w:ascii="宋体" w:hAnsi="宋体" w:cs="宋体"/>
                <w:color w:val="auto"/>
                <w:szCs w:val="21"/>
                <w:highlight w:val="none"/>
              </w:rPr>
            </w:pPr>
          </w:p>
          <w:p>
            <w:pPr>
              <w:spacing w:before="120" w:after="120"/>
              <w:rPr>
                <w:rFonts w:hint="eastAsia" w:ascii="宋体" w:hAnsi="宋体" w:cs="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6" w:hRule="atLeast"/>
          <w:jc w:val="center"/>
        </w:trPr>
        <w:tc>
          <w:tcPr>
            <w:tcW w:w="1527" w:type="dxa"/>
            <w:gridSpan w:val="2"/>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20" w:lineRule="exact"/>
              <w:rPr>
                <w:rFonts w:hint="eastAsia" w:ascii="宋体" w:hAnsi="宋体" w:cs="宋体"/>
                <w:color w:val="auto"/>
                <w:szCs w:val="21"/>
                <w:highlight w:val="none"/>
              </w:rPr>
            </w:pPr>
            <w:r>
              <w:rPr>
                <w:rFonts w:ascii="宋体" w:hAnsi="宋体" w:cs="宋体"/>
                <w:color w:val="auto"/>
                <w:szCs w:val="21"/>
                <w:highlight w:val="none"/>
              </w:rPr>
              <w:t>验收小组意见</w:t>
            </w:r>
          </w:p>
        </w:tc>
        <w:tc>
          <w:tcPr>
            <w:tcW w:w="8100" w:type="dxa"/>
            <w:gridSpan w:val="6"/>
            <w:tcBorders>
              <w:top w:val="single" w:color="auto" w:sz="8" w:space="0"/>
              <w:left w:val="single" w:color="auto" w:sz="8" w:space="0"/>
              <w:bottom w:val="single" w:color="auto" w:sz="4" w:space="0"/>
              <w:right w:val="single" w:color="auto" w:sz="8" w:space="0"/>
            </w:tcBorders>
            <w:vAlign w:val="center"/>
          </w:tcPr>
          <w:p>
            <w:pPr>
              <w:spacing w:before="100" w:beforeAutospacing="1" w:after="100" w:afterAutospacing="1" w:line="320" w:lineRule="exact"/>
              <w:ind w:firstLine="210" w:firstLineChars="100"/>
              <w:rPr>
                <w:rFonts w:hint="eastAsia" w:ascii="宋体" w:hAnsi="宋体" w:cs="宋体"/>
                <w:color w:val="auto"/>
                <w:szCs w:val="21"/>
                <w:highlight w:val="none"/>
              </w:rPr>
            </w:pPr>
            <w:r>
              <w:rPr>
                <w:rFonts w:ascii="宋体" w:hAnsi="宋体" w:cs="宋体"/>
                <w:color w:val="auto"/>
                <w:szCs w:val="21"/>
                <w:highlight w:val="none"/>
              </w:rPr>
              <w:t>验收结论性意见：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7" w:hRule="atLeast"/>
          <w:jc w:val="center"/>
        </w:trPr>
        <w:tc>
          <w:tcPr>
            <w:tcW w:w="1527" w:type="dxa"/>
            <w:gridSpan w:val="2"/>
            <w:vMerge w:val="continue"/>
            <w:tcBorders>
              <w:top w:val="single" w:color="auto" w:sz="8" w:space="0"/>
              <w:left w:val="single" w:color="auto" w:sz="8" w:space="0"/>
              <w:bottom w:val="single" w:color="auto" w:sz="8" w:space="0"/>
              <w:right w:val="single" w:color="auto" w:sz="8" w:space="0"/>
            </w:tcBorders>
            <w:vAlign w:val="center"/>
          </w:tcPr>
          <w:p>
            <w:pPr>
              <w:spacing w:line="320" w:lineRule="exact"/>
              <w:rPr>
                <w:rFonts w:hint="eastAsia" w:ascii="宋体" w:hAnsi="宋体" w:cs="宋体"/>
                <w:color w:val="auto"/>
                <w:szCs w:val="21"/>
                <w:highlight w:val="none"/>
              </w:rPr>
            </w:pPr>
          </w:p>
        </w:tc>
        <w:tc>
          <w:tcPr>
            <w:tcW w:w="8100" w:type="dxa"/>
            <w:gridSpan w:val="6"/>
            <w:tcBorders>
              <w:top w:val="single" w:color="auto" w:sz="4" w:space="0"/>
              <w:left w:val="single" w:color="auto" w:sz="8" w:space="0"/>
              <w:bottom w:val="single" w:color="auto" w:sz="8" w:space="0"/>
              <w:right w:val="single" w:color="auto" w:sz="8" w:space="0"/>
            </w:tcBorders>
            <w:vAlign w:val="center"/>
          </w:tcPr>
          <w:p>
            <w:pPr>
              <w:spacing w:before="120" w:after="120"/>
              <w:ind w:firstLine="210" w:firstLineChars="100"/>
              <w:rPr>
                <w:rFonts w:hint="eastAsia" w:ascii="宋体" w:hAnsi="宋体" w:cs="宋体"/>
                <w:color w:val="auto"/>
                <w:szCs w:val="21"/>
                <w:highlight w:val="none"/>
              </w:rPr>
            </w:pPr>
            <w:r>
              <w:rPr>
                <w:rFonts w:ascii="宋体" w:hAnsi="宋体" w:cs="宋体"/>
                <w:color w:val="auto"/>
                <w:szCs w:val="21"/>
                <w:highlight w:val="none"/>
              </w:rPr>
              <w:t>有异议的意见和说明理由：</w:t>
            </w:r>
          </w:p>
          <w:p>
            <w:pPr>
              <w:spacing w:before="120" w:after="120"/>
              <w:ind w:firstLine="5880" w:firstLineChars="2800"/>
              <w:rPr>
                <w:rFonts w:hint="eastAsia" w:ascii="宋体" w:hAnsi="宋体" w:cs="宋体"/>
                <w:color w:val="auto"/>
                <w:szCs w:val="21"/>
                <w:highlight w:val="none"/>
              </w:rPr>
            </w:pPr>
            <w:r>
              <w:rPr>
                <w:rFonts w:ascii="宋体" w:hAnsi="宋体" w:cs="宋体"/>
                <w:color w:val="auto"/>
                <w:szCs w:val="21"/>
                <w:highlight w:val="none"/>
              </w:rPr>
              <w:t>签字：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331" w:hRule="atLeast"/>
          <w:jc w:val="center"/>
        </w:trPr>
        <w:tc>
          <w:tcPr>
            <w:tcW w:w="9627" w:type="dxa"/>
            <w:gridSpan w:val="8"/>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20" w:lineRule="exact"/>
              <w:rPr>
                <w:rFonts w:hint="eastAsia" w:ascii="宋体" w:hAnsi="宋体"/>
                <w:color w:val="auto"/>
                <w:szCs w:val="21"/>
                <w:highlight w:val="none"/>
              </w:rPr>
            </w:pPr>
            <w:r>
              <w:rPr>
                <w:rFonts w:ascii="宋体" w:hAnsi="宋体"/>
                <w:color w:val="auto"/>
                <w:szCs w:val="21"/>
                <w:highlight w:val="none"/>
              </w:rPr>
              <w:t>验收小组成员签字：</w:t>
            </w:r>
          </w:p>
          <w:p>
            <w:pPr>
              <w:spacing w:before="100" w:beforeAutospacing="1" w:after="100" w:afterAutospacing="1" w:line="320" w:lineRule="exact"/>
              <w:rPr>
                <w:rFonts w:hint="eastAsia" w:ascii="宋体" w:hAnsi="宋体"/>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10" w:hRule="atLeast"/>
          <w:jc w:val="center"/>
        </w:trPr>
        <w:tc>
          <w:tcPr>
            <w:tcW w:w="9627" w:type="dxa"/>
            <w:gridSpan w:val="8"/>
            <w:tcBorders>
              <w:top w:val="single" w:color="auto" w:sz="8" w:space="0"/>
              <w:left w:val="single" w:color="auto" w:sz="8" w:space="0"/>
              <w:bottom w:val="single" w:color="auto" w:sz="4" w:space="0"/>
              <w:right w:val="single" w:color="auto" w:sz="8" w:space="0"/>
            </w:tcBorders>
            <w:tcMar>
              <w:top w:w="0" w:type="dxa"/>
              <w:left w:w="108" w:type="dxa"/>
              <w:bottom w:w="0" w:type="dxa"/>
              <w:right w:w="108" w:type="dxa"/>
            </w:tcMar>
            <w:vAlign w:val="center"/>
          </w:tcPr>
          <w:p>
            <w:pPr>
              <w:spacing w:before="100" w:beforeAutospacing="1" w:after="100" w:afterAutospacing="1" w:line="320" w:lineRule="exact"/>
              <w:rPr>
                <w:rFonts w:hint="eastAsia" w:ascii="宋体" w:hAnsi="宋体"/>
                <w:color w:val="auto"/>
                <w:szCs w:val="21"/>
                <w:highlight w:val="none"/>
              </w:rPr>
            </w:pPr>
            <w:r>
              <w:rPr>
                <w:rFonts w:ascii="宋体" w:hAnsi="宋体"/>
                <w:color w:val="auto"/>
                <w:szCs w:val="21"/>
                <w:highlight w:val="none"/>
              </w:rPr>
              <w:t>监督人员或其他相关人员签字：</w:t>
            </w:r>
          </w:p>
          <w:p>
            <w:pPr>
              <w:spacing w:before="100" w:beforeAutospacing="1" w:after="100" w:afterAutospacing="1" w:line="320" w:lineRule="exact"/>
              <w:ind w:firstLine="65" w:firstLineChars="31"/>
              <w:rPr>
                <w:rFonts w:hint="eastAsia" w:ascii="宋体" w:hAnsi="宋体"/>
                <w:color w:val="auto"/>
                <w:szCs w:val="21"/>
                <w:highlight w:val="none"/>
              </w:rPr>
            </w:pPr>
            <w:r>
              <w:rPr>
                <w:rFonts w:ascii="宋体" w:hAnsi="宋体"/>
                <w:color w:val="auto"/>
                <w:szCs w:val="21"/>
                <w:highlight w:val="none"/>
              </w:rPr>
              <w:t>或受邀机构的意见（盖章）：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973" w:hRule="atLeast"/>
          <w:jc w:val="center"/>
        </w:trPr>
        <w:tc>
          <w:tcPr>
            <w:tcW w:w="4767" w:type="dxa"/>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hint="eastAsia" w:ascii="宋体" w:hAnsi="宋体" w:cs="宋体"/>
                <w:color w:val="auto"/>
                <w:kern w:val="0"/>
                <w:szCs w:val="21"/>
                <w:highlight w:val="none"/>
              </w:rPr>
            </w:pPr>
            <w:r>
              <w:rPr>
                <w:rFonts w:ascii="宋体" w:hAnsi="宋体" w:cs="宋体"/>
                <w:color w:val="auto"/>
                <w:kern w:val="0"/>
                <w:szCs w:val="21"/>
                <w:highlight w:val="none"/>
              </w:rPr>
              <w:t>中标人</w:t>
            </w:r>
            <w:r>
              <w:rPr>
                <w:rFonts w:hint="eastAsia" w:ascii="宋体" w:hAnsi="宋体" w:cs="宋体"/>
                <w:color w:val="auto"/>
                <w:kern w:val="0"/>
                <w:szCs w:val="21"/>
                <w:highlight w:val="none"/>
              </w:rPr>
              <w:t>法定代表人（或授权</w:t>
            </w:r>
            <w:r>
              <w:rPr>
                <w:rFonts w:ascii="宋体" w:hAnsi="宋体" w:cs="宋体"/>
                <w:color w:val="auto"/>
                <w:kern w:val="0"/>
                <w:szCs w:val="21"/>
                <w:highlight w:val="none"/>
              </w:rPr>
              <w:t>负责人</w:t>
            </w:r>
            <w:r>
              <w:rPr>
                <w:rFonts w:hint="eastAsia" w:ascii="宋体" w:hAnsi="宋体" w:cs="宋体"/>
                <w:color w:val="auto"/>
                <w:kern w:val="0"/>
                <w:szCs w:val="21"/>
                <w:highlight w:val="none"/>
              </w:rPr>
              <w:t>)</w:t>
            </w:r>
            <w:r>
              <w:rPr>
                <w:rFonts w:ascii="宋体" w:hAnsi="宋体" w:cs="宋体"/>
                <w:color w:val="auto"/>
                <w:kern w:val="0"/>
                <w:szCs w:val="21"/>
                <w:highlight w:val="none"/>
              </w:rPr>
              <w:t>签字</w:t>
            </w:r>
            <w:r>
              <w:rPr>
                <w:rFonts w:hint="eastAsia" w:ascii="宋体" w:hAnsi="宋体" w:cs="宋体"/>
                <w:color w:val="auto"/>
                <w:kern w:val="0"/>
                <w:szCs w:val="21"/>
                <w:highlight w:val="none"/>
              </w:rPr>
              <w:t>、</w:t>
            </w:r>
            <w:r>
              <w:rPr>
                <w:rFonts w:ascii="宋体" w:hAnsi="宋体" w:cs="宋体"/>
                <w:color w:val="auto"/>
                <w:kern w:val="0"/>
                <w:szCs w:val="21"/>
                <w:highlight w:val="none"/>
              </w:rPr>
              <w:t>盖章：</w:t>
            </w:r>
          </w:p>
          <w:p>
            <w:pPr>
              <w:widowControl/>
              <w:spacing w:before="100" w:beforeAutospacing="1" w:after="100" w:afterAutospacing="1" w:line="320" w:lineRule="atLeast"/>
              <w:jc w:val="left"/>
              <w:rPr>
                <w:rFonts w:hint="eastAsia" w:ascii="宋体" w:hAnsi="宋体" w:cs="宋体"/>
                <w:color w:val="auto"/>
                <w:kern w:val="0"/>
                <w:szCs w:val="21"/>
                <w:highlight w:val="none"/>
              </w:rPr>
            </w:pPr>
          </w:p>
          <w:p>
            <w:pPr>
              <w:widowControl/>
              <w:spacing w:before="100" w:beforeAutospacing="1" w:after="100" w:afterAutospacing="1" w:line="320" w:lineRule="atLeast"/>
              <w:jc w:val="left"/>
              <w:rPr>
                <w:rFonts w:hint="eastAsia" w:ascii="宋体" w:hAnsi="宋体"/>
                <w:color w:val="auto"/>
                <w:szCs w:val="21"/>
                <w:highlight w:val="none"/>
              </w:rPr>
            </w:pPr>
            <w:r>
              <w:rPr>
                <w:rFonts w:ascii="宋体" w:hAnsi="宋体" w:cs="宋体"/>
                <w:color w:val="auto"/>
                <w:kern w:val="0"/>
                <w:szCs w:val="21"/>
                <w:highlight w:val="none"/>
              </w:rPr>
              <w:t>联系电话：</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年</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月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日</w:t>
            </w:r>
          </w:p>
        </w:tc>
        <w:tc>
          <w:tcPr>
            <w:tcW w:w="4860"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20" w:lineRule="atLeast"/>
              <w:ind w:firstLine="105" w:firstLineChars="50"/>
              <w:jc w:val="left"/>
              <w:rPr>
                <w:rFonts w:hint="eastAsia" w:ascii="宋体" w:hAnsi="宋体" w:cs="宋体"/>
                <w:color w:val="auto"/>
                <w:kern w:val="0"/>
                <w:szCs w:val="21"/>
                <w:highlight w:val="none"/>
              </w:rPr>
            </w:pPr>
            <w:r>
              <w:rPr>
                <w:rFonts w:ascii="宋体" w:hAnsi="宋体" w:cs="宋体"/>
                <w:color w:val="auto"/>
                <w:kern w:val="0"/>
                <w:szCs w:val="21"/>
                <w:highlight w:val="none"/>
              </w:rPr>
              <w:t>采购人</w:t>
            </w:r>
            <w:r>
              <w:rPr>
                <w:rFonts w:hint="eastAsia" w:ascii="宋体" w:hAnsi="宋体" w:cs="宋体"/>
                <w:color w:val="auto"/>
                <w:kern w:val="0"/>
                <w:szCs w:val="21"/>
                <w:highlight w:val="none"/>
              </w:rPr>
              <w:t>法定代表人（或授权</w:t>
            </w:r>
            <w:r>
              <w:rPr>
                <w:rFonts w:ascii="宋体" w:hAnsi="宋体" w:cs="宋体"/>
                <w:color w:val="auto"/>
                <w:kern w:val="0"/>
                <w:szCs w:val="21"/>
                <w:highlight w:val="none"/>
              </w:rPr>
              <w:t>负责人</w:t>
            </w:r>
            <w:r>
              <w:rPr>
                <w:rFonts w:hint="eastAsia" w:ascii="宋体" w:hAnsi="宋体" w:cs="宋体"/>
                <w:color w:val="auto"/>
                <w:kern w:val="0"/>
                <w:szCs w:val="21"/>
                <w:highlight w:val="none"/>
              </w:rPr>
              <w:t>)</w:t>
            </w:r>
            <w:r>
              <w:rPr>
                <w:rFonts w:ascii="宋体" w:hAnsi="宋体" w:cs="宋体"/>
                <w:color w:val="auto"/>
                <w:kern w:val="0"/>
                <w:szCs w:val="21"/>
                <w:highlight w:val="none"/>
              </w:rPr>
              <w:t>签字</w:t>
            </w:r>
            <w:r>
              <w:rPr>
                <w:rFonts w:hint="eastAsia" w:ascii="宋体" w:hAnsi="宋体" w:cs="宋体"/>
                <w:color w:val="auto"/>
                <w:kern w:val="0"/>
                <w:szCs w:val="21"/>
                <w:highlight w:val="none"/>
              </w:rPr>
              <w:t>、</w:t>
            </w:r>
            <w:r>
              <w:rPr>
                <w:rFonts w:ascii="宋体" w:hAnsi="宋体" w:cs="宋体"/>
                <w:color w:val="auto"/>
                <w:kern w:val="0"/>
                <w:szCs w:val="21"/>
                <w:highlight w:val="none"/>
              </w:rPr>
              <w:t>盖章：</w:t>
            </w:r>
          </w:p>
          <w:p>
            <w:pPr>
              <w:widowControl/>
              <w:spacing w:before="100" w:beforeAutospacing="1" w:after="100" w:afterAutospacing="1" w:line="320" w:lineRule="atLeast"/>
              <w:ind w:firstLine="210" w:firstLineChars="100"/>
              <w:jc w:val="left"/>
              <w:rPr>
                <w:rFonts w:hint="eastAsia" w:ascii="宋体" w:hAnsi="宋体" w:cs="宋体"/>
                <w:color w:val="auto"/>
                <w:kern w:val="0"/>
                <w:szCs w:val="21"/>
                <w:highlight w:val="none"/>
              </w:rPr>
            </w:pPr>
          </w:p>
          <w:p>
            <w:pPr>
              <w:widowControl/>
              <w:spacing w:before="100" w:beforeAutospacing="1" w:after="100" w:afterAutospacing="1" w:line="320" w:lineRule="atLeast"/>
              <w:ind w:firstLine="210" w:firstLineChars="100"/>
              <w:jc w:val="left"/>
              <w:rPr>
                <w:rFonts w:hint="eastAsia" w:ascii="宋体" w:hAnsi="宋体"/>
                <w:color w:val="auto"/>
                <w:szCs w:val="21"/>
                <w:highlight w:val="none"/>
              </w:rPr>
            </w:pPr>
            <w:r>
              <w:rPr>
                <w:rFonts w:ascii="宋体" w:hAnsi="宋体" w:cs="宋体"/>
                <w:color w:val="auto"/>
                <w:kern w:val="0"/>
                <w:szCs w:val="21"/>
                <w:highlight w:val="none"/>
              </w:rPr>
              <w:t>联系电话：</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年</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月</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日</w:t>
            </w:r>
          </w:p>
        </w:tc>
      </w:tr>
    </w:tbl>
    <w:p>
      <w:pPr>
        <w:spacing w:line="360" w:lineRule="auto"/>
        <w:jc w:val="left"/>
        <w:rPr>
          <w:rFonts w:hint="eastAsia" w:ascii="仿宋_GB2312" w:hAnsi="华文仿宋"/>
          <w:bCs/>
          <w:color w:val="auto"/>
          <w:szCs w:val="32"/>
          <w:highlight w:val="none"/>
        </w:rPr>
      </w:pPr>
    </w:p>
    <w:p>
      <w:pPr>
        <w:tabs>
          <w:tab w:val="left" w:pos="-1470"/>
          <w:tab w:val="left" w:pos="525"/>
        </w:tabs>
        <w:spacing w:line="440" w:lineRule="exact"/>
        <w:ind w:firstLine="420" w:firstLineChars="200"/>
        <w:rPr>
          <w:rFonts w:hint="eastAsia" w:ascii="宋体" w:hAnsi="宋体"/>
          <w:color w:val="auto"/>
          <w:szCs w:val="21"/>
          <w:highlight w:val="none"/>
        </w:rPr>
      </w:pPr>
    </w:p>
    <w:p>
      <w:pPr>
        <w:pStyle w:val="13"/>
        <w:spacing w:line="720" w:lineRule="auto"/>
        <w:ind w:right="420"/>
        <w:jc w:val="center"/>
        <w:rPr>
          <w:strike/>
          <w:color w:val="auto"/>
          <w:highlight w:val="none"/>
        </w:rPr>
      </w:pPr>
      <w:r>
        <w:rPr>
          <w:rFonts w:hint="eastAsia" w:hAnsi="宋体"/>
          <w:color w:val="auto"/>
          <w:szCs w:val="21"/>
          <w:highlight w:val="none"/>
        </w:rPr>
        <w:t xml:space="preserve"> </w:t>
      </w:r>
      <w:r>
        <w:rPr>
          <w:rFonts w:hAnsi="宋体" w:cs="宋体"/>
          <w:b/>
          <w:strike/>
          <w:color w:val="auto"/>
          <w:sz w:val="24"/>
          <w:highlight w:val="none"/>
        </w:rPr>
        <w:br w:type="page"/>
      </w:r>
    </w:p>
    <w:p>
      <w:pPr>
        <w:pStyle w:val="13"/>
        <w:spacing w:line="720" w:lineRule="auto"/>
        <w:ind w:right="420"/>
        <w:jc w:val="center"/>
        <w:rPr>
          <w:rFonts w:hint="eastAsia" w:hAnsi="宋体"/>
          <w:b/>
          <w:bCs/>
          <w:strike/>
          <w:color w:val="auto"/>
          <w:highlight w:val="none"/>
        </w:rPr>
      </w:pPr>
    </w:p>
    <w:p>
      <w:pPr>
        <w:jc w:val="center"/>
        <w:rPr>
          <w:rFonts w:hint="eastAsia" w:ascii="宋体" w:hAnsi="宋体"/>
          <w:b/>
          <w:bCs/>
          <w:strike/>
          <w:color w:val="auto"/>
          <w:szCs w:val="21"/>
          <w:highlight w:val="none"/>
        </w:rPr>
      </w:pPr>
    </w:p>
    <w:p>
      <w:pPr>
        <w:jc w:val="center"/>
        <w:rPr>
          <w:rFonts w:ascii="方正小标宋简体" w:eastAsia="方正小标宋简体"/>
          <w:strike/>
          <w:color w:val="auto"/>
          <w:sz w:val="52"/>
          <w:szCs w:val="52"/>
          <w:highlight w:val="none"/>
        </w:rPr>
      </w:pPr>
    </w:p>
    <w:p>
      <w:pPr>
        <w:jc w:val="center"/>
        <w:rPr>
          <w:rFonts w:ascii="方正小标宋简体" w:eastAsia="方正小标宋简体"/>
          <w:strike/>
          <w:color w:val="auto"/>
          <w:sz w:val="52"/>
          <w:szCs w:val="52"/>
          <w:highlight w:val="none"/>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保 密 协 议</w:t>
      </w:r>
    </w:p>
    <w:p>
      <w:pPr>
        <w:jc w:val="center"/>
        <w:rPr>
          <w:rFonts w:ascii="方正小标宋简体" w:eastAsia="方正小标宋简体"/>
          <w:color w:val="auto"/>
          <w:sz w:val="44"/>
          <w:szCs w:val="44"/>
          <w:highlight w:val="none"/>
        </w:rPr>
      </w:pPr>
    </w:p>
    <w:p>
      <w:pPr>
        <w:jc w:val="center"/>
        <w:rPr>
          <w:rFonts w:ascii="方正小标宋简体" w:eastAsia="方正小标宋简体"/>
          <w:color w:val="auto"/>
          <w:sz w:val="44"/>
          <w:szCs w:val="44"/>
          <w:highlight w:val="none"/>
        </w:rPr>
      </w:pPr>
    </w:p>
    <w:tbl>
      <w:tblPr>
        <w:tblStyle w:val="25"/>
        <w:tblpPr w:leftFromText="180" w:rightFromText="180" w:vertAnchor="text" w:horzAnchor="page" w:tblpX="2100" w:tblpY="54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甲 方：</w:t>
            </w:r>
          </w:p>
        </w:tc>
        <w:tc>
          <w:tcPr>
            <w:tcW w:w="680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广西科技信息网络中心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乙 方：</w:t>
            </w:r>
          </w:p>
        </w:tc>
        <w:tc>
          <w:tcPr>
            <w:tcW w:w="680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黑体" w:hAnsi="黑体" w:eastAsia="黑体"/>
                <w:color w:val="auto"/>
                <w:sz w:val="30"/>
                <w:szCs w:val="30"/>
                <w:highlight w:val="none"/>
              </w:rPr>
            </w:pPr>
          </w:p>
        </w:tc>
      </w:tr>
    </w:tbl>
    <w:p>
      <w:pPr>
        <w:jc w:val="center"/>
        <w:rPr>
          <w:rFonts w:ascii="方正小标宋简体" w:eastAsia="方正小标宋简体"/>
          <w:color w:val="auto"/>
          <w:sz w:val="44"/>
          <w:szCs w:val="44"/>
          <w:highlight w:val="none"/>
        </w:rPr>
      </w:pPr>
    </w:p>
    <w:p>
      <w:pPr>
        <w:jc w:val="center"/>
        <w:rPr>
          <w:rFonts w:ascii="方正小标宋简体" w:eastAsia="方正小标宋简体"/>
          <w:color w:val="auto"/>
          <w:sz w:val="44"/>
          <w:szCs w:val="44"/>
          <w:highlight w:val="none"/>
        </w:rPr>
      </w:pPr>
    </w:p>
    <w:p>
      <w:pPr>
        <w:ind w:left="2235" w:leftChars="912" w:hanging="320" w:hangingChars="100"/>
        <w:rPr>
          <w:rFonts w:hint="eastAsia" w:ascii="黑体" w:hAnsi="黑体" w:eastAsia="黑体"/>
          <w:color w:val="auto"/>
          <w:sz w:val="32"/>
          <w:szCs w:val="32"/>
          <w:highlight w:val="none"/>
        </w:rPr>
      </w:pPr>
    </w:p>
    <w:p>
      <w:pPr>
        <w:ind w:left="2554" w:leftChars="1216"/>
        <w:rPr>
          <w:color w:val="auto"/>
          <w:highlight w:val="none"/>
        </w:rPr>
      </w:pPr>
      <w:r>
        <w:rPr>
          <w:rFonts w:hint="eastAsia" w:ascii="黑体" w:hAnsi="黑体" w:eastAsia="黑体"/>
          <w:color w:val="auto"/>
          <w:sz w:val="32"/>
          <w:szCs w:val="32"/>
          <w:highlight w:val="none"/>
        </w:rPr>
        <w:t xml:space="preserve">  </w:t>
      </w:r>
      <w:r>
        <w:rPr>
          <w:rFonts w:hint="eastAsia"/>
          <w:color w:val="auto"/>
          <w:highlight w:val="none"/>
        </w:rPr>
        <w:t xml:space="preserve"> </w:t>
      </w:r>
    </w:p>
    <w:p>
      <w:pPr>
        <w:ind w:left="2554" w:leftChars="1216"/>
        <w:rPr>
          <w:color w:val="auto"/>
          <w:highlight w:val="none"/>
        </w:rPr>
      </w:pPr>
    </w:p>
    <w:p>
      <w:pPr>
        <w:ind w:left="2554" w:leftChars="1216"/>
        <w:rPr>
          <w:color w:val="auto"/>
          <w:highlight w:val="none"/>
        </w:rPr>
      </w:pPr>
    </w:p>
    <w:p>
      <w:pPr>
        <w:ind w:left="2554" w:leftChars="1216"/>
        <w:rPr>
          <w:rFonts w:hint="eastAsia" w:ascii="黑体" w:hAnsi="黑体" w:eastAsia="黑体"/>
          <w:color w:val="auto"/>
          <w:sz w:val="32"/>
          <w:szCs w:val="32"/>
          <w:highlight w:val="none"/>
        </w:rPr>
      </w:pPr>
      <w:r>
        <w:rPr>
          <w:rFonts w:hint="eastAsia" w:ascii="黑体" w:hAnsi="黑体" w:eastAsia="黑体"/>
          <w:color w:val="auto"/>
          <w:sz w:val="32"/>
          <w:szCs w:val="32"/>
          <w:highlight w:val="none"/>
        </w:rPr>
        <w:t>签订地点：  南宁市</w:t>
      </w:r>
    </w:p>
    <w:p>
      <w:pPr>
        <w:ind w:firstLine="2560" w:firstLineChars="8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签订日期：    年   月   日</w:t>
      </w:r>
    </w:p>
    <w:p>
      <w:pPr>
        <w:ind w:firstLine="1920" w:firstLineChars="600"/>
        <w:rPr>
          <w:rFonts w:hint="eastAsia" w:ascii="黑体" w:hAnsi="黑体" w:eastAsia="黑体"/>
          <w:color w:val="auto"/>
          <w:sz w:val="32"/>
          <w:szCs w:val="32"/>
          <w:highlight w:val="none"/>
        </w:rPr>
      </w:pPr>
    </w:p>
    <w:p>
      <w:pPr>
        <w:ind w:firstLine="1920" w:firstLineChars="600"/>
        <w:rPr>
          <w:rFonts w:hint="eastAsia" w:ascii="黑体" w:hAnsi="黑体" w:eastAsia="黑体"/>
          <w:color w:val="auto"/>
          <w:sz w:val="32"/>
          <w:szCs w:val="32"/>
          <w:highlight w:val="none"/>
        </w:rPr>
      </w:pPr>
    </w:p>
    <w:p>
      <w:pPr>
        <w:ind w:firstLine="1920" w:firstLineChars="600"/>
        <w:rPr>
          <w:rFonts w:hint="eastAsia" w:ascii="黑体" w:hAnsi="黑体" w:eastAsia="黑体"/>
          <w:color w:val="auto"/>
          <w:sz w:val="32"/>
          <w:szCs w:val="32"/>
          <w:highlight w:val="none"/>
        </w:rPr>
      </w:pPr>
    </w:p>
    <w:p>
      <w:pPr>
        <w:spacing w:line="380" w:lineRule="exact"/>
        <w:ind w:firstLine="422" w:firstLineChars="200"/>
        <w:rPr>
          <w:rFonts w:hint="eastAsia" w:ascii="宋体" w:hAnsi="宋体"/>
          <w:b/>
          <w:color w:val="auto"/>
          <w:szCs w:val="21"/>
          <w:highlight w:val="none"/>
        </w:rPr>
      </w:pPr>
    </w:p>
    <w:p>
      <w:pPr>
        <w:spacing w:line="380" w:lineRule="exact"/>
        <w:ind w:firstLine="422" w:firstLineChars="200"/>
        <w:rPr>
          <w:rFonts w:hint="eastAsia" w:ascii="宋体" w:hAnsi="宋体"/>
          <w:color w:val="auto"/>
          <w:szCs w:val="21"/>
          <w:highlight w:val="none"/>
        </w:rPr>
      </w:pPr>
      <w:r>
        <w:rPr>
          <w:rFonts w:hint="eastAsia" w:ascii="宋体" w:hAnsi="宋体"/>
          <w:b/>
          <w:color w:val="auto"/>
          <w:szCs w:val="21"/>
          <w:highlight w:val="none"/>
        </w:rPr>
        <w:br w:type="page"/>
      </w:r>
      <w:r>
        <w:rPr>
          <w:rFonts w:hint="eastAsia" w:ascii="宋体" w:hAnsi="宋体"/>
          <w:b/>
          <w:color w:val="auto"/>
          <w:szCs w:val="21"/>
          <w:highlight w:val="none"/>
        </w:rPr>
        <w:t>本次</w:t>
      </w:r>
      <w:r>
        <w:rPr>
          <w:rFonts w:hint="eastAsia" w:ascii="宋体" w:hAnsi="宋体"/>
          <w:b/>
          <w:color w:val="auto"/>
          <w:szCs w:val="21"/>
          <w:highlight w:val="none"/>
          <w:u w:val="single"/>
        </w:rPr>
        <w:t xml:space="preserve">          </w:t>
      </w:r>
      <w:r>
        <w:rPr>
          <w:rFonts w:hint="eastAsia" w:ascii="宋体" w:hAnsi="宋体"/>
          <w:b/>
          <w:color w:val="auto"/>
          <w:szCs w:val="21"/>
          <w:highlight w:val="none"/>
        </w:rPr>
        <w:t>项目（项目编号：</w:t>
      </w:r>
      <w:r>
        <w:rPr>
          <w:rFonts w:hint="eastAsia" w:ascii="宋体" w:hAnsi="宋体"/>
          <w:b/>
          <w:bCs/>
          <w:color w:val="auto"/>
          <w:sz w:val="24"/>
          <w:highlight w:val="none"/>
          <w:u w:val="single"/>
        </w:rPr>
        <w:t xml:space="preserve">       </w:t>
      </w:r>
      <w:r>
        <w:rPr>
          <w:rFonts w:hint="eastAsia" w:ascii="宋体" w:hAnsi="宋体"/>
          <w:b/>
          <w:color w:val="auto"/>
          <w:szCs w:val="21"/>
          <w:highlight w:val="none"/>
        </w:rPr>
        <w:t>），涉及甲方的重要信息系统的核心资料，为保障甲方的系统和数据安全，需对本次项目相关资料文档、数据进行保密，甲乙双方签订协议如下：</w:t>
      </w:r>
    </w:p>
    <w:p>
      <w:pPr>
        <w:spacing w:line="400" w:lineRule="exact"/>
        <w:ind w:firstLine="413" w:firstLineChars="196"/>
        <w:rPr>
          <w:rFonts w:hint="eastAsia" w:ascii="宋体" w:hAnsi="宋体"/>
          <w:b/>
          <w:bCs/>
          <w:color w:val="auto"/>
          <w:szCs w:val="21"/>
          <w:highlight w:val="none"/>
        </w:rPr>
      </w:pPr>
      <w:r>
        <w:rPr>
          <w:rFonts w:hint="eastAsia" w:ascii="宋体" w:hAnsi="宋体"/>
          <w:b/>
          <w:bCs/>
          <w:color w:val="auto"/>
          <w:szCs w:val="21"/>
          <w:highlight w:val="none"/>
        </w:rPr>
        <w:t>1.定义：</w:t>
      </w:r>
    </w:p>
    <w:p>
      <w:pPr>
        <w:pStyle w:val="13"/>
        <w:spacing w:line="380" w:lineRule="exact"/>
        <w:ind w:firstLine="420" w:firstLineChars="200"/>
        <w:rPr>
          <w:rFonts w:hint="eastAsia" w:hAnsi="宋体"/>
          <w:color w:val="auto"/>
          <w:highlight w:val="none"/>
        </w:rPr>
      </w:pPr>
      <w:r>
        <w:rPr>
          <w:rFonts w:hint="eastAsia" w:hAnsi="宋体"/>
          <w:color w:val="auto"/>
          <w:highlight w:val="none"/>
        </w:rPr>
        <w:t>1.1“专有信息”或“秘密信息”的定义：</w:t>
      </w:r>
    </w:p>
    <w:p>
      <w:pPr>
        <w:pStyle w:val="13"/>
        <w:spacing w:line="380" w:lineRule="exact"/>
        <w:ind w:firstLine="420" w:firstLineChars="200"/>
        <w:rPr>
          <w:rFonts w:hint="eastAsia" w:hAnsi="宋体"/>
          <w:color w:val="auto"/>
          <w:highlight w:val="none"/>
        </w:rPr>
      </w:pPr>
      <w:r>
        <w:rPr>
          <w:rFonts w:hint="eastAsia" w:hAnsi="宋体"/>
          <w:color w:val="auto"/>
          <w:highlight w:val="none"/>
        </w:rPr>
        <w:t>本协议所称的“专有信息”或“秘密信息”是指在合作过程中，乙方从甲方（或其有关联的公司、单位）获得的与合作有关或因合作产生的任何商业、技术、运维数据或其他性质的资料，“专有信息”或“秘密信息”包括但不限于：数据、模型、样品、草案、技术、方法、仪器设备和其它信息。上述“专有信息”或“秘密信息”可以以数据、文字及记载上述内容的资料、光盘、软件、图书等有形媒介体现，也可通过口头等视听形式传递。无论是书面的、口头的、图形的、电磁的或其它任何形式的信息，无论以何种形式或载于何种载体，无论在披露时是否以口头、图像或以书面形式表现均具有保密性。凡未经过甲方允许，擅自以口头、书面、电子数据等形式直接或间接提供涉及保密信息的行为均属泄密和违约行为。</w:t>
      </w:r>
    </w:p>
    <w:p>
      <w:pPr>
        <w:spacing w:line="400" w:lineRule="exact"/>
        <w:ind w:firstLine="413" w:firstLineChars="196"/>
        <w:rPr>
          <w:rFonts w:hint="eastAsia" w:ascii="宋体" w:hAnsi="宋体"/>
          <w:b/>
          <w:bCs/>
          <w:color w:val="auto"/>
          <w:szCs w:val="21"/>
          <w:highlight w:val="none"/>
        </w:rPr>
      </w:pPr>
      <w:r>
        <w:rPr>
          <w:rFonts w:hint="eastAsia" w:ascii="宋体" w:hAnsi="宋体"/>
          <w:b/>
          <w:bCs/>
          <w:color w:val="auto"/>
          <w:szCs w:val="21"/>
          <w:highlight w:val="none"/>
        </w:rPr>
        <w:t>2.保密义务：</w:t>
      </w:r>
    </w:p>
    <w:p>
      <w:pPr>
        <w:pStyle w:val="13"/>
        <w:spacing w:line="380" w:lineRule="exact"/>
        <w:ind w:firstLine="420" w:firstLineChars="200"/>
        <w:rPr>
          <w:rFonts w:hint="eastAsia" w:hAnsi="宋体"/>
          <w:color w:val="auto"/>
          <w:highlight w:val="none"/>
        </w:rPr>
      </w:pPr>
      <w:r>
        <w:rPr>
          <w:rFonts w:hint="eastAsia" w:hAnsi="宋体"/>
          <w:color w:val="auto"/>
          <w:highlight w:val="none"/>
        </w:rPr>
        <w:t>2.1乙方同意严格控制甲方所透露的专有信息或秘密信息，保护的程度不能低于乙方保护自己的专有信息或秘密信息。在任何情况下，未经甲方的书面许可，不得在本协议约定的项目范围以外使用该专有信息或秘密信息，不得以任何方式披露或允许第三方以任何方式披露或使用该专有信息或秘密信息。</w:t>
      </w:r>
    </w:p>
    <w:p>
      <w:pPr>
        <w:pStyle w:val="13"/>
        <w:spacing w:line="380" w:lineRule="exact"/>
        <w:ind w:firstLine="420" w:firstLineChars="200"/>
        <w:rPr>
          <w:rFonts w:hint="eastAsia" w:hAnsi="宋体"/>
          <w:color w:val="auto"/>
          <w:highlight w:val="none"/>
        </w:rPr>
      </w:pPr>
      <w:r>
        <w:rPr>
          <w:rFonts w:hint="eastAsia" w:hAnsi="宋体"/>
          <w:color w:val="auto"/>
          <w:highlight w:val="none"/>
        </w:rPr>
        <w:t>2.2乙方保证采取所有必要的方法对甲方提供的专有信息或秘密信息进行保密，包括但不限于执行和坚持必要的作业程序来避免非授权透露、使用或复制专有信息或秘密信息，其中该作业程序必须书面提交甲方确认。</w:t>
      </w:r>
    </w:p>
    <w:p>
      <w:pPr>
        <w:pStyle w:val="13"/>
        <w:spacing w:line="380" w:lineRule="exact"/>
        <w:ind w:firstLine="420" w:firstLineChars="200"/>
        <w:rPr>
          <w:rFonts w:hint="eastAsia" w:hAnsi="宋体"/>
          <w:color w:val="auto"/>
          <w:highlight w:val="none"/>
        </w:rPr>
      </w:pPr>
      <w:r>
        <w:rPr>
          <w:rFonts w:hint="eastAsia" w:hAnsi="宋体"/>
          <w:color w:val="auto"/>
          <w:highlight w:val="none"/>
        </w:rPr>
        <w:t>2.3乙方保证不向任何第三方透露本协议的存在或本协议的任何内容。</w:t>
      </w:r>
    </w:p>
    <w:p>
      <w:pPr>
        <w:spacing w:line="400" w:lineRule="exact"/>
        <w:ind w:firstLine="413" w:firstLineChars="196"/>
        <w:rPr>
          <w:rFonts w:hint="eastAsia" w:ascii="宋体" w:hAnsi="宋体"/>
          <w:b/>
          <w:bCs/>
          <w:color w:val="auto"/>
          <w:szCs w:val="21"/>
          <w:highlight w:val="none"/>
        </w:rPr>
      </w:pPr>
      <w:r>
        <w:rPr>
          <w:rFonts w:hint="eastAsia" w:ascii="宋体" w:hAnsi="宋体"/>
          <w:b/>
          <w:bCs/>
          <w:color w:val="auto"/>
          <w:szCs w:val="21"/>
          <w:highlight w:val="none"/>
        </w:rPr>
        <w:t>3.使用方式和不使用的义务：</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3.1乙方同意如下内容：</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3.1.1甲方所透露的专有信息或秘密信息只能被乙方用于完成本项目的工作；</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3.1.2不能将甲方所透露的专有信息或秘密信息用于其它任何目的；</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3.1.3除乙方书面提交甲方确认的参与本项目的工作人员外，不能将专有信息或秘密信息透露给其它任何人；</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3.1.4未经甲方许可，不能将此专有信息或秘密信息的全部或部分进行复制或仿造；</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3.2乙方应当告知并以适当方式要求其参与本项目的工作人员遵守本协议规定，若参与本项目的工作人员违反本协议规定，乙方应承担连带责任。</w:t>
      </w:r>
    </w:p>
    <w:p>
      <w:pPr>
        <w:spacing w:line="400" w:lineRule="exact"/>
        <w:ind w:firstLine="413" w:firstLineChars="196"/>
        <w:rPr>
          <w:rFonts w:hint="eastAsia" w:ascii="宋体" w:hAnsi="宋体"/>
          <w:b/>
          <w:bCs/>
          <w:color w:val="auto"/>
          <w:szCs w:val="21"/>
          <w:highlight w:val="none"/>
        </w:rPr>
      </w:pPr>
      <w:r>
        <w:rPr>
          <w:rFonts w:hint="eastAsia" w:ascii="宋体" w:hAnsi="宋体"/>
          <w:b/>
          <w:bCs/>
          <w:color w:val="auto"/>
          <w:szCs w:val="21"/>
          <w:highlight w:val="none"/>
        </w:rPr>
        <w:t>4.例外情况：</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4.1乙方保密和不使用的义务不适用于下列专有信息或秘密信息：</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4.1.1有书面材料证明，甲方在未附加保密义务的情况下公开透露的信息；</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4.1.2有书面材料证明，在未进行任何透露之前，乙方在未受任何限制的情况下已经拥有的专有信息或秘密信息；</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4.1.3有书面材料证明，该专有信息或秘密信息已经被乙方之外的经甲方授权的他方公开；</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4.1.4有书面材料证明，乙方通过合法手段从经甲方授权的第三方在未受到任何限制的情况下获得该专有信息或秘密信息。</w:t>
      </w:r>
    </w:p>
    <w:p>
      <w:pPr>
        <w:spacing w:line="400" w:lineRule="exact"/>
        <w:ind w:firstLine="413" w:firstLineChars="196"/>
        <w:rPr>
          <w:rFonts w:hint="eastAsia" w:ascii="宋体" w:hAnsi="宋体"/>
          <w:b/>
          <w:bCs/>
          <w:color w:val="auto"/>
          <w:szCs w:val="21"/>
          <w:highlight w:val="none"/>
        </w:rPr>
      </w:pPr>
      <w:r>
        <w:rPr>
          <w:rFonts w:hint="eastAsia" w:ascii="宋体" w:hAnsi="宋体"/>
          <w:b/>
          <w:bCs/>
          <w:color w:val="auto"/>
          <w:szCs w:val="21"/>
          <w:highlight w:val="none"/>
        </w:rPr>
        <w:t>5.专有信息或秘密信息的交回：</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5.1当甲方以书面形式要求乙方交回专有信息或秘密信息时，乙方应当立即交回所有书面的或其他有形的专有信息或秘密信息，以及所有描述和概括该专有信息或秘密信息的文件(包括原件和任何有形的备份件)，同时立即清除乙方电子设备上的相关电子信息，甲方有权进行检查。</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5.2没有甲方的书面许可，乙方不可以处理任何书面的或其他有形的专有信息或秘密信息。</w:t>
      </w:r>
    </w:p>
    <w:p>
      <w:pPr>
        <w:spacing w:line="400" w:lineRule="exact"/>
        <w:ind w:firstLine="413" w:firstLineChars="196"/>
        <w:rPr>
          <w:rFonts w:hint="eastAsia" w:ascii="宋体" w:hAnsi="宋体"/>
          <w:b/>
          <w:bCs/>
          <w:color w:val="auto"/>
          <w:szCs w:val="21"/>
          <w:highlight w:val="none"/>
        </w:rPr>
      </w:pPr>
      <w:r>
        <w:rPr>
          <w:rFonts w:hint="eastAsia" w:ascii="宋体" w:hAnsi="宋体"/>
          <w:b/>
          <w:bCs/>
          <w:color w:val="auto"/>
          <w:szCs w:val="21"/>
          <w:highlight w:val="none"/>
        </w:rPr>
        <w:t>6.否认许可：</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除非甲方明确地书面授权，乙方不能认为甲方授予其包含该专有信息或秘密信息的任何专利权、专利申请权、商标权、著作权、商业秘密或其它的知识产权。</w:t>
      </w:r>
    </w:p>
    <w:p>
      <w:pPr>
        <w:spacing w:line="400" w:lineRule="exact"/>
        <w:ind w:firstLine="413" w:firstLineChars="196"/>
        <w:rPr>
          <w:rFonts w:hint="eastAsia" w:ascii="宋体" w:hAnsi="宋体"/>
          <w:b/>
          <w:bCs/>
          <w:color w:val="auto"/>
          <w:szCs w:val="21"/>
          <w:highlight w:val="none"/>
        </w:rPr>
      </w:pPr>
      <w:r>
        <w:rPr>
          <w:rFonts w:hint="eastAsia" w:ascii="宋体" w:hAnsi="宋体"/>
          <w:b/>
          <w:bCs/>
          <w:color w:val="auto"/>
          <w:szCs w:val="21"/>
          <w:highlight w:val="none"/>
        </w:rPr>
        <w:t>7.救济方法：</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7.1双方承认并同意如下内容：</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7.1.1甲方透露的专有信息或秘密信息是有价值的商业秘密；</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7.1.2遵守本协议的条款和条件对于保护专有信息或秘密信息的秘密是有必要的；</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7.1.3所有违约对该专有信息或秘密信息进行未被授权的透露或使用将对甲方造成不可挽回的和持续的损害。</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7.2违约责任</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7.2.1乙方及乙方参加项目工作人员有违反本协议的情形，无论是故意或过失行为，应当立即停止侵害，并在第一时间采取一切必要措施防止保密信息的扩散，尽最大可能消除影响，所产生费用由乙方承担，并承担由此给甲方造成损害的赔偿责任。</w:t>
      </w:r>
    </w:p>
    <w:p>
      <w:pPr>
        <w:spacing w:line="400" w:lineRule="exact"/>
        <w:ind w:firstLine="413" w:firstLineChars="196"/>
        <w:rPr>
          <w:rFonts w:hint="eastAsia" w:ascii="宋体" w:hAnsi="宋体"/>
          <w:b/>
          <w:bCs/>
          <w:color w:val="auto"/>
          <w:szCs w:val="21"/>
          <w:highlight w:val="none"/>
        </w:rPr>
      </w:pPr>
      <w:r>
        <w:rPr>
          <w:rFonts w:hint="eastAsia" w:ascii="宋体" w:hAnsi="宋体"/>
          <w:b/>
          <w:bCs/>
          <w:color w:val="auto"/>
          <w:szCs w:val="21"/>
          <w:highlight w:val="none"/>
        </w:rPr>
        <w:t>8.保密期限：</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8.1自本协议生效之日起，双方应遵循本协议的条款。</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8.2除非甲方通过书面通知明确说明本协议所涉及的某项专有信息或秘密信息可以不用保密，乙方必须按照本协议所承担的保密义务对在结束协议前收到的专有信息或秘密信息进行保密，保密期限不受本协议有效期限的限制。</w:t>
      </w:r>
    </w:p>
    <w:p>
      <w:pPr>
        <w:spacing w:line="400" w:lineRule="exact"/>
        <w:ind w:firstLine="413" w:firstLineChars="196"/>
        <w:rPr>
          <w:rFonts w:hint="eastAsia" w:ascii="宋体" w:hAnsi="宋体"/>
          <w:b/>
          <w:bCs/>
          <w:color w:val="auto"/>
          <w:szCs w:val="21"/>
          <w:highlight w:val="none"/>
        </w:rPr>
      </w:pPr>
      <w:r>
        <w:rPr>
          <w:rFonts w:hint="eastAsia" w:ascii="宋体" w:hAnsi="宋体"/>
          <w:b/>
          <w:bCs/>
          <w:color w:val="auto"/>
          <w:szCs w:val="21"/>
          <w:highlight w:val="none"/>
        </w:rPr>
        <w:t>9.其他规定：</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9.1对本协议任何条款进行修改，均应以书面形式作出并经双方法人代表或各自的合法授权代表签署并加盖有效公章，否则无效。</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9.2本协议任何部分的无效不应影响本协议其他部分的效力。</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9.3甲方无义务向乙方保证其所披露保密信息的准确性与完整性，也无义务承担所披露的信息所造成的任何特殊的、偶然的、后续的、间接的损害或损失，但该方应知所披露的保密信息会给对方造成损害或损失的除外。</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9.4一方没有履行本协议的规定或没有行使协议项下的权利或其他有关权利，并不构成该方将来履行该规定或其他规定、行使该权利或其他有关权利的放弃。</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9.5任何一方不得将本协议的权利和义务转让给第三方，但获得对方书面同意的除外。</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9.6本协议不因合同的变更、解除和终止而失效。在本协议失效后，如果本协议中包括的某些保密信息并未失去保密性的，本协议仍对这些未失去保密性的信息发生效力，约束双方的行为。</w:t>
      </w:r>
    </w:p>
    <w:p>
      <w:pPr>
        <w:spacing w:line="400" w:lineRule="exact"/>
        <w:ind w:firstLine="413" w:firstLineChars="196"/>
        <w:rPr>
          <w:rFonts w:hint="eastAsia" w:ascii="宋体" w:hAnsi="宋体"/>
          <w:b/>
          <w:bCs/>
          <w:color w:val="auto"/>
          <w:szCs w:val="21"/>
          <w:highlight w:val="none"/>
        </w:rPr>
      </w:pPr>
      <w:r>
        <w:rPr>
          <w:rFonts w:hint="eastAsia" w:ascii="宋体" w:hAnsi="宋体"/>
          <w:b/>
          <w:bCs/>
          <w:color w:val="auto"/>
          <w:szCs w:val="21"/>
          <w:highlight w:val="none"/>
        </w:rPr>
        <w:t>10.适用法律：</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本协议受中华人民共和国法律管辖，并在所有方面依其进行解释。</w:t>
      </w:r>
    </w:p>
    <w:p>
      <w:pPr>
        <w:spacing w:line="400" w:lineRule="exact"/>
        <w:ind w:firstLine="413" w:firstLineChars="196"/>
        <w:rPr>
          <w:rFonts w:hint="eastAsia" w:ascii="宋体" w:hAnsi="宋体"/>
          <w:b/>
          <w:bCs/>
          <w:color w:val="auto"/>
          <w:szCs w:val="21"/>
          <w:highlight w:val="none"/>
        </w:rPr>
      </w:pPr>
      <w:r>
        <w:rPr>
          <w:rFonts w:hint="eastAsia" w:ascii="宋体" w:hAnsi="宋体"/>
          <w:b/>
          <w:bCs/>
          <w:color w:val="auto"/>
          <w:szCs w:val="21"/>
          <w:highlight w:val="none"/>
        </w:rPr>
        <w:t>11.争议的解决：</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双方在履行合同中产生争议，应友好协商解决；协商不成的，向甲方所在地有管辖权的法院起诉。</w:t>
      </w:r>
    </w:p>
    <w:p>
      <w:pPr>
        <w:spacing w:line="400" w:lineRule="exact"/>
        <w:ind w:firstLine="413" w:firstLineChars="196"/>
        <w:rPr>
          <w:rFonts w:hint="eastAsia" w:ascii="宋体" w:hAnsi="宋体"/>
          <w:b/>
          <w:bCs/>
          <w:color w:val="auto"/>
          <w:szCs w:val="21"/>
          <w:highlight w:val="none"/>
        </w:rPr>
      </w:pPr>
      <w:r>
        <w:rPr>
          <w:rFonts w:hint="eastAsia" w:ascii="宋体" w:hAnsi="宋体"/>
          <w:b/>
          <w:bCs/>
          <w:color w:val="auto"/>
          <w:szCs w:val="21"/>
          <w:highlight w:val="none"/>
        </w:rPr>
        <w:t>12.生效及其它事项：</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12.11. 本合同一式陆份，</w:t>
      </w:r>
      <w:r>
        <w:rPr>
          <w:rFonts w:hint="eastAsia" w:ascii="宋体" w:hAnsi="宋体" w:cs="宋体"/>
          <w:color w:val="auto"/>
          <w:szCs w:val="21"/>
          <w:highlight w:val="none"/>
        </w:rPr>
        <w:t>甲方执三份，乙方执二份，采购代理机构执一份</w:t>
      </w:r>
      <w:r>
        <w:rPr>
          <w:rFonts w:hint="eastAsia" w:ascii="宋体" w:hAnsi="宋体"/>
          <w:color w:val="auto"/>
          <w:szCs w:val="21"/>
          <w:highlight w:val="none"/>
        </w:rPr>
        <w:t>。自甲乙双方代表签字并加盖有效印章之日起正式生效。</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12.2本协议于双方代表签字并盖公章后生效，本协议未明确的部分按国家有关法律法规执行。</w:t>
      </w:r>
    </w:p>
    <w:p>
      <w:pPr>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12.3未尽事宜由双方友好协商解决。</w:t>
      </w:r>
    </w:p>
    <w:tbl>
      <w:tblPr>
        <w:tblStyle w:val="25"/>
        <w:tblpPr w:leftFromText="180" w:rightFromText="180" w:vertAnchor="text" w:horzAnchor="margin" w:tblpXSpec="left" w:tblpY="333"/>
        <w:tblW w:w="0" w:type="auto"/>
        <w:tblInd w:w="0" w:type="dxa"/>
        <w:tblLayout w:type="fixed"/>
        <w:tblCellMar>
          <w:top w:w="0" w:type="dxa"/>
          <w:left w:w="108" w:type="dxa"/>
          <w:bottom w:w="0" w:type="dxa"/>
          <w:right w:w="108" w:type="dxa"/>
        </w:tblCellMar>
      </w:tblPr>
      <w:tblGrid>
        <w:gridCol w:w="4644"/>
        <w:gridCol w:w="4962"/>
      </w:tblGrid>
      <w:tr>
        <w:tblPrEx>
          <w:tblCellMar>
            <w:top w:w="0" w:type="dxa"/>
            <w:left w:w="108" w:type="dxa"/>
            <w:bottom w:w="0" w:type="dxa"/>
            <w:right w:w="108" w:type="dxa"/>
          </w:tblCellMar>
        </w:tblPrEx>
        <w:trPr>
          <w:trHeight w:val="467" w:hRule="atLeast"/>
        </w:trPr>
        <w:tc>
          <w:tcPr>
            <w:tcW w:w="4644" w:type="dxa"/>
            <w:vAlign w:val="center"/>
          </w:tcPr>
          <w:p>
            <w:pPr>
              <w:spacing w:line="400" w:lineRule="exact"/>
              <w:ind w:left="4387" w:hanging="4387" w:hangingChars="2081"/>
              <w:rPr>
                <w:b/>
                <w:bCs/>
                <w:color w:val="auto"/>
                <w:highlight w:val="none"/>
              </w:rPr>
            </w:pPr>
            <w:r>
              <w:rPr>
                <w:rFonts w:hint="eastAsia"/>
                <w:b/>
                <w:bCs/>
                <w:color w:val="auto"/>
                <w:highlight w:val="none"/>
              </w:rPr>
              <w:t>甲方（盖章）：广西科技信息网络中心</w:t>
            </w:r>
          </w:p>
          <w:p>
            <w:pPr>
              <w:rPr>
                <w:color w:val="auto"/>
                <w:highlight w:val="none"/>
              </w:rPr>
            </w:pPr>
          </w:p>
        </w:tc>
        <w:tc>
          <w:tcPr>
            <w:tcW w:w="4962" w:type="dxa"/>
            <w:vAlign w:val="center"/>
          </w:tcPr>
          <w:p>
            <w:pPr>
              <w:spacing w:line="400" w:lineRule="exact"/>
              <w:ind w:left="4387" w:hanging="4387" w:hangingChars="2081"/>
              <w:rPr>
                <w:color w:val="auto"/>
                <w:highlight w:val="none"/>
              </w:rPr>
            </w:pPr>
            <w:r>
              <w:rPr>
                <w:rFonts w:hint="eastAsia" w:ascii="宋体" w:hAnsi="宋体"/>
                <w:b/>
                <w:color w:val="auto"/>
                <w:szCs w:val="21"/>
                <w:highlight w:val="none"/>
              </w:rPr>
              <w:t xml:space="preserve">乙方（盖章）： </w:t>
            </w:r>
          </w:p>
          <w:p>
            <w:pPr>
              <w:spacing w:line="400" w:lineRule="exact"/>
              <w:ind w:left="4387" w:hanging="4387" w:hangingChars="2081"/>
              <w:rPr>
                <w:rFonts w:hint="eastAsia" w:ascii="宋体" w:hAnsi="宋体"/>
                <w:b/>
                <w:color w:val="auto"/>
                <w:szCs w:val="21"/>
                <w:highlight w:val="none"/>
              </w:rPr>
            </w:pPr>
          </w:p>
        </w:tc>
      </w:tr>
      <w:tr>
        <w:tblPrEx>
          <w:tblCellMar>
            <w:top w:w="0" w:type="dxa"/>
            <w:left w:w="108" w:type="dxa"/>
            <w:bottom w:w="0" w:type="dxa"/>
            <w:right w:w="108" w:type="dxa"/>
          </w:tblCellMar>
        </w:tblPrEx>
        <w:trPr>
          <w:trHeight w:val="443" w:hRule="atLeast"/>
        </w:trPr>
        <w:tc>
          <w:tcPr>
            <w:tcW w:w="4644" w:type="dxa"/>
            <w:vAlign w:val="center"/>
          </w:tcPr>
          <w:p>
            <w:pPr>
              <w:spacing w:line="400" w:lineRule="exact"/>
              <w:ind w:left="4387" w:hanging="4387" w:hangingChars="2081"/>
              <w:rPr>
                <w:rFonts w:hint="eastAsia" w:ascii="宋体" w:hAnsi="宋体"/>
                <w:b/>
                <w:color w:val="auto"/>
                <w:szCs w:val="21"/>
                <w:highlight w:val="none"/>
              </w:rPr>
            </w:pPr>
            <w:r>
              <w:rPr>
                <w:rFonts w:hint="eastAsia" w:ascii="宋体" w:hAnsi="宋体"/>
                <w:b/>
                <w:color w:val="auto"/>
                <w:szCs w:val="21"/>
                <w:highlight w:val="none"/>
              </w:rPr>
              <w:t>法定代表人（或授权负责人）：</w:t>
            </w:r>
          </w:p>
        </w:tc>
        <w:tc>
          <w:tcPr>
            <w:tcW w:w="4962" w:type="dxa"/>
            <w:vAlign w:val="center"/>
          </w:tcPr>
          <w:p>
            <w:pPr>
              <w:spacing w:line="400" w:lineRule="exact"/>
              <w:ind w:left="4387" w:hanging="4387" w:hangingChars="2081"/>
              <w:rPr>
                <w:rFonts w:hint="eastAsia" w:ascii="宋体" w:hAnsi="宋体"/>
                <w:b/>
                <w:color w:val="auto"/>
                <w:szCs w:val="21"/>
                <w:highlight w:val="none"/>
              </w:rPr>
            </w:pPr>
            <w:r>
              <w:rPr>
                <w:rFonts w:hint="eastAsia" w:ascii="宋体" w:hAnsi="宋体"/>
                <w:b/>
                <w:color w:val="auto"/>
                <w:szCs w:val="21"/>
                <w:highlight w:val="none"/>
              </w:rPr>
              <w:t>法定代表人（或授权负责人）：</w:t>
            </w:r>
          </w:p>
        </w:tc>
      </w:tr>
      <w:tr>
        <w:tblPrEx>
          <w:tblCellMar>
            <w:top w:w="0" w:type="dxa"/>
            <w:left w:w="108" w:type="dxa"/>
            <w:bottom w:w="0" w:type="dxa"/>
            <w:right w:w="108" w:type="dxa"/>
          </w:tblCellMar>
        </w:tblPrEx>
        <w:trPr>
          <w:trHeight w:val="434" w:hRule="atLeast"/>
        </w:trPr>
        <w:tc>
          <w:tcPr>
            <w:tcW w:w="4644" w:type="dxa"/>
            <w:vAlign w:val="center"/>
          </w:tcPr>
          <w:p>
            <w:pPr>
              <w:spacing w:line="400" w:lineRule="exact"/>
              <w:ind w:left="4387" w:hanging="4387" w:hangingChars="2081"/>
              <w:rPr>
                <w:rFonts w:hint="eastAsia" w:ascii="宋体" w:hAnsi="宋体"/>
                <w:b/>
                <w:color w:val="auto"/>
                <w:szCs w:val="21"/>
                <w:highlight w:val="none"/>
              </w:rPr>
            </w:pPr>
            <w:r>
              <w:rPr>
                <w:rFonts w:hint="eastAsia" w:ascii="宋体" w:hAnsi="宋体"/>
                <w:b/>
                <w:color w:val="auto"/>
                <w:szCs w:val="21"/>
                <w:highlight w:val="none"/>
              </w:rPr>
              <w:t>经办人：</w:t>
            </w:r>
          </w:p>
        </w:tc>
        <w:tc>
          <w:tcPr>
            <w:tcW w:w="4962" w:type="dxa"/>
            <w:vAlign w:val="center"/>
          </w:tcPr>
          <w:p>
            <w:pPr>
              <w:spacing w:line="400" w:lineRule="exact"/>
              <w:ind w:left="4387" w:hanging="4387" w:hangingChars="2081"/>
              <w:rPr>
                <w:rFonts w:hint="eastAsia" w:ascii="宋体" w:hAnsi="宋体"/>
                <w:b/>
                <w:color w:val="auto"/>
                <w:szCs w:val="21"/>
                <w:highlight w:val="none"/>
              </w:rPr>
            </w:pPr>
            <w:r>
              <w:rPr>
                <w:rFonts w:hint="eastAsia" w:ascii="宋体" w:hAnsi="宋体"/>
                <w:b/>
                <w:color w:val="auto"/>
                <w:szCs w:val="21"/>
                <w:highlight w:val="none"/>
              </w:rPr>
              <w:t>经办人：</w:t>
            </w:r>
          </w:p>
        </w:tc>
      </w:tr>
      <w:tr>
        <w:tblPrEx>
          <w:tblCellMar>
            <w:top w:w="0" w:type="dxa"/>
            <w:left w:w="108" w:type="dxa"/>
            <w:bottom w:w="0" w:type="dxa"/>
            <w:right w:w="108" w:type="dxa"/>
          </w:tblCellMar>
        </w:tblPrEx>
        <w:trPr>
          <w:trHeight w:val="443" w:hRule="atLeast"/>
        </w:trPr>
        <w:tc>
          <w:tcPr>
            <w:tcW w:w="4644" w:type="dxa"/>
            <w:vAlign w:val="center"/>
          </w:tcPr>
          <w:p>
            <w:pPr>
              <w:spacing w:line="400" w:lineRule="exact"/>
              <w:ind w:left="4387" w:hanging="4387" w:hangingChars="2081"/>
              <w:rPr>
                <w:rFonts w:hint="eastAsia" w:ascii="宋体" w:hAnsi="宋体"/>
                <w:b/>
                <w:color w:val="auto"/>
                <w:szCs w:val="21"/>
                <w:highlight w:val="none"/>
              </w:rPr>
            </w:pPr>
            <w:r>
              <w:rPr>
                <w:rFonts w:hint="eastAsia" w:ascii="宋体" w:hAnsi="宋体"/>
                <w:b/>
                <w:color w:val="auto"/>
                <w:szCs w:val="21"/>
                <w:highlight w:val="none"/>
              </w:rPr>
              <w:t>电话：</w:t>
            </w:r>
          </w:p>
        </w:tc>
        <w:tc>
          <w:tcPr>
            <w:tcW w:w="4962" w:type="dxa"/>
            <w:vAlign w:val="center"/>
          </w:tcPr>
          <w:p>
            <w:pPr>
              <w:spacing w:line="400" w:lineRule="exact"/>
              <w:ind w:left="4387" w:hanging="4387" w:hangingChars="2081"/>
              <w:rPr>
                <w:rFonts w:hint="eastAsia" w:ascii="宋体" w:hAnsi="宋体"/>
                <w:b/>
                <w:color w:val="auto"/>
                <w:szCs w:val="21"/>
                <w:highlight w:val="none"/>
              </w:rPr>
            </w:pPr>
            <w:r>
              <w:rPr>
                <w:rFonts w:hint="eastAsia" w:ascii="宋体" w:hAnsi="宋体"/>
                <w:b/>
                <w:color w:val="auto"/>
                <w:szCs w:val="21"/>
                <w:highlight w:val="none"/>
              </w:rPr>
              <w:t>电话：</w:t>
            </w:r>
          </w:p>
        </w:tc>
      </w:tr>
      <w:tr>
        <w:tblPrEx>
          <w:tblCellMar>
            <w:top w:w="0" w:type="dxa"/>
            <w:left w:w="108" w:type="dxa"/>
            <w:bottom w:w="0" w:type="dxa"/>
            <w:right w:w="108" w:type="dxa"/>
          </w:tblCellMar>
        </w:tblPrEx>
        <w:trPr>
          <w:trHeight w:val="443" w:hRule="atLeast"/>
        </w:trPr>
        <w:tc>
          <w:tcPr>
            <w:tcW w:w="4644" w:type="dxa"/>
            <w:vAlign w:val="center"/>
          </w:tcPr>
          <w:p>
            <w:pPr>
              <w:spacing w:line="400" w:lineRule="exact"/>
              <w:ind w:left="4387" w:hanging="4387" w:hangingChars="2081"/>
              <w:rPr>
                <w:rFonts w:hint="eastAsia" w:ascii="宋体" w:hAnsi="宋体"/>
                <w:b/>
                <w:color w:val="auto"/>
                <w:szCs w:val="21"/>
                <w:highlight w:val="none"/>
              </w:rPr>
            </w:pPr>
            <w:r>
              <w:rPr>
                <w:rFonts w:hint="eastAsia" w:ascii="宋体" w:hAnsi="宋体"/>
                <w:b/>
                <w:color w:val="auto"/>
                <w:szCs w:val="21"/>
                <w:highlight w:val="none"/>
              </w:rPr>
              <w:t>签约日期：     年    月   日</w:t>
            </w:r>
          </w:p>
        </w:tc>
        <w:tc>
          <w:tcPr>
            <w:tcW w:w="4962" w:type="dxa"/>
            <w:vAlign w:val="center"/>
          </w:tcPr>
          <w:p>
            <w:pPr>
              <w:spacing w:line="400" w:lineRule="exact"/>
              <w:ind w:left="4387" w:hanging="4387" w:hangingChars="2081"/>
              <w:rPr>
                <w:rFonts w:hint="eastAsia" w:ascii="宋体" w:hAnsi="宋体"/>
                <w:b/>
                <w:color w:val="auto"/>
                <w:szCs w:val="21"/>
                <w:highlight w:val="none"/>
              </w:rPr>
            </w:pPr>
            <w:r>
              <w:rPr>
                <w:rFonts w:hint="eastAsia" w:ascii="宋体" w:hAnsi="宋体"/>
                <w:b/>
                <w:color w:val="auto"/>
                <w:szCs w:val="21"/>
                <w:highlight w:val="none"/>
              </w:rPr>
              <w:t>签约日期：     年    月   日</w:t>
            </w:r>
          </w:p>
        </w:tc>
      </w:tr>
    </w:tbl>
    <w:p>
      <w:pPr>
        <w:spacing w:line="560" w:lineRule="exact"/>
        <w:rPr>
          <w:rFonts w:hint="eastAsia" w:ascii="宋体" w:hAnsi="宋体"/>
          <w:b/>
          <w:bCs/>
          <w:color w:val="auto"/>
          <w:szCs w:val="21"/>
          <w:highlight w:val="none"/>
        </w:rPr>
      </w:pPr>
    </w:p>
    <w:p>
      <w:pPr>
        <w:spacing w:line="300" w:lineRule="auto"/>
        <w:jc w:val="left"/>
        <w:rPr>
          <w:rFonts w:hint="eastAsia" w:ascii="宋体" w:hAnsi="宋体"/>
          <w:color w:val="auto"/>
          <w:szCs w:val="21"/>
          <w:highlight w:val="none"/>
        </w:rPr>
      </w:pPr>
    </w:p>
    <w:p>
      <w:pPr>
        <w:spacing w:line="360" w:lineRule="auto"/>
        <w:outlineLvl w:val="0"/>
        <w:rPr>
          <w:rFonts w:hint="eastAsia" w:ascii="宋体" w:hAnsi="宋体" w:cs="宋体"/>
          <w:b/>
          <w:color w:val="auto"/>
          <w:sz w:val="36"/>
          <w:szCs w:val="20"/>
          <w:highlight w:val="none"/>
        </w:rPr>
      </w:pPr>
    </w:p>
    <w:p>
      <w:pPr>
        <w:rPr>
          <w:rFonts w:hint="eastAsia" w:ascii="宋体" w:hAnsi="宋体"/>
          <w:b/>
          <w:color w:val="auto"/>
          <w:sz w:val="44"/>
          <w:szCs w:val="44"/>
          <w:highlight w:val="none"/>
        </w:rPr>
      </w:pPr>
      <w:r>
        <w:rPr>
          <w:rFonts w:ascii="宋体" w:hAnsi="宋体"/>
          <w:b/>
          <w:color w:val="auto"/>
          <w:sz w:val="44"/>
          <w:szCs w:val="44"/>
          <w:highlight w:val="none"/>
        </w:rPr>
        <w:br w:type="page"/>
      </w:r>
    </w:p>
    <w:p>
      <w:pPr>
        <w:spacing w:line="360" w:lineRule="auto"/>
        <w:jc w:val="center"/>
        <w:rPr>
          <w:rFonts w:hint="eastAsia" w:ascii="宋体" w:hAnsi="宋体"/>
          <w:b/>
          <w:color w:val="auto"/>
          <w:sz w:val="44"/>
          <w:szCs w:val="44"/>
          <w:highlight w:val="none"/>
        </w:rPr>
      </w:pPr>
      <w:r>
        <w:rPr>
          <w:rFonts w:ascii="宋体" w:hAnsi="宋体"/>
          <w:b/>
          <w:color w:val="auto"/>
          <w:sz w:val="44"/>
          <w:szCs w:val="44"/>
          <w:highlight w:val="none"/>
        </w:rPr>
        <w:t>网络信息安全承诺书</w:t>
      </w:r>
    </w:p>
    <w:p>
      <w:pPr>
        <w:autoSpaceDE w:val="0"/>
        <w:autoSpaceDN w:val="0"/>
        <w:adjustRightInd w:val="0"/>
        <w:snapToGrid w:val="0"/>
        <w:spacing w:line="520" w:lineRule="exact"/>
        <w:rPr>
          <w:rFonts w:hint="eastAsia" w:ascii="宋体" w:hAnsi="宋体" w:cs="仿宋_GB2312"/>
          <w:color w:val="auto"/>
          <w:kern w:val="0"/>
          <w:sz w:val="24"/>
          <w:highlight w:val="none"/>
        </w:rPr>
      </w:pPr>
    </w:p>
    <w:p>
      <w:pPr>
        <w:autoSpaceDE w:val="0"/>
        <w:autoSpaceDN w:val="0"/>
        <w:adjustRightInd w:val="0"/>
        <w:snapToGrid w:val="0"/>
        <w:spacing w:line="520" w:lineRule="exact"/>
        <w:rPr>
          <w:rFonts w:hint="eastAsia" w:ascii="宋体" w:hAnsi="宋体" w:cs="仿宋_GB2312"/>
          <w:color w:val="auto"/>
          <w:kern w:val="0"/>
          <w:sz w:val="24"/>
          <w:highlight w:val="none"/>
        </w:rPr>
      </w:pPr>
      <w:r>
        <w:rPr>
          <w:rFonts w:hint="eastAsia" w:ascii="宋体" w:hAnsi="宋体" w:cs="仿宋_GB2312"/>
          <w:color w:val="auto"/>
          <w:kern w:val="0"/>
          <w:sz w:val="24"/>
          <w:highlight w:val="none"/>
        </w:rPr>
        <w:t>广西科技信息网络中心：</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 xml:space="preserve">本单位郑重承诺遵守本承诺书的有关条款，如有违反本承诺书有关条款的行为，本单位承担由此带来的一切民事、行政和刑事责任。 </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一、本单位承诺遵守《中华人民共和国计算机信息系统安全保护条例》和《计算机信息网络国际联网安全保护管理办法》及有关法律、法规和行政规章制度、文件规定。</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二、本单位保证不利用网络危害国家安全、泄露国家秘密，不侵犯国家的、社会的、集体的利益和第三方的合法权益，不从事违法犯罪活动。</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三、本单位承诺严格按照国家相关法律法规做好贵单位网站、信息系统、平台的信息安全管理工作，按政府有关部门要求设立信息安全责任人和信息安全审查员，信息安全责任人和信息安全审查员应在通过公安机关的安全技术培训后，持证上岗。</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四、本单位承诺健全各项网络安全管理制度和落实各项安全保护技术措施。</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五、本单位承诺接受公安机关的监督和检查,如实主动提供有关安全保护的信息、资料及数据文件，积极协助查处通过国际联网的计算机信息网络违法犯罪行为。</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 xml:space="preserve">六、本单位承诺不通过互联网制作、复制、查阅和传播下列信息： </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1.反对宪法所确定的基本原则的。</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2.危害国家安全，泄露国家秘密，颠覆国家政权，破坏国家统一的。</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3.损害国家荣誉和利益的。</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4.煽动民族仇恨、民族歧视，破坏民族团结的。</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5.破坏国家宗教政策，宣扬邪教和封建迷信的。</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6.散布谣言，扰乱社会秩序，破坏社会稳定的。</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 xml:space="preserve">7.散布淫秽、色情、赌博、暴力、凶杀、恐怖或者教唆犯罪的。 </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8.侮辱或者诽谤他人，侵害他人合法权益的。</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9.含有法律法规禁止的其他内容的。</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七、本单位承诺不从事任何危害计算机信息网络安全的活动，包括但不限于：</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1.未经允许，进入计算机信息网络或者使用计算机信息网络资源的。</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2.未经允许，对计算机信息网络功能进行删除、修改或者增加的。</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3.未经允许，对计算机信息网络中存储或者传输的数据和应用程序进行删除、修改或者增加的。</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4.故意制作、传播计算机病毒等破坏性程序的。</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5.其他危害计算机信息网络安全的。</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八、本单位承诺，当计算机信息系统发生重大安全事故时，立即采取应急措施，保留有关原始记录，并在 24 小时内向政府监管部门报告，并书面知会贵单位。</w:t>
      </w:r>
    </w:p>
    <w:p>
      <w:pPr>
        <w:spacing w:line="520" w:lineRule="exact"/>
        <w:ind w:firstLine="468" w:firstLineChars="195"/>
        <w:rPr>
          <w:b/>
          <w:color w:val="auto"/>
          <w:sz w:val="24"/>
          <w:highlight w:val="none"/>
        </w:rPr>
      </w:pPr>
      <w:r>
        <w:rPr>
          <w:rFonts w:hint="eastAsia" w:ascii="宋体" w:hAnsi="宋体" w:cs="仿宋_GB2312"/>
          <w:color w:val="auto"/>
          <w:kern w:val="0"/>
          <w:sz w:val="24"/>
          <w:highlight w:val="none"/>
        </w:rPr>
        <w:t xml:space="preserve">九、若违反本承诺书有关条款和国家相关法律法规的，本单位直接承担相应法律责任，造成财产损失的，由本单位直接赔偿。同时，贵单位有权暂停提供服务直至解除双方合作合同。 </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r>
        <w:rPr>
          <w:rFonts w:hint="eastAsia" w:ascii="宋体" w:hAnsi="宋体" w:cs="仿宋_GB2312"/>
          <w:color w:val="auto"/>
          <w:kern w:val="0"/>
          <w:sz w:val="24"/>
          <w:highlight w:val="none"/>
        </w:rPr>
        <w:t>十、本承诺书自签署之日起生效并遵行。</w:t>
      </w: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p>
    <w:p>
      <w:pPr>
        <w:autoSpaceDE w:val="0"/>
        <w:autoSpaceDN w:val="0"/>
        <w:adjustRightInd w:val="0"/>
        <w:snapToGrid w:val="0"/>
        <w:spacing w:line="520" w:lineRule="exact"/>
        <w:ind w:firstLine="480" w:firstLineChars="200"/>
        <w:rPr>
          <w:rFonts w:hint="eastAsia" w:ascii="宋体" w:hAnsi="宋体" w:cs="仿宋_GB2312"/>
          <w:color w:val="auto"/>
          <w:kern w:val="0"/>
          <w:sz w:val="24"/>
          <w:highlight w:val="none"/>
        </w:rPr>
      </w:pPr>
    </w:p>
    <w:p>
      <w:pPr>
        <w:autoSpaceDE w:val="0"/>
        <w:autoSpaceDN w:val="0"/>
        <w:adjustRightInd w:val="0"/>
        <w:snapToGrid w:val="0"/>
        <w:spacing w:line="520" w:lineRule="exact"/>
        <w:ind w:firstLine="1699" w:firstLineChars="708"/>
        <w:jc w:val="left"/>
        <w:rPr>
          <w:rFonts w:hint="eastAsia" w:ascii="宋体" w:hAnsi="宋体" w:cs="仿宋_GB2312"/>
          <w:color w:val="auto"/>
          <w:kern w:val="0"/>
          <w:sz w:val="24"/>
          <w:highlight w:val="none"/>
        </w:rPr>
      </w:pPr>
      <w:r>
        <w:rPr>
          <w:rFonts w:hint="eastAsia" w:ascii="宋体" w:hAnsi="宋体" w:cs="仿宋_GB2312"/>
          <w:color w:val="auto"/>
          <w:kern w:val="0"/>
          <w:sz w:val="24"/>
          <w:highlight w:val="none"/>
        </w:rPr>
        <w:t xml:space="preserve">           单位（盖章）：</w:t>
      </w:r>
    </w:p>
    <w:p>
      <w:pPr>
        <w:autoSpaceDE w:val="0"/>
        <w:autoSpaceDN w:val="0"/>
        <w:adjustRightInd w:val="0"/>
        <w:snapToGrid w:val="0"/>
        <w:spacing w:line="520" w:lineRule="exact"/>
        <w:jc w:val="left"/>
        <w:rPr>
          <w:rFonts w:hint="eastAsia" w:ascii="宋体" w:hAnsi="宋体"/>
          <w:color w:val="auto"/>
          <w:sz w:val="24"/>
          <w:highlight w:val="none"/>
        </w:rPr>
      </w:pPr>
      <w:r>
        <w:rPr>
          <w:rFonts w:hint="eastAsia" w:ascii="宋体" w:hAnsi="宋体" w:cs="仿宋_GB2312"/>
          <w:color w:val="auto"/>
          <w:kern w:val="0"/>
          <w:sz w:val="24"/>
          <w:highlight w:val="none"/>
        </w:rPr>
        <w:t xml:space="preserve">                     </w:t>
      </w:r>
      <w:r>
        <w:rPr>
          <w:rFonts w:ascii="宋体" w:hAnsi="宋体" w:cs="仿宋_GB2312"/>
          <w:color w:val="auto"/>
          <w:kern w:val="0"/>
          <w:sz w:val="24"/>
          <w:highlight w:val="none"/>
        </w:rPr>
        <w:t xml:space="preserve">            </w:t>
      </w:r>
      <w:r>
        <w:rPr>
          <w:rFonts w:hint="eastAsia" w:ascii="宋体" w:hAnsi="宋体" w:cs="仿宋_GB2312"/>
          <w:color w:val="auto"/>
          <w:kern w:val="0"/>
          <w:sz w:val="24"/>
          <w:highlight w:val="none"/>
        </w:rPr>
        <w:t xml:space="preserve">  日 期 ：    年     月    日</w:t>
      </w:r>
    </w:p>
    <w:p>
      <w:pPr>
        <w:spacing w:line="560" w:lineRule="exact"/>
        <w:ind w:left="1919" w:leftChars="152" w:hanging="1600" w:hangingChars="500"/>
        <w:rPr>
          <w:rFonts w:hint="eastAsia" w:ascii="仿宋" w:hAnsi="仿宋" w:eastAsia="仿宋"/>
          <w:color w:val="auto"/>
          <w:sz w:val="32"/>
          <w:szCs w:val="32"/>
          <w:highlight w:val="none"/>
        </w:rPr>
      </w:pPr>
    </w:p>
    <w:p>
      <w:pPr>
        <w:widowControl/>
        <w:spacing w:beforeAutospacing="1" w:line="360" w:lineRule="auto"/>
        <w:jc w:val="left"/>
        <w:rPr>
          <w:rFonts w:hint="eastAsia" w:ascii="宋体" w:hAnsi="宋体" w:cs="宋体"/>
          <w:color w:val="auto"/>
          <w:highlight w:val="none"/>
        </w:rPr>
        <w:sectPr>
          <w:footerReference r:id="rId4" w:type="default"/>
          <w:pgSz w:w="11906" w:h="16838"/>
          <w:pgMar w:top="1134" w:right="1020" w:bottom="1020" w:left="1134" w:header="720" w:footer="720" w:gutter="0"/>
          <w:cols w:space="720" w:num="1"/>
          <w:docGrid w:type="lines" w:linePitch="331" w:charSpace="0"/>
        </w:sectPr>
      </w:pPr>
    </w:p>
    <w:p>
      <w:pPr>
        <w:pStyle w:val="13"/>
        <w:spacing w:line="360" w:lineRule="auto"/>
        <w:ind w:left="178" w:leftChars="85"/>
        <w:rPr>
          <w:rFonts w:hint="eastAsia" w:hAnsi="宋体" w:cs="宋体"/>
          <w:color w:val="auto"/>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outlineLvl w:val="0"/>
        <w:rPr>
          <w:rFonts w:hint="eastAsia" w:hAnsi="宋体" w:cs="宋体"/>
          <w:b/>
          <w:color w:val="auto"/>
          <w:sz w:val="36"/>
          <w:highlight w:val="none"/>
        </w:rPr>
      </w:pPr>
      <w:bookmarkStart w:id="340" w:name="_Toc19166"/>
      <w:bookmarkStart w:id="341" w:name="_Toc20288"/>
      <w:bookmarkStart w:id="342" w:name="_Toc27021"/>
      <w:bookmarkStart w:id="343" w:name="_Toc21691"/>
      <w:bookmarkStart w:id="344" w:name="_Toc8074"/>
      <w:bookmarkStart w:id="345" w:name="_Toc7880"/>
      <w:bookmarkStart w:id="346" w:name="_Toc8784"/>
      <w:bookmarkStart w:id="347" w:name="_Toc23759"/>
      <w:bookmarkStart w:id="348" w:name="_Toc14291"/>
      <w:bookmarkStart w:id="349" w:name="_Toc10298"/>
      <w:bookmarkStart w:id="350" w:name="_Toc6639"/>
      <w:r>
        <w:rPr>
          <w:rFonts w:hint="eastAsia" w:hAnsi="宋体" w:cs="宋体"/>
          <w:b/>
          <w:color w:val="auto"/>
          <w:sz w:val="36"/>
          <w:highlight w:val="none"/>
        </w:rPr>
        <w:t>第六章 投标文件格式</w:t>
      </w:r>
      <w:bookmarkEnd w:id="340"/>
      <w:bookmarkEnd w:id="341"/>
      <w:bookmarkEnd w:id="342"/>
      <w:bookmarkEnd w:id="343"/>
      <w:bookmarkEnd w:id="344"/>
      <w:bookmarkEnd w:id="345"/>
      <w:bookmarkEnd w:id="346"/>
      <w:bookmarkEnd w:id="347"/>
      <w:bookmarkEnd w:id="348"/>
      <w:bookmarkEnd w:id="349"/>
      <w:bookmarkEnd w:id="350"/>
    </w:p>
    <w:p>
      <w:pPr>
        <w:widowControl/>
        <w:spacing w:beforeAutospacing="1" w:line="360" w:lineRule="auto"/>
        <w:jc w:val="left"/>
        <w:rPr>
          <w:rFonts w:hint="eastAsia" w:ascii="宋体" w:hAnsi="宋体" w:cs="宋体"/>
          <w:color w:val="auto"/>
          <w:szCs w:val="20"/>
          <w:highlight w:val="none"/>
        </w:rPr>
        <w:sectPr>
          <w:pgSz w:w="11906" w:h="16838"/>
          <w:pgMar w:top="1134" w:right="1020" w:bottom="1020" w:left="1134" w:header="720" w:footer="720" w:gutter="0"/>
          <w:cols w:space="720" w:num="1"/>
          <w:docGrid w:type="lines" w:linePitch="331" w:charSpace="0"/>
        </w:sectPr>
      </w:pPr>
    </w:p>
    <w:p>
      <w:pPr>
        <w:pStyle w:val="13"/>
        <w:jc w:val="center"/>
        <w:outlineLvl w:val="1"/>
        <w:rPr>
          <w:rFonts w:hint="eastAsia" w:hAnsi="宋体" w:cs="宋体"/>
          <w:b/>
          <w:bCs/>
          <w:color w:val="auto"/>
          <w:sz w:val="28"/>
          <w:szCs w:val="28"/>
          <w:highlight w:val="none"/>
        </w:rPr>
      </w:pPr>
      <w:bookmarkStart w:id="351" w:name="_Toc29743"/>
      <w:bookmarkStart w:id="352" w:name="_Toc16447"/>
      <w:bookmarkStart w:id="353" w:name="_Toc26915"/>
      <w:bookmarkStart w:id="354" w:name="_Toc247"/>
      <w:bookmarkStart w:id="355" w:name="_Toc30455"/>
      <w:r>
        <w:rPr>
          <w:rFonts w:hint="eastAsia" w:hAnsi="宋体" w:cs="宋体"/>
          <w:b/>
          <w:bCs/>
          <w:color w:val="auto"/>
          <w:sz w:val="28"/>
          <w:szCs w:val="28"/>
          <w:highlight w:val="none"/>
        </w:rPr>
        <w:t>第一节 资格证明文件格式</w:t>
      </w:r>
      <w:bookmarkEnd w:id="351"/>
      <w:bookmarkEnd w:id="352"/>
      <w:bookmarkEnd w:id="353"/>
      <w:bookmarkEnd w:id="354"/>
      <w:bookmarkEnd w:id="355"/>
    </w:p>
    <w:p>
      <w:pPr>
        <w:pStyle w:val="13"/>
        <w:spacing w:line="360" w:lineRule="auto"/>
        <w:ind w:firstLine="420"/>
        <w:rPr>
          <w:rFonts w:hint="eastAsia" w:hAnsi="宋体" w:cs="宋体"/>
          <w:color w:val="auto"/>
          <w:sz w:val="24"/>
          <w:szCs w:val="24"/>
          <w:highlight w:val="none"/>
        </w:rPr>
      </w:pPr>
    </w:p>
    <w:p>
      <w:pPr>
        <w:pStyle w:val="13"/>
        <w:spacing w:line="360" w:lineRule="auto"/>
        <w:ind w:firstLine="420"/>
        <w:rPr>
          <w:rFonts w:hint="eastAsia" w:hAnsi="宋体" w:cs="宋体"/>
          <w:b/>
          <w:bCs/>
          <w:color w:val="auto"/>
          <w:sz w:val="24"/>
          <w:szCs w:val="24"/>
          <w:highlight w:val="none"/>
        </w:rPr>
      </w:pPr>
      <w:r>
        <w:rPr>
          <w:rFonts w:hint="eastAsia" w:hAnsi="宋体" w:cs="宋体"/>
          <w:b/>
          <w:bCs/>
          <w:color w:val="auto"/>
          <w:sz w:val="28"/>
          <w:szCs w:val="28"/>
          <w:highlight w:val="none"/>
        </w:rPr>
        <w:t>1.资格证明文件封面的格式</w:t>
      </w:r>
      <w:r>
        <w:rPr>
          <w:rFonts w:hint="eastAsia" w:hAnsi="宋体" w:cs="宋体"/>
          <w:b/>
          <w:color w:val="auto"/>
          <w:sz w:val="28"/>
          <w:szCs w:val="28"/>
          <w:highlight w:val="none"/>
        </w:rPr>
        <w:t>（参照此格式自拟）</w:t>
      </w:r>
      <w:r>
        <w:rPr>
          <w:rFonts w:hint="eastAsia" w:hAnsi="宋体" w:cs="宋体"/>
          <w:b/>
          <w:bCs/>
          <w:color w:val="auto"/>
          <w:sz w:val="28"/>
          <w:szCs w:val="28"/>
          <w:highlight w:val="none"/>
        </w:rPr>
        <w:t>：</w:t>
      </w:r>
      <w:r>
        <w:rPr>
          <w:rFonts w:hint="eastAsia" w:hAnsi="宋体" w:cs="宋体"/>
          <w:b/>
          <w:bCs/>
          <w:color w:val="auto"/>
          <w:sz w:val="24"/>
          <w:szCs w:val="24"/>
          <w:highlight w:val="none"/>
        </w:rPr>
        <w:t xml:space="preserve"> </w:t>
      </w:r>
    </w:p>
    <w:p>
      <w:pPr>
        <w:pStyle w:val="8"/>
        <w:rPr>
          <w:color w:val="auto"/>
          <w:highlight w:val="none"/>
        </w:rPr>
      </w:pPr>
    </w:p>
    <w:p>
      <w:pPr>
        <w:snapToGrid w:val="0"/>
        <w:spacing w:before="165" w:beforeLines="50" w:after="50"/>
        <w:rPr>
          <w:rFonts w:hint="eastAsia"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电子投标文件</w:t>
      </w:r>
    </w:p>
    <w:p>
      <w:pPr>
        <w:snapToGrid w:val="0"/>
        <w:spacing w:before="165" w:beforeLines="50" w:after="50"/>
        <w:rPr>
          <w:rFonts w:hint="eastAsia" w:ascii="宋体" w:hAnsi="宋体" w:cs="宋体"/>
          <w:color w:val="auto"/>
          <w:sz w:val="24"/>
          <w:szCs w:val="20"/>
          <w:highlight w:val="none"/>
        </w:rPr>
      </w:pPr>
    </w:p>
    <w:p>
      <w:pPr>
        <w:snapToGrid w:val="0"/>
        <w:spacing w:before="165" w:beforeLines="50" w:after="50"/>
        <w:jc w:val="center"/>
        <w:rPr>
          <w:rFonts w:hint="eastAsia" w:ascii="宋体" w:hAnsi="宋体" w:cs="宋体"/>
          <w:b/>
          <w:color w:val="auto"/>
          <w:sz w:val="32"/>
          <w:szCs w:val="32"/>
          <w:highlight w:val="none"/>
        </w:rPr>
      </w:pPr>
    </w:p>
    <w:p>
      <w:pPr>
        <w:snapToGrid w:val="0"/>
        <w:spacing w:before="165" w:beforeLines="50" w:after="50"/>
        <w:jc w:val="center"/>
        <w:rPr>
          <w:rFonts w:hint="eastAsia" w:ascii="宋体" w:hAnsi="宋体" w:cs="宋体"/>
          <w:b/>
          <w:color w:val="auto"/>
          <w:sz w:val="24"/>
          <w:szCs w:val="20"/>
          <w:highlight w:val="none"/>
        </w:rPr>
      </w:pPr>
      <w:r>
        <w:rPr>
          <w:rFonts w:hint="eastAsia" w:ascii="宋体" w:hAnsi="宋体" w:cs="宋体"/>
          <w:b/>
          <w:color w:val="auto"/>
          <w:sz w:val="32"/>
          <w:szCs w:val="32"/>
          <w:highlight w:val="none"/>
        </w:rPr>
        <w:t>资格证明文件</w:t>
      </w:r>
    </w:p>
    <w:p>
      <w:pPr>
        <w:snapToGrid w:val="0"/>
        <w:spacing w:before="165" w:beforeLines="50" w:after="50"/>
        <w:rPr>
          <w:rFonts w:hint="eastAsia" w:ascii="宋体" w:hAnsi="宋体" w:cs="宋体"/>
          <w:bCs/>
          <w:color w:val="auto"/>
          <w:sz w:val="24"/>
          <w:szCs w:val="20"/>
          <w:highlight w:val="none"/>
        </w:rPr>
      </w:pPr>
    </w:p>
    <w:p>
      <w:pPr>
        <w:snapToGrid w:val="0"/>
        <w:spacing w:before="165" w:beforeLines="50" w:after="50"/>
        <w:rPr>
          <w:rFonts w:hint="eastAsia" w:ascii="宋体" w:hAnsi="宋体" w:cs="宋体"/>
          <w:bCs/>
          <w:color w:val="auto"/>
          <w:sz w:val="24"/>
          <w:szCs w:val="20"/>
          <w:highlight w:val="none"/>
        </w:rPr>
      </w:pPr>
    </w:p>
    <w:p>
      <w:pPr>
        <w:snapToGrid w:val="0"/>
        <w:spacing w:before="165" w:beforeLines="50" w:after="50"/>
        <w:rPr>
          <w:rFonts w:hint="eastAsia" w:ascii="宋体" w:hAnsi="宋体" w:cs="宋体"/>
          <w:bCs/>
          <w:color w:val="auto"/>
          <w:sz w:val="24"/>
          <w:szCs w:val="20"/>
          <w:highlight w:val="none"/>
        </w:rPr>
      </w:pPr>
    </w:p>
    <w:p>
      <w:pPr>
        <w:snapToGrid w:val="0"/>
        <w:spacing w:before="165" w:beforeLines="50" w:after="50"/>
        <w:rPr>
          <w:rFonts w:hint="eastAsia" w:ascii="宋体" w:hAnsi="宋体" w:cs="宋体"/>
          <w:bCs/>
          <w:color w:val="auto"/>
          <w:sz w:val="24"/>
          <w:szCs w:val="20"/>
          <w:highlight w:val="none"/>
        </w:rPr>
      </w:pPr>
    </w:p>
    <w:p>
      <w:pPr>
        <w:snapToGrid w:val="0"/>
        <w:spacing w:before="165" w:beforeLines="50" w:after="50"/>
        <w:rPr>
          <w:rFonts w:hint="eastAsia" w:ascii="宋体" w:hAnsi="宋体" w:cs="宋体"/>
          <w:bCs/>
          <w:color w:val="auto"/>
          <w:sz w:val="24"/>
          <w:szCs w:val="20"/>
          <w:highlight w:val="none"/>
        </w:rPr>
      </w:pPr>
    </w:p>
    <w:p>
      <w:pPr>
        <w:snapToGrid w:val="0"/>
        <w:spacing w:before="165" w:beforeLines="50" w:after="50"/>
        <w:rPr>
          <w:rFonts w:hint="eastAsia" w:ascii="宋体" w:hAnsi="宋体" w:cs="宋体"/>
          <w:bCs/>
          <w:color w:val="auto"/>
          <w:sz w:val="24"/>
          <w:szCs w:val="20"/>
          <w:highlight w:val="none"/>
        </w:rPr>
      </w:pPr>
    </w:p>
    <w:p>
      <w:pPr>
        <w:snapToGrid w:val="0"/>
        <w:spacing w:before="165" w:beforeLines="50" w:after="50"/>
        <w:rPr>
          <w:rFonts w:hint="eastAsia" w:ascii="宋体" w:hAnsi="宋体" w:cs="宋体"/>
          <w:bCs/>
          <w:color w:val="auto"/>
          <w:sz w:val="24"/>
          <w:szCs w:val="20"/>
          <w:highlight w:val="none"/>
        </w:rPr>
      </w:pPr>
    </w:p>
    <w:p>
      <w:pPr>
        <w:snapToGrid w:val="0"/>
        <w:spacing w:before="165"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项目名称：</w:t>
      </w:r>
    </w:p>
    <w:p>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pPr>
        <w:snapToGrid w:val="0"/>
        <w:spacing w:before="165"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所投分标（如有则填写，无分标时填写“无”或者留空）：</w:t>
      </w:r>
    </w:p>
    <w:p>
      <w:pPr>
        <w:pStyle w:val="7"/>
        <w:snapToGrid w:val="0"/>
        <w:spacing w:before="50" w:after="50"/>
        <w:ind w:firstLine="540" w:firstLineChars="225"/>
        <w:rPr>
          <w:rFonts w:hint="eastAsia" w:ascii="宋体" w:hAnsi="宋体" w:cs="宋体"/>
          <w:bCs/>
          <w:color w:val="auto"/>
          <w:sz w:val="24"/>
          <w:szCs w:val="24"/>
          <w:highlight w:val="none"/>
        </w:rPr>
      </w:pPr>
    </w:p>
    <w:p>
      <w:pPr>
        <w:pStyle w:val="7"/>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pPr>
        <w:pStyle w:val="7"/>
        <w:snapToGrid w:val="0"/>
        <w:spacing w:before="50" w:after="50"/>
        <w:ind w:firstLine="540" w:firstLineChars="225"/>
        <w:rPr>
          <w:rFonts w:hint="eastAsia" w:ascii="宋体" w:hAnsi="宋体" w:cs="宋体"/>
          <w:bCs/>
          <w:color w:val="auto"/>
          <w:sz w:val="24"/>
          <w:szCs w:val="24"/>
          <w:highlight w:val="none"/>
        </w:rPr>
      </w:pPr>
    </w:p>
    <w:p>
      <w:pPr>
        <w:pStyle w:val="7"/>
        <w:snapToGrid w:val="0"/>
        <w:spacing w:before="50" w:after="50"/>
        <w:ind w:firstLine="960" w:firstLineChars="400"/>
        <w:rPr>
          <w:rFonts w:hint="eastAsia" w:ascii="宋体" w:hAnsi="宋体" w:cs="宋体"/>
          <w:bCs/>
          <w:color w:val="auto"/>
          <w:sz w:val="24"/>
          <w:szCs w:val="24"/>
          <w:highlight w:val="none"/>
        </w:rPr>
      </w:pPr>
    </w:p>
    <w:p>
      <w:pPr>
        <w:snapToGrid w:val="0"/>
        <w:spacing w:before="165" w:beforeLines="50" w:after="50"/>
        <w:ind w:firstLine="645"/>
        <w:jc w:val="center"/>
        <w:rPr>
          <w:rFonts w:hint="eastAsia" w:ascii="宋体" w:hAnsi="宋体" w:cs="宋体"/>
          <w:color w:val="auto"/>
          <w:sz w:val="24"/>
          <w:highlight w:val="none"/>
        </w:rPr>
      </w:pPr>
      <w:r>
        <w:rPr>
          <w:rFonts w:hint="eastAsia" w:ascii="宋体" w:hAnsi="宋体" w:cs="宋体"/>
          <w:color w:val="auto"/>
          <w:sz w:val="24"/>
          <w:highlight w:val="none"/>
        </w:rPr>
        <w:t>年  月  日</w:t>
      </w:r>
    </w:p>
    <w:p>
      <w:pPr>
        <w:widowControl/>
        <w:spacing w:line="360" w:lineRule="auto"/>
        <w:jc w:val="left"/>
        <w:rPr>
          <w:rFonts w:hint="eastAsia" w:ascii="宋体" w:hAnsi="宋体" w:cs="宋体"/>
          <w:color w:val="auto"/>
          <w:sz w:val="30"/>
          <w:szCs w:val="20"/>
          <w:highlight w:val="none"/>
        </w:rPr>
        <w:sectPr>
          <w:pgSz w:w="11906" w:h="16838"/>
          <w:pgMar w:top="1134" w:right="1020" w:bottom="1020" w:left="1134" w:header="720" w:footer="720" w:gutter="0"/>
          <w:cols w:space="720" w:num="1"/>
          <w:docGrid w:type="lines" w:linePitch="331" w:charSpace="0"/>
        </w:sectPr>
      </w:pPr>
    </w:p>
    <w:p>
      <w:pPr>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2.资格证明文件目录</w:t>
      </w:r>
    </w:p>
    <w:p>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根据招标文件规定及投标人提供的材料自行编写目录（部分格式后附）。</w:t>
      </w:r>
    </w:p>
    <w:p>
      <w:pPr>
        <w:snapToGrid w:val="0"/>
        <w:spacing w:line="360" w:lineRule="auto"/>
        <w:rPr>
          <w:rFonts w:hint="eastAsia" w:ascii="宋体" w:hAnsi="宋体" w:cs="宋体"/>
          <w:b/>
          <w:color w:val="auto"/>
          <w:kern w:val="0"/>
          <w:sz w:val="32"/>
          <w:szCs w:val="32"/>
          <w:highlight w:val="none"/>
          <w:lang w:val="zh-CN"/>
        </w:rPr>
      </w:pPr>
    </w:p>
    <w:p>
      <w:pPr>
        <w:snapToGrid w:val="0"/>
        <w:spacing w:line="360" w:lineRule="auto"/>
        <w:ind w:firstLine="5160" w:firstLineChars="2150"/>
        <w:rPr>
          <w:rFonts w:hint="eastAsia" w:ascii="宋体" w:hAnsi="宋体" w:cs="宋体"/>
          <w:color w:val="auto"/>
          <w:kern w:val="0"/>
          <w:sz w:val="24"/>
          <w:highlight w:val="none"/>
          <w:lang w:val="zh-CN"/>
        </w:rPr>
      </w:pPr>
    </w:p>
    <w:p>
      <w:pPr>
        <w:snapToGrid w:val="0"/>
        <w:spacing w:line="360" w:lineRule="auto"/>
        <w:ind w:right="480"/>
        <w:jc w:val="center"/>
        <w:rPr>
          <w:rFonts w:hint="eastAsia" w:ascii="宋体" w:hAnsi="宋体" w:cs="宋体"/>
          <w:b/>
          <w:color w:val="auto"/>
          <w:kern w:val="0"/>
          <w:sz w:val="32"/>
          <w:szCs w:val="32"/>
          <w:highlight w:val="none"/>
          <w:lang w:val="zh-CN"/>
        </w:rPr>
      </w:pPr>
    </w:p>
    <w:p>
      <w:pPr>
        <w:snapToGrid w:val="0"/>
        <w:spacing w:line="360" w:lineRule="auto"/>
        <w:ind w:right="48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r>
        <w:rPr>
          <w:rFonts w:hint="eastAsia" w:ascii="宋体" w:hAnsi="宋体" w:cs="宋体"/>
          <w:b/>
          <w:color w:val="auto"/>
          <w:kern w:val="0"/>
          <w:sz w:val="28"/>
          <w:szCs w:val="28"/>
          <w:highlight w:val="none"/>
        </w:rPr>
        <w:t>3.投标人直接控股股东信息表</w:t>
      </w:r>
    </w:p>
    <w:p>
      <w:pPr>
        <w:snapToGrid w:val="0"/>
        <w:spacing w:before="50" w:after="165" w:afterLines="50" w:line="360" w:lineRule="auto"/>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投标人直接控股股东信息表</w:t>
      </w:r>
    </w:p>
    <w:tbl>
      <w:tblPr>
        <w:tblStyle w:val="25"/>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879"/>
        <w:gridCol w:w="1261"/>
      </w:tblGrid>
      <w:tr>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87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261"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r>
    </w:tbl>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3.供应商不存在直接控股股东的，则填“无”。</w:t>
      </w: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pPr>
        <w:snapToGrid w:val="0"/>
        <w:spacing w:line="360" w:lineRule="auto"/>
        <w:ind w:right="48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r>
        <w:rPr>
          <w:rFonts w:hint="eastAsia" w:ascii="宋体" w:hAnsi="宋体" w:cs="宋体"/>
          <w:b/>
          <w:color w:val="auto"/>
          <w:kern w:val="0"/>
          <w:sz w:val="28"/>
          <w:szCs w:val="28"/>
          <w:highlight w:val="none"/>
        </w:rPr>
        <w:t>4.投标人直接管理关系信息表</w:t>
      </w:r>
    </w:p>
    <w:p>
      <w:pPr>
        <w:snapToGrid w:val="0"/>
        <w:spacing w:line="360" w:lineRule="auto"/>
        <w:jc w:val="center"/>
        <w:rPr>
          <w:rFonts w:hint="eastAsia" w:ascii="宋体" w:hAnsi="宋体"/>
          <w:color w:val="auto"/>
          <w:sz w:val="32"/>
          <w:szCs w:val="32"/>
          <w:highlight w:val="none"/>
        </w:rPr>
      </w:pPr>
      <w:r>
        <w:rPr>
          <w:rFonts w:hint="eastAsia" w:ascii="宋体" w:hAnsi="宋体"/>
          <w:b/>
          <w:color w:val="auto"/>
          <w:sz w:val="32"/>
          <w:szCs w:val="32"/>
          <w:highlight w:val="none"/>
        </w:rPr>
        <w:t>投标人直接管理关系信息表</w:t>
      </w:r>
    </w:p>
    <w:tbl>
      <w:tblPr>
        <w:tblStyle w:val="25"/>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宋体" w:hAnsi="宋体" w:cs="宋体"/>
                <w:color w:val="auto"/>
                <w:kern w:val="0"/>
                <w:sz w:val="24"/>
                <w:highlight w:val="none"/>
              </w:rPr>
            </w:pPr>
          </w:p>
        </w:tc>
      </w:tr>
    </w:tbl>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pPr>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3.供应商不存在直接管理关系的，则填“无”。</w:t>
      </w:r>
    </w:p>
    <w:p>
      <w:pPr>
        <w:snapToGrid w:val="0"/>
        <w:spacing w:line="360" w:lineRule="auto"/>
        <w:jc w:val="left"/>
        <w:rPr>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line="360" w:lineRule="auto"/>
        <w:jc w:val="left"/>
        <w:rPr>
          <w:rFonts w:hint="eastAsia" w:ascii="宋体" w:hAnsi="宋体"/>
          <w:color w:val="auto"/>
          <w:sz w:val="24"/>
          <w:highlight w:val="none"/>
        </w:rPr>
      </w:pPr>
    </w:p>
    <w:p>
      <w:pPr>
        <w:snapToGrid w:val="0"/>
        <w:spacing w:line="360" w:lineRule="auto"/>
        <w:ind w:firstLine="5040" w:firstLineChars="2100"/>
        <w:rPr>
          <w:rFonts w:hint="eastAsia"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lang w:val="zh-CN"/>
        </w:rPr>
        <w:t>投标人名称(电子签章)：</w:t>
      </w:r>
    </w:p>
    <w:p>
      <w:pPr>
        <w:snapToGrid w:val="0"/>
        <w:spacing w:line="360" w:lineRule="auto"/>
        <w:ind w:firstLine="5160" w:firstLineChars="2150"/>
        <w:rPr>
          <w:rFonts w:hint="eastAsia" w:ascii="仿宋_GB2312" w:hAnsi="仿宋" w:eastAsia="仿宋_GB2312" w:cs="仿宋_GB2312"/>
          <w:color w:val="auto"/>
          <w:kern w:val="0"/>
          <w:sz w:val="24"/>
          <w:highlight w:val="none"/>
          <w:lang w:val="zh-CN"/>
        </w:rPr>
      </w:pPr>
      <w:r>
        <w:rPr>
          <w:rFonts w:hint="eastAsia" w:ascii="仿宋_GB2312" w:hAnsi="仿宋" w:eastAsia="仿宋_GB2312" w:cs="仿宋_GB2312"/>
          <w:color w:val="auto"/>
          <w:kern w:val="0"/>
          <w:sz w:val="24"/>
          <w:highlight w:val="none"/>
          <w:lang w:val="zh-CN"/>
        </w:rPr>
        <w:t>日期</w:t>
      </w:r>
      <w:r>
        <w:rPr>
          <w:rFonts w:hint="eastAsia" w:ascii="仿宋_GB2312" w:hAnsi="仿宋" w:eastAsia="仿宋_GB2312" w:cs="仿宋_GB2312"/>
          <w:color w:val="auto"/>
          <w:kern w:val="0"/>
          <w:sz w:val="24"/>
          <w:highlight w:val="none"/>
        </w:rPr>
        <w:t xml:space="preserve">：  年  </w:t>
      </w:r>
      <w:r>
        <w:rPr>
          <w:rFonts w:hint="eastAsia" w:ascii="仿宋_GB2312" w:hAnsi="仿宋" w:eastAsia="仿宋_GB2312" w:cs="仿宋_GB2312"/>
          <w:color w:val="auto"/>
          <w:kern w:val="0"/>
          <w:sz w:val="24"/>
          <w:highlight w:val="none"/>
          <w:lang w:val="zh-CN"/>
        </w:rPr>
        <w:t>月</w:t>
      </w:r>
      <w:r>
        <w:rPr>
          <w:rFonts w:hint="eastAsia" w:ascii="仿宋_GB2312" w:hAnsi="仿宋" w:eastAsia="仿宋_GB2312" w:cs="仿宋_GB2312"/>
          <w:color w:val="auto"/>
          <w:kern w:val="0"/>
          <w:sz w:val="24"/>
          <w:highlight w:val="none"/>
        </w:rPr>
        <w:t xml:space="preserve">   </w:t>
      </w:r>
      <w:r>
        <w:rPr>
          <w:rFonts w:hint="eastAsia" w:ascii="仿宋_GB2312" w:hAnsi="仿宋" w:eastAsia="仿宋_GB2312" w:cs="仿宋_GB2312"/>
          <w:color w:val="auto"/>
          <w:kern w:val="0"/>
          <w:sz w:val="24"/>
          <w:highlight w:val="none"/>
          <w:lang w:val="zh-CN"/>
        </w:rPr>
        <w:t>日</w:t>
      </w:r>
    </w:p>
    <w:p>
      <w:pPr>
        <w:snapToGrid w:val="0"/>
        <w:spacing w:line="360" w:lineRule="auto"/>
        <w:ind w:right="48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r>
        <w:rPr>
          <w:rFonts w:hint="eastAsia" w:ascii="宋体" w:hAnsi="宋体" w:cs="宋体"/>
          <w:b/>
          <w:color w:val="auto"/>
          <w:kern w:val="0"/>
          <w:sz w:val="32"/>
          <w:szCs w:val="32"/>
          <w:highlight w:val="none"/>
        </w:rPr>
        <w:t>5.</w:t>
      </w:r>
      <w:r>
        <w:rPr>
          <w:rFonts w:hint="eastAsia" w:ascii="宋体" w:hAnsi="宋体" w:cs="宋体"/>
          <w:b/>
          <w:color w:val="auto"/>
          <w:sz w:val="28"/>
          <w:szCs w:val="28"/>
          <w:highlight w:val="none"/>
        </w:rPr>
        <w:t>声明函的格式</w:t>
      </w:r>
      <w:r>
        <w:rPr>
          <w:rFonts w:hint="eastAsia"/>
          <w:color w:val="auto"/>
          <w:sz w:val="28"/>
          <w:szCs w:val="28"/>
          <w:highlight w:val="none"/>
        </w:rPr>
        <w:t>：</w:t>
      </w:r>
    </w:p>
    <w:p>
      <w:pPr>
        <w:pStyle w:val="15"/>
        <w:rPr>
          <w:color w:val="auto"/>
          <w:highlight w:val="none"/>
        </w:rPr>
      </w:pPr>
    </w:p>
    <w:p>
      <w:pPr>
        <w:snapToGrid w:val="0"/>
        <w:spacing w:before="50" w:after="165" w:afterLines="50"/>
        <w:jc w:val="center"/>
        <w:rPr>
          <w:rFonts w:hint="eastAsia" w:ascii="宋体" w:hAnsi="宋体" w:cs="宋体"/>
          <w:b/>
          <w:color w:val="auto"/>
          <w:sz w:val="28"/>
          <w:szCs w:val="28"/>
          <w:highlight w:val="none"/>
        </w:rPr>
      </w:pPr>
      <w:r>
        <w:rPr>
          <w:rFonts w:hint="eastAsia" w:ascii="宋体" w:hAnsi="宋体" w:cs="宋体"/>
          <w:b/>
          <w:color w:val="auto"/>
          <w:sz w:val="28"/>
          <w:szCs w:val="28"/>
          <w:highlight w:val="none"/>
        </w:rPr>
        <w:t>声明函</w:t>
      </w:r>
    </w:p>
    <w:p>
      <w:pPr>
        <w:tabs>
          <w:tab w:val="left" w:pos="7200"/>
        </w:tabs>
        <w:spacing w:line="360" w:lineRule="auto"/>
        <w:rPr>
          <w:rFonts w:hint="eastAsia"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 xml:space="preserve"> </w:t>
      </w:r>
      <w:bookmarkStart w:id="356" w:name="PO_3000001919_PM031"/>
      <w:r>
        <w:rPr>
          <w:rFonts w:hint="eastAsia" w:ascii="宋体" w:hAnsi="宋体" w:cs="宋体"/>
          <w:color w:val="auto"/>
          <w:szCs w:val="21"/>
          <w:highlight w:val="none"/>
          <w:u w:val="single"/>
        </w:rPr>
        <w:t>广西科联招标中心有限公司</w:t>
      </w:r>
      <w:bookmarkEnd w:id="356"/>
    </w:p>
    <w:p>
      <w:pPr>
        <w:pStyle w:val="15"/>
        <w:spacing w:line="360" w:lineRule="auto"/>
        <w:ind w:firstLine="420" w:firstLineChars="200"/>
        <w:rPr>
          <w:color w:val="auto"/>
          <w:sz w:val="21"/>
          <w:szCs w:val="21"/>
          <w:highlight w:val="none"/>
        </w:rPr>
      </w:pPr>
      <w:r>
        <w:rPr>
          <w:rFonts w:hint="eastAsia" w:ascii="宋体" w:hAnsi="宋体" w:cs="宋体"/>
          <w:i/>
          <w:iCs/>
          <w:color w:val="auto"/>
          <w:sz w:val="21"/>
          <w:szCs w:val="21"/>
          <w:highlight w:val="none"/>
          <w:u w:val="single"/>
        </w:rPr>
        <w:t>（投标人名称）</w:t>
      </w:r>
      <w:r>
        <w:rPr>
          <w:rFonts w:hint="eastAsia" w:ascii="宋体" w:hAnsi="宋体" w:cs="宋体"/>
          <w:color w:val="auto"/>
          <w:sz w:val="21"/>
          <w:szCs w:val="21"/>
          <w:highlight w:val="none"/>
        </w:rPr>
        <w:t>系中华人民共和国合法供应商，经营地址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我方愿意参加贵方组织的</w:t>
      </w:r>
      <w:r>
        <w:rPr>
          <w:rFonts w:hint="eastAsia" w:ascii="宋体" w:hAnsi="宋体"/>
          <w:i/>
          <w:iCs/>
          <w:color w:val="auto"/>
          <w:szCs w:val="21"/>
          <w:highlight w:val="none"/>
          <w:u w:val="single"/>
        </w:rPr>
        <w:t xml:space="preserve">（项目名称） </w:t>
      </w:r>
      <w:r>
        <w:rPr>
          <w:rFonts w:hint="eastAsia" w:ascii="宋体" w:hAnsi="宋体"/>
          <w:color w:val="auto"/>
          <w:szCs w:val="21"/>
          <w:highlight w:val="none"/>
        </w:rPr>
        <w:t>（项目编号：            ）项目的投标，为便于贵方公正、择优地确定中标人，我方就本次投标有关事项郑重声明如下：</w:t>
      </w:r>
    </w:p>
    <w:p>
      <w:pPr>
        <w:pStyle w:val="15"/>
        <w:spacing w:line="360" w:lineRule="auto"/>
        <w:ind w:firstLine="420" w:firstLineChars="200"/>
        <w:rPr>
          <w:color w:val="auto"/>
          <w:sz w:val="21"/>
          <w:szCs w:val="21"/>
          <w:highlight w:val="none"/>
        </w:rPr>
      </w:pPr>
      <w:r>
        <w:rPr>
          <w:rFonts w:hint="eastAsia" w:ascii="宋体" w:hAnsi="宋体" w:cs="宋体"/>
          <w:color w:val="auto"/>
          <w:sz w:val="21"/>
          <w:szCs w:val="21"/>
          <w:highlight w:val="none"/>
        </w:rPr>
        <w:t>1.我方向贵方提交的所有投标文件、资料都是准确的和真实的。</w:t>
      </w: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3.在此，我方宣布同意如下：</w:t>
      </w:r>
    </w:p>
    <w:p>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（1）将按招标文件的约定履行合同责任和义务；</w:t>
      </w:r>
    </w:p>
    <w:p>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（2）已详细审查招标文件的全部</w:t>
      </w:r>
      <w:r>
        <w:rPr>
          <w:rFonts w:hint="eastAsia" w:ascii="宋体" w:hAnsi="宋体" w:cs="宋体"/>
          <w:color w:val="auto"/>
          <w:kern w:val="0"/>
          <w:szCs w:val="21"/>
          <w:highlight w:val="none"/>
        </w:rPr>
        <w:t>内容</w:t>
      </w:r>
      <w:r>
        <w:rPr>
          <w:rFonts w:hint="eastAsia" w:ascii="宋体" w:hAnsi="宋体" w:cs="宋体"/>
          <w:color w:val="auto"/>
          <w:szCs w:val="21"/>
          <w:highlight w:val="none"/>
        </w:rPr>
        <w:t>，包括澄清或者更正公告（如有）；</w:t>
      </w:r>
    </w:p>
    <w:p>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（3）同意提供按照贵方可能要求的与投标有关的一切数据或者资料。</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w:t>
      </w:r>
    </w:p>
    <w:p>
      <w:pPr>
        <w:spacing w:line="360" w:lineRule="auto"/>
        <w:ind w:firstLine="420" w:firstLineChars="200"/>
        <w:contextualSpacing/>
        <w:rPr>
          <w:rFonts w:hint="eastAsia" w:ascii="宋体" w:hAnsi="宋体" w:cs="宋体"/>
          <w:i/>
          <w:iCs/>
          <w:color w:val="auto"/>
          <w:szCs w:val="21"/>
          <w:highlight w:val="none"/>
        </w:rPr>
      </w:pPr>
      <w:r>
        <w:rPr>
          <w:rFonts w:hint="eastAsia" w:ascii="宋体" w:hAnsi="宋体"/>
          <w:color w:val="auto"/>
          <w:szCs w:val="21"/>
          <w:highlight w:val="none"/>
        </w:rPr>
        <w:t>5.</w:t>
      </w:r>
      <w:r>
        <w:rPr>
          <w:rFonts w:hint="eastAsia" w:ascii="宋体" w:hAnsi="宋体" w:cs="宋体"/>
          <w:color w:val="auto"/>
          <w:szCs w:val="21"/>
          <w:highlight w:val="none"/>
        </w:rPr>
        <w:t>根据《中华人民共和国政府采购法实施条例》第五十条要求对政府采购合同进行公告，但政府采购合同中涉及国家秘密、商业秘密的内容除外。我方就对本次投标文件进行注明如下：</w:t>
      </w:r>
      <w:r>
        <w:rPr>
          <w:rFonts w:hint="eastAsia" w:ascii="宋体" w:hAnsi="宋体" w:cs="宋体"/>
          <w:i/>
          <w:iCs/>
          <w:color w:val="auto"/>
          <w:szCs w:val="21"/>
          <w:highlight w:val="none"/>
        </w:rPr>
        <w:t>（两项内容中必须选择一项）</w:t>
      </w:r>
    </w:p>
    <w:p>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□我方本次投标文件</w:t>
      </w:r>
      <w:r>
        <w:rPr>
          <w:rFonts w:hint="eastAsia" w:ascii="宋体" w:hAnsi="宋体" w:cs="宋体"/>
          <w:color w:val="auto"/>
          <w:kern w:val="0"/>
          <w:szCs w:val="21"/>
          <w:highlight w:val="none"/>
        </w:rPr>
        <w:t>内容中</w:t>
      </w:r>
      <w:r>
        <w:rPr>
          <w:rFonts w:hint="eastAsia" w:ascii="宋体" w:hAnsi="宋体" w:cs="宋体"/>
          <w:color w:val="auto"/>
          <w:szCs w:val="21"/>
          <w:highlight w:val="none"/>
        </w:rPr>
        <w:t>未</w:t>
      </w:r>
      <w:r>
        <w:rPr>
          <w:rFonts w:hint="eastAsia" w:ascii="宋体" w:hAnsi="宋体" w:cs="宋体"/>
          <w:color w:val="auto"/>
          <w:kern w:val="0"/>
          <w:szCs w:val="21"/>
          <w:highlight w:val="none"/>
        </w:rPr>
        <w:t>涉及商业秘密。</w:t>
      </w:r>
    </w:p>
    <w:p>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□我方本次投标文件</w:t>
      </w:r>
      <w:r>
        <w:rPr>
          <w:rFonts w:hint="eastAsia" w:ascii="宋体" w:hAnsi="宋体" w:cs="宋体"/>
          <w:color w:val="auto"/>
          <w:kern w:val="0"/>
          <w:szCs w:val="21"/>
          <w:highlight w:val="none"/>
        </w:rPr>
        <w:t>涉及商业秘密的内容有：</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pStyle w:val="15"/>
        <w:spacing w:line="360" w:lineRule="auto"/>
        <w:rPr>
          <w:color w:val="auto"/>
          <w:highlight w:val="none"/>
        </w:rPr>
      </w:pPr>
    </w:p>
    <w:p>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6.以上事项如有虚假或者隐瞒，我方愿意承担一切后果，并不再寻求任何旨在减轻或者免除法律责任的辩解。 </w:t>
      </w:r>
    </w:p>
    <w:p>
      <w:pPr>
        <w:tabs>
          <w:tab w:val="left" w:pos="939"/>
        </w:tabs>
        <w:spacing w:line="360" w:lineRule="auto"/>
        <w:ind w:left="141" w:leftChars="67" w:firstLine="315" w:firstLineChars="150"/>
        <w:contextualSpacing/>
        <w:rPr>
          <w:rFonts w:hint="eastAsia" w:ascii="宋体" w:hAnsi="宋体" w:cs="宋体"/>
          <w:color w:val="auto"/>
          <w:szCs w:val="21"/>
          <w:highlight w:val="none"/>
        </w:rPr>
      </w:pPr>
      <w:r>
        <w:rPr>
          <w:rFonts w:hint="eastAsia" w:ascii="宋体" w:hAnsi="宋体" w:cs="宋体"/>
          <w:color w:val="auto"/>
          <w:szCs w:val="21"/>
          <w:highlight w:val="none"/>
        </w:rPr>
        <w:t>特此承诺。</w:t>
      </w:r>
    </w:p>
    <w:p>
      <w:pPr>
        <w:snapToGrid w:val="0"/>
        <w:spacing w:line="360" w:lineRule="auto"/>
        <w:ind w:firstLine="181" w:firstLineChars="100"/>
        <w:jc w:val="left"/>
        <w:rPr>
          <w:rFonts w:hint="eastAsia" w:ascii="宋体" w:hAnsi="宋体"/>
          <w:color w:val="auto"/>
          <w:sz w:val="18"/>
          <w:szCs w:val="18"/>
          <w:highlight w:val="none"/>
        </w:rPr>
      </w:pPr>
      <w:r>
        <w:rPr>
          <w:rFonts w:hint="eastAsia" w:ascii="宋体" w:hAnsi="宋体"/>
          <w:b/>
          <w:color w:val="auto"/>
          <w:sz w:val="18"/>
          <w:szCs w:val="18"/>
          <w:highlight w:val="none"/>
        </w:rPr>
        <w:t xml:space="preserve">   注： 如为联合体投标，盖章处须加盖联合体各方公章，否则</w:t>
      </w:r>
      <w:r>
        <w:rPr>
          <w:rFonts w:hint="eastAsia" w:ascii="宋体" w:hAnsi="宋体" w:cs="宋体"/>
          <w:b/>
          <w:bCs/>
          <w:color w:val="auto"/>
          <w:sz w:val="18"/>
          <w:szCs w:val="18"/>
          <w:highlight w:val="none"/>
        </w:rPr>
        <w:t>其投标文件作无效响应处理</w:t>
      </w:r>
      <w:r>
        <w:rPr>
          <w:rFonts w:hint="eastAsia" w:ascii="宋体" w:hAnsi="宋体"/>
          <w:b/>
          <w:color w:val="auto"/>
          <w:sz w:val="18"/>
          <w:szCs w:val="18"/>
          <w:highlight w:val="none"/>
        </w:rPr>
        <w:t>。</w:t>
      </w:r>
    </w:p>
    <w:p>
      <w:pPr>
        <w:snapToGrid w:val="0"/>
        <w:spacing w:before="50" w:after="331" w:afterLines="100" w:line="360" w:lineRule="auto"/>
        <w:ind w:left="7428" w:leftChars="2223" w:hanging="2760" w:hangingChars="1150"/>
        <w:jc w:val="left"/>
        <w:rPr>
          <w:rFonts w:hint="eastAsia" w:ascii="宋体" w:hAnsi="宋体" w:cs="宋体"/>
          <w:color w:val="auto"/>
          <w:kern w:val="0"/>
          <w:sz w:val="24"/>
          <w:highlight w:val="none"/>
          <w:lang w:val="zh-CN"/>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投标人名称(盖公章)：</w:t>
      </w:r>
      <w:r>
        <w:rPr>
          <w:rFonts w:hint="eastAsia" w:ascii="宋体" w:hAnsi="宋体" w:cs="宋体"/>
          <w:color w:val="auto"/>
          <w:szCs w:val="21"/>
          <w:highlight w:val="none"/>
        </w:rPr>
        <w:t xml:space="preserve">                                     </w:t>
      </w:r>
      <w:r>
        <w:rPr>
          <w:rFonts w:hint="eastAsia" w:ascii="宋体" w:hAnsi="宋体" w:cs="宋体"/>
          <w:color w:val="auto"/>
          <w:sz w:val="24"/>
          <w:highlight w:val="none"/>
        </w:rPr>
        <w:t>年    月    日</w:t>
      </w:r>
    </w:p>
    <w:p>
      <w:pPr>
        <w:pStyle w:val="13"/>
        <w:rPr>
          <w:rFonts w:hint="eastAsia" w:hAnsi="宋体" w:cs="宋体"/>
          <w:b/>
          <w:bCs/>
          <w:color w:val="auto"/>
          <w:sz w:val="28"/>
          <w:szCs w:val="28"/>
          <w:highlight w:val="none"/>
        </w:rPr>
      </w:pPr>
      <w:r>
        <w:rPr>
          <w:rFonts w:hint="eastAsia" w:hAnsi="宋体" w:cs="宋体"/>
          <w:b/>
          <w:bCs/>
          <w:color w:val="auto"/>
          <w:sz w:val="28"/>
          <w:szCs w:val="28"/>
          <w:highlight w:val="none"/>
        </w:rPr>
        <w:br w:type="page"/>
      </w:r>
      <w:r>
        <w:rPr>
          <w:rFonts w:hint="eastAsia" w:hAnsi="宋体" w:cs="宋体"/>
          <w:b/>
          <w:bCs/>
          <w:color w:val="auto"/>
          <w:sz w:val="28"/>
          <w:szCs w:val="28"/>
          <w:highlight w:val="none"/>
        </w:rPr>
        <w:t>6.联合体投标协议书的格式：</w:t>
      </w:r>
    </w:p>
    <w:p>
      <w:pPr>
        <w:pStyle w:val="13"/>
        <w:jc w:val="center"/>
        <w:rPr>
          <w:rFonts w:hint="eastAsia" w:hAnsi="宋体" w:cs="宋体"/>
          <w:color w:val="auto"/>
          <w:sz w:val="28"/>
          <w:szCs w:val="28"/>
          <w:highlight w:val="none"/>
        </w:rPr>
      </w:pPr>
      <w:r>
        <w:rPr>
          <w:rFonts w:hint="eastAsia" w:hAnsi="宋体" w:cs="宋体"/>
          <w:b/>
          <w:bCs/>
          <w:color w:val="auto"/>
          <w:sz w:val="28"/>
          <w:szCs w:val="28"/>
          <w:highlight w:val="none"/>
        </w:rPr>
        <w:t>联合体投标协议书</w:t>
      </w:r>
    </w:p>
    <w:p>
      <w:pPr>
        <w:autoSpaceDE w:val="0"/>
        <w:autoSpaceDN w:val="0"/>
        <w:adjustRightInd w:val="0"/>
        <w:jc w:val="left"/>
        <w:rPr>
          <w:rFonts w:hint="eastAsia" w:ascii="宋体" w:hAnsi="宋体" w:cs="宋体"/>
          <w:color w:val="auto"/>
          <w:kern w:val="0"/>
          <w:szCs w:val="21"/>
          <w:highlight w:val="none"/>
          <w:u w:val="single"/>
        </w:rPr>
      </w:pPr>
    </w:p>
    <w:p>
      <w:pPr>
        <w:autoSpaceDE w:val="0"/>
        <w:autoSpaceDN w:val="0"/>
        <w:adjustRightInd w:val="0"/>
        <w:spacing w:line="4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（所有成员单位名称）自愿组成联合体，共同参加</w:t>
      </w:r>
      <w:r>
        <w:rPr>
          <w:rFonts w:hint="eastAsia" w:ascii="宋体" w:hAnsi="宋体" w:cs="宋体"/>
          <w:color w:val="auto"/>
          <w:kern w:val="0"/>
          <w:szCs w:val="21"/>
          <w:highlight w:val="none"/>
          <w:u w:val="single"/>
        </w:rPr>
        <w:t xml:space="preserve">    </w:t>
      </w:r>
      <w:bookmarkStart w:id="357" w:name="PO_3000001919_PM031_1"/>
      <w:r>
        <w:rPr>
          <w:rFonts w:hint="eastAsia" w:ascii="宋体" w:hAnsi="宋体" w:cs="宋体"/>
          <w:color w:val="auto"/>
          <w:kern w:val="0"/>
          <w:szCs w:val="21"/>
          <w:highlight w:val="none"/>
          <w:u w:val="single"/>
        </w:rPr>
        <w:t>广西科联招标中心有限公司</w:t>
      </w:r>
      <w:bookmarkEnd w:id="357"/>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组织的</w:t>
      </w:r>
      <w:r>
        <w:rPr>
          <w:rFonts w:hint="eastAsia" w:ascii="宋体" w:hAnsi="宋体" w:cs="宋体"/>
          <w:color w:val="auto"/>
          <w:kern w:val="0"/>
          <w:szCs w:val="21"/>
          <w:highlight w:val="none"/>
          <w:u w:val="single"/>
        </w:rPr>
        <w:t xml:space="preserve">   </w:t>
      </w:r>
      <w:r>
        <w:rPr>
          <w:rFonts w:hint="eastAsia" w:ascii="宋体" w:hAnsi="宋体" w:cs="宋体"/>
          <w:i/>
          <w:iCs/>
          <w:color w:val="auto"/>
          <w:kern w:val="0"/>
          <w:szCs w:val="21"/>
          <w:highlight w:val="none"/>
          <w:u w:val="single"/>
        </w:rPr>
        <w:t>（项目名称）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（项目编号：</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）投标。现就联合体投标事宜订立如下协议：</w:t>
      </w:r>
    </w:p>
    <w:p>
      <w:pPr>
        <w:autoSpaceDE w:val="0"/>
        <w:autoSpaceDN w:val="0"/>
        <w:adjustRightInd w:val="0"/>
        <w:spacing w:line="440" w:lineRule="exact"/>
        <w:ind w:firstLine="42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（某成员单位名称）为联合体名称牵头人。</w:t>
      </w:r>
    </w:p>
    <w:p>
      <w:pPr>
        <w:autoSpaceDE w:val="0"/>
        <w:autoSpaceDN w:val="0"/>
        <w:adjustRightInd w:val="0"/>
        <w:spacing w:line="440" w:lineRule="exact"/>
        <w:ind w:firstLine="42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pacing w:line="440" w:lineRule="exact"/>
        <w:ind w:firstLine="42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3.联合体牵头人在本项目中签署和盖章的一切文件和处理的一切事宜，联合体各成员均予以承认。 联合体各成员将严格按照招标文件、投标文件和合同的要求全面履行义务，并向采购人承担连带责任。</w:t>
      </w:r>
    </w:p>
    <w:p>
      <w:pPr>
        <w:autoSpaceDE w:val="0"/>
        <w:autoSpaceDN w:val="0"/>
        <w:adjustRightInd w:val="0"/>
        <w:spacing w:line="440" w:lineRule="exact"/>
        <w:ind w:firstLine="42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4.联合体各成员单位内部的职责分工如下：</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pStyle w:val="13"/>
        <w:spacing w:line="440" w:lineRule="exact"/>
        <w:ind w:firstLine="420" w:firstLineChars="200"/>
        <w:rPr>
          <w:rFonts w:hint="eastAsia" w:hAnsi="宋体" w:cs="宋体"/>
          <w:color w:val="auto"/>
          <w:szCs w:val="21"/>
          <w:highlight w:val="none"/>
        </w:rPr>
      </w:pPr>
      <w:r>
        <w:rPr>
          <w:rFonts w:hint="eastAsia" w:hAnsi="宋体" w:cs="宋体"/>
          <w:color w:val="auto"/>
          <w:kern w:val="0"/>
          <w:highlight w:val="none"/>
        </w:rPr>
        <w:t>5.本联合体中，</w:t>
      </w:r>
      <w:r>
        <w:rPr>
          <w:rFonts w:hint="eastAsia" w:hAnsi="宋体" w:cs="宋体"/>
          <w:color w:val="auto"/>
          <w:kern w:val="0"/>
          <w:szCs w:val="21"/>
          <w:highlight w:val="none"/>
          <w:u w:val="single"/>
        </w:rPr>
        <w:t xml:space="preserve">                                   </w:t>
      </w:r>
      <w:r>
        <w:rPr>
          <w:rFonts w:hint="eastAsia" w:hAnsi="宋体" w:cs="宋体"/>
          <w:color w:val="auto"/>
          <w:kern w:val="0"/>
          <w:highlight w:val="none"/>
          <w:u w:val="single"/>
        </w:rPr>
        <w:t>（某成员单位名称）为</w:t>
      </w:r>
      <w:r>
        <w:rPr>
          <w:rFonts w:hint="eastAsia" w:hAnsi="宋体" w:cs="宋体"/>
          <w:color w:val="auto"/>
          <w:kern w:val="0"/>
          <w:szCs w:val="21"/>
          <w:highlight w:val="none"/>
          <w:u w:val="single"/>
        </w:rPr>
        <w:t xml:space="preserve">        </w:t>
      </w:r>
      <w:r>
        <w:rPr>
          <w:rFonts w:hint="eastAsia" w:hAnsi="宋体" w:cs="宋体"/>
          <w:color w:val="auto"/>
          <w:highlight w:val="none"/>
        </w:rPr>
        <w:t>（请填写：中型、小型、微型）企业，其协议合同金额占联合体协议合同总金额的</w:t>
      </w:r>
      <w:r>
        <w:rPr>
          <w:rFonts w:hint="eastAsia" w:hAnsi="宋体" w:cs="宋体"/>
          <w:color w:val="auto"/>
          <w:kern w:val="0"/>
          <w:szCs w:val="21"/>
          <w:highlight w:val="none"/>
          <w:u w:val="single"/>
        </w:rPr>
        <w:t xml:space="preserve">        </w:t>
      </w:r>
      <w:r>
        <w:rPr>
          <w:rFonts w:hint="eastAsia" w:hAnsi="宋体" w:cs="宋体"/>
          <w:color w:val="auto"/>
          <w:highlight w:val="none"/>
        </w:rPr>
        <w:t>%。【如联合体成员中有小型、微型企业的，请填写此条，否则无需填写；如联合体成员中有多个小型、微型企业的，请逐一列出。】</w:t>
      </w:r>
    </w:p>
    <w:p>
      <w:pPr>
        <w:autoSpaceDE w:val="0"/>
        <w:autoSpaceDN w:val="0"/>
        <w:adjustRightInd w:val="0"/>
        <w:spacing w:line="440" w:lineRule="exact"/>
        <w:ind w:firstLine="42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6.本协议书自签署之日起生效，合同履行完毕后自动失效。</w:t>
      </w:r>
    </w:p>
    <w:p>
      <w:pPr>
        <w:autoSpaceDE w:val="0"/>
        <w:autoSpaceDN w:val="0"/>
        <w:adjustRightInd w:val="0"/>
        <w:spacing w:line="440" w:lineRule="exact"/>
        <w:ind w:firstLine="42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7.本协议书一式</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份，联合体成员和采购代理机构各执一份。</w:t>
      </w:r>
    </w:p>
    <w:p>
      <w:pPr>
        <w:autoSpaceDE w:val="0"/>
        <w:autoSpaceDN w:val="0"/>
        <w:adjustRightInd w:val="0"/>
        <w:spacing w:line="440" w:lineRule="exact"/>
        <w:ind w:firstLine="42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注：本协议书由法定代表人签字的，应附法定代表人身份证明；本协议书由委托代理人签字的，应附法定代表人授权委托书。</w:t>
      </w:r>
    </w:p>
    <w:p>
      <w:pPr>
        <w:autoSpaceDE w:val="0"/>
        <w:autoSpaceDN w:val="0"/>
        <w:adjustRightInd w:val="0"/>
        <w:spacing w:line="4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牵头人名称：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（盖公章）</w:t>
      </w:r>
    </w:p>
    <w:p>
      <w:pPr>
        <w:autoSpaceDE w:val="0"/>
        <w:autoSpaceDN w:val="0"/>
        <w:adjustRightInd w:val="0"/>
        <w:spacing w:line="4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法定代表人或其委托代理人：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w:t>
      </w:r>
    </w:p>
    <w:p>
      <w:pPr>
        <w:autoSpaceDE w:val="0"/>
        <w:autoSpaceDN w:val="0"/>
        <w:adjustRightInd w:val="0"/>
        <w:spacing w:line="440" w:lineRule="exact"/>
        <w:jc w:val="left"/>
        <w:rPr>
          <w:rFonts w:hint="eastAsia" w:ascii="宋体" w:hAnsi="宋体" w:cs="宋体"/>
          <w:color w:val="auto"/>
          <w:kern w:val="0"/>
          <w:szCs w:val="21"/>
          <w:highlight w:val="none"/>
        </w:rPr>
      </w:pPr>
    </w:p>
    <w:p>
      <w:pPr>
        <w:autoSpaceDE w:val="0"/>
        <w:autoSpaceDN w:val="0"/>
        <w:adjustRightInd w:val="0"/>
        <w:spacing w:line="4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成员一名称：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（盖公章）</w:t>
      </w:r>
    </w:p>
    <w:p>
      <w:pPr>
        <w:autoSpaceDE w:val="0"/>
        <w:autoSpaceDN w:val="0"/>
        <w:adjustRightInd w:val="0"/>
        <w:spacing w:line="4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法定代表人或其委托代理人：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w:t>
      </w:r>
    </w:p>
    <w:p>
      <w:pPr>
        <w:autoSpaceDE w:val="0"/>
        <w:autoSpaceDN w:val="0"/>
        <w:adjustRightInd w:val="0"/>
        <w:spacing w:line="440" w:lineRule="exact"/>
        <w:jc w:val="left"/>
        <w:rPr>
          <w:rFonts w:hint="eastAsia" w:ascii="宋体" w:hAnsi="宋体" w:cs="宋体"/>
          <w:color w:val="auto"/>
          <w:kern w:val="0"/>
          <w:szCs w:val="21"/>
          <w:highlight w:val="none"/>
        </w:rPr>
      </w:pPr>
    </w:p>
    <w:p>
      <w:pPr>
        <w:autoSpaceDE w:val="0"/>
        <w:autoSpaceDN w:val="0"/>
        <w:adjustRightInd w:val="0"/>
        <w:spacing w:line="44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成员二名称：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（盖公章）</w:t>
      </w:r>
    </w:p>
    <w:p>
      <w:pPr>
        <w:pStyle w:val="13"/>
        <w:spacing w:line="440" w:lineRule="exact"/>
        <w:rPr>
          <w:rFonts w:hint="eastAsia" w:hAnsi="宋体" w:cs="宋体"/>
          <w:color w:val="auto"/>
          <w:kern w:val="0"/>
          <w:szCs w:val="21"/>
          <w:highlight w:val="none"/>
        </w:rPr>
      </w:pPr>
      <w:r>
        <w:rPr>
          <w:rFonts w:hint="eastAsia" w:hAnsi="宋体" w:cs="宋体"/>
          <w:color w:val="auto"/>
          <w:kern w:val="0"/>
          <w:szCs w:val="21"/>
          <w:highlight w:val="none"/>
        </w:rPr>
        <w:t>法定代表人或其委托代理人：</w:t>
      </w:r>
      <w:r>
        <w:rPr>
          <w:rFonts w:hint="eastAsia" w:hAnsi="宋体" w:cs="宋体"/>
          <w:color w:val="auto"/>
          <w:kern w:val="0"/>
          <w:szCs w:val="21"/>
          <w:highlight w:val="none"/>
          <w:u w:val="single"/>
        </w:rPr>
        <w:t xml:space="preserve">                         </w:t>
      </w:r>
      <w:r>
        <w:rPr>
          <w:rFonts w:hint="eastAsia" w:hAnsi="宋体" w:cs="宋体"/>
          <w:color w:val="auto"/>
          <w:kern w:val="0"/>
          <w:szCs w:val="21"/>
          <w:highlight w:val="none"/>
        </w:rPr>
        <w:t>（签字）</w:t>
      </w:r>
    </w:p>
    <w:p>
      <w:pPr>
        <w:pStyle w:val="7"/>
        <w:overflowPunct w:val="0"/>
        <w:spacing w:line="440" w:lineRule="exact"/>
        <w:ind w:firstLineChars="175"/>
        <w:rPr>
          <w:rFonts w:hint="eastAsia" w:ascii="宋体" w:hAnsi="宋体" w:cs="宋体"/>
          <w:color w:val="auto"/>
          <w:sz w:val="24"/>
          <w:highlight w:val="none"/>
        </w:rPr>
      </w:pPr>
      <w:r>
        <w:rPr>
          <w:rFonts w:hint="eastAsia" w:ascii="宋体" w:hAnsi="宋体" w:cs="宋体"/>
          <w:color w:val="auto"/>
          <w:sz w:val="24"/>
          <w:highlight w:val="none"/>
        </w:rPr>
        <w:t>……</w:t>
      </w:r>
    </w:p>
    <w:p>
      <w:pPr>
        <w:pStyle w:val="7"/>
        <w:overflowPunct w:val="0"/>
        <w:spacing w:line="480" w:lineRule="exact"/>
        <w:ind w:firstLineChars="175"/>
        <w:rPr>
          <w:rFonts w:hint="eastAsia" w:ascii="宋体" w:hAnsi="宋体" w:cs="宋体"/>
          <w:color w:val="auto"/>
          <w:sz w:val="24"/>
          <w:highlight w:val="none"/>
        </w:rPr>
      </w:pPr>
    </w:p>
    <w:p>
      <w:pPr>
        <w:pStyle w:val="7"/>
        <w:overflowPunct w:val="0"/>
        <w:ind w:firstLine="7140" w:firstLineChars="2975"/>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rPr>
        <w:tab/>
      </w:r>
      <w:r>
        <w:rPr>
          <w:rFonts w:hint="eastAsia" w:ascii="宋体" w:hAnsi="宋体" w:cs="宋体"/>
          <w:color w:val="auto"/>
          <w:sz w:val="24"/>
          <w:highlight w:val="none"/>
        </w:rPr>
        <w:t xml:space="preserve">年  </w:t>
      </w:r>
      <w:r>
        <w:rPr>
          <w:rFonts w:hint="eastAsia" w:ascii="宋体" w:hAnsi="宋体" w:cs="宋体"/>
          <w:color w:val="auto"/>
          <w:sz w:val="24"/>
          <w:highlight w:val="none"/>
        </w:rPr>
        <w:tab/>
      </w:r>
      <w:r>
        <w:rPr>
          <w:rFonts w:hint="eastAsia" w:ascii="宋体" w:hAnsi="宋体" w:cs="宋体"/>
          <w:color w:val="auto"/>
          <w:sz w:val="24"/>
          <w:highlight w:val="none"/>
        </w:rPr>
        <w:t xml:space="preserve">月  </w:t>
      </w:r>
      <w:r>
        <w:rPr>
          <w:rFonts w:hint="eastAsia" w:ascii="宋体" w:hAnsi="宋体" w:cs="宋体"/>
          <w:color w:val="auto"/>
          <w:sz w:val="24"/>
          <w:highlight w:val="none"/>
        </w:rPr>
        <w:tab/>
      </w:r>
      <w:r>
        <w:rPr>
          <w:rFonts w:hint="eastAsia" w:ascii="宋体" w:hAnsi="宋体" w:cs="宋体"/>
          <w:color w:val="auto"/>
          <w:sz w:val="24"/>
          <w:highlight w:val="none"/>
        </w:rPr>
        <w:t>日</w:t>
      </w:r>
    </w:p>
    <w:p>
      <w:pPr>
        <w:pStyle w:val="13"/>
        <w:spacing w:line="600" w:lineRule="exact"/>
        <w:jc w:val="center"/>
        <w:rPr>
          <w:rFonts w:hint="eastAsia" w:hAnsi="宋体" w:cs="宋体"/>
          <w:color w:val="auto"/>
          <w:highlight w:val="none"/>
        </w:rPr>
      </w:pPr>
    </w:p>
    <w:p>
      <w:pPr>
        <w:widowControl/>
        <w:spacing w:line="360" w:lineRule="auto"/>
        <w:jc w:val="left"/>
        <w:rPr>
          <w:rFonts w:hint="eastAsia" w:ascii="宋体" w:hAnsi="宋体" w:cs="宋体"/>
          <w:color w:val="auto"/>
          <w:szCs w:val="21"/>
          <w:highlight w:val="none"/>
        </w:rPr>
        <w:sectPr>
          <w:pgSz w:w="11906" w:h="16838"/>
          <w:pgMar w:top="1134" w:right="1020" w:bottom="1020" w:left="1134" w:header="720" w:footer="720" w:gutter="0"/>
          <w:cols w:space="720" w:num="1"/>
          <w:docGrid w:type="lines" w:linePitch="331" w:charSpace="0"/>
        </w:sectPr>
      </w:pPr>
    </w:p>
    <w:p>
      <w:pPr>
        <w:pStyle w:val="13"/>
        <w:jc w:val="center"/>
        <w:outlineLvl w:val="1"/>
        <w:rPr>
          <w:rFonts w:hint="eastAsia" w:hAnsi="宋体" w:cs="宋体"/>
          <w:color w:val="auto"/>
          <w:szCs w:val="21"/>
          <w:highlight w:val="none"/>
        </w:rPr>
      </w:pPr>
    </w:p>
    <w:p>
      <w:pPr>
        <w:pStyle w:val="13"/>
        <w:jc w:val="center"/>
        <w:outlineLvl w:val="1"/>
        <w:rPr>
          <w:rFonts w:hint="eastAsia" w:hAnsi="宋体" w:cs="宋体"/>
          <w:b/>
          <w:bCs/>
          <w:color w:val="auto"/>
          <w:sz w:val="28"/>
          <w:szCs w:val="28"/>
          <w:highlight w:val="none"/>
        </w:rPr>
      </w:pPr>
      <w:bookmarkStart w:id="358" w:name="_Toc22991"/>
      <w:bookmarkStart w:id="359" w:name="_Toc13859"/>
      <w:bookmarkStart w:id="360" w:name="_Toc19686838"/>
      <w:bookmarkStart w:id="361" w:name="_Toc15031"/>
      <w:bookmarkStart w:id="362" w:name="_Toc13558"/>
      <w:bookmarkStart w:id="363" w:name="_Toc32555"/>
      <w:r>
        <w:rPr>
          <w:rFonts w:hint="eastAsia" w:hAnsi="宋体" w:cs="宋体"/>
          <w:b/>
          <w:bCs/>
          <w:color w:val="auto"/>
          <w:sz w:val="28"/>
          <w:szCs w:val="28"/>
          <w:highlight w:val="none"/>
        </w:rPr>
        <w:t>第二节 商务文件格式</w:t>
      </w:r>
      <w:bookmarkEnd w:id="358"/>
      <w:bookmarkEnd w:id="359"/>
      <w:bookmarkEnd w:id="360"/>
      <w:bookmarkEnd w:id="361"/>
      <w:bookmarkEnd w:id="362"/>
      <w:bookmarkEnd w:id="363"/>
    </w:p>
    <w:p>
      <w:pPr>
        <w:snapToGrid w:val="0"/>
        <w:spacing w:before="165" w:beforeLines="50" w:after="50"/>
        <w:rPr>
          <w:rFonts w:hint="eastAsia" w:ascii="宋体" w:hAnsi="宋体" w:cs="宋体"/>
          <w:color w:val="auto"/>
          <w:sz w:val="30"/>
          <w:szCs w:val="20"/>
          <w:highlight w:val="none"/>
        </w:rPr>
      </w:pPr>
    </w:p>
    <w:p>
      <w:pPr>
        <w:snapToGrid w:val="0"/>
        <w:spacing w:before="165" w:beforeLines="50" w:after="50"/>
        <w:rPr>
          <w:rFonts w:hint="eastAsia" w:ascii="宋体" w:hAnsi="宋体" w:cs="宋体"/>
          <w:b/>
          <w:color w:val="auto"/>
          <w:sz w:val="28"/>
          <w:szCs w:val="28"/>
          <w:highlight w:val="none"/>
        </w:rPr>
      </w:pPr>
      <w:r>
        <w:rPr>
          <w:rFonts w:hint="eastAsia" w:ascii="宋体" w:hAnsi="宋体" w:cs="宋体"/>
          <w:b/>
          <w:color w:val="auto"/>
          <w:sz w:val="28"/>
          <w:szCs w:val="28"/>
          <w:highlight w:val="none"/>
        </w:rPr>
        <w:t>1.商务文件封面的格式（参照此格式自拟）：</w:t>
      </w:r>
    </w:p>
    <w:p>
      <w:pPr>
        <w:pStyle w:val="15"/>
        <w:rPr>
          <w:color w:val="auto"/>
          <w:highlight w:val="none"/>
        </w:rPr>
      </w:pPr>
    </w:p>
    <w:p>
      <w:pPr>
        <w:snapToGrid w:val="0"/>
        <w:spacing w:before="165" w:beforeLines="50" w:after="50"/>
        <w:rPr>
          <w:rFonts w:hint="eastAsia"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 xml:space="preserve">             电子投标文件</w:t>
      </w:r>
    </w:p>
    <w:p>
      <w:pPr>
        <w:snapToGrid w:val="0"/>
        <w:spacing w:before="165" w:beforeLines="50" w:after="50"/>
        <w:rPr>
          <w:rFonts w:hint="eastAsia" w:ascii="宋体" w:hAnsi="宋体" w:cs="宋体"/>
          <w:color w:val="auto"/>
          <w:sz w:val="24"/>
          <w:szCs w:val="20"/>
          <w:highlight w:val="none"/>
        </w:rPr>
      </w:pPr>
    </w:p>
    <w:p>
      <w:pPr>
        <w:snapToGrid w:val="0"/>
        <w:spacing w:before="165" w:beforeLines="50" w:after="50"/>
        <w:jc w:val="center"/>
        <w:rPr>
          <w:rFonts w:hint="eastAsia" w:ascii="宋体" w:hAnsi="宋体" w:cs="宋体"/>
          <w:b/>
          <w:color w:val="auto"/>
          <w:sz w:val="32"/>
          <w:szCs w:val="32"/>
          <w:highlight w:val="none"/>
        </w:rPr>
      </w:pPr>
    </w:p>
    <w:p>
      <w:pPr>
        <w:snapToGrid w:val="0"/>
        <w:spacing w:before="165" w:beforeLines="50" w:after="50"/>
        <w:jc w:val="center"/>
        <w:rPr>
          <w:rFonts w:hint="eastAsia" w:ascii="宋体" w:hAnsi="宋体" w:cs="宋体"/>
          <w:b/>
          <w:color w:val="auto"/>
          <w:sz w:val="24"/>
          <w:szCs w:val="20"/>
          <w:highlight w:val="none"/>
        </w:rPr>
      </w:pPr>
      <w:r>
        <w:rPr>
          <w:rFonts w:hint="eastAsia" w:ascii="宋体" w:hAnsi="宋体" w:cs="宋体"/>
          <w:b/>
          <w:color w:val="auto"/>
          <w:sz w:val="32"/>
          <w:szCs w:val="32"/>
          <w:highlight w:val="none"/>
        </w:rPr>
        <w:t>商务文件</w:t>
      </w:r>
    </w:p>
    <w:p>
      <w:pPr>
        <w:snapToGrid w:val="0"/>
        <w:spacing w:before="165" w:beforeLines="50" w:after="50"/>
        <w:rPr>
          <w:rFonts w:hint="eastAsia" w:ascii="宋体" w:hAnsi="宋体" w:cs="宋体"/>
          <w:bCs/>
          <w:color w:val="auto"/>
          <w:sz w:val="24"/>
          <w:szCs w:val="20"/>
          <w:highlight w:val="none"/>
        </w:rPr>
      </w:pPr>
    </w:p>
    <w:p>
      <w:pPr>
        <w:snapToGrid w:val="0"/>
        <w:spacing w:before="165" w:beforeLines="50" w:after="50"/>
        <w:ind w:firstLine="540" w:firstLineChars="225"/>
        <w:rPr>
          <w:rFonts w:hint="eastAsia" w:ascii="宋体" w:hAnsi="宋体" w:cs="宋体"/>
          <w:bCs/>
          <w:color w:val="auto"/>
          <w:sz w:val="24"/>
          <w:highlight w:val="none"/>
        </w:rPr>
      </w:pPr>
    </w:p>
    <w:p>
      <w:pPr>
        <w:snapToGrid w:val="0"/>
        <w:spacing w:before="165" w:beforeLines="50" w:after="50"/>
        <w:ind w:firstLine="540" w:firstLineChars="225"/>
        <w:rPr>
          <w:rFonts w:hint="eastAsia" w:ascii="宋体" w:hAnsi="宋体" w:cs="宋体"/>
          <w:bCs/>
          <w:color w:val="auto"/>
          <w:sz w:val="24"/>
          <w:highlight w:val="none"/>
        </w:rPr>
      </w:pPr>
    </w:p>
    <w:p>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项目名称：</w:t>
      </w:r>
    </w:p>
    <w:p>
      <w:pPr>
        <w:snapToGrid w:val="0"/>
        <w:spacing w:before="165" w:beforeLines="50" w:after="50"/>
        <w:ind w:firstLine="540" w:firstLineChars="225"/>
        <w:rPr>
          <w:rFonts w:hint="eastAsia" w:ascii="宋体" w:hAnsi="宋体" w:cs="宋体"/>
          <w:bCs/>
          <w:color w:val="auto"/>
          <w:sz w:val="24"/>
          <w:szCs w:val="20"/>
          <w:highlight w:val="none"/>
        </w:rPr>
      </w:pPr>
    </w:p>
    <w:p>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项目编号：</w:t>
      </w:r>
    </w:p>
    <w:p>
      <w:pPr>
        <w:snapToGrid w:val="0"/>
        <w:spacing w:before="165" w:beforeLines="50" w:after="50"/>
        <w:ind w:firstLine="540" w:firstLineChars="225"/>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 </w:t>
      </w:r>
    </w:p>
    <w:p>
      <w:pPr>
        <w:snapToGrid w:val="0"/>
        <w:spacing w:before="165" w:beforeLines="50" w:after="50"/>
        <w:ind w:firstLine="540" w:firstLineChars="225"/>
        <w:rPr>
          <w:rFonts w:hint="eastAsia" w:ascii="宋体" w:hAnsi="宋体" w:cs="宋体"/>
          <w:bCs/>
          <w:color w:val="auto"/>
          <w:sz w:val="24"/>
          <w:highlight w:val="none"/>
        </w:rPr>
      </w:pPr>
      <w:r>
        <w:rPr>
          <w:rFonts w:hint="eastAsia" w:ascii="宋体" w:hAnsi="宋体" w:cs="宋体"/>
          <w:bCs/>
          <w:color w:val="auto"/>
          <w:sz w:val="24"/>
          <w:highlight w:val="none"/>
        </w:rPr>
        <w:t>所投分标（如有则填写，无分标时填写“无”或者留空）：</w:t>
      </w:r>
    </w:p>
    <w:p>
      <w:pPr>
        <w:snapToGrid w:val="0"/>
        <w:spacing w:before="165" w:beforeLines="50" w:after="50"/>
        <w:ind w:firstLine="540" w:firstLineChars="225"/>
        <w:rPr>
          <w:rFonts w:hint="eastAsia" w:ascii="宋体" w:hAnsi="宋体" w:cs="宋体"/>
          <w:bCs/>
          <w:color w:val="auto"/>
          <w:sz w:val="24"/>
          <w:szCs w:val="20"/>
          <w:highlight w:val="none"/>
        </w:rPr>
      </w:pPr>
    </w:p>
    <w:p>
      <w:pPr>
        <w:pStyle w:val="7"/>
        <w:snapToGrid w:val="0"/>
        <w:spacing w:before="50" w:after="50"/>
        <w:ind w:firstLine="540" w:firstLineChars="225"/>
        <w:rPr>
          <w:rFonts w:hint="eastAsia" w:ascii="宋体" w:hAnsi="宋体" w:cs="宋体"/>
          <w:bCs/>
          <w:color w:val="auto"/>
          <w:sz w:val="24"/>
          <w:szCs w:val="24"/>
          <w:highlight w:val="none"/>
        </w:rPr>
      </w:pPr>
      <w:r>
        <w:rPr>
          <w:rFonts w:hint="eastAsia" w:ascii="宋体" w:hAnsi="宋体" w:cs="宋体"/>
          <w:bCs/>
          <w:color w:val="auto"/>
          <w:sz w:val="24"/>
          <w:szCs w:val="24"/>
          <w:highlight w:val="none"/>
        </w:rPr>
        <w:t>投标人名称：</w:t>
      </w:r>
    </w:p>
    <w:p>
      <w:pPr>
        <w:pStyle w:val="7"/>
        <w:snapToGrid w:val="0"/>
        <w:spacing w:before="50" w:after="50"/>
        <w:ind w:firstLine="540" w:firstLineChars="225"/>
        <w:rPr>
          <w:rFonts w:hint="eastAsia" w:ascii="宋体" w:hAnsi="宋体" w:cs="宋体"/>
          <w:bCs/>
          <w:color w:val="auto"/>
          <w:sz w:val="24"/>
          <w:szCs w:val="24"/>
          <w:highlight w:val="none"/>
        </w:rPr>
      </w:pPr>
    </w:p>
    <w:p>
      <w:pPr>
        <w:pStyle w:val="7"/>
        <w:snapToGrid w:val="0"/>
        <w:spacing w:before="50" w:after="50"/>
        <w:ind w:firstLine="960" w:firstLineChars="400"/>
        <w:rPr>
          <w:rFonts w:hint="eastAsia" w:ascii="宋体" w:hAnsi="宋体" w:cs="宋体"/>
          <w:bCs/>
          <w:color w:val="auto"/>
          <w:sz w:val="24"/>
          <w:szCs w:val="24"/>
          <w:highlight w:val="none"/>
        </w:rPr>
      </w:pPr>
    </w:p>
    <w:p>
      <w:pPr>
        <w:snapToGrid w:val="0"/>
        <w:spacing w:before="165" w:beforeLines="50" w:after="50"/>
        <w:ind w:firstLine="645"/>
        <w:rPr>
          <w:rFonts w:hint="eastAsia" w:ascii="宋体" w:hAnsi="宋体" w:cs="宋体"/>
          <w:color w:val="auto"/>
          <w:sz w:val="24"/>
          <w:highlight w:val="none"/>
        </w:rPr>
      </w:pPr>
      <w:r>
        <w:rPr>
          <w:rFonts w:hint="eastAsia" w:ascii="宋体" w:hAnsi="宋体" w:cs="宋体"/>
          <w:color w:val="auto"/>
          <w:sz w:val="24"/>
          <w:highlight w:val="none"/>
        </w:rPr>
        <w:t xml:space="preserve">                        </w:t>
      </w:r>
    </w:p>
    <w:p>
      <w:pPr>
        <w:snapToGrid w:val="0"/>
        <w:spacing w:before="165" w:beforeLines="50" w:after="50"/>
        <w:ind w:firstLine="645"/>
        <w:rPr>
          <w:rFonts w:hint="eastAsia" w:ascii="宋体" w:hAnsi="宋体" w:cs="宋体"/>
          <w:color w:val="auto"/>
          <w:sz w:val="24"/>
          <w:highlight w:val="none"/>
        </w:rPr>
      </w:pPr>
    </w:p>
    <w:p>
      <w:pPr>
        <w:snapToGrid w:val="0"/>
        <w:spacing w:before="165" w:beforeLines="50" w:after="50"/>
        <w:ind w:firstLine="4329" w:firstLineChars="1804"/>
        <w:rPr>
          <w:rFonts w:hint="eastAsia" w:ascii="宋体" w:hAnsi="宋体" w:cs="宋体"/>
          <w:color w:val="auto"/>
          <w:sz w:val="24"/>
          <w:highlight w:val="none"/>
        </w:rPr>
      </w:pPr>
      <w:r>
        <w:rPr>
          <w:rFonts w:hint="eastAsia" w:ascii="宋体" w:hAnsi="宋体" w:cs="宋体"/>
          <w:color w:val="auto"/>
          <w:sz w:val="24"/>
          <w:highlight w:val="none"/>
        </w:rPr>
        <w:t>年   月   日</w:t>
      </w:r>
    </w:p>
    <w:p>
      <w:pPr>
        <w:snapToGrid w:val="0"/>
        <w:spacing w:before="165" w:beforeLines="50" w:after="50"/>
        <w:rPr>
          <w:rFonts w:hint="eastAsia" w:ascii="宋体" w:hAnsi="宋体" w:cs="宋体"/>
          <w:color w:val="auto"/>
          <w:sz w:val="24"/>
          <w:szCs w:val="20"/>
          <w:highlight w:val="none"/>
        </w:rPr>
      </w:pPr>
      <w:r>
        <w:rPr>
          <w:rFonts w:hint="eastAsia" w:ascii="宋体" w:hAnsi="宋体" w:cs="宋体"/>
          <w:color w:val="auto"/>
          <w:sz w:val="24"/>
          <w:szCs w:val="20"/>
          <w:highlight w:val="none"/>
        </w:rPr>
        <w:t xml:space="preserve"> </w:t>
      </w:r>
    </w:p>
    <w:p>
      <w:pPr>
        <w:spacing w:line="360" w:lineRule="auto"/>
        <w:ind w:right="420"/>
        <w:rPr>
          <w:rFonts w:hint="eastAsia" w:ascii="宋体" w:hAnsi="宋体" w:cs="宋体"/>
          <w:color w:val="auto"/>
          <w:sz w:val="24"/>
          <w:szCs w:val="20"/>
          <w:highlight w:val="none"/>
        </w:rPr>
      </w:pPr>
    </w:p>
    <w:p>
      <w:pPr>
        <w:spacing w:line="360" w:lineRule="auto"/>
        <w:ind w:right="420"/>
        <w:rPr>
          <w:rFonts w:hint="eastAsia" w:ascii="宋体" w:hAnsi="宋体" w:cs="宋体"/>
          <w:color w:val="auto"/>
          <w:sz w:val="24"/>
          <w:szCs w:val="20"/>
          <w:highlight w:val="none"/>
        </w:rPr>
      </w:pPr>
    </w:p>
    <w:p>
      <w:pPr>
        <w:spacing w:line="360" w:lineRule="auto"/>
        <w:ind w:right="420"/>
        <w:rPr>
          <w:rFonts w:hint="eastAsia" w:ascii="宋体" w:hAnsi="宋体" w:cs="宋体"/>
          <w:color w:val="auto"/>
          <w:sz w:val="24"/>
          <w:szCs w:val="20"/>
          <w:highlight w:val="none"/>
        </w:rPr>
      </w:pPr>
    </w:p>
    <w:p>
      <w:pPr>
        <w:spacing w:line="360" w:lineRule="auto"/>
        <w:ind w:right="420"/>
        <w:rPr>
          <w:rFonts w:hint="eastAsia" w:ascii="宋体" w:hAnsi="宋体" w:cs="宋体"/>
          <w:color w:val="auto"/>
          <w:sz w:val="24"/>
          <w:szCs w:val="20"/>
          <w:highlight w:val="none"/>
        </w:rPr>
      </w:pPr>
    </w:p>
    <w:p>
      <w:pPr>
        <w:spacing w:line="360" w:lineRule="auto"/>
        <w:ind w:right="420"/>
        <w:rPr>
          <w:rFonts w:hint="eastAsia" w:ascii="宋体" w:hAnsi="宋体" w:cs="宋体"/>
          <w:color w:val="auto"/>
          <w:sz w:val="24"/>
          <w:szCs w:val="20"/>
          <w:highlight w:val="none"/>
        </w:rPr>
      </w:pPr>
    </w:p>
    <w:p>
      <w:pPr>
        <w:spacing w:line="360" w:lineRule="auto"/>
        <w:ind w:right="420"/>
        <w:rPr>
          <w:rFonts w:hint="eastAsia" w:ascii="宋体" w:hAnsi="宋体" w:cs="宋体"/>
          <w:color w:val="auto"/>
          <w:sz w:val="24"/>
          <w:szCs w:val="20"/>
          <w:highlight w:val="none"/>
        </w:rPr>
      </w:pPr>
      <w:r>
        <w:rPr>
          <w:rFonts w:hint="eastAsia" w:ascii="宋体" w:hAnsi="宋体" w:cs="宋体"/>
          <w:b/>
          <w:bCs/>
          <w:color w:val="auto"/>
          <w:sz w:val="28"/>
          <w:szCs w:val="28"/>
          <w:highlight w:val="none"/>
        </w:rPr>
        <w:t>2.商务文件目录</w:t>
      </w:r>
    </w:p>
    <w:p>
      <w:pPr>
        <w:spacing w:line="360" w:lineRule="auto"/>
        <w:ind w:right="420"/>
        <w:rPr>
          <w:rFonts w:hint="eastAsia" w:ascii="宋体" w:hAnsi="宋体" w:cs="宋体"/>
          <w:b/>
          <w:color w:val="auto"/>
          <w:kern w:val="0"/>
          <w:sz w:val="36"/>
          <w:szCs w:val="36"/>
          <w:highlight w:val="none"/>
        </w:rPr>
      </w:pPr>
      <w:r>
        <w:rPr>
          <w:rFonts w:hint="eastAsia" w:ascii="宋体" w:hAnsi="宋体" w:cs="宋体"/>
          <w:color w:val="auto"/>
          <w:kern w:val="0"/>
          <w:sz w:val="24"/>
          <w:highlight w:val="none"/>
        </w:rPr>
        <w:t>根据招标文件规定及投标人提供的材料自行编写目录（部分格式后附）。</w:t>
      </w:r>
    </w:p>
    <w:p>
      <w:pPr>
        <w:rPr>
          <w:rFonts w:hint="eastAsia" w:ascii="宋体" w:hAnsi="宋体" w:cs="宋体"/>
          <w:b/>
          <w:color w:val="auto"/>
          <w:kern w:val="0"/>
          <w:sz w:val="24"/>
          <w:highlight w:val="none"/>
        </w:rPr>
      </w:pPr>
    </w:p>
    <w:p>
      <w:pPr>
        <w:spacing w:line="360" w:lineRule="auto"/>
        <w:rPr>
          <w:rFonts w:hint="eastAsia" w:ascii="宋体" w:hAnsi="宋体" w:cs="宋体"/>
          <w:b/>
          <w:bCs/>
          <w:color w:val="auto"/>
          <w:sz w:val="24"/>
          <w:highlight w:val="none"/>
        </w:rPr>
      </w:pPr>
    </w:p>
    <w:p>
      <w:pPr>
        <w:widowControl/>
        <w:spacing w:line="360" w:lineRule="auto"/>
        <w:jc w:val="left"/>
        <w:rPr>
          <w:rFonts w:hint="eastAsia" w:ascii="宋体" w:hAnsi="宋体" w:cs="宋体"/>
          <w:color w:val="auto"/>
          <w:highlight w:val="none"/>
        </w:rPr>
        <w:sectPr>
          <w:pgSz w:w="11906" w:h="16838"/>
          <w:pgMar w:top="1134" w:right="1020" w:bottom="1020" w:left="1134" w:header="720" w:footer="720" w:gutter="0"/>
          <w:cols w:space="720" w:num="1"/>
          <w:docGrid w:type="lines" w:linePitch="331" w:charSpace="0"/>
        </w:sectPr>
      </w:pPr>
    </w:p>
    <w:p>
      <w:pPr>
        <w:snapToGrid w:val="0"/>
        <w:spacing w:before="165" w:beforeLines="50" w:after="50"/>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3.无串通投标行为的承诺函的格式：</w:t>
      </w:r>
    </w:p>
    <w:p>
      <w:pPr>
        <w:snapToGrid w:val="0"/>
        <w:spacing w:before="165" w:beforeLines="50" w:after="50"/>
        <w:ind w:left="420"/>
        <w:jc w:val="center"/>
        <w:rPr>
          <w:rFonts w:hint="eastAsia" w:ascii="宋体" w:hAnsi="宋体" w:cs="宋体"/>
          <w:b/>
          <w:color w:val="auto"/>
          <w:sz w:val="28"/>
          <w:szCs w:val="28"/>
          <w:highlight w:val="none"/>
        </w:rPr>
      </w:pPr>
    </w:p>
    <w:p>
      <w:pPr>
        <w:snapToGrid w:val="0"/>
        <w:spacing w:before="165" w:beforeLines="50" w:after="50"/>
        <w:ind w:left="420"/>
        <w:jc w:val="center"/>
        <w:rPr>
          <w:rFonts w:hint="eastAsia" w:ascii="宋体" w:hAnsi="宋体" w:cs="宋体"/>
          <w:b/>
          <w:color w:val="auto"/>
          <w:sz w:val="28"/>
          <w:szCs w:val="28"/>
          <w:highlight w:val="none"/>
        </w:rPr>
      </w:pPr>
      <w:r>
        <w:rPr>
          <w:rFonts w:hint="eastAsia" w:ascii="宋体" w:hAnsi="宋体" w:cs="宋体"/>
          <w:b/>
          <w:color w:val="auto"/>
          <w:sz w:val="28"/>
          <w:szCs w:val="28"/>
          <w:highlight w:val="none"/>
        </w:rPr>
        <w:t>参加本项目无</w:t>
      </w:r>
      <w:r>
        <w:rPr>
          <w:rFonts w:hint="eastAsia" w:ascii="宋体" w:hAnsi="宋体" w:cs="宋体"/>
          <w:b/>
          <w:bCs/>
          <w:color w:val="auto"/>
          <w:sz w:val="28"/>
          <w:szCs w:val="28"/>
          <w:highlight w:val="none"/>
        </w:rPr>
        <w:t>串通投标</w:t>
      </w:r>
      <w:r>
        <w:rPr>
          <w:rFonts w:hint="eastAsia" w:ascii="宋体" w:hAnsi="宋体" w:cs="宋体"/>
          <w:b/>
          <w:color w:val="auto"/>
          <w:sz w:val="28"/>
          <w:szCs w:val="28"/>
          <w:highlight w:val="none"/>
        </w:rPr>
        <w:t>行为的承诺函</w:t>
      </w:r>
    </w:p>
    <w:p>
      <w:pPr>
        <w:snapToGrid w:val="0"/>
        <w:spacing w:before="165" w:beforeLines="50" w:after="50"/>
        <w:rPr>
          <w:rFonts w:hint="eastAsia" w:ascii="宋体" w:hAnsi="宋体" w:cs="宋体"/>
          <w:b/>
          <w:color w:val="auto"/>
          <w:szCs w:val="21"/>
          <w:highlight w:val="none"/>
        </w:rPr>
      </w:pPr>
    </w:p>
    <w:p>
      <w:pPr>
        <w:snapToGrid w:val="0"/>
        <w:spacing w:before="165" w:beforeLines="50" w:after="50"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一、我方承诺无下列相互串通投标的情形：</w:t>
      </w:r>
    </w:p>
    <w:p>
      <w:pPr>
        <w:pStyle w:val="9"/>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1.不同投标人的投标文件由同一单位或者个人编制；或者不同投标人报名的IP地址一致的；</w:t>
      </w:r>
    </w:p>
    <w:p>
      <w:pPr>
        <w:snapToGrid w:val="0"/>
        <w:spacing w:before="165" w:beforeLines="50" w:after="50"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pPr>
        <w:snapToGrid w:val="0"/>
        <w:spacing w:before="165" w:beforeLines="50" w:after="50"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3.不同的投标人的投标文件载明的项目管理员为同一个人；</w:t>
      </w:r>
    </w:p>
    <w:p>
      <w:pPr>
        <w:snapToGrid w:val="0"/>
        <w:spacing w:before="165" w:beforeLines="50" w:after="50"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pPr>
        <w:snapToGrid w:val="0"/>
        <w:spacing w:before="165" w:beforeLines="50" w:after="50"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5.不同投标人的投标文件相互混装；</w:t>
      </w:r>
    </w:p>
    <w:p>
      <w:pPr>
        <w:snapToGrid w:val="0"/>
        <w:spacing w:before="165" w:beforeLines="50" w:after="50" w:line="360" w:lineRule="auto"/>
        <w:ind w:firstLine="411" w:firstLineChars="196"/>
        <w:jc w:val="left"/>
        <w:rPr>
          <w:rFonts w:hint="eastAsia"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.不同投标人的投标保证金从同一单位或者个人账户转出。</w:t>
      </w:r>
    </w:p>
    <w:p>
      <w:pPr>
        <w:snapToGrid w:val="0"/>
        <w:spacing w:before="165" w:beforeLines="50" w:after="50" w:line="360" w:lineRule="auto"/>
        <w:jc w:val="left"/>
        <w:rPr>
          <w:rFonts w:hint="eastAsia" w:ascii="宋体" w:hAnsi="宋体" w:cs="宋体"/>
          <w:color w:val="auto"/>
          <w:szCs w:val="21"/>
          <w:highlight w:val="none"/>
        </w:rPr>
      </w:pPr>
      <w:r>
        <w:rPr>
          <w:rFonts w:hint="eastAsia" w:ascii="宋体" w:hAnsi="宋体" w:cs="宋体"/>
          <w:b/>
          <w:color w:val="auto"/>
          <w:szCs w:val="21"/>
          <w:highlight w:val="none"/>
        </w:rPr>
        <w:t>二、我方承诺无下列恶意串通的情形：</w:t>
      </w:r>
    </w:p>
    <w:p>
      <w:pPr>
        <w:snapToGrid w:val="0"/>
        <w:spacing w:before="165" w:beforeLines="50" w:after="50"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1.投标人直接或者间接从采购人或者采购代理机构处获得其他投标人的相关信息并修改其投标文件；</w:t>
      </w:r>
    </w:p>
    <w:p>
      <w:pPr>
        <w:snapToGrid w:val="0"/>
        <w:spacing w:before="165" w:beforeLines="50" w:after="50"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2.投标人按照采购人或者采购代理机构的授意撤换、修改投标文件；</w:t>
      </w:r>
    </w:p>
    <w:p>
      <w:pPr>
        <w:snapToGrid w:val="0"/>
        <w:spacing w:before="165" w:beforeLines="50" w:after="50"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3.投标人之间协商报价、技术方案等投标文件的实质性内容；</w:t>
      </w:r>
    </w:p>
    <w:p>
      <w:pPr>
        <w:snapToGrid w:val="0"/>
        <w:spacing w:before="165" w:beforeLines="50" w:after="50"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4.属于同一集团、协会、商会等组织成员的投标人按照该组织要求协同参加政府采购活动；</w:t>
      </w:r>
    </w:p>
    <w:p>
      <w:pPr>
        <w:snapToGrid w:val="0"/>
        <w:spacing w:before="165" w:beforeLines="50" w:after="50"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pPr>
        <w:snapToGrid w:val="0"/>
        <w:spacing w:before="165" w:beforeLines="50" w:after="50"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6.投标人之间商定部分投标人放弃参加政府采购活动或者放弃中标；</w:t>
      </w:r>
    </w:p>
    <w:p>
      <w:pPr>
        <w:snapToGrid w:val="0"/>
        <w:spacing w:before="165" w:beforeLines="50" w:after="50"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7.投标人与采购人或者采购代理机构之间、投标人相互之间，为谋求特定投标人中标或者排斥其他投标人的其他串通行为。</w:t>
      </w:r>
    </w:p>
    <w:p>
      <w:pPr>
        <w:snapToGrid w:val="0"/>
        <w:spacing w:before="165" w:beforeLines="50" w:after="50" w:line="360" w:lineRule="auto"/>
        <w:ind w:firstLine="413" w:firstLineChars="196"/>
        <w:jc w:val="left"/>
        <w:rPr>
          <w:rFonts w:hint="eastAsia" w:ascii="宋体" w:hAnsi="宋体" w:cs="宋体"/>
          <w:b/>
          <w:color w:val="auto"/>
          <w:szCs w:val="21"/>
          <w:highlight w:val="none"/>
        </w:rPr>
      </w:pPr>
      <w:r>
        <w:rPr>
          <w:rFonts w:hint="eastAsia" w:ascii="宋体" w:hAnsi="宋体" w:cs="宋体"/>
          <w:b/>
          <w:bCs/>
          <w:color w:val="auto"/>
          <w:szCs w:val="21"/>
          <w:highlight w:val="none"/>
        </w:rPr>
        <w:t>以上情形一经核查属实，接受政府采购监管部门对我方认定存在围标串标行为，我方愿意承担一切后果，并不再寻求任何旨在减轻或者免除法律责任的辩解</w:t>
      </w:r>
      <w:r>
        <w:rPr>
          <w:rFonts w:hint="eastAsia" w:ascii="宋体" w:hAnsi="宋体" w:cs="宋体"/>
          <w:b/>
          <w:color w:val="auto"/>
          <w:szCs w:val="21"/>
          <w:highlight w:val="none"/>
        </w:rPr>
        <w:t>。</w:t>
      </w:r>
    </w:p>
    <w:p>
      <w:pPr>
        <w:pStyle w:val="15"/>
        <w:rPr>
          <w:rFonts w:hint="eastAsia" w:ascii="宋体" w:hAnsi="宋体" w:cs="宋体"/>
          <w:b/>
          <w:color w:val="auto"/>
          <w:szCs w:val="21"/>
          <w:highlight w:val="none"/>
        </w:rPr>
      </w:pPr>
    </w:p>
    <w:p>
      <w:pPr>
        <w:pStyle w:val="15"/>
        <w:rPr>
          <w:rFonts w:hint="eastAsia" w:ascii="宋体" w:hAnsi="宋体" w:cs="宋体"/>
          <w:b/>
          <w:color w:val="auto"/>
          <w:szCs w:val="21"/>
          <w:highlight w:val="none"/>
        </w:rPr>
      </w:pPr>
    </w:p>
    <w:p>
      <w:pPr>
        <w:snapToGrid w:val="0"/>
        <w:spacing w:line="360" w:lineRule="auto"/>
        <w:ind w:firstLine="4935" w:firstLineChars="2350"/>
        <w:rPr>
          <w:rFonts w:hint="eastAsia"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投标人名称（盖公章)：</w:t>
      </w:r>
    </w:p>
    <w:p>
      <w:pPr>
        <w:snapToGrid w:val="0"/>
        <w:spacing w:line="360" w:lineRule="auto"/>
        <w:ind w:firstLine="5160" w:firstLineChars="215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pStyle w:val="13"/>
        <w:snapToGrid w:val="0"/>
        <w:spacing w:before="295" w:after="295" w:line="360" w:lineRule="auto"/>
        <w:rPr>
          <w:rFonts w:hint="eastAsia" w:hAnsi="宋体" w:cs="宋体"/>
          <w:b/>
          <w:color w:val="auto"/>
          <w:sz w:val="24"/>
          <w:highlight w:val="none"/>
        </w:rPr>
      </w:pPr>
      <w:r>
        <w:rPr>
          <w:rFonts w:hint="eastAsia" w:hAnsi="宋体" w:cs="宋体"/>
          <w:b/>
          <w:color w:val="auto"/>
          <w:sz w:val="24"/>
          <w:highlight w:val="none"/>
        </w:rPr>
        <w:br w:type="page"/>
      </w:r>
      <w:r>
        <w:rPr>
          <w:rFonts w:hint="eastAsia" w:hAnsi="宋体" w:cs="宋体"/>
          <w:b/>
          <w:bCs/>
          <w:color w:val="auto"/>
          <w:sz w:val="28"/>
          <w:szCs w:val="28"/>
          <w:highlight w:val="none"/>
        </w:rPr>
        <w:t>4.法定代表人身份证明的格式：</w:t>
      </w:r>
    </w:p>
    <w:p>
      <w:pPr>
        <w:spacing w:before="331" w:beforeLines="100" w:after="165" w:afterLines="50"/>
        <w:ind w:left="540"/>
        <w:jc w:val="center"/>
        <w:rPr>
          <w:rFonts w:hint="eastAsia" w:ascii="宋体" w:hAnsi="宋体" w:cs="宋体"/>
          <w:b/>
          <w:color w:val="auto"/>
          <w:sz w:val="32"/>
          <w:szCs w:val="32"/>
          <w:highlight w:val="none"/>
        </w:rPr>
      </w:pPr>
    </w:p>
    <w:p>
      <w:pPr>
        <w:spacing w:before="331" w:beforeLines="100" w:after="165" w:afterLines="50"/>
        <w:ind w:left="540"/>
        <w:jc w:val="center"/>
        <w:rPr>
          <w:rFonts w:hint="eastAsia" w:ascii="宋体" w:hAnsi="宋体" w:cs="宋体"/>
          <w:color w:val="auto"/>
          <w:sz w:val="32"/>
          <w:szCs w:val="32"/>
          <w:highlight w:val="none"/>
        </w:rPr>
      </w:pPr>
      <w:r>
        <w:rPr>
          <w:rFonts w:hint="eastAsia" w:ascii="宋体" w:hAnsi="宋体" w:cs="宋体"/>
          <w:b/>
          <w:color w:val="auto"/>
          <w:sz w:val="32"/>
          <w:szCs w:val="32"/>
          <w:highlight w:val="none"/>
        </w:rPr>
        <w:t>法定代表人身份证明</w:t>
      </w:r>
    </w:p>
    <w:p>
      <w:pPr>
        <w:spacing w:line="500" w:lineRule="exact"/>
        <w:ind w:left="540"/>
        <w:rPr>
          <w:rFonts w:hint="eastAsia" w:ascii="宋体" w:hAnsi="宋体" w:cs="宋体"/>
          <w:color w:val="auto"/>
          <w:sz w:val="24"/>
          <w:highlight w:val="none"/>
        </w:rPr>
      </w:pPr>
      <w:r>
        <w:rPr>
          <w:rFonts w:hint="eastAsia" w:ascii="宋体" w:hAnsi="宋体" w:cs="宋体"/>
          <w:color w:val="auto"/>
          <w:sz w:val="24"/>
          <w:highlight w:val="none"/>
        </w:rPr>
        <w:t>投 标 人：</w:t>
      </w:r>
      <w:r>
        <w:rPr>
          <w:rFonts w:hint="eastAsia" w:ascii="宋体" w:hAnsi="宋体" w:cs="宋体"/>
          <w:color w:val="auto"/>
          <w:sz w:val="24"/>
          <w:highlight w:val="none"/>
          <w:u w:val="single"/>
        </w:rPr>
        <w:t xml:space="preserve">                                                        </w:t>
      </w:r>
    </w:p>
    <w:p>
      <w:pPr>
        <w:spacing w:line="500" w:lineRule="exact"/>
        <w:ind w:left="540"/>
        <w:rPr>
          <w:rFonts w:hint="eastAsia"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p>
    <w:p>
      <w:pPr>
        <w:spacing w:line="500" w:lineRule="exact"/>
        <w:ind w:left="540"/>
        <w:rPr>
          <w:rFonts w:hint="eastAsia"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性      别：</w:t>
      </w:r>
      <w:r>
        <w:rPr>
          <w:rFonts w:hint="eastAsia" w:ascii="宋体" w:hAnsi="宋体" w:cs="宋体"/>
          <w:color w:val="auto"/>
          <w:sz w:val="24"/>
          <w:highlight w:val="none"/>
          <w:u w:val="single"/>
        </w:rPr>
        <w:t xml:space="preserve">                </w:t>
      </w:r>
    </w:p>
    <w:p>
      <w:pPr>
        <w:spacing w:line="500" w:lineRule="exact"/>
        <w:ind w:left="540"/>
        <w:rPr>
          <w:rFonts w:hint="eastAsia" w:ascii="宋体" w:hAnsi="宋体" w:cs="宋体"/>
          <w:color w:val="auto"/>
          <w:sz w:val="24"/>
          <w:highlight w:val="none"/>
          <w:u w:val="single"/>
        </w:rPr>
      </w:pPr>
      <w:r>
        <w:rPr>
          <w:rFonts w:hint="eastAsia" w:ascii="宋体" w:hAnsi="宋体" w:cs="宋体"/>
          <w:color w:val="auto"/>
          <w:sz w:val="24"/>
          <w:highlight w:val="none"/>
        </w:rPr>
        <w:t>年    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p>
    <w:p>
      <w:pPr>
        <w:spacing w:line="500" w:lineRule="exact"/>
        <w:ind w:left="540"/>
        <w:rPr>
          <w:rFonts w:hint="eastAsia"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pPr>
        <w:spacing w:line="500" w:lineRule="exact"/>
        <w:ind w:left="540"/>
        <w:rPr>
          <w:rFonts w:hint="eastAsia"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（投标人名称）              </w:t>
      </w:r>
      <w:r>
        <w:rPr>
          <w:rFonts w:hint="eastAsia" w:ascii="宋体" w:hAnsi="宋体" w:cs="宋体"/>
          <w:color w:val="auto"/>
          <w:sz w:val="24"/>
          <w:highlight w:val="none"/>
        </w:rPr>
        <w:t>的法定代表人。</w:t>
      </w:r>
    </w:p>
    <w:p>
      <w:pPr>
        <w:spacing w:line="500" w:lineRule="exact"/>
        <w:ind w:left="540"/>
        <w:rPr>
          <w:rFonts w:hint="eastAsia" w:ascii="宋体" w:hAnsi="宋体" w:cs="宋体"/>
          <w:color w:val="auto"/>
          <w:sz w:val="24"/>
          <w:highlight w:val="none"/>
        </w:rPr>
      </w:pPr>
      <w:r>
        <w:rPr>
          <w:rFonts w:hint="eastAsia" w:ascii="宋体" w:hAnsi="宋体" w:cs="宋体"/>
          <w:color w:val="auto"/>
          <w:sz w:val="24"/>
          <w:highlight w:val="none"/>
        </w:rPr>
        <w:t>特此证明。</w:t>
      </w:r>
    </w:p>
    <w:p>
      <w:pPr>
        <w:spacing w:line="500" w:lineRule="exact"/>
        <w:ind w:left="540"/>
        <w:rPr>
          <w:rFonts w:hint="eastAsia" w:ascii="宋体" w:hAnsi="宋体" w:cs="宋体"/>
          <w:color w:val="auto"/>
          <w:sz w:val="24"/>
          <w:highlight w:val="none"/>
        </w:rPr>
      </w:pPr>
    </w:p>
    <w:p>
      <w:pPr>
        <w:spacing w:line="500" w:lineRule="exact"/>
        <w:ind w:left="540"/>
        <w:rPr>
          <w:rFonts w:hint="eastAsia" w:ascii="宋体" w:hAnsi="宋体" w:cs="宋体"/>
          <w:color w:val="auto"/>
          <w:sz w:val="24"/>
          <w:highlight w:val="none"/>
        </w:rPr>
      </w:pPr>
    </w:p>
    <w:p>
      <w:pPr>
        <w:spacing w:line="500" w:lineRule="exact"/>
        <w:ind w:left="540"/>
        <w:rPr>
          <w:rFonts w:hint="eastAsia" w:ascii="宋体" w:hAnsi="宋体" w:cs="宋体"/>
          <w:color w:val="auto"/>
          <w:sz w:val="24"/>
          <w:highlight w:val="none"/>
        </w:rPr>
      </w:pPr>
      <w:r>
        <w:rPr>
          <w:rFonts w:hint="eastAsia" w:ascii="宋体" w:hAnsi="宋体" w:cs="宋体"/>
          <w:color w:val="auto"/>
          <w:sz w:val="24"/>
          <w:highlight w:val="none"/>
        </w:rPr>
        <w:t>附件：法定代表人有效身份证正反面复印件</w:t>
      </w:r>
    </w:p>
    <w:p>
      <w:pPr>
        <w:spacing w:line="500" w:lineRule="exact"/>
        <w:ind w:left="540"/>
        <w:rPr>
          <w:rFonts w:hint="eastAsia" w:ascii="宋体" w:hAnsi="宋体" w:cs="宋体"/>
          <w:color w:val="auto"/>
          <w:sz w:val="24"/>
          <w:highlight w:val="none"/>
        </w:rPr>
      </w:pPr>
    </w:p>
    <w:p>
      <w:pPr>
        <w:snapToGrid w:val="0"/>
        <w:spacing w:line="360" w:lineRule="auto"/>
        <w:ind w:firstLine="4935" w:firstLineChars="2350"/>
        <w:rPr>
          <w:rFonts w:hint="eastAsia"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投标人名称（盖公章)：</w:t>
      </w:r>
    </w:p>
    <w:p>
      <w:pPr>
        <w:snapToGrid w:val="0"/>
        <w:spacing w:line="360" w:lineRule="auto"/>
        <w:ind w:firstLine="5160" w:firstLineChars="215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before="165" w:beforeLines="50" w:after="50"/>
        <w:jc w:val="center"/>
        <w:rPr>
          <w:rFonts w:hint="eastAsia" w:ascii="宋体" w:hAnsi="宋体" w:cs="宋体"/>
          <w:b/>
          <w:color w:val="auto"/>
          <w:sz w:val="24"/>
          <w:highlight w:val="none"/>
        </w:rPr>
      </w:pPr>
    </w:p>
    <w:p>
      <w:pPr>
        <w:snapToGrid w:val="0"/>
        <w:spacing w:before="165" w:beforeLines="50" w:after="50"/>
        <w:ind w:firstLine="600" w:firstLineChars="250"/>
        <w:jc w:val="left"/>
        <w:rPr>
          <w:rFonts w:hint="eastAsia" w:ascii="宋体" w:hAnsi="宋体" w:cs="宋体"/>
          <w:color w:val="auto"/>
          <w:sz w:val="24"/>
          <w:highlight w:val="none"/>
        </w:rPr>
      </w:pPr>
      <w:r>
        <w:rPr>
          <w:rFonts w:hint="eastAsia" w:ascii="宋体" w:hAnsi="宋体" w:cs="宋体"/>
          <w:color w:val="auto"/>
          <w:sz w:val="24"/>
          <w:highlight w:val="none"/>
        </w:rPr>
        <w:t>注：自然人投标的无需提供</w:t>
      </w:r>
    </w:p>
    <w:p>
      <w:pPr>
        <w:snapToGrid w:val="0"/>
        <w:spacing w:before="165" w:beforeLines="50" w:after="50"/>
        <w:ind w:firstLine="600" w:firstLineChars="250"/>
        <w:jc w:val="left"/>
        <w:rPr>
          <w:rFonts w:hint="eastAsia" w:ascii="宋体" w:hAnsi="宋体" w:cs="宋体"/>
          <w:color w:val="auto"/>
          <w:sz w:val="24"/>
          <w:highlight w:val="none"/>
        </w:rPr>
      </w:pPr>
    </w:p>
    <w:p>
      <w:pPr>
        <w:snapToGrid w:val="0"/>
        <w:spacing w:before="165" w:beforeLines="50" w:after="50"/>
        <w:ind w:firstLine="602" w:firstLineChars="250"/>
        <w:jc w:val="left"/>
        <w:rPr>
          <w:rFonts w:hint="eastAsia" w:ascii="宋体" w:hAnsi="宋体" w:cs="宋体"/>
          <w:b/>
          <w:color w:val="auto"/>
          <w:sz w:val="24"/>
          <w:szCs w:val="20"/>
          <w:highlight w:val="none"/>
        </w:rPr>
      </w:pPr>
    </w:p>
    <w:tbl>
      <w:tblPr>
        <w:tblStyle w:val="25"/>
        <w:tblpPr w:leftFromText="180" w:rightFromText="180" w:vertAnchor="text" w:horzAnchor="margin" w:tblpXSpec="left"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cs="宋体"/>
                <w:b/>
                <w:color w:val="auto"/>
                <w:sz w:val="24"/>
                <w:highlight w:val="none"/>
              </w:rPr>
            </w:pPr>
          </w:p>
          <w:p>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法定代表人有效身份证复印件粘贴处（正、反面）</w:t>
            </w:r>
          </w:p>
        </w:tc>
      </w:tr>
    </w:tbl>
    <w:p>
      <w:pPr>
        <w:pStyle w:val="13"/>
        <w:snapToGrid w:val="0"/>
        <w:spacing w:before="295" w:after="295" w:line="360" w:lineRule="auto"/>
        <w:ind w:left="3" w:leftChars="-295" w:hanging="622" w:hangingChars="258"/>
        <w:jc w:val="left"/>
        <w:rPr>
          <w:rFonts w:hint="eastAsia" w:hAnsi="宋体" w:cs="宋体"/>
          <w:b/>
          <w:color w:val="auto"/>
          <w:sz w:val="24"/>
          <w:highlight w:val="none"/>
        </w:rPr>
      </w:pPr>
      <w:r>
        <w:rPr>
          <w:rFonts w:hint="eastAsia" w:hAnsi="宋体" w:cs="宋体"/>
          <w:b/>
          <w:color w:val="auto"/>
          <w:sz w:val="24"/>
          <w:highlight w:val="none"/>
        </w:rPr>
        <w:t>附件：</w:t>
      </w:r>
      <w:r>
        <w:rPr>
          <w:rFonts w:hint="eastAsia" w:hAnsi="宋体" w:cs="宋体"/>
          <w:b/>
          <w:color w:val="auto"/>
          <w:sz w:val="24"/>
          <w:highlight w:val="none"/>
        </w:rPr>
        <w:br w:type="page"/>
      </w:r>
      <w:r>
        <w:rPr>
          <w:rFonts w:hint="eastAsia" w:hAnsi="宋体" w:cs="宋体"/>
          <w:b/>
          <w:bCs/>
          <w:color w:val="auto"/>
          <w:sz w:val="30"/>
          <w:szCs w:val="30"/>
          <w:highlight w:val="none"/>
        </w:rPr>
        <w:t>5.法定代表人授权委托书的格式：</w:t>
      </w:r>
    </w:p>
    <w:p>
      <w:pPr>
        <w:snapToGrid w:val="0"/>
        <w:spacing w:before="165" w:beforeLines="50" w:after="5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法定代表人授权委托书</w:t>
      </w:r>
      <w:r>
        <w:rPr>
          <w:rFonts w:hint="eastAsia" w:ascii="宋体" w:hAnsi="宋体" w:cs="宋体"/>
          <w:b/>
          <w:bCs/>
          <w:color w:val="auto"/>
          <w:sz w:val="30"/>
          <w:szCs w:val="30"/>
          <w:highlight w:val="none"/>
        </w:rPr>
        <w:t>（如有委托时）</w:t>
      </w:r>
    </w:p>
    <w:p>
      <w:pPr>
        <w:snapToGrid w:val="0"/>
        <w:spacing w:before="165" w:beforeLines="50" w:after="50"/>
        <w:jc w:val="center"/>
        <w:rPr>
          <w:rFonts w:hint="eastAsia" w:ascii="宋体" w:hAnsi="宋体" w:cs="宋体"/>
          <w:b/>
          <w:color w:val="auto"/>
          <w:sz w:val="24"/>
          <w:highlight w:val="none"/>
        </w:rPr>
      </w:pPr>
    </w:p>
    <w:p>
      <w:pPr>
        <w:pStyle w:val="13"/>
        <w:spacing w:line="360" w:lineRule="exact"/>
        <w:ind w:firstLine="420" w:firstLineChars="200"/>
        <w:rPr>
          <w:rFonts w:hint="eastAsia" w:hAnsi="宋体" w:cs="宋体"/>
          <w:color w:val="auto"/>
          <w:highlight w:val="none"/>
        </w:rPr>
      </w:pPr>
      <w:r>
        <w:rPr>
          <w:rFonts w:hint="eastAsia" w:hAnsi="宋体" w:cs="宋体"/>
          <w:color w:val="auto"/>
          <w:highlight w:val="none"/>
        </w:rPr>
        <w:t>致：</w:t>
      </w:r>
      <w:r>
        <w:rPr>
          <w:rFonts w:hint="eastAsia" w:hAnsi="宋体" w:cs="宋体"/>
          <w:color w:val="auto"/>
          <w:highlight w:val="none"/>
          <w:u w:val="single"/>
        </w:rPr>
        <w:t xml:space="preserve"> </w:t>
      </w:r>
      <w:bookmarkStart w:id="364" w:name="PO_3000001919_PM031_2"/>
      <w:r>
        <w:rPr>
          <w:rFonts w:hint="eastAsia" w:hAnsi="宋体" w:cs="宋体"/>
          <w:color w:val="auto"/>
          <w:highlight w:val="none"/>
          <w:u w:val="single"/>
        </w:rPr>
        <w:t>广西科联招标中心有限公司</w:t>
      </w:r>
      <w:bookmarkEnd w:id="364"/>
    </w:p>
    <w:p>
      <w:pPr>
        <w:pStyle w:val="13"/>
        <w:spacing w:line="360" w:lineRule="exact"/>
        <w:ind w:firstLine="420" w:firstLineChars="200"/>
        <w:rPr>
          <w:rFonts w:hint="eastAsia" w:hAnsi="宋体" w:cs="宋体"/>
          <w:color w:val="auto"/>
          <w:highlight w:val="none"/>
        </w:rPr>
      </w:pPr>
      <w:r>
        <w:rPr>
          <w:rFonts w:hint="eastAsia" w:hAnsi="宋体" w:cs="宋体"/>
          <w:color w:val="auto"/>
          <w:highlight w:val="none"/>
        </w:rPr>
        <w:t>本人</w:t>
      </w:r>
      <w:r>
        <w:rPr>
          <w:rFonts w:hint="eastAsia" w:hAnsi="宋体" w:cs="宋体"/>
          <w:color w:val="auto"/>
          <w:highlight w:val="none"/>
          <w:u w:val="single"/>
        </w:rPr>
        <w:t xml:space="preserve">        </w:t>
      </w:r>
      <w:r>
        <w:rPr>
          <w:rFonts w:hint="eastAsia" w:hAnsi="宋体" w:cs="宋体"/>
          <w:color w:val="auto"/>
          <w:highlight w:val="none"/>
        </w:rPr>
        <w:t>（姓名）系</w:t>
      </w:r>
      <w:r>
        <w:rPr>
          <w:rFonts w:hint="eastAsia" w:hAnsi="宋体" w:cs="宋体"/>
          <w:color w:val="auto"/>
          <w:highlight w:val="none"/>
          <w:u w:val="single"/>
        </w:rPr>
        <w:t xml:space="preserve">                 </w:t>
      </w:r>
      <w:r>
        <w:rPr>
          <w:rFonts w:hint="eastAsia" w:hAnsi="宋体" w:cs="宋体"/>
          <w:color w:val="auto"/>
          <w:highlight w:val="none"/>
        </w:rPr>
        <w:t>（投标人名称）的法定代表人，现授权我单位在职正式员工</w:t>
      </w:r>
      <w:r>
        <w:rPr>
          <w:rFonts w:hint="eastAsia" w:hAnsi="宋体" w:cs="宋体"/>
          <w:color w:val="auto"/>
          <w:highlight w:val="none"/>
          <w:u w:val="single"/>
        </w:rPr>
        <w:t xml:space="preserve">        </w:t>
      </w:r>
      <w:r>
        <w:rPr>
          <w:rFonts w:hint="eastAsia" w:hAnsi="宋体" w:cs="宋体"/>
          <w:color w:val="auto"/>
          <w:highlight w:val="none"/>
        </w:rPr>
        <w:t>（姓名和职务）为我方代理人。代理人根据授权，以我方名义签署、澄清、说明、补正、递交、撤回、修改贵方组织的</w:t>
      </w:r>
      <w:r>
        <w:rPr>
          <w:rFonts w:hint="eastAsia" w:hAnsi="宋体" w:cs="宋体"/>
          <w:color w:val="auto"/>
          <w:highlight w:val="none"/>
          <w:u w:val="single"/>
        </w:rPr>
        <w:t xml:space="preserve">  </w:t>
      </w:r>
      <w:r>
        <w:rPr>
          <w:rFonts w:hint="eastAsia" w:hAnsi="宋体" w:cs="宋体"/>
          <w:i/>
          <w:iCs/>
          <w:color w:val="auto"/>
          <w:highlight w:val="none"/>
          <w:u w:val="single"/>
        </w:rPr>
        <w:t>（项目名称）</w:t>
      </w:r>
      <w:r>
        <w:rPr>
          <w:rFonts w:hint="eastAsia" w:hAnsi="宋体" w:cs="宋体"/>
          <w:color w:val="auto"/>
          <w:highlight w:val="none"/>
          <w:u w:val="single"/>
        </w:rPr>
        <w:t xml:space="preserve">   </w:t>
      </w:r>
      <w:r>
        <w:rPr>
          <w:rFonts w:hint="eastAsia" w:hAnsi="宋体" w:cs="宋体"/>
          <w:color w:val="auto"/>
          <w:highlight w:val="none"/>
        </w:rPr>
        <w:t>项目（项目编号：</w:t>
      </w:r>
      <w:r>
        <w:rPr>
          <w:rFonts w:hint="eastAsia" w:hAnsi="宋体" w:cs="宋体"/>
          <w:color w:val="auto"/>
          <w:highlight w:val="none"/>
          <w:u w:val="single"/>
        </w:rPr>
        <w:t xml:space="preserve">       </w:t>
      </w:r>
      <w:r>
        <w:rPr>
          <w:rFonts w:hint="eastAsia" w:hAnsi="宋体" w:cs="宋体"/>
          <w:color w:val="auto"/>
          <w:highlight w:val="none"/>
        </w:rPr>
        <w:t>）的投标文件、签订合同和处理一切有关事宜，其法律后果由我方承担。</w:t>
      </w:r>
    </w:p>
    <w:p>
      <w:pPr>
        <w:pStyle w:val="13"/>
        <w:spacing w:line="360" w:lineRule="exact"/>
        <w:ind w:firstLine="420" w:firstLineChars="200"/>
        <w:rPr>
          <w:rFonts w:hint="eastAsia" w:hAnsi="宋体" w:cs="宋体"/>
          <w:color w:val="auto"/>
          <w:highlight w:val="none"/>
        </w:rPr>
      </w:pPr>
      <w:r>
        <w:rPr>
          <w:rFonts w:hint="eastAsia" w:hAnsi="宋体" w:cs="宋体"/>
          <w:color w:val="auto"/>
          <w:highlight w:val="none"/>
        </w:rPr>
        <w:t>本授权书于</w:t>
      </w:r>
      <w:r>
        <w:rPr>
          <w:rFonts w:hint="eastAsia" w:hAnsi="宋体" w:cs="宋体"/>
          <w:color w:val="auto"/>
          <w:spacing w:val="10"/>
          <w:sz w:val="24"/>
          <w:highlight w:val="none"/>
          <w:u w:val="single"/>
        </w:rPr>
        <w:t xml:space="preserve">    </w:t>
      </w:r>
      <w:r>
        <w:rPr>
          <w:rFonts w:hint="eastAsia" w:hAnsi="宋体" w:cs="宋体"/>
          <w:color w:val="auto"/>
          <w:highlight w:val="none"/>
        </w:rPr>
        <w:t>年</w:t>
      </w:r>
      <w:r>
        <w:rPr>
          <w:rFonts w:hint="eastAsia" w:hAnsi="宋体" w:cs="宋体"/>
          <w:color w:val="auto"/>
          <w:spacing w:val="10"/>
          <w:sz w:val="24"/>
          <w:highlight w:val="none"/>
          <w:u w:val="single"/>
        </w:rPr>
        <w:t xml:space="preserve">    </w:t>
      </w:r>
      <w:r>
        <w:rPr>
          <w:rFonts w:hint="eastAsia" w:hAnsi="宋体" w:cs="宋体"/>
          <w:color w:val="auto"/>
          <w:highlight w:val="none"/>
        </w:rPr>
        <w:t>月</w:t>
      </w:r>
      <w:r>
        <w:rPr>
          <w:rFonts w:hint="eastAsia" w:hAnsi="宋体" w:cs="宋体"/>
          <w:color w:val="auto"/>
          <w:spacing w:val="10"/>
          <w:sz w:val="24"/>
          <w:highlight w:val="none"/>
          <w:u w:val="single"/>
        </w:rPr>
        <w:t xml:space="preserve">    </w:t>
      </w:r>
      <w:r>
        <w:rPr>
          <w:rFonts w:hint="eastAsia" w:hAnsi="宋体" w:cs="宋体"/>
          <w:color w:val="auto"/>
          <w:highlight w:val="none"/>
        </w:rPr>
        <w:t>日签字生效，委托期限：</w:t>
      </w:r>
      <w:r>
        <w:rPr>
          <w:rFonts w:hint="eastAsia" w:hAnsi="宋体" w:cs="宋体"/>
          <w:color w:val="auto"/>
          <w:spacing w:val="10"/>
          <w:sz w:val="24"/>
          <w:highlight w:val="none"/>
          <w:u w:val="single"/>
        </w:rPr>
        <w:t xml:space="preserve">          </w:t>
      </w:r>
      <w:r>
        <w:rPr>
          <w:rFonts w:hint="eastAsia" w:hAnsi="宋体" w:cs="宋体"/>
          <w:color w:val="auto"/>
          <w:highlight w:val="none"/>
        </w:rPr>
        <w:t>。</w:t>
      </w:r>
    </w:p>
    <w:p>
      <w:pPr>
        <w:pStyle w:val="13"/>
        <w:spacing w:line="360" w:lineRule="exact"/>
        <w:ind w:firstLine="420"/>
        <w:rPr>
          <w:rFonts w:hint="eastAsia" w:hAnsi="宋体" w:cs="宋体"/>
          <w:color w:val="auto"/>
          <w:highlight w:val="none"/>
        </w:rPr>
      </w:pPr>
      <w:r>
        <w:rPr>
          <w:rFonts w:hint="eastAsia" w:hAnsi="宋体" w:cs="宋体"/>
          <w:color w:val="auto"/>
          <w:highlight w:val="none"/>
        </w:rPr>
        <w:t>代理人无转委托权。</w:t>
      </w:r>
    </w:p>
    <w:p>
      <w:pPr>
        <w:pStyle w:val="13"/>
        <w:spacing w:line="360" w:lineRule="exact"/>
        <w:ind w:firstLine="420"/>
        <w:rPr>
          <w:rFonts w:hint="eastAsia" w:hAnsi="宋体" w:cs="宋体"/>
          <w:color w:val="auto"/>
          <w:highlight w:val="none"/>
        </w:rPr>
      </w:pPr>
    </w:p>
    <w:p>
      <w:pPr>
        <w:pStyle w:val="13"/>
        <w:spacing w:line="360" w:lineRule="exact"/>
        <w:ind w:firstLine="420"/>
        <w:rPr>
          <w:rFonts w:hint="eastAsia" w:hAnsi="宋体" w:cs="宋体"/>
          <w:color w:val="auto"/>
          <w:highlight w:val="none"/>
          <w:u w:val="single"/>
        </w:rPr>
      </w:pPr>
      <w:r>
        <w:rPr>
          <w:rFonts w:hint="eastAsia" w:hAnsi="宋体" w:cs="宋体"/>
          <w:color w:val="auto"/>
          <w:highlight w:val="none"/>
        </w:rPr>
        <w:t>投标人名称（或联合体投标</w:t>
      </w:r>
      <w:r>
        <w:rPr>
          <w:rFonts w:hint="eastAsia" w:hAnsi="宋体" w:cs="宋体"/>
          <w:color w:val="auto"/>
          <w:kern w:val="0"/>
          <w:szCs w:val="21"/>
          <w:highlight w:val="none"/>
        </w:rPr>
        <w:t>牵头人名称</w:t>
      </w:r>
      <w:r>
        <w:rPr>
          <w:rFonts w:hint="eastAsia" w:hAnsi="宋体" w:cs="宋体"/>
          <w:color w:val="auto"/>
          <w:highlight w:val="none"/>
        </w:rPr>
        <w:t>）（盖公章）：</w:t>
      </w:r>
      <w:r>
        <w:rPr>
          <w:rFonts w:hint="eastAsia" w:hAnsi="宋体" w:cs="宋体"/>
          <w:color w:val="auto"/>
          <w:highlight w:val="none"/>
          <w:u w:val="single"/>
        </w:rPr>
        <w:t xml:space="preserve">                                    </w:t>
      </w:r>
    </w:p>
    <w:p>
      <w:pPr>
        <w:pStyle w:val="13"/>
        <w:spacing w:line="360" w:lineRule="exact"/>
        <w:ind w:firstLine="420"/>
        <w:rPr>
          <w:rFonts w:hint="eastAsia" w:hAnsi="宋体" w:cs="宋体"/>
          <w:color w:val="auto"/>
          <w:highlight w:val="none"/>
          <w:u w:val="single"/>
        </w:rPr>
      </w:pPr>
      <w:r>
        <w:rPr>
          <w:rFonts w:hint="eastAsia" w:hAnsi="宋体" w:cs="宋体"/>
          <w:color w:val="auto"/>
          <w:highlight w:val="none"/>
        </w:rPr>
        <w:t>法定代表人（签字）：</w:t>
      </w:r>
      <w:r>
        <w:rPr>
          <w:rFonts w:hint="eastAsia" w:hAnsi="宋体" w:cs="宋体"/>
          <w:color w:val="auto"/>
          <w:highlight w:val="none"/>
          <w:u w:val="single"/>
        </w:rPr>
        <w:t xml:space="preserve">                                     </w:t>
      </w:r>
    </w:p>
    <w:p>
      <w:pPr>
        <w:pStyle w:val="13"/>
        <w:spacing w:line="360" w:lineRule="exact"/>
        <w:ind w:firstLine="420"/>
        <w:rPr>
          <w:rFonts w:hint="eastAsia" w:hAnsi="宋体" w:cs="宋体"/>
          <w:color w:val="auto"/>
          <w:highlight w:val="none"/>
          <w:u w:val="single"/>
        </w:rPr>
      </w:pPr>
      <w:r>
        <w:rPr>
          <w:rFonts w:hint="eastAsia" w:hAnsi="宋体" w:cs="宋体"/>
          <w:color w:val="auto"/>
          <w:highlight w:val="none"/>
        </w:rPr>
        <w:t>法定代表人身份证号码：</w:t>
      </w:r>
      <w:r>
        <w:rPr>
          <w:rFonts w:hint="eastAsia" w:hAnsi="宋体" w:cs="宋体"/>
          <w:color w:val="auto"/>
          <w:highlight w:val="none"/>
          <w:u w:val="single"/>
        </w:rPr>
        <w:t xml:space="preserve">                                   </w:t>
      </w:r>
    </w:p>
    <w:p>
      <w:pPr>
        <w:pStyle w:val="13"/>
        <w:spacing w:line="360" w:lineRule="exact"/>
        <w:ind w:firstLine="420" w:firstLineChars="200"/>
        <w:rPr>
          <w:rFonts w:hint="eastAsia" w:hAnsi="宋体" w:cs="宋体"/>
          <w:color w:val="auto"/>
          <w:highlight w:val="none"/>
        </w:rPr>
      </w:pPr>
      <w:r>
        <w:rPr>
          <w:rFonts w:hint="eastAsia" w:hAnsi="宋体" w:cs="宋体"/>
          <w:color w:val="auto"/>
          <w:highlight w:val="none"/>
        </w:rPr>
        <w:t>委托代理人（签字）：</w:t>
      </w:r>
      <w:r>
        <w:rPr>
          <w:rFonts w:hint="eastAsia" w:hAnsi="宋体" w:cs="宋体"/>
          <w:color w:val="auto"/>
          <w:highlight w:val="none"/>
          <w:u w:val="single"/>
        </w:rPr>
        <w:t xml:space="preserve">                                     </w:t>
      </w:r>
    </w:p>
    <w:p>
      <w:pPr>
        <w:pStyle w:val="13"/>
        <w:spacing w:line="360" w:lineRule="exact"/>
        <w:ind w:firstLine="420"/>
        <w:rPr>
          <w:rFonts w:hint="eastAsia" w:hAnsi="宋体" w:cs="宋体"/>
          <w:color w:val="auto"/>
          <w:highlight w:val="none"/>
          <w:u w:val="single"/>
        </w:rPr>
      </w:pPr>
      <w:r>
        <w:rPr>
          <w:rFonts w:hint="eastAsia" w:hAnsi="宋体" w:cs="宋体"/>
          <w:color w:val="auto"/>
          <w:highlight w:val="none"/>
        </w:rPr>
        <w:t>委托代理人身份证号码：</w:t>
      </w:r>
      <w:r>
        <w:rPr>
          <w:rFonts w:hint="eastAsia" w:hAnsi="宋体" w:cs="宋体"/>
          <w:color w:val="auto"/>
          <w:highlight w:val="none"/>
          <w:u w:val="single"/>
        </w:rPr>
        <w:t xml:space="preserve">                                   </w:t>
      </w:r>
    </w:p>
    <w:p>
      <w:pPr>
        <w:pStyle w:val="13"/>
        <w:spacing w:line="360" w:lineRule="exact"/>
        <w:ind w:firstLine="420"/>
        <w:rPr>
          <w:rFonts w:hint="eastAsia" w:hAnsi="宋体" w:cs="宋体"/>
          <w:color w:val="auto"/>
          <w:highlight w:val="none"/>
          <w:u w:val="single"/>
        </w:rPr>
      </w:pPr>
    </w:p>
    <w:p>
      <w:pPr>
        <w:pStyle w:val="13"/>
        <w:spacing w:line="360" w:lineRule="exact"/>
        <w:ind w:firstLine="420"/>
        <w:rPr>
          <w:rFonts w:hint="eastAsia" w:hAnsi="宋体" w:cs="宋体"/>
          <w:color w:val="auto"/>
          <w:highlight w:val="none"/>
          <w:u w:val="single"/>
        </w:rPr>
      </w:pPr>
      <w:r>
        <w:rPr>
          <w:rFonts w:hint="eastAsia" w:hAnsi="宋体" w:cs="宋体"/>
          <w:color w:val="auto"/>
          <w:kern w:val="0"/>
          <w:szCs w:val="21"/>
          <w:highlight w:val="none"/>
        </w:rPr>
        <w:t>成员一名称</w:t>
      </w:r>
      <w:r>
        <w:rPr>
          <w:rFonts w:hint="eastAsia" w:hAnsi="宋体" w:cs="宋体"/>
          <w:color w:val="auto"/>
          <w:highlight w:val="none"/>
        </w:rPr>
        <w:t>（盖公章）：</w:t>
      </w:r>
      <w:r>
        <w:rPr>
          <w:rFonts w:hint="eastAsia" w:hAnsi="宋体" w:cs="宋体"/>
          <w:color w:val="auto"/>
          <w:highlight w:val="none"/>
          <w:u w:val="single"/>
        </w:rPr>
        <w:t xml:space="preserve">                                    </w:t>
      </w:r>
    </w:p>
    <w:p>
      <w:pPr>
        <w:pStyle w:val="13"/>
        <w:spacing w:line="360" w:lineRule="exact"/>
        <w:ind w:firstLine="420"/>
        <w:rPr>
          <w:rFonts w:hint="eastAsia" w:hAnsi="宋体" w:cs="宋体"/>
          <w:color w:val="auto"/>
          <w:highlight w:val="none"/>
          <w:u w:val="single"/>
        </w:rPr>
      </w:pPr>
      <w:r>
        <w:rPr>
          <w:rFonts w:hint="eastAsia" w:hAnsi="宋体" w:cs="宋体"/>
          <w:color w:val="auto"/>
          <w:highlight w:val="none"/>
        </w:rPr>
        <w:t>法定代表人（签字）：</w:t>
      </w:r>
      <w:r>
        <w:rPr>
          <w:rFonts w:hint="eastAsia" w:hAnsi="宋体" w:cs="宋体"/>
          <w:color w:val="auto"/>
          <w:highlight w:val="none"/>
          <w:u w:val="single"/>
        </w:rPr>
        <w:t xml:space="preserve">                                      </w:t>
      </w:r>
    </w:p>
    <w:p>
      <w:pPr>
        <w:pStyle w:val="8"/>
        <w:spacing w:line="360" w:lineRule="exact"/>
        <w:ind w:left="0" w:firstLine="420" w:firstLineChars="200"/>
        <w:rPr>
          <w:rFonts w:hint="eastAsia" w:ascii="宋体" w:hAnsi="宋体" w:cs="宋体"/>
          <w:color w:val="auto"/>
          <w:highlight w:val="none"/>
          <w:u w:val="single"/>
        </w:rPr>
      </w:pPr>
      <w:r>
        <w:rPr>
          <w:rFonts w:hint="eastAsia" w:ascii="宋体" w:hAnsi="宋体" w:cs="宋体"/>
          <w:color w:val="auto"/>
          <w:highlight w:val="none"/>
        </w:rPr>
        <w:t>委托代理人（签字）：</w:t>
      </w:r>
      <w:r>
        <w:rPr>
          <w:rFonts w:hint="eastAsia" w:ascii="宋体" w:hAnsi="宋体" w:cs="宋体"/>
          <w:color w:val="auto"/>
          <w:highlight w:val="none"/>
          <w:u w:val="single"/>
        </w:rPr>
        <w:t xml:space="preserve">                                      </w:t>
      </w:r>
    </w:p>
    <w:p>
      <w:pPr>
        <w:spacing w:line="360" w:lineRule="exact"/>
        <w:ind w:firstLine="420" w:firstLineChars="200"/>
        <w:rPr>
          <w:color w:val="auto"/>
          <w:highlight w:val="none"/>
        </w:rPr>
      </w:pPr>
      <w:r>
        <w:rPr>
          <w:rFonts w:hint="eastAsia" w:ascii="宋体" w:hAnsi="宋体" w:cs="宋体"/>
          <w:color w:val="auto"/>
          <w:highlight w:val="none"/>
        </w:rPr>
        <w:t>委托代理人身份证号码：</w:t>
      </w:r>
      <w:r>
        <w:rPr>
          <w:rFonts w:hint="eastAsia" w:ascii="宋体" w:hAnsi="宋体" w:cs="宋体"/>
          <w:color w:val="auto"/>
          <w:highlight w:val="none"/>
          <w:u w:val="single"/>
        </w:rPr>
        <w:t xml:space="preserve">                                    </w:t>
      </w:r>
    </w:p>
    <w:p>
      <w:pPr>
        <w:pStyle w:val="13"/>
        <w:spacing w:line="360" w:lineRule="exact"/>
        <w:ind w:firstLine="420"/>
        <w:rPr>
          <w:rFonts w:hint="eastAsia" w:hAnsi="宋体" w:cs="宋体"/>
          <w:color w:val="auto"/>
          <w:highlight w:val="none"/>
          <w:u w:val="single"/>
        </w:rPr>
      </w:pPr>
    </w:p>
    <w:p>
      <w:pPr>
        <w:autoSpaceDE w:val="0"/>
        <w:autoSpaceDN w:val="0"/>
        <w:adjustRightInd w:val="0"/>
        <w:spacing w:line="36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成员二名称（盖公章）：</w:t>
      </w:r>
      <w:r>
        <w:rPr>
          <w:rFonts w:hint="eastAsia" w:ascii="宋体" w:hAnsi="宋体" w:cs="宋体"/>
          <w:color w:val="auto"/>
          <w:kern w:val="0"/>
          <w:szCs w:val="21"/>
          <w:highlight w:val="none"/>
          <w:u w:val="single"/>
        </w:rPr>
        <w:t xml:space="preserve">                                    </w:t>
      </w:r>
    </w:p>
    <w:p>
      <w:pPr>
        <w:autoSpaceDE w:val="0"/>
        <w:autoSpaceDN w:val="0"/>
        <w:adjustRightInd w:val="0"/>
        <w:spacing w:line="360" w:lineRule="exact"/>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法定代表人（签字）：</w:t>
      </w:r>
      <w:r>
        <w:rPr>
          <w:rFonts w:hint="eastAsia" w:ascii="宋体" w:hAnsi="宋体" w:cs="宋体"/>
          <w:color w:val="auto"/>
          <w:kern w:val="0"/>
          <w:szCs w:val="21"/>
          <w:highlight w:val="none"/>
          <w:u w:val="single"/>
        </w:rPr>
        <w:t xml:space="preserve">                                      </w:t>
      </w:r>
    </w:p>
    <w:p>
      <w:pPr>
        <w:pStyle w:val="8"/>
        <w:spacing w:line="360" w:lineRule="exact"/>
        <w:ind w:left="0" w:firstLine="420" w:firstLineChars="200"/>
        <w:rPr>
          <w:rFonts w:hint="eastAsia" w:ascii="宋体" w:hAnsi="宋体" w:cs="宋体"/>
          <w:color w:val="auto"/>
          <w:highlight w:val="none"/>
          <w:u w:val="single"/>
        </w:rPr>
      </w:pPr>
      <w:r>
        <w:rPr>
          <w:rFonts w:hint="eastAsia" w:ascii="宋体" w:hAnsi="宋体" w:cs="宋体"/>
          <w:color w:val="auto"/>
          <w:highlight w:val="none"/>
        </w:rPr>
        <w:t>委托代理人（签字）：</w:t>
      </w:r>
      <w:r>
        <w:rPr>
          <w:rFonts w:hint="eastAsia" w:ascii="宋体" w:hAnsi="宋体" w:cs="宋体"/>
          <w:color w:val="auto"/>
          <w:highlight w:val="none"/>
          <w:u w:val="single"/>
        </w:rPr>
        <w:t xml:space="preserve">                                      </w:t>
      </w:r>
    </w:p>
    <w:p>
      <w:pPr>
        <w:spacing w:line="360" w:lineRule="exact"/>
        <w:ind w:firstLine="420" w:firstLineChars="200"/>
        <w:rPr>
          <w:color w:val="auto"/>
          <w:highlight w:val="none"/>
        </w:rPr>
      </w:pPr>
      <w:r>
        <w:rPr>
          <w:rFonts w:hint="eastAsia" w:ascii="宋体" w:hAnsi="宋体" w:cs="宋体"/>
          <w:color w:val="auto"/>
          <w:highlight w:val="none"/>
        </w:rPr>
        <w:t>委托代理人身份证号码：</w:t>
      </w:r>
      <w:r>
        <w:rPr>
          <w:rFonts w:hint="eastAsia" w:ascii="宋体" w:hAnsi="宋体" w:cs="宋体"/>
          <w:color w:val="auto"/>
          <w:highlight w:val="none"/>
          <w:u w:val="single"/>
        </w:rPr>
        <w:t xml:space="preserve">                                    </w:t>
      </w:r>
    </w:p>
    <w:p>
      <w:pPr>
        <w:pStyle w:val="15"/>
        <w:spacing w:line="360" w:lineRule="exact"/>
        <w:rPr>
          <w:color w:val="auto"/>
          <w:highlight w:val="none"/>
        </w:rPr>
      </w:pPr>
    </w:p>
    <w:p>
      <w:pPr>
        <w:pStyle w:val="13"/>
        <w:spacing w:line="360" w:lineRule="exact"/>
        <w:ind w:firstLine="420" w:firstLineChars="200"/>
        <w:rPr>
          <w:rFonts w:hint="eastAsia" w:hAnsi="宋体" w:cs="宋体"/>
          <w:color w:val="auto"/>
          <w:highlight w:val="none"/>
        </w:rPr>
      </w:pPr>
      <w:r>
        <w:rPr>
          <w:rFonts w:hint="eastAsia" w:hAnsi="宋体" w:cs="宋体"/>
          <w:color w:val="auto"/>
          <w:highlight w:val="none"/>
        </w:rPr>
        <w:t>……</w:t>
      </w:r>
    </w:p>
    <w:p>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w:t>
      </w:r>
    </w:p>
    <w:p>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1.法定代表人和委托代理人必须在授权委托书上</w:t>
      </w:r>
      <w:r>
        <w:rPr>
          <w:rFonts w:hint="eastAsia" w:ascii="宋体" w:hAnsi="宋体" w:cs="宋体"/>
          <w:color w:val="auto"/>
          <w:kern w:val="0"/>
          <w:szCs w:val="21"/>
          <w:highlight w:val="none"/>
        </w:rPr>
        <w:t>签字</w:t>
      </w:r>
      <w:r>
        <w:rPr>
          <w:rFonts w:hint="eastAsia" w:ascii="宋体" w:hAnsi="宋体" w:cs="宋体"/>
          <w:color w:val="auto"/>
          <w:szCs w:val="21"/>
          <w:highlight w:val="none"/>
        </w:rPr>
        <w:t>，</w:t>
      </w:r>
      <w:r>
        <w:rPr>
          <w:rFonts w:hint="eastAsia" w:ascii="宋体" w:hAnsi="宋体" w:cs="宋体"/>
          <w:b/>
          <w:bCs/>
          <w:color w:val="auto"/>
          <w:szCs w:val="21"/>
          <w:highlight w:val="none"/>
        </w:rPr>
        <w:t>否则作无效投标处理</w:t>
      </w:r>
      <w:r>
        <w:rPr>
          <w:rFonts w:hint="eastAsia" w:ascii="宋体" w:hAnsi="宋体" w:cs="宋体"/>
          <w:color w:val="auto"/>
          <w:szCs w:val="21"/>
          <w:highlight w:val="none"/>
        </w:rPr>
        <w:t>。</w:t>
      </w:r>
    </w:p>
    <w:p>
      <w:pPr>
        <w:spacing w:line="3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2.以联合体形式投标的，本授权委托书应由联合体牵头人的法定代表人按上述规定签署。</w:t>
      </w:r>
    </w:p>
    <w:p>
      <w:pPr>
        <w:snapToGrid w:val="0"/>
        <w:spacing w:before="50" w:after="165" w:afterLines="50" w:line="3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投标人为其他组织或者自然人时，本招标文件规定的法定代表人指负责人或者自然人。本招标文件所称负责人是指参加投标的其他组织营业执照上的负责人，本招标文件所称自然人指参与投标的自然人本人。</w:t>
      </w:r>
    </w:p>
    <w:p>
      <w:pPr>
        <w:snapToGrid w:val="0"/>
        <w:spacing w:before="50" w:after="165" w:afterLines="50" w:line="3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 若为联合体投标须各方签字或盖章。</w:t>
      </w:r>
    </w:p>
    <w:p>
      <w:pPr>
        <w:spacing w:line="360" w:lineRule="auto"/>
        <w:rPr>
          <w:rFonts w:hint="eastAsia" w:ascii="宋体" w:hAnsi="宋体" w:cs="宋体"/>
          <w:b/>
          <w:color w:val="auto"/>
          <w:sz w:val="24"/>
          <w:highlight w:val="none"/>
        </w:rPr>
      </w:pPr>
    </w:p>
    <w:p>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附件：</w:t>
      </w:r>
    </w:p>
    <w:tbl>
      <w:tblPr>
        <w:tblStyle w:val="25"/>
        <w:tblpPr w:leftFromText="180" w:rightFromText="180" w:vertAnchor="text" w:horzAnchor="margin" w:tblpXSpec="left" w:tblpY="2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cs="宋体"/>
                <w:b/>
                <w:color w:val="auto"/>
                <w:sz w:val="24"/>
                <w:highlight w:val="none"/>
              </w:rPr>
            </w:pPr>
          </w:p>
          <w:p>
            <w:pPr>
              <w:spacing w:line="360" w:lineRule="auto"/>
              <w:rPr>
                <w:rFonts w:hint="eastAsia" w:ascii="宋体" w:hAnsi="宋体" w:cs="宋体"/>
                <w:b/>
                <w:color w:val="auto"/>
                <w:sz w:val="24"/>
                <w:highlight w:val="none"/>
              </w:rPr>
            </w:pPr>
            <w:r>
              <w:rPr>
                <w:rFonts w:hint="eastAsia" w:ascii="宋体" w:hAnsi="宋体" w:cs="宋体"/>
                <w:b/>
                <w:bCs/>
                <w:color w:val="auto"/>
                <w:sz w:val="24"/>
                <w:highlight w:val="none"/>
              </w:rPr>
              <w:t>委托代理人有效</w:t>
            </w:r>
            <w:r>
              <w:rPr>
                <w:rFonts w:hint="eastAsia" w:ascii="宋体" w:hAnsi="宋体" w:cs="宋体"/>
                <w:b/>
                <w:color w:val="auto"/>
                <w:sz w:val="24"/>
                <w:highlight w:val="none"/>
              </w:rPr>
              <w:t>身份证复印件粘贴处（正、反面）</w:t>
            </w:r>
          </w:p>
        </w:tc>
      </w:tr>
    </w:tbl>
    <w:p>
      <w:pPr>
        <w:rPr>
          <w:rFonts w:hint="eastAsia" w:ascii="宋体" w:hAnsi="宋体" w:cs="宋体"/>
          <w:b/>
          <w:color w:val="auto"/>
          <w:sz w:val="24"/>
          <w:szCs w:val="20"/>
          <w:highlight w:val="none"/>
        </w:rPr>
      </w:pPr>
      <w:r>
        <w:rPr>
          <w:rFonts w:hint="eastAsia" w:ascii="宋体" w:hAnsi="宋体" w:cs="宋体"/>
          <w:color w:val="auto"/>
          <w:sz w:val="24"/>
          <w:highlight w:val="none"/>
        </w:rPr>
        <w:br w:type="page"/>
      </w:r>
      <w:r>
        <w:rPr>
          <w:rFonts w:hint="eastAsia" w:ascii="宋体" w:hAnsi="宋体" w:cs="宋体"/>
          <w:b/>
          <w:color w:val="auto"/>
          <w:sz w:val="28"/>
          <w:szCs w:val="28"/>
          <w:highlight w:val="none"/>
        </w:rPr>
        <w:t>6.商务条款偏离表的格式：</w:t>
      </w:r>
    </w:p>
    <w:p>
      <w:pPr>
        <w:snapToGrid w:val="0"/>
        <w:spacing w:before="165" w:beforeLines="50" w:after="50"/>
        <w:rPr>
          <w:rFonts w:hint="eastAsia" w:ascii="宋体" w:hAnsi="宋体" w:cs="宋体"/>
          <w:color w:val="auto"/>
          <w:highlight w:val="none"/>
        </w:rPr>
      </w:pPr>
    </w:p>
    <w:p>
      <w:pPr>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商务条款偏离表</w:t>
      </w:r>
    </w:p>
    <w:p>
      <w:pPr>
        <w:jc w:val="center"/>
        <w:rPr>
          <w:rFonts w:hint="eastAsia" w:ascii="宋体" w:hAnsi="宋体" w:cs="宋体"/>
          <w:color w:val="auto"/>
          <w:sz w:val="30"/>
          <w:szCs w:val="20"/>
          <w:highlight w:val="none"/>
        </w:rPr>
      </w:pPr>
    </w:p>
    <w:p>
      <w:pPr>
        <w:spacing w:line="360" w:lineRule="auto"/>
        <w:contextualSpacing/>
        <w:rPr>
          <w:rFonts w:hint="eastAsia" w:ascii="宋体" w:hAnsi="宋体" w:cs="宋体"/>
          <w:color w:val="auto"/>
          <w:sz w:val="24"/>
          <w:highlight w:val="none"/>
        </w:rPr>
      </w:pPr>
    </w:p>
    <w:p>
      <w:pPr>
        <w:spacing w:line="480" w:lineRule="auto"/>
        <w:contextualSpacing/>
        <w:rPr>
          <w:rFonts w:hint="eastAsia"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pPr>
        <w:spacing w:line="48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p>
    <w:p>
      <w:pPr>
        <w:pStyle w:val="13"/>
        <w:spacing w:line="480" w:lineRule="auto"/>
        <w:ind w:left="-422" w:leftChars="-201" w:firstLine="424"/>
        <w:rPr>
          <w:rFonts w:hint="eastAsia" w:hAnsi="宋体" w:cs="宋体"/>
          <w:color w:val="auto"/>
          <w:sz w:val="24"/>
          <w:szCs w:val="24"/>
          <w:highlight w:val="none"/>
        </w:rPr>
      </w:pPr>
      <w:r>
        <w:rPr>
          <w:rFonts w:hint="eastAsia" w:hAnsi="宋体" w:cs="宋体"/>
          <w:color w:val="auto"/>
          <w:sz w:val="24"/>
          <w:szCs w:val="24"/>
          <w:highlight w:val="none"/>
        </w:rPr>
        <w:t>所投分标</w:t>
      </w:r>
      <w:r>
        <w:rPr>
          <w:rFonts w:hint="eastAsia" w:hAnsi="宋体" w:cs="宋体"/>
          <w:color w:val="auto"/>
          <w:szCs w:val="21"/>
          <w:highlight w:val="none"/>
        </w:rPr>
        <w:t>（此处有分标时填写具体分标号，无分标时填写“无”）</w:t>
      </w:r>
      <w:r>
        <w:rPr>
          <w:rFonts w:hint="eastAsia" w:hAnsi="宋体" w:cs="宋体"/>
          <w:color w:val="auto"/>
          <w:sz w:val="24"/>
          <w:szCs w:val="24"/>
          <w:highlight w:val="none"/>
        </w:rPr>
        <w:t>：</w:t>
      </w:r>
      <w:r>
        <w:rPr>
          <w:rFonts w:hint="eastAsia" w:hAnsi="宋体" w:cs="宋体"/>
          <w:color w:val="auto"/>
          <w:sz w:val="24"/>
          <w:highlight w:val="none"/>
          <w:u w:val="single"/>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3429"/>
        <w:gridCol w:w="3229"/>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项号</w:t>
            </w:r>
          </w:p>
        </w:tc>
        <w:tc>
          <w:tcPr>
            <w:tcW w:w="342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招标文件的商务条款</w:t>
            </w:r>
          </w:p>
        </w:tc>
        <w:tc>
          <w:tcPr>
            <w:tcW w:w="322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投标文件响应的商务条款</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cs="宋体"/>
                <w:color w:val="auto"/>
                <w:szCs w:val="21"/>
                <w:highlight w:val="none"/>
              </w:rPr>
            </w:pPr>
            <w:r>
              <w:rPr>
                <w:rFonts w:hint="eastAsia" w:ascii="宋体" w:hAnsi="宋体" w:cs="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724"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highlight w:val="none"/>
              </w:rPr>
            </w:pPr>
            <w:r>
              <w:rPr>
                <w:rFonts w:hint="eastAsia" w:ascii="宋体" w:hAnsi="宋体" w:cs="宋体"/>
                <w:color w:val="auto"/>
                <w:szCs w:val="21"/>
                <w:highlight w:val="none"/>
              </w:rPr>
              <w:t>一</w:t>
            </w:r>
          </w:p>
        </w:tc>
        <w:tc>
          <w:tcPr>
            <w:tcW w:w="342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highlight w:val="none"/>
              </w:rPr>
            </w:pPr>
          </w:p>
        </w:tc>
        <w:tc>
          <w:tcPr>
            <w:tcW w:w="322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tcPr>
          <w:p>
            <w:pPr>
              <w:spacing w:line="30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724"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highlight w:val="none"/>
              </w:rPr>
            </w:pPr>
            <w:r>
              <w:rPr>
                <w:rFonts w:hint="eastAsia" w:ascii="宋体" w:hAnsi="宋体" w:cs="宋体"/>
                <w:color w:val="auto"/>
                <w:szCs w:val="21"/>
                <w:highlight w:val="none"/>
              </w:rPr>
              <w:t>二</w:t>
            </w:r>
          </w:p>
        </w:tc>
        <w:tc>
          <w:tcPr>
            <w:tcW w:w="342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highlight w:val="none"/>
              </w:rPr>
            </w:pPr>
          </w:p>
        </w:tc>
        <w:tc>
          <w:tcPr>
            <w:tcW w:w="322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tcPr>
          <w:p>
            <w:pPr>
              <w:spacing w:line="300" w:lineRule="exact"/>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724"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highlight w:val="none"/>
              </w:rPr>
            </w:pPr>
            <w:r>
              <w:rPr>
                <w:rFonts w:hint="eastAsia" w:ascii="宋体" w:hAnsi="宋体" w:cs="宋体"/>
                <w:color w:val="auto"/>
                <w:szCs w:val="21"/>
                <w:highlight w:val="none"/>
              </w:rPr>
              <w:t>...</w:t>
            </w:r>
          </w:p>
        </w:tc>
        <w:tc>
          <w:tcPr>
            <w:tcW w:w="342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highlight w:val="none"/>
              </w:rPr>
            </w:pPr>
          </w:p>
        </w:tc>
        <w:tc>
          <w:tcPr>
            <w:tcW w:w="322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cs="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tcPr>
          <w:p>
            <w:pPr>
              <w:spacing w:line="300" w:lineRule="exact"/>
              <w:rPr>
                <w:rFonts w:hint="eastAsia" w:ascii="宋体" w:hAnsi="宋体" w:cs="宋体"/>
                <w:color w:val="auto"/>
                <w:szCs w:val="21"/>
                <w:highlight w:val="none"/>
              </w:rPr>
            </w:pPr>
          </w:p>
        </w:tc>
      </w:tr>
    </w:tbl>
    <w:p>
      <w:pPr>
        <w:pStyle w:val="13"/>
        <w:spacing w:line="360" w:lineRule="auto"/>
        <w:ind w:left="-708" w:leftChars="-337"/>
        <w:rPr>
          <w:rFonts w:hint="eastAsia" w:hAnsi="宋体" w:cs="宋体"/>
          <w:color w:val="auto"/>
          <w:highlight w:val="none"/>
        </w:rPr>
      </w:pPr>
    </w:p>
    <w:p>
      <w:pPr>
        <w:pStyle w:val="13"/>
        <w:spacing w:line="360" w:lineRule="auto"/>
        <w:ind w:left="-708" w:leftChars="-337" w:firstLine="840" w:firstLineChars="400"/>
        <w:rPr>
          <w:rFonts w:hint="eastAsia" w:hAnsi="宋体" w:cs="宋体"/>
          <w:color w:val="auto"/>
          <w:highlight w:val="none"/>
        </w:rPr>
      </w:pPr>
      <w:r>
        <w:rPr>
          <w:rFonts w:hint="eastAsia" w:hAnsi="宋体" w:cs="宋体"/>
          <w:color w:val="auto"/>
          <w:highlight w:val="none"/>
        </w:rPr>
        <w:t>注：</w:t>
      </w:r>
    </w:p>
    <w:p>
      <w:pPr>
        <w:pStyle w:val="13"/>
        <w:spacing w:line="360" w:lineRule="auto"/>
        <w:rPr>
          <w:rFonts w:hint="eastAsia" w:hAnsi="宋体" w:cs="宋体"/>
          <w:color w:val="auto"/>
          <w:highlight w:val="none"/>
        </w:rPr>
      </w:pPr>
      <w:r>
        <w:rPr>
          <w:rFonts w:hint="eastAsia" w:hAnsi="宋体" w:cs="宋体"/>
          <w:color w:val="auto"/>
          <w:highlight w:val="none"/>
        </w:rPr>
        <w:t>1.表格内容均需按要求填写并加盖投标人公章。</w:t>
      </w:r>
    </w:p>
    <w:p>
      <w:pPr>
        <w:pStyle w:val="13"/>
        <w:spacing w:line="360" w:lineRule="auto"/>
        <w:rPr>
          <w:rFonts w:hint="eastAsia" w:hAnsi="宋体" w:cs="宋体"/>
          <w:color w:val="auto"/>
          <w:sz w:val="24"/>
          <w:szCs w:val="24"/>
          <w:highlight w:val="none"/>
        </w:rPr>
      </w:pPr>
      <w:r>
        <w:rPr>
          <w:rFonts w:hint="eastAsia" w:hAnsi="宋体" w:cs="宋体"/>
          <w:color w:val="auto"/>
          <w:highlight w:val="none"/>
        </w:rPr>
        <w:t xml:space="preserve">2.请逐条对应本项目招标文件“第二章  </w:t>
      </w:r>
      <w:r>
        <w:rPr>
          <w:rFonts w:hint="eastAsia" w:hAnsi="宋体" w:cs="宋体"/>
          <w:b/>
          <w:color w:val="auto"/>
          <w:szCs w:val="21"/>
          <w:highlight w:val="none"/>
        </w:rPr>
        <w:t>采购需求</w:t>
      </w:r>
      <w:r>
        <w:rPr>
          <w:rFonts w:hint="eastAsia" w:hAnsi="宋体" w:cs="宋体"/>
          <w:color w:val="auto"/>
          <w:highlight w:val="none"/>
        </w:rPr>
        <w:t>”中“商务条款”的要求，详细填写相应的具体内容。“偏离说明”一栏应当选择“正偏离”或“负偏离”或“无偏离”进行填写。</w:t>
      </w:r>
    </w:p>
    <w:p>
      <w:pPr>
        <w:pStyle w:val="13"/>
        <w:spacing w:line="360" w:lineRule="auto"/>
        <w:rPr>
          <w:rFonts w:hint="eastAsia" w:hAnsi="宋体" w:cs="宋体"/>
          <w:color w:val="auto"/>
          <w:highlight w:val="none"/>
        </w:rPr>
      </w:pPr>
      <w:r>
        <w:rPr>
          <w:rFonts w:hint="eastAsia" w:hAnsi="宋体" w:cs="宋体"/>
          <w:color w:val="auto"/>
          <w:highlight w:val="none"/>
        </w:rPr>
        <w:t>3.当投标文件的商务内容低于招标文件要求时，投标人应当如实写明“负偏离”。</w:t>
      </w:r>
    </w:p>
    <w:p>
      <w:pPr>
        <w:snapToGrid w:val="0"/>
        <w:spacing w:before="50" w:after="50"/>
        <w:rPr>
          <w:rFonts w:hint="eastAsia" w:ascii="宋体" w:hAnsi="宋体" w:cs="宋体"/>
          <w:color w:val="auto"/>
          <w:sz w:val="24"/>
          <w:highlight w:val="none"/>
        </w:rPr>
      </w:pPr>
    </w:p>
    <w:p>
      <w:pPr>
        <w:snapToGrid w:val="0"/>
        <w:spacing w:line="360" w:lineRule="auto"/>
        <w:ind w:firstLine="4935" w:firstLineChars="2350"/>
        <w:rPr>
          <w:rFonts w:hint="eastAsia"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投标人名称（盖公章)：</w:t>
      </w:r>
    </w:p>
    <w:p>
      <w:pPr>
        <w:snapToGrid w:val="0"/>
        <w:spacing w:line="360" w:lineRule="auto"/>
        <w:ind w:firstLine="5160" w:firstLineChars="215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widowControl/>
        <w:jc w:val="left"/>
        <w:rPr>
          <w:rFonts w:hint="eastAsia" w:ascii="宋体" w:hAnsi="宋体" w:cs="宋体"/>
          <w:color w:val="auto"/>
          <w:szCs w:val="21"/>
          <w:highlight w:val="none"/>
        </w:rPr>
        <w:sectPr>
          <w:pgSz w:w="11906" w:h="16838"/>
          <w:pgMar w:top="1134" w:right="1020" w:bottom="1020" w:left="1134" w:header="720" w:footer="720" w:gutter="0"/>
          <w:cols w:space="720" w:num="1"/>
          <w:docGrid w:type="lines" w:linePitch="331" w:charSpace="0"/>
        </w:sectPr>
      </w:pPr>
    </w:p>
    <w:p>
      <w:pPr>
        <w:pStyle w:val="18"/>
        <w:snapToGrid w:val="0"/>
        <w:ind w:left="602" w:hanging="602"/>
        <w:rPr>
          <w:rFonts w:hint="eastAsia" w:ascii="宋体" w:hAnsi="宋体" w:cs="宋体"/>
          <w:i/>
          <w:iCs/>
          <w:color w:val="auto"/>
          <w:szCs w:val="28"/>
          <w:highlight w:val="none"/>
        </w:rPr>
      </w:pPr>
      <w:r>
        <w:rPr>
          <w:rFonts w:hint="eastAsia" w:ascii="宋体" w:hAnsi="宋体" w:cs="宋体"/>
          <w:b/>
          <w:bCs/>
          <w:color w:val="auto"/>
          <w:sz w:val="30"/>
          <w:szCs w:val="30"/>
          <w:highlight w:val="none"/>
        </w:rPr>
        <w:t>7.投标人类似的业绩证明文件（如有要求）：</w:t>
      </w:r>
    </w:p>
    <w:p>
      <w:pPr>
        <w:spacing w:line="360" w:lineRule="auto"/>
        <w:ind w:firstLine="2880" w:firstLineChars="900"/>
        <w:contextualSpacing/>
        <w:rPr>
          <w:rFonts w:hint="eastAsia" w:ascii="宋体" w:hAnsi="宋体" w:cs="宋体"/>
          <w:color w:val="auto"/>
          <w:sz w:val="32"/>
          <w:szCs w:val="32"/>
          <w:highlight w:val="none"/>
        </w:rPr>
      </w:pPr>
      <w:r>
        <w:rPr>
          <w:rFonts w:hint="eastAsia" w:ascii="宋体" w:hAnsi="宋体" w:cs="宋体"/>
          <w:color w:val="auto"/>
          <w:sz w:val="32"/>
          <w:szCs w:val="32"/>
          <w:highlight w:val="none"/>
        </w:rPr>
        <w:t>类似项目的业绩一览表</w:t>
      </w:r>
    </w:p>
    <w:p>
      <w:pPr>
        <w:autoSpaceDE w:val="0"/>
        <w:autoSpaceDN w:val="0"/>
        <w:spacing w:line="360" w:lineRule="auto"/>
        <w:jc w:val="left"/>
        <w:rPr>
          <w:rFonts w:hint="eastAsia" w:ascii="宋体" w:hAnsi="宋体" w:cs="宋体"/>
          <w:color w:val="auto"/>
          <w:sz w:val="24"/>
          <w:highlight w:val="none"/>
        </w:rPr>
      </w:pPr>
    </w:p>
    <w:p>
      <w:pPr>
        <w:autoSpaceDE w:val="0"/>
        <w:autoSpaceDN w:val="0"/>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所投分标（如有则填写，无分标时填写“无”或者留空）：</w:t>
      </w:r>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24"/>
        <w:gridCol w:w="1813"/>
        <w:gridCol w:w="1687"/>
        <w:gridCol w:w="1016"/>
        <w:gridCol w:w="1016"/>
        <w:gridCol w:w="1018"/>
        <w:gridCol w:w="19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2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采购人</w:t>
            </w:r>
          </w:p>
          <w:p>
            <w:pPr>
              <w:snapToGrid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名称</w:t>
            </w:r>
          </w:p>
        </w:tc>
        <w:tc>
          <w:tcPr>
            <w:tcW w:w="18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项目名称</w:t>
            </w:r>
          </w:p>
        </w:tc>
        <w:tc>
          <w:tcPr>
            <w:tcW w:w="168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合同金额</w:t>
            </w:r>
          </w:p>
          <w:p>
            <w:pPr>
              <w:snapToGrid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（万元）</w:t>
            </w:r>
          </w:p>
        </w:tc>
        <w:tc>
          <w:tcPr>
            <w:tcW w:w="3050"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附件在投标文件中页码</w:t>
            </w:r>
          </w:p>
        </w:tc>
        <w:tc>
          <w:tcPr>
            <w:tcW w:w="193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采购人联系人及</w:t>
            </w:r>
          </w:p>
          <w:p>
            <w:pPr>
              <w:snapToGrid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2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auto"/>
                <w:sz w:val="24"/>
                <w:highlight w:val="none"/>
              </w:rPr>
            </w:pPr>
          </w:p>
        </w:tc>
        <w:tc>
          <w:tcPr>
            <w:tcW w:w="18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auto"/>
                <w:sz w:val="24"/>
                <w:highlight w:val="none"/>
              </w:rPr>
            </w:pPr>
          </w:p>
        </w:tc>
        <w:tc>
          <w:tcPr>
            <w:tcW w:w="16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auto"/>
                <w:sz w:val="24"/>
                <w:highlight w:val="none"/>
              </w:rPr>
            </w:pPr>
          </w:p>
        </w:tc>
        <w:tc>
          <w:tcPr>
            <w:tcW w:w="101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合同</w:t>
            </w:r>
          </w:p>
        </w:tc>
        <w:tc>
          <w:tcPr>
            <w:tcW w:w="1016"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验收</w:t>
            </w:r>
          </w:p>
          <w:p>
            <w:pPr>
              <w:snapToGrid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报告</w:t>
            </w:r>
          </w:p>
        </w:tc>
        <w:tc>
          <w:tcPr>
            <w:tcW w:w="10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用户</w:t>
            </w:r>
          </w:p>
          <w:p>
            <w:pPr>
              <w:snapToGrid w:val="0"/>
              <w:spacing w:line="240" w:lineRule="exact"/>
              <w:jc w:val="center"/>
              <w:rPr>
                <w:rFonts w:hint="eastAsia" w:ascii="宋体" w:hAnsi="宋体" w:cs="宋体"/>
                <w:color w:val="auto"/>
                <w:sz w:val="24"/>
                <w:highlight w:val="none"/>
              </w:rPr>
            </w:pPr>
            <w:r>
              <w:rPr>
                <w:rFonts w:hint="eastAsia" w:ascii="宋体" w:hAnsi="宋体" w:cs="宋体"/>
                <w:color w:val="auto"/>
                <w:sz w:val="24"/>
                <w:highlight w:val="none"/>
              </w:rPr>
              <w:t>评价</w:t>
            </w:r>
          </w:p>
        </w:tc>
        <w:tc>
          <w:tcPr>
            <w:tcW w:w="193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2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cs="宋体"/>
                <w:color w:val="auto"/>
                <w:sz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cs="宋体"/>
                <w:color w:val="auto"/>
                <w:sz w:val="24"/>
                <w:highlight w:val="none"/>
              </w:rPr>
            </w:pPr>
          </w:p>
        </w:tc>
        <w:tc>
          <w:tcPr>
            <w:tcW w:w="1687"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cs="宋体"/>
                <w:color w:val="auto"/>
                <w:sz w:val="24"/>
                <w:highlight w:val="none"/>
              </w:rPr>
            </w:pPr>
          </w:p>
        </w:tc>
        <w:tc>
          <w:tcPr>
            <w:tcW w:w="101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cs="宋体"/>
                <w:color w:val="auto"/>
                <w:sz w:val="24"/>
                <w:highlight w:val="none"/>
              </w:rPr>
            </w:pPr>
          </w:p>
        </w:tc>
        <w:tc>
          <w:tcPr>
            <w:tcW w:w="1016"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cs="宋体"/>
                <w:color w:val="auto"/>
                <w:sz w:val="24"/>
                <w:highlight w:val="none"/>
              </w:rPr>
            </w:pPr>
          </w:p>
        </w:tc>
        <w:tc>
          <w:tcPr>
            <w:tcW w:w="101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cs="宋体"/>
                <w:color w:val="auto"/>
                <w:sz w:val="24"/>
                <w:highlight w:val="none"/>
              </w:rPr>
            </w:pPr>
          </w:p>
        </w:tc>
        <w:tc>
          <w:tcPr>
            <w:tcW w:w="193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24"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687"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016"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016"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01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93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24"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687"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016"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016"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01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93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24"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687"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016"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016"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01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93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24"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687"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016"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016"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01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c>
          <w:tcPr>
            <w:tcW w:w="1938" w:type="dxa"/>
            <w:tcBorders>
              <w:top w:val="single" w:color="auto" w:sz="4" w:space="0"/>
              <w:left w:val="single" w:color="auto" w:sz="4" w:space="0"/>
              <w:bottom w:val="single" w:color="auto" w:sz="4" w:space="0"/>
              <w:right w:val="single" w:color="auto" w:sz="4" w:space="0"/>
            </w:tcBorders>
          </w:tcPr>
          <w:p>
            <w:pPr>
              <w:snapToGrid w:val="0"/>
              <w:spacing w:before="50" w:after="165" w:afterLines="50" w:line="400" w:lineRule="exact"/>
              <w:jc w:val="left"/>
              <w:rPr>
                <w:rFonts w:hint="eastAsia" w:ascii="宋体" w:hAnsi="宋体" w:cs="宋体"/>
                <w:color w:val="auto"/>
                <w:sz w:val="24"/>
                <w:highlight w:val="none"/>
              </w:rPr>
            </w:pPr>
          </w:p>
        </w:tc>
      </w:tr>
    </w:tbl>
    <w:p>
      <w:pPr>
        <w:pStyle w:val="13"/>
        <w:spacing w:line="360" w:lineRule="auto"/>
        <w:ind w:left="72"/>
        <w:rPr>
          <w:rFonts w:hint="eastAsia" w:hAnsi="宋体" w:cs="宋体"/>
          <w:color w:val="auto"/>
          <w:highlight w:val="none"/>
        </w:rPr>
      </w:pPr>
      <w:r>
        <w:rPr>
          <w:rFonts w:hint="eastAsia" w:hAnsi="宋体" w:cs="宋体"/>
          <w:color w:val="auto"/>
          <w:highlight w:val="none"/>
        </w:rPr>
        <w:t>注：</w:t>
      </w:r>
      <w:r>
        <w:rPr>
          <w:rFonts w:hint="eastAsia" w:hAnsi="宋体" w:cs="宋体"/>
          <w:color w:val="auto"/>
          <w:szCs w:val="21"/>
          <w:highlight w:val="none"/>
        </w:rPr>
        <w:t>在填写时，如本表格不适合投标人的实际情况，可参照本表格式自行制表填写，并附上相关证明材料</w:t>
      </w:r>
      <w:r>
        <w:rPr>
          <w:rFonts w:hint="eastAsia" w:hAnsi="宋体" w:cs="宋体"/>
          <w:color w:val="auto"/>
          <w:highlight w:val="none"/>
        </w:rPr>
        <w:t>。</w:t>
      </w:r>
    </w:p>
    <w:p>
      <w:pPr>
        <w:snapToGrid w:val="0"/>
        <w:spacing w:line="360" w:lineRule="auto"/>
        <w:ind w:firstLine="4935" w:firstLineChars="2350"/>
        <w:rPr>
          <w:rFonts w:hint="eastAsia" w:ascii="宋体" w:hAnsi="宋体" w:cs="宋体"/>
          <w:color w:val="auto"/>
          <w:szCs w:val="21"/>
          <w:highlight w:val="none"/>
        </w:rPr>
      </w:pPr>
      <w:r>
        <w:rPr>
          <w:rFonts w:hint="eastAsia" w:ascii="宋体" w:hAnsi="宋体" w:cs="宋体"/>
          <w:color w:val="auto"/>
          <w:szCs w:val="21"/>
          <w:highlight w:val="none"/>
        </w:rPr>
        <w:t xml:space="preserve"> </w:t>
      </w:r>
    </w:p>
    <w:p>
      <w:pPr>
        <w:snapToGrid w:val="0"/>
        <w:spacing w:line="360" w:lineRule="auto"/>
        <w:ind w:firstLine="4935" w:firstLineChars="2350"/>
        <w:rPr>
          <w:rFonts w:hint="eastAsia" w:ascii="宋体" w:hAnsi="宋体" w:cs="宋体"/>
          <w:color w:val="auto"/>
          <w:szCs w:val="21"/>
          <w:highlight w:val="none"/>
        </w:rPr>
      </w:pPr>
    </w:p>
    <w:p>
      <w:pPr>
        <w:snapToGrid w:val="0"/>
        <w:spacing w:line="360" w:lineRule="auto"/>
        <w:ind w:left="5187" w:leftChars="2470" w:firstLine="4620" w:firstLineChars="2200"/>
        <w:rPr>
          <w:rFonts w:hint="eastAsia"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投标人名称（盖公章)：</w:t>
      </w:r>
    </w:p>
    <w:p>
      <w:pPr>
        <w:snapToGrid w:val="0"/>
        <w:spacing w:line="360" w:lineRule="auto"/>
        <w:ind w:firstLine="5280" w:firstLineChars="2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widowControl/>
        <w:spacing w:line="360" w:lineRule="auto"/>
        <w:jc w:val="left"/>
        <w:rPr>
          <w:rFonts w:hint="eastAsia" w:ascii="宋体" w:hAnsi="宋体" w:cs="宋体"/>
          <w:color w:val="auto"/>
          <w:kern w:val="0"/>
          <w:sz w:val="24"/>
          <w:highlight w:val="none"/>
          <w:lang w:val="zh-CN"/>
        </w:rPr>
        <w:sectPr>
          <w:pgSz w:w="11906" w:h="16838"/>
          <w:pgMar w:top="1134" w:right="1020" w:bottom="1020" w:left="1134" w:header="720" w:footer="720" w:gutter="0"/>
          <w:cols w:space="720" w:num="1"/>
          <w:docGrid w:type="lines" w:linePitch="331" w:charSpace="0"/>
        </w:sectPr>
      </w:pPr>
    </w:p>
    <w:p>
      <w:pPr>
        <w:pStyle w:val="13"/>
        <w:jc w:val="center"/>
        <w:outlineLvl w:val="1"/>
        <w:rPr>
          <w:rFonts w:hint="eastAsia" w:hAnsi="宋体" w:cs="宋体"/>
          <w:b/>
          <w:bCs/>
          <w:color w:val="auto"/>
          <w:sz w:val="28"/>
          <w:szCs w:val="28"/>
          <w:highlight w:val="none"/>
        </w:rPr>
      </w:pPr>
      <w:bookmarkStart w:id="365" w:name="_Toc8712"/>
      <w:bookmarkStart w:id="366" w:name="_Toc352"/>
      <w:bookmarkStart w:id="367" w:name="_Toc11965"/>
      <w:bookmarkStart w:id="368" w:name="_Toc19686839"/>
      <w:bookmarkStart w:id="369" w:name="_Toc5911"/>
      <w:bookmarkStart w:id="370" w:name="_Toc18262"/>
      <w:r>
        <w:rPr>
          <w:rFonts w:hint="eastAsia" w:hAnsi="宋体" w:cs="宋体"/>
          <w:b/>
          <w:bCs/>
          <w:color w:val="auto"/>
          <w:sz w:val="28"/>
          <w:szCs w:val="28"/>
          <w:highlight w:val="none"/>
        </w:rPr>
        <w:t>第三节 技术文件格式</w:t>
      </w:r>
      <w:bookmarkEnd w:id="365"/>
      <w:bookmarkEnd w:id="366"/>
      <w:bookmarkEnd w:id="367"/>
      <w:bookmarkEnd w:id="368"/>
      <w:bookmarkEnd w:id="369"/>
      <w:bookmarkEnd w:id="370"/>
    </w:p>
    <w:p>
      <w:pPr>
        <w:snapToGrid w:val="0"/>
        <w:spacing w:before="165" w:beforeLines="50" w:after="50"/>
        <w:rPr>
          <w:rFonts w:hint="eastAsia" w:ascii="宋体" w:hAnsi="宋体" w:cs="宋体"/>
          <w:color w:val="auto"/>
          <w:sz w:val="24"/>
          <w:highlight w:val="none"/>
        </w:rPr>
      </w:pPr>
      <w:r>
        <w:rPr>
          <w:rFonts w:hint="eastAsia" w:ascii="宋体" w:hAnsi="宋体" w:cs="宋体"/>
          <w:color w:val="auto"/>
          <w:sz w:val="24"/>
          <w:highlight w:val="none"/>
        </w:rPr>
        <w:t xml:space="preserve">              </w:t>
      </w:r>
    </w:p>
    <w:p>
      <w:pPr>
        <w:snapToGrid w:val="0"/>
        <w:spacing w:before="165" w:beforeLines="50" w:after="50"/>
        <w:ind w:left="142"/>
        <w:jc w:val="left"/>
        <w:rPr>
          <w:rFonts w:hint="eastAsia" w:ascii="宋体" w:hAnsi="宋体" w:cs="宋体"/>
          <w:b/>
          <w:color w:val="auto"/>
          <w:sz w:val="28"/>
          <w:szCs w:val="28"/>
          <w:highlight w:val="none"/>
        </w:rPr>
      </w:pPr>
      <w:r>
        <w:rPr>
          <w:rFonts w:hint="eastAsia" w:ascii="宋体" w:hAnsi="宋体" w:cs="宋体"/>
          <w:color w:val="auto"/>
          <w:sz w:val="24"/>
          <w:highlight w:val="none"/>
        </w:rPr>
        <w:t xml:space="preserve">  </w:t>
      </w:r>
      <w:r>
        <w:rPr>
          <w:rFonts w:hint="eastAsia" w:ascii="宋体" w:hAnsi="宋体" w:cs="宋体"/>
          <w:color w:val="auto"/>
          <w:sz w:val="28"/>
          <w:szCs w:val="28"/>
          <w:highlight w:val="none"/>
        </w:rPr>
        <w:t xml:space="preserve"> </w:t>
      </w:r>
      <w:r>
        <w:rPr>
          <w:rFonts w:hint="eastAsia" w:ascii="宋体" w:hAnsi="宋体" w:cs="宋体"/>
          <w:b/>
          <w:color w:val="auto"/>
          <w:sz w:val="28"/>
          <w:szCs w:val="28"/>
          <w:highlight w:val="none"/>
        </w:rPr>
        <w:t xml:space="preserve">1. 技术文件封面的格式（参照此格式自拟）： </w:t>
      </w:r>
    </w:p>
    <w:p>
      <w:pPr>
        <w:snapToGrid w:val="0"/>
        <w:spacing w:before="165" w:beforeLines="50" w:after="50"/>
        <w:rPr>
          <w:rFonts w:hint="eastAsia" w:ascii="宋体" w:hAnsi="宋体" w:cs="宋体"/>
          <w:color w:val="auto"/>
          <w:sz w:val="24"/>
          <w:highlight w:val="none"/>
        </w:rPr>
      </w:pPr>
      <w:r>
        <w:rPr>
          <w:rFonts w:hint="eastAsia" w:ascii="宋体" w:hAnsi="宋体" w:cs="宋体"/>
          <w:color w:val="auto"/>
          <w:sz w:val="24"/>
          <w:highlight w:val="none"/>
        </w:rPr>
        <w:t xml:space="preserve">                                </w:t>
      </w:r>
    </w:p>
    <w:p>
      <w:pPr>
        <w:snapToGrid w:val="0"/>
        <w:spacing w:before="165" w:beforeLines="50" w:after="50"/>
        <w:ind w:firstLine="7200" w:firstLineChars="3000"/>
        <w:rPr>
          <w:rFonts w:hint="eastAsia"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电子投标文件</w:t>
      </w:r>
    </w:p>
    <w:p>
      <w:pPr>
        <w:snapToGrid w:val="0"/>
        <w:spacing w:before="165" w:beforeLines="50" w:after="50"/>
        <w:rPr>
          <w:rFonts w:hint="eastAsia" w:ascii="宋体" w:hAnsi="宋体" w:cs="宋体"/>
          <w:color w:val="auto"/>
          <w:sz w:val="24"/>
          <w:szCs w:val="20"/>
          <w:highlight w:val="none"/>
        </w:rPr>
      </w:pPr>
    </w:p>
    <w:p>
      <w:pPr>
        <w:snapToGrid w:val="0"/>
        <w:spacing w:before="165" w:beforeLines="50" w:after="50"/>
        <w:jc w:val="center"/>
        <w:rPr>
          <w:rFonts w:hint="eastAsia" w:ascii="宋体" w:hAnsi="宋体" w:cs="宋体"/>
          <w:b/>
          <w:bCs/>
          <w:color w:val="auto"/>
          <w:sz w:val="32"/>
          <w:szCs w:val="32"/>
          <w:highlight w:val="none"/>
        </w:rPr>
      </w:pPr>
    </w:p>
    <w:p>
      <w:pPr>
        <w:snapToGrid w:val="0"/>
        <w:spacing w:before="165" w:beforeLines="50" w:after="50"/>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技术文件</w:t>
      </w:r>
    </w:p>
    <w:p>
      <w:pPr>
        <w:snapToGrid w:val="0"/>
        <w:spacing w:before="165" w:beforeLines="50" w:after="50"/>
        <w:rPr>
          <w:rFonts w:hint="eastAsia" w:ascii="宋体" w:hAnsi="宋体" w:cs="宋体"/>
          <w:bCs/>
          <w:color w:val="auto"/>
          <w:sz w:val="24"/>
          <w:szCs w:val="20"/>
          <w:highlight w:val="none"/>
        </w:rPr>
      </w:pPr>
    </w:p>
    <w:p>
      <w:pPr>
        <w:snapToGrid w:val="0"/>
        <w:spacing w:before="165" w:beforeLines="50" w:after="50" w:line="400" w:lineRule="exact"/>
        <w:ind w:firstLine="360" w:firstLineChars="150"/>
        <w:rPr>
          <w:rFonts w:hint="eastAsia" w:ascii="宋体" w:hAnsi="宋体" w:cs="宋体"/>
          <w:bCs/>
          <w:color w:val="auto"/>
          <w:sz w:val="24"/>
          <w:highlight w:val="none"/>
        </w:rPr>
      </w:pPr>
    </w:p>
    <w:p>
      <w:pPr>
        <w:snapToGrid w:val="0"/>
        <w:spacing w:before="165" w:beforeLines="50" w:after="50" w:line="400" w:lineRule="exact"/>
        <w:ind w:firstLine="360" w:firstLineChars="150"/>
        <w:rPr>
          <w:rFonts w:hint="eastAsia" w:ascii="宋体" w:hAnsi="宋体" w:cs="宋体"/>
          <w:bCs/>
          <w:color w:val="auto"/>
          <w:sz w:val="24"/>
          <w:szCs w:val="20"/>
          <w:highlight w:val="none"/>
        </w:rPr>
      </w:pPr>
      <w:r>
        <w:rPr>
          <w:rFonts w:hint="eastAsia" w:ascii="宋体" w:hAnsi="宋体" w:cs="宋体"/>
          <w:bCs/>
          <w:color w:val="auto"/>
          <w:sz w:val="24"/>
          <w:highlight w:val="none"/>
        </w:rPr>
        <w:t xml:space="preserve">项目名称：  </w:t>
      </w:r>
    </w:p>
    <w:p>
      <w:pPr>
        <w:snapToGrid w:val="0"/>
        <w:spacing w:before="165"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项目编号：  </w:t>
      </w:r>
    </w:p>
    <w:p>
      <w:pPr>
        <w:snapToGrid w:val="0"/>
        <w:spacing w:before="165"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所投分标（如有则填写，无分标时填写“无”或者留空）：</w:t>
      </w:r>
    </w:p>
    <w:p>
      <w:pPr>
        <w:snapToGrid w:val="0"/>
        <w:spacing w:before="165"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投标人名称：</w:t>
      </w:r>
    </w:p>
    <w:p>
      <w:pPr>
        <w:snapToGrid w:val="0"/>
        <w:spacing w:before="165" w:beforeLines="50" w:after="50"/>
        <w:ind w:firstLine="645"/>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p>
    <w:p>
      <w:pPr>
        <w:snapToGrid w:val="0"/>
        <w:spacing w:before="165" w:beforeLines="50" w:after="50"/>
        <w:ind w:firstLine="645"/>
        <w:jc w:val="center"/>
        <w:rPr>
          <w:rFonts w:hint="eastAsia" w:ascii="宋体" w:hAnsi="宋体" w:cs="宋体"/>
          <w:color w:val="auto"/>
          <w:sz w:val="24"/>
          <w:highlight w:val="none"/>
        </w:rPr>
      </w:pPr>
    </w:p>
    <w:p>
      <w:pPr>
        <w:snapToGrid w:val="0"/>
        <w:spacing w:before="165" w:beforeLines="50" w:after="50"/>
        <w:ind w:firstLine="645"/>
        <w:jc w:val="center"/>
        <w:rPr>
          <w:rFonts w:hint="eastAsia" w:ascii="宋体" w:hAnsi="宋体" w:cs="宋体"/>
          <w:color w:val="auto"/>
          <w:sz w:val="24"/>
          <w:highlight w:val="none"/>
        </w:rPr>
      </w:pPr>
    </w:p>
    <w:p>
      <w:pPr>
        <w:snapToGrid w:val="0"/>
        <w:spacing w:before="165" w:beforeLines="50" w:after="50"/>
        <w:ind w:firstLine="645"/>
        <w:jc w:val="center"/>
        <w:rPr>
          <w:rFonts w:hint="eastAsia" w:ascii="宋体" w:hAnsi="宋体" w:cs="宋体"/>
          <w:color w:val="auto"/>
          <w:sz w:val="24"/>
          <w:highlight w:val="none"/>
        </w:rPr>
      </w:pPr>
    </w:p>
    <w:p>
      <w:pPr>
        <w:snapToGrid w:val="0"/>
        <w:spacing w:before="165" w:beforeLines="50" w:after="50"/>
        <w:ind w:firstLine="3840" w:firstLineChars="1600"/>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pPr>
        <w:snapToGrid w:val="0"/>
        <w:spacing w:before="165" w:beforeLines="50" w:after="50"/>
        <w:ind w:firstLine="645"/>
        <w:jc w:val="center"/>
        <w:rPr>
          <w:rFonts w:hint="eastAsia" w:ascii="宋体" w:hAnsi="宋体" w:cs="宋体"/>
          <w:color w:val="auto"/>
          <w:sz w:val="24"/>
          <w:szCs w:val="20"/>
          <w:highlight w:val="none"/>
        </w:rPr>
      </w:pPr>
    </w:p>
    <w:p>
      <w:pPr>
        <w:snapToGrid w:val="0"/>
        <w:spacing w:before="165" w:beforeLines="50" w:after="50"/>
        <w:ind w:left="142"/>
        <w:jc w:val="left"/>
        <w:rPr>
          <w:rFonts w:hint="eastAsia" w:ascii="宋体" w:hAnsi="宋体" w:cs="宋体"/>
          <w:b/>
          <w:bCs/>
          <w:color w:val="auto"/>
          <w:sz w:val="24"/>
          <w:highlight w:val="none"/>
        </w:rPr>
      </w:pPr>
      <w:r>
        <w:rPr>
          <w:rFonts w:hint="eastAsia" w:ascii="宋体" w:hAnsi="宋体" w:cs="宋体"/>
          <w:b/>
          <w:bCs/>
          <w:color w:val="auto"/>
          <w:sz w:val="24"/>
          <w:highlight w:val="none"/>
        </w:rPr>
        <w:br w:type="page"/>
      </w:r>
      <w:r>
        <w:rPr>
          <w:rFonts w:hint="eastAsia" w:ascii="宋体" w:hAnsi="宋体" w:cs="宋体"/>
          <w:b/>
          <w:bCs/>
          <w:color w:val="auto"/>
          <w:sz w:val="28"/>
          <w:szCs w:val="28"/>
          <w:highlight w:val="none"/>
        </w:rPr>
        <w:t>2. 技术文件目录</w:t>
      </w:r>
    </w:p>
    <w:p>
      <w:pPr>
        <w:spacing w:line="360" w:lineRule="auto"/>
        <w:ind w:right="420"/>
        <w:rPr>
          <w:rFonts w:hint="eastAsia" w:ascii="宋体" w:hAnsi="宋体" w:cs="宋体"/>
          <w:b/>
          <w:color w:val="auto"/>
          <w:kern w:val="0"/>
          <w:sz w:val="36"/>
          <w:szCs w:val="36"/>
          <w:highlight w:val="none"/>
        </w:rPr>
      </w:pPr>
      <w:r>
        <w:rPr>
          <w:rFonts w:hint="eastAsia" w:ascii="宋体" w:hAnsi="宋体" w:cs="宋体"/>
          <w:color w:val="auto"/>
          <w:kern w:val="0"/>
          <w:sz w:val="24"/>
          <w:highlight w:val="none"/>
        </w:rPr>
        <w:t>根据招标文件规定及投标人提供的材料自行编写目录（部分格式后附）。</w:t>
      </w:r>
    </w:p>
    <w:p>
      <w:pPr>
        <w:spacing w:line="360" w:lineRule="auto"/>
        <w:rPr>
          <w:rFonts w:hint="eastAsia" w:ascii="宋体" w:hAnsi="宋体" w:cs="宋体"/>
          <w:b/>
          <w:bCs/>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p>
    <w:p>
      <w:pPr>
        <w:snapToGrid w:val="0"/>
        <w:spacing w:before="165" w:beforeLines="50" w:after="50"/>
        <w:ind w:left="143" w:leftChars="68" w:firstLine="472" w:firstLineChars="196"/>
        <w:jc w:val="left"/>
        <w:rPr>
          <w:rFonts w:hint="eastAsia" w:ascii="宋体" w:hAnsi="宋体" w:cs="宋体"/>
          <w:b/>
          <w:color w:val="auto"/>
          <w:sz w:val="24"/>
          <w:highlight w:val="none"/>
        </w:rPr>
      </w:pPr>
      <w:r>
        <w:rPr>
          <w:rFonts w:hint="eastAsia" w:ascii="宋体" w:hAnsi="宋体" w:cs="宋体"/>
          <w:b/>
          <w:color w:val="auto"/>
          <w:sz w:val="24"/>
          <w:highlight w:val="none"/>
        </w:rPr>
        <w:t xml:space="preserve"> </w:t>
      </w:r>
    </w:p>
    <w:p>
      <w:pPr>
        <w:pStyle w:val="13"/>
        <w:spacing w:line="500" w:lineRule="exact"/>
        <w:jc w:val="left"/>
        <w:rPr>
          <w:rFonts w:hint="eastAsia" w:hAnsi="宋体" w:cs="宋体"/>
          <w:b/>
          <w:bCs/>
          <w:color w:val="auto"/>
          <w:sz w:val="30"/>
          <w:szCs w:val="30"/>
          <w:highlight w:val="none"/>
        </w:rPr>
      </w:pPr>
      <w:r>
        <w:rPr>
          <w:rFonts w:hint="eastAsia" w:hAnsi="宋体" w:cs="宋体"/>
          <w:b/>
          <w:bCs/>
          <w:color w:val="auto"/>
          <w:sz w:val="30"/>
          <w:szCs w:val="30"/>
          <w:highlight w:val="none"/>
        </w:rPr>
        <w:br w:type="page"/>
      </w:r>
      <w:r>
        <w:rPr>
          <w:rFonts w:hint="eastAsia" w:hAnsi="宋体" w:cs="宋体"/>
          <w:b/>
          <w:color w:val="auto"/>
          <w:sz w:val="28"/>
          <w:szCs w:val="28"/>
          <w:highlight w:val="none"/>
        </w:rPr>
        <w:t>3. 服务需求偏离表的格式：</w:t>
      </w:r>
    </w:p>
    <w:p>
      <w:pPr>
        <w:pStyle w:val="13"/>
        <w:spacing w:line="500" w:lineRule="exact"/>
        <w:jc w:val="center"/>
        <w:rPr>
          <w:rFonts w:hint="eastAsia" w:hAnsi="宋体" w:cs="宋体"/>
          <w:b/>
          <w:bCs/>
          <w:color w:val="auto"/>
          <w:sz w:val="30"/>
          <w:szCs w:val="30"/>
          <w:highlight w:val="none"/>
        </w:rPr>
      </w:pPr>
      <w:r>
        <w:rPr>
          <w:rFonts w:hint="eastAsia" w:hAnsi="宋体" w:cs="宋体"/>
          <w:b/>
          <w:bCs/>
          <w:color w:val="auto"/>
          <w:sz w:val="30"/>
          <w:szCs w:val="30"/>
          <w:highlight w:val="none"/>
        </w:rPr>
        <w:t>服务需求偏离表</w:t>
      </w:r>
    </w:p>
    <w:p>
      <w:pPr>
        <w:pStyle w:val="13"/>
        <w:spacing w:line="440" w:lineRule="exact"/>
        <w:ind w:firstLine="420" w:firstLineChars="200"/>
        <w:rPr>
          <w:rFonts w:hint="eastAsia" w:hAnsi="宋体" w:cs="宋体"/>
          <w:color w:val="auto"/>
          <w:highlight w:val="none"/>
        </w:rPr>
      </w:pPr>
    </w:p>
    <w:p>
      <w:pPr>
        <w:spacing w:line="480" w:lineRule="auto"/>
        <w:contextualSpacing/>
        <w:rPr>
          <w:rFonts w:hint="eastAsia" w:ascii="宋体" w:hAnsi="宋体" w:cs="宋体"/>
          <w:color w:val="auto"/>
          <w:sz w:val="24"/>
          <w:highlight w:val="none"/>
          <w:u w:val="single"/>
        </w:rPr>
      </w:pPr>
      <w:r>
        <w:rPr>
          <w:rFonts w:hint="eastAsia" w:ascii="宋体" w:hAnsi="宋体" w:cs="宋体"/>
          <w:color w:val="auto"/>
          <w:sz w:val="24"/>
          <w:highlight w:val="none"/>
        </w:rPr>
        <w:t>项目</w:t>
      </w:r>
      <w:r>
        <w:rPr>
          <w:rFonts w:hint="eastAsia" w:hAnsi="宋体" w:cs="宋体"/>
          <w:color w:val="auto"/>
          <w:sz w:val="24"/>
          <w:highlight w:val="none"/>
        </w:rPr>
        <w:t>名称</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p>
    <w:p>
      <w:pPr>
        <w:pStyle w:val="13"/>
        <w:spacing w:line="480" w:lineRule="auto"/>
        <w:rPr>
          <w:color w:val="auto"/>
          <w:highlight w:val="none"/>
        </w:rPr>
      </w:pPr>
      <w:r>
        <w:rPr>
          <w:rFonts w:hint="eastAsia" w:hAnsi="宋体" w:cs="宋体"/>
          <w:color w:val="auto"/>
          <w:sz w:val="24"/>
          <w:highlight w:val="none"/>
        </w:rPr>
        <w:t>项目编号：</w:t>
      </w:r>
      <w:r>
        <w:rPr>
          <w:rFonts w:hint="eastAsia" w:hAnsi="宋体" w:cs="宋体"/>
          <w:color w:val="auto"/>
          <w:sz w:val="24"/>
          <w:highlight w:val="none"/>
          <w:u w:val="single"/>
        </w:rPr>
        <w:t xml:space="preserve">                 </w:t>
      </w:r>
    </w:p>
    <w:p>
      <w:pPr>
        <w:pStyle w:val="13"/>
        <w:spacing w:line="480" w:lineRule="auto"/>
        <w:rPr>
          <w:color w:val="auto"/>
          <w:highlight w:val="none"/>
        </w:rPr>
      </w:pPr>
      <w:r>
        <w:rPr>
          <w:rFonts w:hint="eastAsia" w:hAnsi="宋体" w:cs="宋体"/>
          <w:color w:val="auto"/>
          <w:sz w:val="24"/>
          <w:highlight w:val="none"/>
        </w:rPr>
        <w:t>所投分标</w:t>
      </w:r>
      <w:r>
        <w:rPr>
          <w:rFonts w:hint="eastAsia" w:hAnsi="宋体" w:cs="宋体"/>
          <w:color w:val="auto"/>
          <w:szCs w:val="21"/>
          <w:highlight w:val="none"/>
        </w:rPr>
        <w:t>（此处有分标时填写具体分标号，无分标时填写“无”）</w:t>
      </w:r>
      <w:r>
        <w:rPr>
          <w:rFonts w:hint="eastAsia" w:hAnsi="宋体" w:cs="宋体"/>
          <w:color w:val="auto"/>
          <w:sz w:val="24"/>
          <w:szCs w:val="24"/>
          <w:highlight w:val="none"/>
        </w:rPr>
        <w:t>：</w:t>
      </w:r>
      <w:r>
        <w:rPr>
          <w:rFonts w:hint="eastAsia" w:hAnsi="宋体" w:cs="宋体"/>
          <w:color w:val="auto"/>
          <w:sz w:val="24"/>
          <w:highlight w:val="none"/>
          <w:u w:val="single"/>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058"/>
        <w:gridCol w:w="3280"/>
        <w:gridCol w:w="3612"/>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774"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auto"/>
                <w:szCs w:val="21"/>
                <w:highlight w:val="none"/>
              </w:rPr>
            </w:pPr>
            <w:r>
              <w:rPr>
                <w:rFonts w:hint="eastAsia" w:ascii="宋体" w:hAnsi="宋体" w:cs="宋体"/>
                <w:color w:val="auto"/>
                <w:szCs w:val="21"/>
                <w:highlight w:val="none"/>
              </w:rPr>
              <w:t>项号</w:t>
            </w:r>
          </w:p>
        </w:tc>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32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highlight w:val="none"/>
              </w:rPr>
            </w:pPr>
            <w:r>
              <w:rPr>
                <w:rFonts w:hint="eastAsia" w:ascii="宋体" w:hAnsi="宋体"/>
                <w:color w:val="auto"/>
                <w:szCs w:val="21"/>
                <w:highlight w:val="none"/>
              </w:rPr>
              <w:t>招标文件采购需求中的服务</w:t>
            </w:r>
            <w:r>
              <w:rPr>
                <w:rFonts w:hint="eastAsia" w:ascii="宋体" w:hAnsi="宋体" w:cs="宋体"/>
                <w:color w:val="auto"/>
                <w:kern w:val="0"/>
                <w:szCs w:val="21"/>
                <w:highlight w:val="none"/>
              </w:rPr>
              <w:t>参数</w:t>
            </w:r>
          </w:p>
        </w:tc>
        <w:tc>
          <w:tcPr>
            <w:tcW w:w="361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highlight w:val="none"/>
              </w:rPr>
            </w:pPr>
            <w:r>
              <w:rPr>
                <w:rFonts w:hint="eastAsia" w:ascii="宋体" w:hAnsi="宋体"/>
                <w:color w:val="auto"/>
                <w:szCs w:val="21"/>
                <w:highlight w:val="none"/>
              </w:rPr>
              <w:t>投标文件响应的服务</w:t>
            </w:r>
            <w:r>
              <w:rPr>
                <w:rFonts w:hint="eastAsia" w:ascii="宋体" w:hAnsi="宋体" w:cs="宋体"/>
                <w:color w:val="auto"/>
                <w:kern w:val="0"/>
                <w:szCs w:val="21"/>
                <w:highlight w:val="none"/>
              </w:rPr>
              <w:t>参数</w:t>
            </w:r>
          </w:p>
        </w:tc>
        <w:tc>
          <w:tcPr>
            <w:tcW w:w="113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cs="宋体"/>
                <w:color w:val="auto"/>
                <w:szCs w:val="21"/>
                <w:highlight w:val="none"/>
              </w:rPr>
            </w:pPr>
            <w:r>
              <w:rPr>
                <w:rFonts w:hint="eastAsia" w:ascii="宋体" w:hAnsi="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05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highlight w:val="none"/>
              </w:rPr>
            </w:pPr>
          </w:p>
        </w:tc>
        <w:tc>
          <w:tcPr>
            <w:tcW w:w="328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highlight w:val="none"/>
              </w:rPr>
            </w:pPr>
          </w:p>
        </w:tc>
        <w:tc>
          <w:tcPr>
            <w:tcW w:w="3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105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highlight w:val="none"/>
              </w:rPr>
            </w:pPr>
          </w:p>
        </w:tc>
        <w:tc>
          <w:tcPr>
            <w:tcW w:w="328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highlight w:val="none"/>
              </w:rPr>
            </w:pPr>
          </w:p>
        </w:tc>
        <w:tc>
          <w:tcPr>
            <w:tcW w:w="3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7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highlight w:val="none"/>
              </w:rPr>
            </w:pPr>
            <w:r>
              <w:rPr>
                <w:rFonts w:hint="eastAsia" w:ascii="宋体" w:hAnsi="宋体" w:cs="宋体"/>
                <w:color w:val="auto"/>
                <w:szCs w:val="21"/>
                <w:highlight w:val="none"/>
              </w:rPr>
              <w:t>...</w:t>
            </w:r>
          </w:p>
        </w:tc>
        <w:tc>
          <w:tcPr>
            <w:tcW w:w="105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highlight w:val="none"/>
              </w:rPr>
            </w:pPr>
          </w:p>
        </w:tc>
        <w:tc>
          <w:tcPr>
            <w:tcW w:w="328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highlight w:val="none"/>
              </w:rPr>
            </w:pPr>
          </w:p>
        </w:tc>
        <w:tc>
          <w:tcPr>
            <w:tcW w:w="36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highlight w:val="none"/>
              </w:rPr>
            </w:pPr>
          </w:p>
        </w:tc>
        <w:tc>
          <w:tcPr>
            <w:tcW w:w="113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1"/>
                <w:highlight w:val="none"/>
              </w:rPr>
            </w:pPr>
          </w:p>
        </w:tc>
      </w:tr>
    </w:tbl>
    <w:p>
      <w:pPr>
        <w:pStyle w:val="13"/>
        <w:spacing w:line="360" w:lineRule="auto"/>
        <w:rPr>
          <w:rFonts w:hint="eastAsia" w:hAnsi="宋体" w:cs="宋体"/>
          <w:color w:val="auto"/>
          <w:szCs w:val="21"/>
          <w:highlight w:val="none"/>
        </w:rPr>
      </w:pPr>
    </w:p>
    <w:p>
      <w:pPr>
        <w:pStyle w:val="13"/>
        <w:spacing w:line="360" w:lineRule="auto"/>
        <w:rPr>
          <w:rFonts w:hint="eastAsia" w:hAnsi="宋体" w:cs="宋体"/>
          <w:color w:val="auto"/>
          <w:szCs w:val="21"/>
          <w:highlight w:val="none"/>
        </w:rPr>
      </w:pPr>
      <w:r>
        <w:rPr>
          <w:rFonts w:hint="eastAsia" w:hAnsi="宋体" w:cs="宋体"/>
          <w:color w:val="auto"/>
          <w:szCs w:val="21"/>
          <w:highlight w:val="none"/>
        </w:rPr>
        <w:t>注：</w:t>
      </w:r>
    </w:p>
    <w:p>
      <w:pPr>
        <w:pStyle w:val="13"/>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1.表格内容均需按要求填写并加盖投标人公章。</w:t>
      </w:r>
    </w:p>
    <w:p>
      <w:pPr>
        <w:pStyle w:val="13"/>
        <w:spacing w:line="360" w:lineRule="auto"/>
        <w:ind w:firstLine="420" w:firstLineChars="200"/>
        <w:rPr>
          <w:rFonts w:hint="eastAsia" w:hAnsi="宋体" w:cs="宋体"/>
          <w:color w:val="auto"/>
          <w:szCs w:val="21"/>
          <w:highlight w:val="none"/>
        </w:rPr>
      </w:pPr>
      <w:r>
        <w:rPr>
          <w:rFonts w:hint="eastAsia" w:hAnsi="宋体" w:cs="宋体"/>
          <w:bCs/>
          <w:color w:val="auto"/>
          <w:szCs w:val="21"/>
          <w:highlight w:val="none"/>
        </w:rPr>
        <w:t>2.</w:t>
      </w:r>
      <w:r>
        <w:rPr>
          <w:rFonts w:hint="eastAsia" w:hAnsi="宋体" w:cs="宋体"/>
          <w:color w:val="auto"/>
          <w:szCs w:val="21"/>
          <w:highlight w:val="none"/>
        </w:rPr>
        <w:t>请根据所投标的服务参数，逐条对应本项目招标文件“第二章 采购需求”中服务参数条款</w:t>
      </w:r>
      <w:r>
        <w:rPr>
          <w:rFonts w:hint="eastAsia" w:hAnsi="宋体" w:cs="宋体"/>
          <w:color w:val="auto"/>
          <w:kern w:val="0"/>
          <w:szCs w:val="21"/>
          <w:highlight w:val="none"/>
          <w:lang w:val="zh-CN"/>
        </w:rPr>
        <w:t>作出明确响应，并作出偏离说明</w:t>
      </w:r>
      <w:r>
        <w:rPr>
          <w:rFonts w:hint="eastAsia" w:hAnsi="宋体" w:cs="宋体"/>
          <w:color w:val="auto"/>
          <w:szCs w:val="21"/>
          <w:highlight w:val="none"/>
        </w:rPr>
        <w:t>。“偏离说明”一栏应当选择“正偏离”或“负偏离”或“无偏离”进行填写。</w:t>
      </w:r>
    </w:p>
    <w:p>
      <w:pPr>
        <w:pStyle w:val="13"/>
        <w:spacing w:line="360" w:lineRule="auto"/>
        <w:ind w:firstLine="420" w:firstLineChars="200"/>
        <w:rPr>
          <w:rFonts w:hint="eastAsia" w:hAnsi="宋体" w:cs="宋体"/>
          <w:color w:val="auto"/>
          <w:szCs w:val="21"/>
          <w:highlight w:val="none"/>
        </w:rPr>
      </w:pPr>
      <w:r>
        <w:rPr>
          <w:rFonts w:hint="eastAsia" w:hAnsi="宋体" w:cs="宋体"/>
          <w:bCs/>
          <w:color w:val="auto"/>
          <w:szCs w:val="21"/>
          <w:highlight w:val="none"/>
        </w:rPr>
        <w:t>3.当投标文件的</w:t>
      </w:r>
      <w:r>
        <w:rPr>
          <w:rFonts w:hint="eastAsia" w:hAnsi="宋体" w:cs="宋体"/>
          <w:color w:val="auto"/>
          <w:szCs w:val="21"/>
          <w:highlight w:val="none"/>
        </w:rPr>
        <w:t>服务参数</w:t>
      </w:r>
      <w:r>
        <w:rPr>
          <w:rFonts w:hint="eastAsia" w:hAnsi="宋体" w:cs="宋体"/>
          <w:bCs/>
          <w:color w:val="auto"/>
          <w:szCs w:val="21"/>
          <w:highlight w:val="none"/>
        </w:rPr>
        <w:t>低于招标文件要求时，投标人应当如实写明“负偏离”。</w:t>
      </w:r>
    </w:p>
    <w:p>
      <w:pPr>
        <w:snapToGrid w:val="0"/>
        <w:spacing w:line="360" w:lineRule="auto"/>
        <w:ind w:firstLine="5640" w:firstLineChars="2350"/>
        <w:rPr>
          <w:rFonts w:hint="eastAsia" w:ascii="宋体" w:hAnsi="宋体" w:cs="宋体"/>
          <w:color w:val="auto"/>
          <w:kern w:val="0"/>
          <w:sz w:val="24"/>
          <w:highlight w:val="none"/>
          <w:lang w:val="zh-CN"/>
        </w:rPr>
      </w:pPr>
    </w:p>
    <w:p>
      <w:pPr>
        <w:pStyle w:val="15"/>
        <w:rPr>
          <w:color w:val="auto"/>
          <w:highlight w:val="none"/>
          <w:lang w:val="zh-CN"/>
        </w:rPr>
      </w:pPr>
    </w:p>
    <w:p>
      <w:pPr>
        <w:snapToGrid w:val="0"/>
        <w:spacing w:line="360" w:lineRule="auto"/>
        <w:ind w:firstLine="5880" w:firstLineChars="245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投标人名称（盖公章)：</w:t>
      </w:r>
    </w:p>
    <w:p>
      <w:pPr>
        <w:snapToGrid w:val="0"/>
        <w:spacing w:line="360" w:lineRule="auto"/>
        <w:ind w:firstLine="5880" w:firstLineChars="245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widowControl/>
        <w:jc w:val="left"/>
        <w:rPr>
          <w:rFonts w:hint="eastAsia" w:ascii="宋体" w:hAnsi="宋体" w:cs="宋体"/>
          <w:color w:val="auto"/>
          <w:sz w:val="30"/>
          <w:szCs w:val="20"/>
          <w:highlight w:val="none"/>
        </w:rPr>
        <w:sectPr>
          <w:pgSz w:w="11906" w:h="16838"/>
          <w:pgMar w:top="1134" w:right="1020" w:bottom="1020" w:left="1134" w:header="720" w:footer="720" w:gutter="0"/>
          <w:cols w:space="720" w:num="1"/>
          <w:docGrid w:type="lines" w:linePitch="331" w:charSpace="0"/>
        </w:sectPr>
      </w:pPr>
    </w:p>
    <w:p>
      <w:pPr>
        <w:pStyle w:val="18"/>
        <w:snapToGrid w:val="0"/>
        <w:ind w:left="562" w:hanging="562"/>
        <w:rPr>
          <w:rFonts w:hint="eastAsia" w:ascii="宋体" w:hAnsi="宋体" w:cs="宋体"/>
          <w:i/>
          <w:iCs/>
          <w:color w:val="auto"/>
          <w:sz w:val="24"/>
          <w:highlight w:val="none"/>
        </w:rPr>
      </w:pPr>
      <w:r>
        <w:rPr>
          <w:rFonts w:hint="eastAsia" w:ascii="宋体" w:hAnsi="宋体" w:cs="宋体"/>
          <w:b/>
          <w:color w:val="auto"/>
          <w:szCs w:val="28"/>
          <w:highlight w:val="none"/>
        </w:rPr>
        <w:t>4. 项目实施人员一览表、售后服务人员情况表的格式</w:t>
      </w:r>
      <w:r>
        <w:rPr>
          <w:rFonts w:hint="eastAsia" w:ascii="宋体" w:hAnsi="宋体" w:cs="宋体"/>
          <w:b/>
          <w:bCs/>
          <w:color w:val="auto"/>
          <w:sz w:val="30"/>
          <w:szCs w:val="30"/>
          <w:highlight w:val="none"/>
        </w:rPr>
        <w:t>：</w:t>
      </w:r>
    </w:p>
    <w:p>
      <w:pPr>
        <w:autoSpaceDE w:val="0"/>
        <w:autoSpaceDN w:val="0"/>
        <w:spacing w:line="360" w:lineRule="auto"/>
        <w:jc w:val="left"/>
        <w:rPr>
          <w:rFonts w:hint="eastAsia" w:ascii="宋体" w:hAnsi="宋体" w:cs="宋体"/>
          <w:color w:val="auto"/>
          <w:szCs w:val="21"/>
          <w:highlight w:val="none"/>
        </w:rPr>
      </w:pPr>
    </w:p>
    <w:p>
      <w:pPr>
        <w:snapToGrid w:val="0"/>
        <w:spacing w:line="360" w:lineRule="auto"/>
        <w:rPr>
          <w:rFonts w:hint="eastAsia" w:ascii="宋体" w:hAnsi="宋体" w:cs="宋体"/>
          <w:b/>
          <w:color w:val="auto"/>
          <w:sz w:val="24"/>
          <w:highlight w:val="none"/>
        </w:rPr>
      </w:pPr>
    </w:p>
    <w:p>
      <w:pPr>
        <w:pStyle w:val="15"/>
        <w:rPr>
          <w:color w:val="auto"/>
          <w:highlight w:val="none"/>
        </w:rPr>
      </w:pPr>
    </w:p>
    <w:p>
      <w:pPr>
        <w:snapToGrid w:val="0"/>
        <w:spacing w:line="360" w:lineRule="auto"/>
        <w:ind w:firstLine="472" w:firstLineChars="196"/>
        <w:jc w:val="center"/>
        <w:rPr>
          <w:rFonts w:hint="eastAsia"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项目实施人员一览表（如有要求）</w:t>
      </w:r>
    </w:p>
    <w:p>
      <w:pPr>
        <w:pStyle w:val="13"/>
        <w:rPr>
          <w:color w:val="auto"/>
          <w:sz w:val="24"/>
          <w:szCs w:val="24"/>
          <w:highlight w:val="none"/>
        </w:rPr>
      </w:pPr>
    </w:p>
    <w:p>
      <w:pPr>
        <w:pStyle w:val="13"/>
        <w:rPr>
          <w:color w:val="auto"/>
          <w:highlight w:val="none"/>
          <w:lang w:val="zh-CN"/>
        </w:rPr>
      </w:pPr>
      <w:r>
        <w:rPr>
          <w:rFonts w:hint="eastAsia"/>
          <w:color w:val="auto"/>
          <w:sz w:val="24"/>
          <w:szCs w:val="24"/>
          <w:highlight w:val="none"/>
        </w:rPr>
        <w:t>所投分标（此处有分标时填写具体分标号，无分标时填写“无”）：</w:t>
      </w:r>
      <w:r>
        <w:rPr>
          <w:rFonts w:hint="eastAsia"/>
          <w:color w:val="auto"/>
          <w:sz w:val="24"/>
          <w:szCs w:val="24"/>
          <w:highlight w:val="none"/>
          <w:u w:val="single"/>
        </w:rPr>
        <w:t xml:space="preserve">        </w:t>
      </w:r>
    </w:p>
    <w:p>
      <w:pPr>
        <w:pStyle w:val="15"/>
        <w:rPr>
          <w:rFonts w:hint="eastAsia" w:ascii="宋体" w:hAnsi="宋体" w:cs="宋体"/>
          <w:b/>
          <w:color w:val="auto"/>
          <w:sz w:val="21"/>
          <w:szCs w:val="21"/>
          <w:highlight w:val="none"/>
        </w:rPr>
      </w:pPr>
    </w:p>
    <w:tbl>
      <w:tblPr>
        <w:tblStyle w:val="25"/>
        <w:tblW w:w="0" w:type="auto"/>
        <w:tblInd w:w="108" w:type="dxa"/>
        <w:tblLayout w:type="fixed"/>
        <w:tblCellMar>
          <w:top w:w="0" w:type="dxa"/>
          <w:left w:w="108" w:type="dxa"/>
          <w:bottom w:w="0" w:type="dxa"/>
          <w:right w:w="108" w:type="dxa"/>
        </w:tblCellMar>
      </w:tblPr>
      <w:tblGrid>
        <w:gridCol w:w="420"/>
        <w:gridCol w:w="787"/>
        <w:gridCol w:w="489"/>
        <w:gridCol w:w="509"/>
        <w:gridCol w:w="1035"/>
        <w:gridCol w:w="1080"/>
        <w:gridCol w:w="1080"/>
        <w:gridCol w:w="2001"/>
        <w:gridCol w:w="2007"/>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489"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性别</w:t>
            </w:r>
          </w:p>
        </w:tc>
        <w:tc>
          <w:tcPr>
            <w:tcW w:w="509"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学历</w:t>
            </w:r>
          </w:p>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专业</w:t>
            </w:r>
          </w:p>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职称</w:t>
            </w:r>
          </w:p>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（页码)</w:t>
            </w:r>
          </w:p>
        </w:tc>
        <w:tc>
          <w:tcPr>
            <w:tcW w:w="200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本项目中的职责</w:t>
            </w:r>
          </w:p>
        </w:tc>
        <w:tc>
          <w:tcPr>
            <w:tcW w:w="2007"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类似项目经历</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jc w:val="center"/>
              <w:rPr>
                <w:rFonts w:hint="eastAsia" w:ascii="宋体" w:hAnsi="宋体" w:cs="宋体"/>
                <w:color w:val="auto"/>
                <w:szCs w:val="21"/>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rPr>
                <w:rFonts w:hint="eastAsia" w:ascii="宋体" w:hAnsi="宋体" w:cs="宋体"/>
                <w:color w:val="auto"/>
                <w:szCs w:val="21"/>
                <w:highlight w:val="none"/>
              </w:rPr>
            </w:pPr>
          </w:p>
        </w:tc>
        <w:tc>
          <w:tcPr>
            <w:tcW w:w="489" w:type="dxa"/>
            <w:tcBorders>
              <w:top w:val="single" w:color="auto" w:sz="6" w:space="0"/>
              <w:left w:val="single" w:color="auto" w:sz="6" w:space="0"/>
              <w:bottom w:val="single" w:color="auto" w:sz="6" w:space="0"/>
              <w:right w:val="single" w:color="auto" w:sz="6" w:space="0"/>
            </w:tcBorders>
          </w:tcPr>
          <w:p>
            <w:pPr>
              <w:autoSpaceDE w:val="0"/>
              <w:autoSpaceDN w:val="0"/>
              <w:rPr>
                <w:rFonts w:hint="eastAsia" w:ascii="宋体" w:hAnsi="宋体" w:cs="宋体"/>
                <w:color w:val="auto"/>
                <w:szCs w:val="21"/>
                <w:highlight w:val="none"/>
              </w:rPr>
            </w:pPr>
          </w:p>
        </w:tc>
        <w:tc>
          <w:tcPr>
            <w:tcW w:w="509" w:type="dxa"/>
            <w:tcBorders>
              <w:top w:val="single" w:color="auto" w:sz="6" w:space="0"/>
              <w:left w:val="single" w:color="auto" w:sz="6" w:space="0"/>
              <w:bottom w:val="single" w:color="auto" w:sz="6" w:space="0"/>
              <w:right w:val="single" w:color="auto" w:sz="6" w:space="0"/>
            </w:tcBorders>
          </w:tcPr>
          <w:p>
            <w:pPr>
              <w:autoSpaceDE w:val="0"/>
              <w:autoSpaceDN w:val="0"/>
              <w:rPr>
                <w:rFonts w:hint="eastAsia" w:ascii="宋体" w:hAnsi="宋体" w:cs="宋体"/>
                <w:color w:val="auto"/>
                <w:szCs w:val="21"/>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rPr>
                <w:rFonts w:hint="eastAsia" w:ascii="宋体" w:hAnsi="宋体" w:cs="宋体"/>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rPr>
                <w:rFonts w:hint="eastAsia" w:ascii="宋体" w:hAnsi="宋体" w:cs="宋体"/>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rPr>
                <w:rFonts w:hint="eastAsia" w:ascii="宋体" w:hAnsi="宋体" w:cs="宋体"/>
                <w:color w:val="auto"/>
                <w:szCs w:val="21"/>
                <w:highlight w:val="none"/>
              </w:rPr>
            </w:pPr>
          </w:p>
        </w:tc>
        <w:tc>
          <w:tcPr>
            <w:tcW w:w="2001" w:type="dxa"/>
            <w:tcBorders>
              <w:top w:val="single" w:color="auto" w:sz="6" w:space="0"/>
              <w:left w:val="single" w:color="auto" w:sz="6" w:space="0"/>
              <w:bottom w:val="single" w:color="auto" w:sz="6" w:space="0"/>
              <w:right w:val="single" w:color="auto" w:sz="6" w:space="0"/>
            </w:tcBorders>
          </w:tcPr>
          <w:p>
            <w:pPr>
              <w:autoSpaceDE w:val="0"/>
              <w:autoSpaceDN w:val="0"/>
              <w:rPr>
                <w:rFonts w:hint="eastAsia" w:ascii="宋体" w:hAnsi="宋体" w:cs="宋体"/>
                <w:color w:val="auto"/>
                <w:szCs w:val="21"/>
                <w:highlight w:val="none"/>
              </w:rPr>
            </w:pPr>
          </w:p>
        </w:tc>
        <w:tc>
          <w:tcPr>
            <w:tcW w:w="2007" w:type="dxa"/>
            <w:tcBorders>
              <w:top w:val="single" w:color="auto" w:sz="6" w:space="0"/>
              <w:left w:val="single" w:color="auto" w:sz="6" w:space="0"/>
              <w:bottom w:val="single" w:color="auto" w:sz="6" w:space="0"/>
              <w:right w:val="single" w:color="auto" w:sz="6" w:space="0"/>
            </w:tcBorders>
          </w:tcPr>
          <w:p>
            <w:pPr>
              <w:autoSpaceDE w:val="0"/>
              <w:autoSpaceDN w:val="0"/>
              <w:rPr>
                <w:rFonts w:hint="eastAsia" w:ascii="宋体" w:hAnsi="宋体" w:cs="宋体"/>
                <w:color w:val="auto"/>
                <w:szCs w:val="21"/>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cs="宋体"/>
                <w:color w:val="auto"/>
                <w:sz w:val="24"/>
                <w:highlight w:val="none"/>
              </w:rPr>
            </w:pPr>
          </w:p>
        </w:tc>
        <w:tc>
          <w:tcPr>
            <w:tcW w:w="48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cs="宋体"/>
                <w:color w:val="auto"/>
                <w:sz w:val="24"/>
                <w:highlight w:val="none"/>
              </w:rPr>
            </w:pPr>
          </w:p>
        </w:tc>
        <w:tc>
          <w:tcPr>
            <w:tcW w:w="50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cs="宋体"/>
                <w:color w:val="auto"/>
                <w:sz w:val="24"/>
                <w:highlight w:val="none"/>
              </w:rPr>
            </w:pPr>
          </w:p>
        </w:tc>
        <w:tc>
          <w:tcPr>
            <w:tcW w:w="200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cs="宋体"/>
                <w:color w:val="auto"/>
                <w:sz w:val="24"/>
                <w:highlight w:val="none"/>
              </w:rPr>
            </w:pPr>
          </w:p>
        </w:tc>
        <w:tc>
          <w:tcPr>
            <w:tcW w:w="200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cs="宋体"/>
                <w:color w:val="auto"/>
                <w:sz w:val="24"/>
                <w:highlight w:val="none"/>
              </w:rPr>
            </w:pPr>
          </w:p>
        </w:tc>
      </w:tr>
    </w:tbl>
    <w:p>
      <w:pPr>
        <w:spacing w:line="360" w:lineRule="auto"/>
        <w:rPr>
          <w:rFonts w:hint="eastAsia" w:ascii="宋体" w:hAnsi="宋体" w:cs="宋体"/>
          <w:b/>
          <w:bCs/>
          <w:color w:val="auto"/>
          <w:szCs w:val="21"/>
          <w:highlight w:val="none"/>
        </w:rPr>
      </w:pPr>
      <w:r>
        <w:rPr>
          <w:rFonts w:hint="eastAsia" w:ascii="宋体" w:hAnsi="宋体" w:cs="宋体"/>
          <w:b/>
          <w:color w:val="auto"/>
          <w:szCs w:val="21"/>
          <w:highlight w:val="none"/>
        </w:rPr>
        <w:t>注：投标人可参照上述的格式自行编制，并注明所在投标技术文件页码。</w:t>
      </w:r>
    </w:p>
    <w:p>
      <w:pPr>
        <w:snapToGrid w:val="0"/>
        <w:spacing w:line="360" w:lineRule="auto"/>
        <w:ind w:firstLine="472" w:firstLineChars="196"/>
        <w:rPr>
          <w:rFonts w:hint="eastAsia" w:ascii="宋体" w:hAnsi="宋体" w:cs="宋体"/>
          <w:b/>
          <w:bCs/>
          <w:color w:val="auto"/>
          <w:kern w:val="0"/>
          <w:sz w:val="24"/>
          <w:highlight w:val="none"/>
          <w:lang w:val="zh-CN"/>
        </w:rPr>
      </w:pPr>
    </w:p>
    <w:p>
      <w:pPr>
        <w:snapToGrid w:val="0"/>
        <w:spacing w:line="360" w:lineRule="auto"/>
        <w:ind w:firstLine="5280" w:firstLineChars="22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投标人名称（盖公章)：</w:t>
      </w:r>
    </w:p>
    <w:p>
      <w:pPr>
        <w:snapToGrid w:val="0"/>
        <w:spacing w:line="360" w:lineRule="auto"/>
        <w:ind w:firstLine="5280" w:firstLineChars="2200"/>
        <w:jc w:val="left"/>
        <w:rPr>
          <w:rFonts w:hint="eastAsia" w:ascii="宋体" w:hAnsi="宋体" w:cs="宋体"/>
          <w:b/>
          <w:bCs/>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jc w:val="center"/>
        <w:rPr>
          <w:rFonts w:hint="eastAsia" w:ascii="宋体" w:hAnsi="宋体" w:cs="宋体"/>
          <w:b/>
          <w:bCs/>
          <w:color w:val="auto"/>
          <w:sz w:val="24"/>
          <w:highlight w:val="none"/>
        </w:rPr>
      </w:pPr>
    </w:p>
    <w:p>
      <w:pPr>
        <w:snapToGrid w:val="0"/>
        <w:spacing w:line="360"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 xml:space="preserve">                    </w:t>
      </w:r>
    </w:p>
    <w:p>
      <w:pPr>
        <w:autoSpaceDE w:val="0"/>
        <w:autoSpaceDN w:val="0"/>
        <w:spacing w:line="360" w:lineRule="auto"/>
        <w:rPr>
          <w:rFonts w:hint="eastAsia" w:ascii="宋体" w:hAnsi="宋体" w:cs="宋体"/>
          <w:color w:val="auto"/>
          <w:sz w:val="24"/>
          <w:highlight w:val="none"/>
        </w:rPr>
      </w:pPr>
      <w:r>
        <w:rPr>
          <w:rFonts w:hint="eastAsia" w:ascii="宋体" w:hAnsi="宋体" w:cs="宋体"/>
          <w:b/>
          <w:bCs/>
          <w:color w:val="auto"/>
          <w:sz w:val="24"/>
          <w:highlight w:val="none"/>
        </w:rPr>
        <w:t xml:space="preserve">                            </w:t>
      </w:r>
      <w:r>
        <w:rPr>
          <w:rFonts w:hint="eastAsia" w:ascii="宋体" w:hAnsi="宋体" w:cs="宋体"/>
          <w:b/>
          <w:color w:val="auto"/>
          <w:kern w:val="0"/>
          <w:sz w:val="24"/>
          <w:highlight w:val="none"/>
        </w:rPr>
        <w:t>售后服务人员情况表</w:t>
      </w:r>
      <w:r>
        <w:rPr>
          <w:rFonts w:hint="eastAsia" w:ascii="宋体" w:hAnsi="宋体" w:cs="宋体"/>
          <w:color w:val="auto"/>
          <w:sz w:val="24"/>
          <w:highlight w:val="none"/>
        </w:rPr>
        <w:t>（如有要求，参照此格式自制）</w:t>
      </w:r>
    </w:p>
    <w:p>
      <w:pPr>
        <w:pStyle w:val="15"/>
        <w:rPr>
          <w:color w:val="auto"/>
          <w:highlight w:val="none"/>
        </w:rPr>
      </w:pPr>
    </w:p>
    <w:tbl>
      <w:tblPr>
        <w:tblStyle w:val="25"/>
        <w:tblW w:w="0" w:type="auto"/>
        <w:jc w:val="center"/>
        <w:tblLayout w:type="fixed"/>
        <w:tblCellMar>
          <w:top w:w="0" w:type="dxa"/>
          <w:left w:w="108" w:type="dxa"/>
          <w:bottom w:w="0" w:type="dxa"/>
          <w:right w:w="108" w:type="dxa"/>
        </w:tblCellMar>
      </w:tblPr>
      <w:tblGrid>
        <w:gridCol w:w="451"/>
        <w:gridCol w:w="971"/>
        <w:gridCol w:w="725"/>
        <w:gridCol w:w="406"/>
        <w:gridCol w:w="886"/>
        <w:gridCol w:w="1064"/>
        <w:gridCol w:w="1064"/>
        <w:gridCol w:w="1064"/>
        <w:gridCol w:w="1242"/>
        <w:gridCol w:w="886"/>
        <w:gridCol w:w="1095"/>
      </w:tblGrid>
      <w:tr>
        <w:tblPrEx>
          <w:tblCellMar>
            <w:top w:w="0" w:type="dxa"/>
            <w:left w:w="108" w:type="dxa"/>
            <w:bottom w:w="0" w:type="dxa"/>
            <w:right w:w="108" w:type="dxa"/>
          </w:tblCellMar>
        </w:tblPrEx>
        <w:trPr>
          <w:jc w:val="center"/>
        </w:trPr>
        <w:tc>
          <w:tcPr>
            <w:tcW w:w="451"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971"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类别</w:t>
            </w:r>
          </w:p>
        </w:tc>
        <w:tc>
          <w:tcPr>
            <w:tcW w:w="725"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406"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性别</w:t>
            </w:r>
          </w:p>
        </w:tc>
        <w:tc>
          <w:tcPr>
            <w:tcW w:w="886"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年龄</w:t>
            </w:r>
          </w:p>
        </w:tc>
        <w:tc>
          <w:tcPr>
            <w:tcW w:w="1064"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学历</w:t>
            </w:r>
          </w:p>
        </w:tc>
        <w:tc>
          <w:tcPr>
            <w:tcW w:w="1064"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专业</w:t>
            </w:r>
          </w:p>
        </w:tc>
        <w:tc>
          <w:tcPr>
            <w:tcW w:w="1064"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职称</w:t>
            </w:r>
          </w:p>
        </w:tc>
        <w:tc>
          <w:tcPr>
            <w:tcW w:w="1242"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本项目中的职责</w:t>
            </w:r>
          </w:p>
        </w:tc>
        <w:tc>
          <w:tcPr>
            <w:tcW w:w="886"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响应时间</w:t>
            </w:r>
          </w:p>
        </w:tc>
        <w:tc>
          <w:tcPr>
            <w:tcW w:w="1095"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到达现场时间</w:t>
            </w:r>
          </w:p>
        </w:tc>
      </w:tr>
      <w:tr>
        <w:tblPrEx>
          <w:tblCellMar>
            <w:top w:w="0" w:type="dxa"/>
            <w:left w:w="108" w:type="dxa"/>
            <w:bottom w:w="0" w:type="dxa"/>
            <w:right w:w="108" w:type="dxa"/>
          </w:tblCellMar>
        </w:tblPrEx>
        <w:trPr>
          <w:trHeight w:val="607" w:hRule="atLeast"/>
          <w:jc w:val="center"/>
        </w:trPr>
        <w:tc>
          <w:tcPr>
            <w:tcW w:w="451"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宋体" w:hAnsi="宋体" w:cs="宋体"/>
                <w:color w:val="auto"/>
                <w:szCs w:val="21"/>
                <w:highlight w:val="none"/>
              </w:rPr>
            </w:pPr>
          </w:p>
        </w:tc>
        <w:tc>
          <w:tcPr>
            <w:tcW w:w="971"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总协调人</w:t>
            </w:r>
          </w:p>
        </w:tc>
        <w:tc>
          <w:tcPr>
            <w:tcW w:w="725"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406"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886"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064"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064"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064"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242"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886"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095"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r>
      <w:tr>
        <w:tblPrEx>
          <w:tblCellMar>
            <w:top w:w="0" w:type="dxa"/>
            <w:left w:w="108" w:type="dxa"/>
            <w:bottom w:w="0" w:type="dxa"/>
            <w:right w:w="108" w:type="dxa"/>
          </w:tblCellMar>
        </w:tblPrEx>
        <w:trPr>
          <w:trHeight w:val="595" w:hRule="atLeast"/>
          <w:jc w:val="center"/>
        </w:trPr>
        <w:tc>
          <w:tcPr>
            <w:tcW w:w="451"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宋体" w:hAnsi="宋体" w:cs="宋体"/>
                <w:color w:val="auto"/>
                <w:szCs w:val="21"/>
                <w:highlight w:val="none"/>
              </w:rPr>
            </w:pPr>
          </w:p>
        </w:tc>
        <w:tc>
          <w:tcPr>
            <w:tcW w:w="971"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售后人员</w:t>
            </w:r>
          </w:p>
        </w:tc>
        <w:tc>
          <w:tcPr>
            <w:tcW w:w="725"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406"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886"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064"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064"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064"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242"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886"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095"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r>
      <w:tr>
        <w:tblPrEx>
          <w:tblCellMar>
            <w:top w:w="0" w:type="dxa"/>
            <w:left w:w="108" w:type="dxa"/>
            <w:bottom w:w="0" w:type="dxa"/>
            <w:right w:w="108" w:type="dxa"/>
          </w:tblCellMar>
        </w:tblPrEx>
        <w:trPr>
          <w:trHeight w:val="595" w:hRule="atLeast"/>
          <w:jc w:val="center"/>
        </w:trPr>
        <w:tc>
          <w:tcPr>
            <w:tcW w:w="451"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宋体" w:hAnsi="宋体" w:cs="宋体"/>
                <w:color w:val="auto"/>
                <w:szCs w:val="21"/>
                <w:highlight w:val="none"/>
              </w:rPr>
            </w:pPr>
          </w:p>
        </w:tc>
        <w:tc>
          <w:tcPr>
            <w:tcW w:w="971"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725"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406"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886"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064"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064"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064"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242"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886"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c>
          <w:tcPr>
            <w:tcW w:w="1095"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宋体" w:hAnsi="宋体" w:cs="宋体"/>
                <w:color w:val="auto"/>
                <w:szCs w:val="21"/>
                <w:highlight w:val="none"/>
              </w:rPr>
            </w:pPr>
          </w:p>
        </w:tc>
      </w:tr>
    </w:tbl>
    <w:p>
      <w:pPr>
        <w:pStyle w:val="15"/>
        <w:rPr>
          <w:rFonts w:hint="eastAsia" w:ascii="宋体" w:hAnsi="宋体" w:cs="宋体"/>
          <w:color w:val="auto"/>
          <w:sz w:val="21"/>
          <w:szCs w:val="21"/>
          <w:highlight w:val="none"/>
        </w:rPr>
      </w:pPr>
    </w:p>
    <w:p>
      <w:pPr>
        <w:pStyle w:val="15"/>
        <w:rPr>
          <w:color w:val="auto"/>
          <w:highlight w:val="none"/>
        </w:rPr>
      </w:pPr>
    </w:p>
    <w:p>
      <w:pPr>
        <w:snapToGrid w:val="0"/>
        <w:spacing w:line="360" w:lineRule="auto"/>
        <w:ind w:firstLine="5280" w:firstLineChars="22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投标人名称（盖公章)：</w:t>
      </w:r>
    </w:p>
    <w:p>
      <w:pPr>
        <w:snapToGrid w:val="0"/>
        <w:spacing w:line="360" w:lineRule="auto"/>
        <w:jc w:val="center"/>
        <w:rPr>
          <w:rFonts w:hint="eastAsia" w:ascii="宋体" w:hAnsi="宋体" w:cs="宋体"/>
          <w:b/>
          <w:bCs/>
          <w:color w:val="auto"/>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snapToGrid w:val="0"/>
        <w:spacing w:line="360" w:lineRule="auto"/>
        <w:jc w:val="center"/>
        <w:rPr>
          <w:rFonts w:hint="eastAsia" w:ascii="宋体" w:hAnsi="宋体" w:cs="宋体"/>
          <w:b/>
          <w:bCs/>
          <w:color w:val="auto"/>
          <w:sz w:val="24"/>
          <w:highlight w:val="none"/>
        </w:rPr>
      </w:pPr>
    </w:p>
    <w:p>
      <w:pPr>
        <w:pStyle w:val="13"/>
        <w:jc w:val="center"/>
        <w:outlineLvl w:val="1"/>
        <w:rPr>
          <w:rFonts w:hint="eastAsia" w:hAnsi="宋体" w:cs="宋体"/>
          <w:b/>
          <w:bCs/>
          <w:color w:val="auto"/>
          <w:sz w:val="28"/>
          <w:szCs w:val="28"/>
          <w:highlight w:val="none"/>
        </w:rPr>
      </w:pPr>
      <w:r>
        <w:rPr>
          <w:rFonts w:hint="eastAsia" w:hAnsi="宋体" w:cs="宋体"/>
          <w:b/>
          <w:bCs/>
          <w:color w:val="auto"/>
          <w:sz w:val="24"/>
          <w:szCs w:val="24"/>
          <w:highlight w:val="none"/>
        </w:rPr>
        <w:br w:type="page"/>
      </w:r>
      <w:bookmarkStart w:id="371" w:name="_Toc10710"/>
      <w:bookmarkStart w:id="372" w:name="_Toc27076"/>
      <w:bookmarkStart w:id="373" w:name="_Toc31296"/>
      <w:bookmarkStart w:id="374" w:name="_Toc17482"/>
      <w:bookmarkStart w:id="375" w:name="_Toc21638"/>
      <w:r>
        <w:rPr>
          <w:rFonts w:hint="eastAsia" w:hAnsi="宋体" w:cs="宋体"/>
          <w:b/>
          <w:bCs/>
          <w:color w:val="auto"/>
          <w:sz w:val="28"/>
          <w:szCs w:val="28"/>
          <w:highlight w:val="none"/>
        </w:rPr>
        <w:t>第四节 报价文件格式</w:t>
      </w:r>
      <w:bookmarkEnd w:id="371"/>
      <w:bookmarkEnd w:id="372"/>
      <w:bookmarkEnd w:id="373"/>
      <w:bookmarkEnd w:id="374"/>
      <w:bookmarkEnd w:id="375"/>
    </w:p>
    <w:p>
      <w:pPr>
        <w:snapToGrid w:val="0"/>
        <w:spacing w:before="165" w:beforeLines="50" w:after="50" w:line="400" w:lineRule="exact"/>
        <w:jc w:val="left"/>
        <w:rPr>
          <w:rFonts w:hint="eastAsia" w:ascii="宋体" w:hAnsi="宋体" w:cs="宋体"/>
          <w:color w:val="auto"/>
          <w:sz w:val="24"/>
          <w:highlight w:val="none"/>
        </w:rPr>
      </w:pPr>
    </w:p>
    <w:p>
      <w:pPr>
        <w:snapToGrid w:val="0"/>
        <w:spacing w:before="165" w:beforeLines="50" w:after="50" w:line="400" w:lineRule="exact"/>
        <w:jc w:val="left"/>
        <w:rPr>
          <w:rFonts w:hint="eastAsia" w:ascii="宋体" w:hAnsi="宋体" w:cs="宋体"/>
          <w:b/>
          <w:bCs/>
          <w:color w:val="auto"/>
          <w:sz w:val="28"/>
          <w:szCs w:val="28"/>
          <w:highlight w:val="none"/>
        </w:rPr>
      </w:pPr>
      <w:r>
        <w:rPr>
          <w:rFonts w:hint="eastAsia" w:ascii="宋体" w:hAnsi="宋体" w:cs="宋体"/>
          <w:color w:val="auto"/>
          <w:sz w:val="24"/>
          <w:highlight w:val="none"/>
        </w:rPr>
        <w:t xml:space="preserve"> </w:t>
      </w:r>
      <w:r>
        <w:rPr>
          <w:rFonts w:hint="eastAsia" w:ascii="宋体" w:hAnsi="宋体" w:cs="宋体"/>
          <w:b/>
          <w:bCs/>
          <w:color w:val="auto"/>
          <w:sz w:val="28"/>
          <w:szCs w:val="28"/>
          <w:highlight w:val="none"/>
        </w:rPr>
        <w:t>1.报价文件封面的格式</w:t>
      </w:r>
      <w:r>
        <w:rPr>
          <w:rFonts w:hint="eastAsia" w:ascii="宋体" w:hAnsi="宋体" w:cs="宋体"/>
          <w:b/>
          <w:color w:val="auto"/>
          <w:sz w:val="28"/>
          <w:szCs w:val="28"/>
          <w:highlight w:val="none"/>
        </w:rPr>
        <w:t>（参照此格式自拟）</w:t>
      </w:r>
      <w:r>
        <w:rPr>
          <w:rFonts w:hint="eastAsia" w:ascii="宋体" w:hAnsi="宋体" w:cs="宋体"/>
          <w:b/>
          <w:bCs/>
          <w:color w:val="auto"/>
          <w:sz w:val="28"/>
          <w:szCs w:val="28"/>
          <w:highlight w:val="none"/>
        </w:rPr>
        <w:t xml:space="preserve">： </w:t>
      </w:r>
    </w:p>
    <w:p>
      <w:pPr>
        <w:snapToGrid w:val="0"/>
        <w:spacing w:before="165" w:beforeLines="50" w:after="50" w:line="400" w:lineRule="exact"/>
        <w:jc w:val="left"/>
        <w:rPr>
          <w:rFonts w:hint="eastAsia" w:ascii="宋体" w:hAnsi="宋体" w:cs="宋体"/>
          <w:b/>
          <w:bCs/>
          <w:color w:val="auto"/>
          <w:sz w:val="28"/>
          <w:szCs w:val="28"/>
          <w:highlight w:val="none"/>
        </w:rPr>
      </w:pPr>
    </w:p>
    <w:p>
      <w:pPr>
        <w:snapToGrid w:val="0"/>
        <w:spacing w:before="165" w:beforeLines="50" w:after="50" w:line="400" w:lineRule="exact"/>
        <w:jc w:val="left"/>
        <w:rPr>
          <w:rFonts w:hint="eastAsia" w:ascii="宋体" w:hAnsi="宋体" w:cs="宋体"/>
          <w:color w:val="auto"/>
          <w:sz w:val="24"/>
          <w:highlight w:val="none"/>
        </w:rPr>
      </w:pPr>
      <w:r>
        <w:rPr>
          <w:rFonts w:hint="eastAsia" w:ascii="宋体" w:hAnsi="宋体" w:cs="宋体"/>
          <w:b/>
          <w:bCs/>
          <w:color w:val="auto"/>
          <w:sz w:val="28"/>
          <w:szCs w:val="28"/>
          <w:highlight w:val="none"/>
        </w:rPr>
        <w:t xml:space="preserve">   </w:t>
      </w:r>
      <w:r>
        <w:rPr>
          <w:rFonts w:hint="eastAsia" w:ascii="宋体" w:hAnsi="宋体" w:cs="宋体"/>
          <w:color w:val="auto"/>
          <w:sz w:val="24"/>
          <w:highlight w:val="none"/>
        </w:rPr>
        <w:t xml:space="preserve">                                            </w:t>
      </w:r>
    </w:p>
    <w:p>
      <w:pPr>
        <w:snapToGrid w:val="0"/>
        <w:spacing w:before="165" w:beforeLines="50" w:after="50" w:line="400" w:lineRule="exact"/>
        <w:ind w:firstLine="5760" w:firstLineChars="2400"/>
        <w:rPr>
          <w:rFonts w:hint="eastAsia" w:ascii="宋体" w:hAnsi="宋体" w:cs="宋体"/>
          <w:bCs/>
          <w:color w:val="auto"/>
          <w:sz w:val="32"/>
          <w:szCs w:val="20"/>
          <w:highlight w:val="none"/>
        </w:rPr>
      </w:pPr>
      <w:r>
        <w:rPr>
          <w:rFonts w:hint="eastAsia" w:ascii="宋体" w:hAnsi="宋体" w:cs="宋体"/>
          <w:color w:val="auto"/>
          <w:sz w:val="24"/>
          <w:highlight w:val="none"/>
        </w:rPr>
        <w:t xml:space="preserve">    </w:t>
      </w:r>
      <w:r>
        <w:rPr>
          <w:rFonts w:hint="eastAsia" w:ascii="宋体" w:hAnsi="宋体" w:cs="宋体"/>
          <w:bCs/>
          <w:color w:val="auto"/>
          <w:highlight w:val="none"/>
        </w:rPr>
        <w:t>电子投标文件</w:t>
      </w:r>
    </w:p>
    <w:p>
      <w:pPr>
        <w:snapToGrid w:val="0"/>
        <w:spacing w:before="165" w:beforeLines="50" w:after="50" w:line="400" w:lineRule="exact"/>
        <w:jc w:val="center"/>
        <w:rPr>
          <w:rFonts w:hint="eastAsia" w:ascii="宋体" w:hAnsi="宋体" w:cs="宋体"/>
          <w:bCs/>
          <w:color w:val="auto"/>
          <w:sz w:val="24"/>
          <w:szCs w:val="20"/>
          <w:highlight w:val="none"/>
        </w:rPr>
      </w:pPr>
    </w:p>
    <w:p>
      <w:pPr>
        <w:snapToGrid w:val="0"/>
        <w:spacing w:before="165" w:beforeLines="50" w:after="50" w:line="400" w:lineRule="exact"/>
        <w:jc w:val="center"/>
        <w:rPr>
          <w:rFonts w:hint="eastAsia" w:ascii="宋体" w:hAnsi="宋体" w:cs="宋体"/>
          <w:b/>
          <w:bCs/>
          <w:color w:val="auto"/>
          <w:sz w:val="32"/>
          <w:szCs w:val="32"/>
          <w:highlight w:val="none"/>
        </w:rPr>
      </w:pPr>
    </w:p>
    <w:p>
      <w:pPr>
        <w:snapToGrid w:val="0"/>
        <w:spacing w:before="165" w:beforeLines="50" w:after="50" w:line="400" w:lineRule="exact"/>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报价文件</w:t>
      </w:r>
    </w:p>
    <w:p>
      <w:pPr>
        <w:snapToGrid w:val="0"/>
        <w:spacing w:before="165" w:beforeLines="50" w:after="50" w:line="400" w:lineRule="exact"/>
        <w:rPr>
          <w:rFonts w:hint="eastAsia" w:ascii="宋体" w:hAnsi="宋体" w:cs="宋体"/>
          <w:bCs/>
          <w:color w:val="auto"/>
          <w:sz w:val="24"/>
          <w:szCs w:val="20"/>
          <w:highlight w:val="none"/>
        </w:rPr>
      </w:pPr>
    </w:p>
    <w:p>
      <w:pPr>
        <w:snapToGrid w:val="0"/>
        <w:spacing w:before="165" w:beforeLines="50" w:after="50" w:line="400" w:lineRule="exact"/>
        <w:rPr>
          <w:rFonts w:hint="eastAsia" w:ascii="宋体" w:hAnsi="宋体" w:cs="宋体"/>
          <w:bCs/>
          <w:color w:val="auto"/>
          <w:sz w:val="24"/>
          <w:szCs w:val="20"/>
          <w:highlight w:val="none"/>
        </w:rPr>
      </w:pPr>
    </w:p>
    <w:p>
      <w:pPr>
        <w:snapToGrid w:val="0"/>
        <w:spacing w:before="165" w:beforeLines="50" w:after="50" w:line="400" w:lineRule="exact"/>
        <w:rPr>
          <w:rFonts w:hint="eastAsia" w:ascii="宋体" w:hAnsi="宋体" w:cs="宋体"/>
          <w:bCs/>
          <w:color w:val="auto"/>
          <w:sz w:val="24"/>
          <w:szCs w:val="20"/>
          <w:highlight w:val="none"/>
        </w:rPr>
      </w:pPr>
    </w:p>
    <w:p>
      <w:pPr>
        <w:snapToGrid w:val="0"/>
        <w:spacing w:before="165" w:beforeLines="50" w:after="50" w:line="400" w:lineRule="exact"/>
        <w:rPr>
          <w:rFonts w:hint="eastAsia" w:ascii="宋体" w:hAnsi="宋体" w:cs="宋体"/>
          <w:bCs/>
          <w:color w:val="auto"/>
          <w:sz w:val="24"/>
          <w:szCs w:val="20"/>
          <w:highlight w:val="none"/>
        </w:rPr>
      </w:pPr>
    </w:p>
    <w:p>
      <w:pPr>
        <w:snapToGrid w:val="0"/>
        <w:spacing w:before="165"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项目名称： </w:t>
      </w:r>
    </w:p>
    <w:p>
      <w:pPr>
        <w:snapToGrid w:val="0"/>
        <w:spacing w:before="165" w:beforeLines="50" w:after="50" w:line="400" w:lineRule="exact"/>
        <w:ind w:firstLine="360" w:firstLineChars="150"/>
        <w:rPr>
          <w:rFonts w:hint="eastAsia" w:ascii="宋体" w:hAnsi="宋体" w:cs="宋体"/>
          <w:bCs/>
          <w:color w:val="auto"/>
          <w:sz w:val="24"/>
          <w:highlight w:val="none"/>
        </w:rPr>
      </w:pPr>
    </w:p>
    <w:p>
      <w:pPr>
        <w:snapToGrid w:val="0"/>
        <w:spacing w:before="165"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 xml:space="preserve">项目编号： </w:t>
      </w:r>
    </w:p>
    <w:p>
      <w:pPr>
        <w:snapToGrid w:val="0"/>
        <w:spacing w:before="165" w:beforeLines="50" w:after="50" w:line="400" w:lineRule="exact"/>
        <w:ind w:firstLine="360" w:firstLineChars="150"/>
        <w:rPr>
          <w:rFonts w:hint="eastAsia" w:ascii="宋体" w:hAnsi="宋体" w:cs="宋体"/>
          <w:bCs/>
          <w:color w:val="auto"/>
          <w:sz w:val="24"/>
          <w:highlight w:val="none"/>
        </w:rPr>
      </w:pPr>
    </w:p>
    <w:p>
      <w:pPr>
        <w:snapToGrid w:val="0"/>
        <w:spacing w:before="165"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所投分标（如有则填写，无分标时填写“无”或者留空）：</w:t>
      </w:r>
    </w:p>
    <w:p>
      <w:pPr>
        <w:snapToGrid w:val="0"/>
        <w:spacing w:before="165" w:beforeLines="50" w:after="50" w:line="400" w:lineRule="exact"/>
        <w:ind w:firstLine="360" w:firstLineChars="150"/>
        <w:rPr>
          <w:rFonts w:hint="eastAsia" w:ascii="宋体" w:hAnsi="宋体" w:cs="宋体"/>
          <w:bCs/>
          <w:color w:val="auto"/>
          <w:sz w:val="24"/>
          <w:highlight w:val="none"/>
        </w:rPr>
      </w:pPr>
    </w:p>
    <w:p>
      <w:pPr>
        <w:snapToGrid w:val="0"/>
        <w:spacing w:before="165" w:beforeLines="50" w:after="50" w:line="400" w:lineRule="exact"/>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投标人名称：</w:t>
      </w:r>
    </w:p>
    <w:p>
      <w:pPr>
        <w:snapToGrid w:val="0"/>
        <w:spacing w:before="165" w:beforeLines="50" w:after="50" w:line="400" w:lineRule="exact"/>
        <w:ind w:firstLine="360" w:firstLineChars="150"/>
        <w:rPr>
          <w:rFonts w:hint="eastAsia" w:ascii="宋体" w:hAnsi="宋体" w:cs="宋体"/>
          <w:bCs/>
          <w:color w:val="auto"/>
          <w:sz w:val="24"/>
          <w:highlight w:val="none"/>
        </w:rPr>
      </w:pPr>
    </w:p>
    <w:p>
      <w:pPr>
        <w:pStyle w:val="7"/>
        <w:snapToGrid w:val="0"/>
        <w:spacing w:before="50" w:after="50" w:line="400" w:lineRule="exact"/>
        <w:ind w:firstLine="960" w:firstLineChars="400"/>
        <w:rPr>
          <w:rFonts w:hint="eastAsia" w:ascii="宋体" w:hAnsi="宋体" w:cs="宋体"/>
          <w:bCs/>
          <w:color w:val="auto"/>
          <w:sz w:val="24"/>
          <w:szCs w:val="24"/>
          <w:highlight w:val="none"/>
        </w:rPr>
      </w:pPr>
    </w:p>
    <w:p>
      <w:pPr>
        <w:snapToGrid w:val="0"/>
        <w:spacing w:before="165" w:beforeLines="50" w:after="50" w:line="400" w:lineRule="exact"/>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p>
      <w:pPr>
        <w:widowControl/>
        <w:jc w:val="left"/>
        <w:rPr>
          <w:rFonts w:hint="eastAsia" w:ascii="宋体" w:hAnsi="宋体" w:cs="宋体"/>
          <w:color w:val="auto"/>
          <w:sz w:val="24"/>
          <w:highlight w:val="none"/>
        </w:rPr>
        <w:sectPr>
          <w:pgSz w:w="11906" w:h="16838"/>
          <w:pgMar w:top="1134" w:right="1020" w:bottom="1020" w:left="1134" w:header="720" w:footer="720" w:gutter="0"/>
          <w:cols w:space="720" w:num="1"/>
          <w:docGrid w:type="lines" w:linePitch="331" w:charSpace="0"/>
        </w:sectPr>
      </w:pPr>
    </w:p>
    <w:p>
      <w:pPr>
        <w:snapToGrid w:val="0"/>
        <w:spacing w:before="165" w:beforeLines="50" w:after="50" w:line="360" w:lineRule="auto"/>
        <w:jc w:val="left"/>
        <w:rPr>
          <w:rFonts w:hint="eastAsia" w:ascii="宋体" w:hAnsi="宋体" w:cs="宋体"/>
          <w:color w:val="auto"/>
          <w:sz w:val="28"/>
          <w:szCs w:val="28"/>
          <w:highlight w:val="none"/>
        </w:rPr>
      </w:pPr>
      <w:r>
        <w:rPr>
          <w:rFonts w:hint="eastAsia" w:ascii="宋体" w:hAnsi="宋体" w:cs="宋体"/>
          <w:b/>
          <w:color w:val="auto"/>
          <w:sz w:val="28"/>
          <w:szCs w:val="28"/>
          <w:highlight w:val="none"/>
        </w:rPr>
        <w:t>2.</w:t>
      </w:r>
      <w:r>
        <w:rPr>
          <w:rFonts w:hint="eastAsia" w:ascii="宋体" w:hAnsi="宋体" w:cs="宋体"/>
          <w:b/>
          <w:bCs/>
          <w:color w:val="auto"/>
          <w:sz w:val="28"/>
          <w:szCs w:val="28"/>
          <w:highlight w:val="none"/>
        </w:rPr>
        <w:t>报价文件目录</w:t>
      </w:r>
    </w:p>
    <w:p>
      <w:pPr>
        <w:snapToGrid w:val="0"/>
        <w:spacing w:before="50" w:after="165" w:afterLines="50" w:line="360" w:lineRule="auto"/>
        <w:jc w:val="left"/>
        <w:rPr>
          <w:rFonts w:hint="eastAsia" w:ascii="宋体" w:hAnsi="宋体" w:cs="宋体"/>
          <w:b/>
          <w:color w:val="auto"/>
          <w:sz w:val="28"/>
          <w:szCs w:val="28"/>
          <w:highlight w:val="none"/>
        </w:rPr>
      </w:pPr>
      <w:r>
        <w:rPr>
          <w:rFonts w:hint="eastAsia" w:ascii="宋体" w:hAnsi="宋体" w:cs="宋体"/>
          <w:color w:val="auto"/>
          <w:sz w:val="28"/>
          <w:szCs w:val="28"/>
          <w:highlight w:val="none"/>
        </w:rPr>
        <w:t>根据招标文件规定及投标人提供的材料自行编写目录</w:t>
      </w:r>
      <w:r>
        <w:rPr>
          <w:rFonts w:hint="eastAsia" w:ascii="宋体" w:hAnsi="宋体" w:cs="宋体"/>
          <w:color w:val="auto"/>
          <w:kern w:val="0"/>
          <w:sz w:val="28"/>
          <w:szCs w:val="28"/>
          <w:highlight w:val="none"/>
        </w:rPr>
        <w:t>（部分格式后附）</w:t>
      </w:r>
      <w:r>
        <w:rPr>
          <w:rFonts w:hint="eastAsia" w:ascii="宋体" w:hAnsi="宋体" w:cs="宋体"/>
          <w:color w:val="auto"/>
          <w:sz w:val="28"/>
          <w:szCs w:val="28"/>
          <w:highlight w:val="none"/>
        </w:rPr>
        <w:t>。</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br w:type="page"/>
      </w:r>
      <w:r>
        <w:rPr>
          <w:rFonts w:hint="eastAsia" w:ascii="宋体" w:hAnsi="宋体" w:cs="宋体"/>
          <w:b/>
          <w:bCs/>
          <w:color w:val="auto"/>
          <w:sz w:val="28"/>
          <w:szCs w:val="28"/>
          <w:highlight w:val="none"/>
        </w:rPr>
        <w:t>3.投标函的格式：</w:t>
      </w:r>
    </w:p>
    <w:p>
      <w:pPr>
        <w:pStyle w:val="13"/>
        <w:spacing w:line="500" w:lineRule="exact"/>
        <w:jc w:val="center"/>
        <w:rPr>
          <w:rFonts w:hint="eastAsia" w:hAnsi="宋体" w:cs="宋体"/>
          <w:b/>
          <w:bCs/>
          <w:color w:val="auto"/>
          <w:sz w:val="30"/>
          <w:szCs w:val="30"/>
          <w:highlight w:val="none"/>
        </w:rPr>
      </w:pPr>
      <w:r>
        <w:rPr>
          <w:rFonts w:hint="eastAsia" w:hAnsi="宋体" w:cs="宋体"/>
          <w:b/>
          <w:bCs/>
          <w:color w:val="auto"/>
          <w:sz w:val="30"/>
          <w:szCs w:val="30"/>
          <w:highlight w:val="none"/>
        </w:rPr>
        <w:t>投标函</w:t>
      </w:r>
    </w:p>
    <w:p>
      <w:pPr>
        <w:pStyle w:val="13"/>
        <w:spacing w:line="440" w:lineRule="exact"/>
        <w:ind w:firstLine="420" w:firstLineChars="200"/>
        <w:rPr>
          <w:rFonts w:hint="eastAsia" w:hAnsi="宋体" w:cs="宋体"/>
          <w:color w:val="auto"/>
          <w:highlight w:val="none"/>
        </w:rPr>
      </w:pPr>
    </w:p>
    <w:p>
      <w:pPr>
        <w:pStyle w:val="13"/>
        <w:spacing w:line="440" w:lineRule="exact"/>
        <w:ind w:firstLine="420" w:firstLineChars="200"/>
        <w:rPr>
          <w:rFonts w:hint="eastAsia" w:hAnsi="宋体" w:cs="宋体"/>
          <w:color w:val="auto"/>
          <w:highlight w:val="none"/>
        </w:rPr>
      </w:pPr>
      <w:r>
        <w:rPr>
          <w:rFonts w:hint="eastAsia" w:hAnsi="宋体" w:cs="宋体"/>
          <w:color w:val="auto"/>
          <w:highlight w:val="none"/>
        </w:rPr>
        <w:t>致：</w:t>
      </w:r>
      <w:bookmarkStart w:id="376" w:name="PO_3000001867_PM031_4"/>
      <w:r>
        <w:rPr>
          <w:rFonts w:hint="eastAsia" w:hAnsi="宋体" w:cs="宋体"/>
          <w:color w:val="auto"/>
          <w:highlight w:val="none"/>
          <w:u w:val="single"/>
        </w:rPr>
        <w:t>广西科联招标中心有限公司</w:t>
      </w:r>
      <w:bookmarkEnd w:id="376"/>
      <w:r>
        <w:rPr>
          <w:rFonts w:hint="eastAsia" w:hAnsi="宋体" w:cs="宋体"/>
          <w:color w:val="auto"/>
          <w:highlight w:val="none"/>
        </w:rPr>
        <w:t xml:space="preserve"> </w:t>
      </w:r>
    </w:p>
    <w:p>
      <w:pPr>
        <w:pStyle w:val="13"/>
        <w:spacing w:line="440" w:lineRule="exact"/>
        <w:ind w:firstLine="420" w:firstLineChars="200"/>
        <w:rPr>
          <w:rFonts w:hint="eastAsia" w:hAnsi="宋体" w:cs="宋体"/>
          <w:color w:val="auto"/>
          <w:highlight w:val="none"/>
        </w:rPr>
      </w:pPr>
      <w:r>
        <w:rPr>
          <w:rFonts w:hint="eastAsia" w:hAnsi="宋体" w:cs="宋体"/>
          <w:color w:val="auto"/>
          <w:highlight w:val="none"/>
        </w:rPr>
        <w:t>我方已仔细阅读了贵方组织的</w:t>
      </w:r>
      <w:r>
        <w:rPr>
          <w:rFonts w:hint="eastAsia" w:hAnsi="宋体" w:cs="宋体"/>
          <w:color w:val="auto"/>
          <w:highlight w:val="none"/>
          <w:u w:val="single"/>
        </w:rPr>
        <w:t xml:space="preserve">  </w:t>
      </w:r>
      <w:r>
        <w:rPr>
          <w:rFonts w:hint="eastAsia" w:hAnsi="宋体" w:cs="宋体"/>
          <w:i/>
          <w:iCs/>
          <w:color w:val="auto"/>
          <w:highlight w:val="none"/>
          <w:u w:val="single"/>
        </w:rPr>
        <w:t>（项目名称）</w:t>
      </w:r>
      <w:r>
        <w:rPr>
          <w:rFonts w:hint="eastAsia" w:hAnsi="宋体" w:cs="宋体"/>
          <w:color w:val="auto"/>
          <w:highlight w:val="none"/>
          <w:u w:val="single"/>
        </w:rPr>
        <w:t xml:space="preserve">  </w:t>
      </w:r>
      <w:r>
        <w:rPr>
          <w:rFonts w:hint="eastAsia" w:hAnsi="宋体" w:cs="宋体"/>
          <w:color w:val="auto"/>
          <w:highlight w:val="none"/>
        </w:rPr>
        <w:t>项目（项目编号：        ）的招标文件的全部内容，授权</w:t>
      </w:r>
      <w:r>
        <w:rPr>
          <w:rFonts w:hint="eastAsia" w:hAnsi="宋体" w:cs="宋体"/>
          <w:color w:val="auto"/>
          <w:highlight w:val="none"/>
          <w:u w:val="single"/>
        </w:rPr>
        <w:t xml:space="preserve">                      （</w:t>
      </w:r>
      <w:r>
        <w:rPr>
          <w:rFonts w:hint="eastAsia" w:hAnsi="宋体" w:cs="宋体"/>
          <w:color w:val="auto"/>
          <w:highlight w:val="none"/>
        </w:rPr>
        <w:t>全权代表姓名)</w:t>
      </w:r>
      <w:r>
        <w:rPr>
          <w:rFonts w:hint="eastAsia" w:hAnsi="宋体" w:cs="宋体"/>
          <w:color w:val="auto"/>
          <w:highlight w:val="none"/>
          <w:u w:val="single"/>
        </w:rPr>
        <w:t xml:space="preserve">          </w:t>
      </w:r>
      <w:r>
        <w:rPr>
          <w:rFonts w:hint="eastAsia" w:hAnsi="宋体" w:cs="宋体"/>
          <w:color w:val="auto"/>
          <w:highlight w:val="none"/>
        </w:rPr>
        <w:t xml:space="preserve"> （职务、职称)为全权代表，现正式递交下述文件参加贵方组织的本次政府采购活动： </w:t>
      </w:r>
    </w:p>
    <w:p>
      <w:pPr>
        <w:pStyle w:val="13"/>
        <w:spacing w:line="440" w:lineRule="exact"/>
        <w:ind w:firstLine="420" w:firstLineChars="200"/>
        <w:rPr>
          <w:rFonts w:hint="eastAsia" w:hAnsi="宋体" w:cs="宋体"/>
          <w:color w:val="auto"/>
          <w:highlight w:val="none"/>
        </w:rPr>
      </w:pPr>
      <w:r>
        <w:rPr>
          <w:rFonts w:hint="eastAsia" w:hAnsi="宋体" w:cs="宋体"/>
          <w:color w:val="auto"/>
          <w:highlight w:val="none"/>
        </w:rPr>
        <w:t>一、报价文件电子版（包含按投标人须知前附表要求提交的全部文件）；</w:t>
      </w:r>
    </w:p>
    <w:p>
      <w:pPr>
        <w:pStyle w:val="13"/>
        <w:spacing w:line="440" w:lineRule="exact"/>
        <w:ind w:firstLine="482"/>
        <w:rPr>
          <w:rFonts w:hint="eastAsia" w:hAnsi="宋体" w:cs="宋体"/>
          <w:color w:val="auto"/>
          <w:highlight w:val="none"/>
        </w:rPr>
      </w:pPr>
      <w:r>
        <w:rPr>
          <w:rFonts w:hint="eastAsia" w:hAnsi="宋体" w:cs="宋体"/>
          <w:color w:val="auto"/>
          <w:highlight w:val="none"/>
        </w:rPr>
        <w:t>二、资格文件电子版（包含按投标人须知前附表要求提交的全部文件）；</w:t>
      </w:r>
    </w:p>
    <w:p>
      <w:pPr>
        <w:pStyle w:val="13"/>
        <w:spacing w:line="440" w:lineRule="exact"/>
        <w:ind w:firstLine="482"/>
        <w:rPr>
          <w:rFonts w:hint="eastAsia" w:hAnsi="宋体" w:cs="宋体"/>
          <w:color w:val="auto"/>
          <w:highlight w:val="none"/>
        </w:rPr>
      </w:pPr>
      <w:r>
        <w:rPr>
          <w:rFonts w:hint="eastAsia" w:hAnsi="宋体" w:cs="宋体"/>
          <w:color w:val="auto"/>
          <w:highlight w:val="none"/>
        </w:rPr>
        <w:t>三、技术文件电子版（包含按投标人须知前附表要求提交的全部文件）；</w:t>
      </w:r>
    </w:p>
    <w:p>
      <w:pPr>
        <w:pStyle w:val="13"/>
        <w:spacing w:line="440" w:lineRule="exact"/>
        <w:ind w:firstLine="482"/>
        <w:rPr>
          <w:rFonts w:hint="eastAsia" w:hAnsi="宋体" w:cs="宋体"/>
          <w:color w:val="auto"/>
          <w:highlight w:val="none"/>
        </w:rPr>
      </w:pPr>
      <w:r>
        <w:rPr>
          <w:rFonts w:hint="eastAsia" w:hAnsi="宋体" w:cs="宋体"/>
          <w:color w:val="auto"/>
          <w:highlight w:val="none"/>
        </w:rPr>
        <w:t>四、商务文件电子版（包含按投标人须知前附表要求提交的全部文件）；</w:t>
      </w:r>
    </w:p>
    <w:p>
      <w:pPr>
        <w:pStyle w:val="13"/>
        <w:spacing w:line="440" w:lineRule="exact"/>
        <w:ind w:firstLine="482"/>
        <w:rPr>
          <w:rFonts w:hint="eastAsia" w:hAnsi="宋体" w:cs="宋体"/>
          <w:color w:val="auto"/>
          <w:highlight w:val="none"/>
        </w:rPr>
      </w:pPr>
      <w:r>
        <w:rPr>
          <w:rFonts w:hint="eastAsia" w:hAnsi="宋体" w:cs="宋体"/>
          <w:color w:val="auto"/>
          <w:highlight w:val="none"/>
        </w:rPr>
        <w:t>据此函，我方兹宣布：</w:t>
      </w:r>
    </w:p>
    <w:p>
      <w:pPr>
        <w:pStyle w:val="13"/>
        <w:spacing w:line="360" w:lineRule="exact"/>
        <w:ind w:firstLine="420" w:firstLineChars="200"/>
        <w:rPr>
          <w:rFonts w:hint="eastAsia" w:hAnsi="宋体" w:cs="宋体"/>
          <w:color w:val="auto"/>
          <w:highlight w:val="none"/>
          <w:u w:val="single"/>
        </w:rPr>
      </w:pPr>
      <w:r>
        <w:rPr>
          <w:rFonts w:hint="eastAsia" w:hAnsi="宋体" w:cs="宋体"/>
          <w:color w:val="auto"/>
          <w:highlight w:val="none"/>
        </w:rPr>
        <w:t>1.我方愿意以投标时提供的开标一览表中的投标总</w:t>
      </w:r>
      <w:r>
        <w:rPr>
          <w:rFonts w:hint="eastAsia" w:hAnsi="宋体" w:cs="宋体"/>
          <w:color w:val="auto"/>
          <w:szCs w:val="22"/>
          <w:highlight w:val="none"/>
        </w:rPr>
        <w:t>报价，在承诺的服务期限内</w:t>
      </w:r>
      <w:r>
        <w:rPr>
          <w:rFonts w:hint="eastAsia" w:hAnsi="宋体" w:cs="宋体"/>
          <w:color w:val="auto"/>
          <w:highlight w:val="none"/>
        </w:rPr>
        <w:t>提供本项目招标文件“第二章  采购需求”的“</w:t>
      </w:r>
      <w:r>
        <w:rPr>
          <w:rFonts w:hint="eastAsia" w:hAnsi="宋体" w:cs="宋体"/>
          <w:color w:val="auto"/>
          <w:szCs w:val="21"/>
          <w:highlight w:val="none"/>
        </w:rPr>
        <w:t>服务参数</w:t>
      </w:r>
      <w:r>
        <w:rPr>
          <w:rFonts w:hint="eastAsia" w:hAnsi="宋体" w:cs="宋体"/>
          <w:color w:val="auto"/>
          <w:highlight w:val="none"/>
        </w:rPr>
        <w:t>”中的相应的采购内容，具体详见开标一览表。</w:t>
      </w:r>
    </w:p>
    <w:p>
      <w:pPr>
        <w:pStyle w:val="13"/>
        <w:spacing w:line="360" w:lineRule="exact"/>
        <w:ind w:firstLine="420" w:firstLineChars="200"/>
        <w:rPr>
          <w:rFonts w:hint="eastAsia" w:hAnsi="宋体" w:cs="宋体"/>
          <w:color w:val="auto"/>
          <w:highlight w:val="none"/>
          <w:u w:val="single"/>
        </w:rPr>
      </w:pPr>
      <w:r>
        <w:rPr>
          <w:rFonts w:hint="eastAsia" w:hAnsi="宋体" w:cs="宋体"/>
          <w:color w:val="auto"/>
          <w:highlight w:val="none"/>
        </w:rPr>
        <w:t>2.我方同意自本项目招标文件“第三章 投标人须知”第一节 投标人须知前附表 第21.1项规定的投标截止时间（开标时间）起遵循本投标函，并承诺在“投标人须知前附表”第17.2项规定的投标有效期内不修改、撤销投标文件。</w:t>
      </w:r>
    </w:p>
    <w:p>
      <w:pPr>
        <w:pStyle w:val="13"/>
        <w:spacing w:line="360" w:lineRule="exact"/>
        <w:ind w:firstLine="420" w:firstLineChars="200"/>
        <w:rPr>
          <w:rFonts w:hint="eastAsia" w:hAnsi="宋体" w:cs="宋体"/>
          <w:color w:val="auto"/>
          <w:highlight w:val="none"/>
          <w:u w:val="single"/>
        </w:rPr>
      </w:pPr>
      <w:r>
        <w:rPr>
          <w:rFonts w:hint="eastAsia" w:hAnsi="宋体" w:cs="宋体"/>
          <w:color w:val="auto"/>
          <w:highlight w:val="none"/>
        </w:rPr>
        <w:t>3.我方所递交的投标文件及有关资料都是内容完整、真实和准确的。</w:t>
      </w:r>
    </w:p>
    <w:p>
      <w:pPr>
        <w:pStyle w:val="13"/>
        <w:spacing w:line="440" w:lineRule="exact"/>
        <w:ind w:firstLine="482"/>
        <w:rPr>
          <w:rFonts w:hint="eastAsia" w:hAnsi="宋体" w:cs="宋体"/>
          <w:color w:val="auto"/>
          <w:highlight w:val="none"/>
        </w:rPr>
      </w:pPr>
      <w:r>
        <w:rPr>
          <w:rFonts w:hint="eastAsia" w:hAnsi="宋体" w:cs="宋体"/>
          <w:color w:val="auto"/>
          <w:highlight w:val="none"/>
        </w:rPr>
        <w:t>4.</w:t>
      </w:r>
      <w:r>
        <w:rPr>
          <w:rFonts w:hint="eastAsia" w:hAnsi="宋体" w:cs="宋体"/>
          <w:color w:val="auto"/>
          <w:szCs w:val="21"/>
          <w:highlight w:val="none"/>
        </w:rPr>
        <w:t>如本项目采购内容涉及须符合国家强制规定的，我方承诺我方本次投标（包括资格条件和所投产品）均符合国家有关强制规定。</w:t>
      </w:r>
    </w:p>
    <w:p>
      <w:pPr>
        <w:pStyle w:val="13"/>
        <w:spacing w:line="440" w:lineRule="exact"/>
        <w:ind w:firstLine="420" w:firstLineChars="200"/>
        <w:rPr>
          <w:rFonts w:hint="eastAsia" w:hAnsi="宋体" w:cs="宋体"/>
          <w:color w:val="auto"/>
          <w:highlight w:val="none"/>
        </w:rPr>
      </w:pPr>
      <w:r>
        <w:rPr>
          <w:rFonts w:hint="eastAsia" w:hAnsi="宋体" w:cs="宋体"/>
          <w:color w:val="auto"/>
          <w:highlight w:val="none"/>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pPr>
        <w:pStyle w:val="13"/>
        <w:spacing w:line="440" w:lineRule="exact"/>
        <w:ind w:firstLine="420" w:firstLineChars="200"/>
        <w:rPr>
          <w:rFonts w:hint="eastAsia" w:hAnsi="宋体" w:cs="宋体"/>
          <w:color w:val="auto"/>
          <w:highlight w:val="none"/>
        </w:rPr>
      </w:pPr>
      <w:r>
        <w:rPr>
          <w:rFonts w:hint="eastAsia" w:hAnsi="宋体" w:cs="宋体"/>
          <w:color w:val="auto"/>
          <w:highlight w:val="none"/>
        </w:rPr>
        <w:t>6.我方已详细审核招标文件，我方知道必须放弃提出含糊不清或误解问题的权利。</w:t>
      </w:r>
    </w:p>
    <w:p>
      <w:pPr>
        <w:pStyle w:val="13"/>
        <w:spacing w:line="440" w:lineRule="exact"/>
        <w:ind w:firstLine="420" w:firstLineChars="200"/>
        <w:rPr>
          <w:rFonts w:hint="eastAsia" w:hAnsi="宋体" w:cs="宋体"/>
          <w:color w:val="auto"/>
          <w:highlight w:val="none"/>
        </w:rPr>
      </w:pPr>
      <w:r>
        <w:rPr>
          <w:rFonts w:hint="eastAsia" w:hAnsi="宋体" w:cs="宋体"/>
          <w:color w:val="auto"/>
          <w:highlight w:val="none"/>
        </w:rPr>
        <w:t>7.我方同意应贵方要求提供与本投标有关的任何数据或资料。若贵方需要，我方愿意提供我方作出的一切承诺的证明材料。</w:t>
      </w:r>
    </w:p>
    <w:p>
      <w:pPr>
        <w:pStyle w:val="13"/>
        <w:spacing w:line="440" w:lineRule="exact"/>
        <w:ind w:firstLine="420" w:firstLineChars="200"/>
        <w:rPr>
          <w:rFonts w:hint="eastAsia" w:hAnsi="宋体" w:cs="宋体"/>
          <w:color w:val="auto"/>
          <w:highlight w:val="none"/>
        </w:rPr>
      </w:pPr>
      <w:r>
        <w:rPr>
          <w:rFonts w:hint="eastAsia" w:hAnsi="宋体" w:cs="宋体"/>
          <w:color w:val="auto"/>
          <w:highlight w:val="none"/>
        </w:rPr>
        <w:t>8.我方完全理解贵方不一定接受投标报价最低的投标人为中标人的行为。</w:t>
      </w:r>
    </w:p>
    <w:p>
      <w:pPr>
        <w:pStyle w:val="13"/>
        <w:spacing w:line="440" w:lineRule="exact"/>
        <w:ind w:firstLine="420" w:firstLineChars="200"/>
        <w:rPr>
          <w:rFonts w:hint="eastAsia" w:hAnsi="宋体" w:cs="宋体"/>
          <w:color w:val="auto"/>
          <w:highlight w:val="none"/>
        </w:rPr>
      </w:pPr>
      <w:r>
        <w:rPr>
          <w:rFonts w:hint="eastAsia" w:hAnsi="宋体" w:cs="宋体"/>
          <w:color w:val="auto"/>
          <w:highlight w:val="none"/>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3"/>
        <w:numPr>
          <w:ilvl w:val="0"/>
          <w:numId w:val="56"/>
        </w:numPr>
        <w:spacing w:line="440" w:lineRule="exact"/>
        <w:rPr>
          <w:rFonts w:hint="eastAsia" w:hAnsi="宋体" w:cs="宋体"/>
          <w:color w:val="auto"/>
          <w:highlight w:val="none"/>
        </w:rPr>
      </w:pPr>
      <w:r>
        <w:rPr>
          <w:rFonts w:hint="eastAsia" w:hAnsi="宋体" w:cs="宋体"/>
          <w:color w:val="auto"/>
          <w:highlight w:val="none"/>
        </w:rPr>
        <w:t>提供虚假材料谋取中标、成交的；</w:t>
      </w:r>
    </w:p>
    <w:p>
      <w:pPr>
        <w:pStyle w:val="13"/>
        <w:numPr>
          <w:ilvl w:val="0"/>
          <w:numId w:val="56"/>
        </w:numPr>
        <w:spacing w:line="440" w:lineRule="exact"/>
        <w:rPr>
          <w:rFonts w:hint="eastAsia" w:hAnsi="宋体" w:cs="宋体"/>
          <w:color w:val="auto"/>
          <w:highlight w:val="none"/>
        </w:rPr>
      </w:pPr>
      <w:r>
        <w:rPr>
          <w:rFonts w:hint="eastAsia" w:hAnsi="宋体" w:cs="宋体"/>
          <w:color w:val="auto"/>
          <w:highlight w:val="none"/>
        </w:rPr>
        <w:t>采取不正当手段诋毁、排挤其他供应商的；</w:t>
      </w:r>
    </w:p>
    <w:p>
      <w:pPr>
        <w:pStyle w:val="13"/>
        <w:numPr>
          <w:ilvl w:val="0"/>
          <w:numId w:val="56"/>
        </w:numPr>
        <w:spacing w:line="440" w:lineRule="exact"/>
        <w:rPr>
          <w:rFonts w:hint="eastAsia" w:hAnsi="宋体" w:cs="宋体"/>
          <w:color w:val="auto"/>
          <w:highlight w:val="none"/>
        </w:rPr>
      </w:pPr>
      <w:r>
        <w:rPr>
          <w:rFonts w:hint="eastAsia" w:hAnsi="宋体" w:cs="宋体"/>
          <w:color w:val="auto"/>
          <w:highlight w:val="none"/>
        </w:rPr>
        <w:t>与采购人、其他供应商或者采购代理机构恶意串通的；</w:t>
      </w:r>
    </w:p>
    <w:p>
      <w:pPr>
        <w:pStyle w:val="13"/>
        <w:numPr>
          <w:ilvl w:val="0"/>
          <w:numId w:val="56"/>
        </w:numPr>
        <w:spacing w:line="440" w:lineRule="exact"/>
        <w:rPr>
          <w:rFonts w:hint="eastAsia" w:hAnsi="宋体" w:cs="宋体"/>
          <w:color w:val="auto"/>
          <w:highlight w:val="none"/>
        </w:rPr>
      </w:pPr>
      <w:r>
        <w:rPr>
          <w:rFonts w:hint="eastAsia" w:hAnsi="宋体" w:cs="宋体"/>
          <w:color w:val="auto"/>
          <w:highlight w:val="none"/>
        </w:rPr>
        <w:t>向采购人、采购代理机构行贿或者提供其他不正当利益的；</w:t>
      </w:r>
    </w:p>
    <w:p>
      <w:pPr>
        <w:pStyle w:val="13"/>
        <w:numPr>
          <w:ilvl w:val="0"/>
          <w:numId w:val="56"/>
        </w:numPr>
        <w:spacing w:line="440" w:lineRule="exact"/>
        <w:rPr>
          <w:rFonts w:hint="eastAsia" w:hAnsi="宋体" w:cs="宋体"/>
          <w:color w:val="auto"/>
          <w:highlight w:val="none"/>
        </w:rPr>
      </w:pPr>
      <w:r>
        <w:rPr>
          <w:rFonts w:hint="eastAsia" w:hAnsi="宋体" w:cs="宋体"/>
          <w:color w:val="auto"/>
          <w:highlight w:val="none"/>
        </w:rPr>
        <w:t>在招标采购过程中与采购人进行协商谈判的；</w:t>
      </w:r>
    </w:p>
    <w:p>
      <w:pPr>
        <w:pStyle w:val="13"/>
        <w:numPr>
          <w:ilvl w:val="0"/>
          <w:numId w:val="56"/>
        </w:numPr>
        <w:spacing w:line="440" w:lineRule="exact"/>
        <w:rPr>
          <w:rFonts w:hint="eastAsia" w:hAnsi="宋体" w:cs="宋体"/>
          <w:color w:val="auto"/>
          <w:highlight w:val="none"/>
        </w:rPr>
      </w:pPr>
      <w:r>
        <w:rPr>
          <w:rFonts w:hint="eastAsia" w:hAnsi="宋体" w:cs="宋体"/>
          <w:color w:val="auto"/>
          <w:highlight w:val="none"/>
        </w:rPr>
        <w:t>拒绝有关部门监督检查或提供虚假情况的。</w:t>
      </w:r>
    </w:p>
    <w:p>
      <w:pPr>
        <w:pStyle w:val="13"/>
        <w:spacing w:line="360" w:lineRule="auto"/>
        <w:ind w:firstLine="420"/>
        <w:rPr>
          <w:rFonts w:hint="eastAsia" w:hAnsi="宋体" w:cs="宋体"/>
          <w:color w:val="auto"/>
          <w:highlight w:val="none"/>
        </w:rPr>
      </w:pPr>
      <w:r>
        <w:rPr>
          <w:rFonts w:hint="eastAsia" w:hAnsi="宋体" w:cs="宋体"/>
          <w:color w:val="auto"/>
          <w:highlight w:val="none"/>
        </w:rPr>
        <w:t>10.以上事项如有虚假或者隐瞒，我方愿意承担一切后果，并不再寻求任何旨在减轻或者免除法律责任的辩解。</w:t>
      </w:r>
    </w:p>
    <w:p>
      <w:pPr>
        <w:pStyle w:val="13"/>
        <w:spacing w:line="360" w:lineRule="auto"/>
        <w:ind w:firstLine="420"/>
        <w:rPr>
          <w:rFonts w:hint="eastAsia" w:hAnsi="宋体" w:cs="宋体"/>
          <w:color w:val="auto"/>
          <w:highlight w:val="none"/>
        </w:rPr>
      </w:pPr>
      <w:r>
        <w:rPr>
          <w:rFonts w:hint="eastAsia" w:hAnsi="宋体" w:cs="宋体"/>
          <w:color w:val="auto"/>
          <w:highlight w:val="none"/>
        </w:rPr>
        <w:t>11.与本投标有关的一切正式往来信函请寄：</w:t>
      </w:r>
    </w:p>
    <w:p>
      <w:pPr>
        <w:snapToGrid w:val="0"/>
        <w:spacing w:line="360" w:lineRule="exact"/>
        <w:ind w:firstLine="420" w:firstLineChars="200"/>
        <w:rPr>
          <w:rFonts w:hint="eastAsia" w:ascii="宋体" w:hAnsi="宋体" w:cs="宋体"/>
          <w:color w:val="auto"/>
          <w:sz w:val="22"/>
          <w:szCs w:val="22"/>
          <w:highlight w:val="none"/>
        </w:rPr>
      </w:pPr>
      <w:r>
        <w:rPr>
          <w:rFonts w:hint="eastAsia" w:ascii="宋体" w:hAnsi="宋体" w:cs="宋体"/>
          <w:color w:val="auto"/>
          <w:szCs w:val="21"/>
          <w:highlight w:val="none"/>
        </w:rPr>
        <w:t>投标人全称：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 w:val="22"/>
          <w:szCs w:val="22"/>
          <w:highlight w:val="none"/>
        </w:rPr>
        <w:t xml:space="preserve">  </w:t>
      </w:r>
    </w:p>
    <w:p>
      <w:pPr>
        <w:snapToGrid w:val="0"/>
        <w:spacing w:line="360" w:lineRule="exact"/>
        <w:ind w:firstLine="440" w:firstLineChars="200"/>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投标人统一社会信用代码：</w:t>
      </w:r>
      <w:r>
        <w:rPr>
          <w:rFonts w:hint="eastAsia" w:ascii="宋体" w:hAnsi="宋体" w:cs="宋体"/>
          <w:color w:val="auto"/>
          <w:sz w:val="22"/>
          <w:szCs w:val="22"/>
          <w:highlight w:val="none"/>
          <w:u w:val="single"/>
        </w:rPr>
        <w:t xml:space="preserve">                          </w:t>
      </w:r>
    </w:p>
    <w:p>
      <w:pPr>
        <w:snapToGrid w:val="0"/>
        <w:spacing w:line="3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开户行及账号：</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w:t>
      </w:r>
    </w:p>
    <w:p>
      <w:pPr>
        <w:snapToGrid w:val="0"/>
        <w:spacing w:line="3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投标人联系电话：</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w:t>
      </w:r>
    </w:p>
    <w:p>
      <w:pPr>
        <w:snapToGrid w:val="0"/>
        <w:spacing w:line="3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投标人地址：</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w:t>
      </w:r>
    </w:p>
    <w:p>
      <w:pPr>
        <w:snapToGrid w:val="0"/>
        <w:spacing w:line="3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邮编：</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w:t>
      </w:r>
    </w:p>
    <w:p>
      <w:pPr>
        <w:snapToGrid w:val="0"/>
        <w:spacing w:line="3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电子邮箱：</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w:t>
      </w:r>
    </w:p>
    <w:p>
      <w:pPr>
        <w:snapToGrid w:val="0"/>
        <w:spacing w:line="3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法定代表人姓名：</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w:t>
      </w:r>
    </w:p>
    <w:p>
      <w:pPr>
        <w:snapToGrid w:val="0"/>
        <w:spacing w:line="3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法定代表人身份证号码：</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w:t>
      </w:r>
    </w:p>
    <w:p>
      <w:pPr>
        <w:snapToGrid w:val="0"/>
        <w:spacing w:line="3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授权委托代理人姓名：</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w:t>
      </w:r>
    </w:p>
    <w:p>
      <w:pPr>
        <w:snapToGrid w:val="0"/>
        <w:spacing w:line="360" w:lineRule="exact"/>
        <w:ind w:left="1003" w:leftChars="200" w:hanging="583" w:hangingChars="265"/>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授权委托代理人身份证号码：</w:t>
      </w:r>
      <w:r>
        <w:rPr>
          <w:rFonts w:hint="eastAsia" w:ascii="宋体" w:hAnsi="宋体" w:cs="宋体"/>
          <w:color w:val="auto"/>
          <w:sz w:val="22"/>
          <w:szCs w:val="22"/>
          <w:highlight w:val="none"/>
          <w:u w:val="single"/>
        </w:rPr>
        <w:t xml:space="preserve">             　 </w:t>
      </w:r>
    </w:p>
    <w:p>
      <w:pPr>
        <w:pStyle w:val="13"/>
        <w:spacing w:line="440" w:lineRule="exact"/>
        <w:ind w:firstLine="420"/>
        <w:rPr>
          <w:rFonts w:hint="eastAsia" w:hAnsi="宋体" w:cs="宋体"/>
          <w:color w:val="auto"/>
          <w:highlight w:val="none"/>
          <w:u w:val="single"/>
        </w:rPr>
      </w:pPr>
      <w:r>
        <w:rPr>
          <w:rFonts w:hint="eastAsia" w:hAnsi="宋体" w:cs="宋体"/>
          <w:color w:val="auto"/>
          <w:sz w:val="22"/>
          <w:szCs w:val="22"/>
          <w:highlight w:val="none"/>
        </w:rPr>
        <w:t>授权委托代理人手机号码：</w:t>
      </w:r>
      <w:r>
        <w:rPr>
          <w:rFonts w:hint="eastAsia" w:hAnsi="宋体" w:cs="宋体"/>
          <w:color w:val="auto"/>
          <w:sz w:val="22"/>
          <w:szCs w:val="22"/>
          <w:highlight w:val="none"/>
          <w:u w:val="single"/>
        </w:rPr>
        <w:t xml:space="preserve">             　 </w:t>
      </w:r>
    </w:p>
    <w:p>
      <w:pPr>
        <w:snapToGrid w:val="0"/>
        <w:spacing w:line="360" w:lineRule="auto"/>
        <w:ind w:firstLine="5040" w:firstLineChars="2100"/>
        <w:rPr>
          <w:rFonts w:hint="eastAsia" w:ascii="宋体" w:hAnsi="宋体" w:cs="宋体"/>
          <w:color w:val="auto"/>
          <w:kern w:val="0"/>
          <w:sz w:val="24"/>
          <w:highlight w:val="none"/>
          <w:lang w:val="zh-CN"/>
        </w:rPr>
      </w:pPr>
    </w:p>
    <w:p>
      <w:pPr>
        <w:snapToGrid w:val="0"/>
        <w:spacing w:line="360" w:lineRule="auto"/>
        <w:ind w:firstLine="5040" w:firstLineChars="2100"/>
        <w:rPr>
          <w:rFonts w:hint="eastAsia" w:ascii="宋体" w:hAnsi="宋体" w:cs="宋体"/>
          <w:color w:val="auto"/>
          <w:kern w:val="0"/>
          <w:sz w:val="24"/>
          <w:highlight w:val="none"/>
          <w:lang w:val="zh-CN"/>
        </w:rPr>
      </w:pPr>
    </w:p>
    <w:p>
      <w:pPr>
        <w:snapToGrid w:val="0"/>
        <w:spacing w:line="360" w:lineRule="auto"/>
        <w:ind w:firstLine="5040" w:firstLineChars="21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投标人名称（盖公章)：</w:t>
      </w:r>
    </w:p>
    <w:p>
      <w:pPr>
        <w:snapToGrid w:val="0"/>
        <w:spacing w:line="360" w:lineRule="auto"/>
        <w:ind w:firstLine="5160" w:firstLineChars="215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widowControl/>
        <w:spacing w:line="360" w:lineRule="auto"/>
        <w:jc w:val="left"/>
        <w:rPr>
          <w:rFonts w:hint="eastAsia" w:ascii="宋体" w:hAnsi="宋体" w:cs="宋体"/>
          <w:color w:val="auto"/>
          <w:kern w:val="0"/>
          <w:sz w:val="24"/>
          <w:highlight w:val="none"/>
          <w:lang w:val="zh-CN"/>
        </w:rPr>
        <w:sectPr>
          <w:pgSz w:w="11906" w:h="16838"/>
          <w:pgMar w:top="1134" w:right="1020" w:bottom="1020" w:left="1134" w:header="720" w:footer="720" w:gutter="0"/>
          <w:cols w:space="720" w:num="1"/>
          <w:docGrid w:type="lines" w:linePitch="331" w:charSpace="0"/>
        </w:sectPr>
      </w:pPr>
    </w:p>
    <w:p>
      <w:pPr>
        <w:pStyle w:val="13"/>
        <w:spacing w:line="360" w:lineRule="auto"/>
        <w:jc w:val="left"/>
        <w:rPr>
          <w:rFonts w:hint="eastAsia" w:hAnsi="宋体" w:cs="宋体"/>
          <w:b/>
          <w:color w:val="auto"/>
          <w:sz w:val="28"/>
          <w:szCs w:val="28"/>
          <w:highlight w:val="none"/>
        </w:rPr>
      </w:pPr>
      <w:r>
        <w:rPr>
          <w:rFonts w:hint="eastAsia" w:hAnsi="宋体" w:cs="宋体"/>
          <w:b/>
          <w:color w:val="auto"/>
          <w:sz w:val="28"/>
          <w:szCs w:val="28"/>
          <w:highlight w:val="none"/>
        </w:rPr>
        <w:t>4. 开标一览表的格式：</w:t>
      </w:r>
    </w:p>
    <w:p>
      <w:pPr>
        <w:pStyle w:val="13"/>
        <w:spacing w:line="360" w:lineRule="auto"/>
        <w:jc w:val="center"/>
        <w:rPr>
          <w:rFonts w:hint="eastAsia" w:hAnsi="宋体" w:cs="宋体"/>
          <w:b/>
          <w:color w:val="auto"/>
          <w:sz w:val="30"/>
          <w:szCs w:val="30"/>
          <w:highlight w:val="none"/>
        </w:rPr>
      </w:pPr>
      <w:r>
        <w:rPr>
          <w:rFonts w:hint="eastAsia" w:hAnsi="宋体" w:cs="宋体"/>
          <w:b/>
          <w:color w:val="auto"/>
          <w:sz w:val="30"/>
          <w:szCs w:val="30"/>
          <w:highlight w:val="none"/>
        </w:rPr>
        <w:t>开标一览表（</w:t>
      </w:r>
      <w:r>
        <w:rPr>
          <w:rFonts w:hint="eastAsia" w:hAnsi="宋体" w:cs="宋体"/>
          <w:b/>
          <w:color w:val="auto"/>
          <w:kern w:val="0"/>
          <w:sz w:val="24"/>
          <w:highlight w:val="none"/>
          <w:lang w:val="zh-CN"/>
        </w:rPr>
        <w:t>单位均为人民币元)</w:t>
      </w:r>
    </w:p>
    <w:p>
      <w:pPr>
        <w:snapToGrid w:val="0"/>
        <w:spacing w:before="50" w:after="50" w:line="480" w:lineRule="auto"/>
        <w:rPr>
          <w:rFonts w:hint="eastAsia"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pPr>
        <w:snapToGrid w:val="0"/>
        <w:spacing w:before="50" w:after="50" w:line="480" w:lineRule="auto"/>
        <w:rPr>
          <w:rFonts w:hint="eastAsia" w:ascii="宋体" w:hAnsi="宋体" w:cs="宋体"/>
          <w:color w:val="auto"/>
          <w:sz w:val="24"/>
          <w:highlight w:val="none"/>
          <w:u w:val="singl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bookmarkStart w:id="377" w:name="PO_3000001867_PM001_7"/>
      <w:r>
        <w:rPr>
          <w:rFonts w:hint="eastAsia" w:ascii="宋体" w:hAnsi="宋体" w:cs="宋体"/>
          <w:color w:val="auto"/>
          <w:sz w:val="24"/>
          <w:highlight w:val="none"/>
          <w:u w:val="single"/>
        </w:rPr>
        <w:t xml:space="preserve">                      </w:t>
      </w:r>
      <w:bookmarkEnd w:id="377"/>
    </w:p>
    <w:p>
      <w:pPr>
        <w:pStyle w:val="15"/>
        <w:rPr>
          <w:rFonts w:hint="eastAsia" w:hAnsi="宋体" w:cs="宋体"/>
          <w:color w:val="auto"/>
          <w:sz w:val="24"/>
          <w:highlight w:val="none"/>
        </w:rPr>
      </w:pPr>
      <w:r>
        <w:rPr>
          <w:rFonts w:hint="eastAsia" w:ascii="宋体" w:hAnsi="宋体" w:cs="宋体"/>
          <w:bCs/>
          <w:color w:val="auto"/>
          <w:sz w:val="24"/>
          <w:highlight w:val="none"/>
        </w:rPr>
        <w:t>所投分标（如有则填写，无分标时填写“无”或者留空）：</w:t>
      </w:r>
      <w:r>
        <w:rPr>
          <w:rFonts w:hint="eastAsia" w:ascii="宋体" w:hAnsi="宋体" w:cs="宋体"/>
          <w:color w:val="auto"/>
          <w:sz w:val="24"/>
          <w:highlight w:val="none"/>
          <w:u w:val="single"/>
        </w:rPr>
        <w:t xml:space="preserve">           </w:t>
      </w:r>
      <w:r>
        <w:rPr>
          <w:rFonts w:hint="eastAsia" w:hAnsi="宋体" w:cs="宋体"/>
          <w:color w:val="auto"/>
          <w:sz w:val="24"/>
          <w:highlight w:val="none"/>
        </w:rPr>
        <w:t xml:space="preserve">  </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260"/>
        <w:gridCol w:w="1516"/>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2"/>
                <w:highlight w:val="none"/>
              </w:rPr>
            </w:pPr>
            <w:r>
              <w:rPr>
                <w:rFonts w:hint="eastAsia" w:ascii="宋体" w:hAnsi="宋体" w:cs="宋体"/>
                <w:color w:val="auto"/>
                <w:szCs w:val="22"/>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2"/>
                <w:highlight w:val="none"/>
              </w:rPr>
            </w:pPr>
            <w:r>
              <w:rPr>
                <w:rFonts w:hint="eastAsia" w:ascii="宋体" w:hAnsi="宋体" w:cs="宋体"/>
                <w:color w:val="auto"/>
                <w:szCs w:val="22"/>
                <w:highlight w:val="none"/>
              </w:rPr>
              <w:t>标的的名称</w:t>
            </w:r>
          </w:p>
        </w:tc>
        <w:tc>
          <w:tcPr>
            <w:tcW w:w="20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2"/>
                <w:highlight w:val="none"/>
              </w:rPr>
            </w:pPr>
            <w:r>
              <w:rPr>
                <w:rFonts w:hint="eastAsia" w:ascii="宋体" w:hAnsi="宋体" w:cs="宋体"/>
                <w:color w:val="auto"/>
                <w:szCs w:val="22"/>
                <w:highlight w:val="none"/>
              </w:rPr>
              <w:t>服务内容</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2"/>
                <w:highlight w:val="none"/>
              </w:rPr>
            </w:pPr>
            <w:r>
              <w:rPr>
                <w:rFonts w:hint="eastAsia" w:ascii="宋体" w:hAnsi="宋体" w:cs="宋体"/>
                <w:color w:val="auto"/>
                <w:szCs w:val="22"/>
                <w:highlight w:val="none"/>
              </w:rPr>
              <w:t>数量及 单位①</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2"/>
                <w:highlight w:val="none"/>
              </w:rPr>
            </w:pPr>
            <w:bookmarkStart w:id="378" w:name="OLE_LINK27"/>
            <w:r>
              <w:rPr>
                <w:rFonts w:hint="eastAsia" w:ascii="宋体" w:hAnsi="宋体" w:cs="宋体"/>
                <w:color w:val="auto"/>
                <w:szCs w:val="22"/>
                <w:highlight w:val="none"/>
              </w:rPr>
              <w:t>单价（元)</w:t>
            </w:r>
            <w:bookmarkEnd w:id="378"/>
            <w:r>
              <w:rPr>
                <w:rFonts w:hint="eastAsia" w:ascii="宋体" w:hAnsi="宋体" w:cs="宋体"/>
                <w:color w:val="auto"/>
                <w:szCs w:val="22"/>
                <w:highlight w:val="none"/>
              </w:rPr>
              <w:t>②</w:t>
            </w:r>
          </w:p>
        </w:tc>
        <w:tc>
          <w:tcPr>
            <w:tcW w:w="151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2"/>
                <w:highlight w:val="none"/>
              </w:rPr>
            </w:pPr>
            <w:r>
              <w:rPr>
                <w:rFonts w:hint="eastAsia" w:ascii="宋体" w:hAnsi="宋体" w:cs="宋体"/>
                <w:color w:val="auto"/>
                <w:szCs w:val="22"/>
                <w:highlight w:val="none"/>
              </w:rPr>
              <w:t>单项合价（元）</w:t>
            </w:r>
          </w:p>
          <w:p>
            <w:pPr>
              <w:rPr>
                <w:rFonts w:hint="eastAsia" w:ascii="宋体" w:hAnsi="宋体" w:cs="宋体"/>
                <w:color w:val="auto"/>
                <w:szCs w:val="22"/>
                <w:highlight w:val="none"/>
              </w:rPr>
            </w:pPr>
            <w:r>
              <w:rPr>
                <w:rFonts w:hint="eastAsia" w:ascii="宋体" w:hAnsi="宋体" w:cs="宋体"/>
                <w:color w:val="auto"/>
                <w:szCs w:val="22"/>
                <w:highlight w:val="none"/>
              </w:rPr>
              <w:t>③=①×②</w:t>
            </w:r>
          </w:p>
        </w:tc>
        <w:tc>
          <w:tcPr>
            <w:tcW w:w="1914"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cs="宋体"/>
                <w:color w:val="auto"/>
                <w:szCs w:val="22"/>
                <w:highlight w:val="none"/>
              </w:rPr>
            </w:pPr>
            <w:r>
              <w:rPr>
                <w:rFonts w:hint="eastAsia" w:ascii="宋体" w:hAnsi="宋体" w:cs="宋体"/>
                <w:color w:val="auto"/>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color w:val="auto"/>
                <w:szCs w:val="22"/>
                <w:highlight w:val="none"/>
              </w:rPr>
            </w:pPr>
            <w:r>
              <w:rPr>
                <w:rFonts w:hint="eastAsia" w:ascii="宋体" w:hAnsi="宋体" w:cs="宋体"/>
                <w:color w:val="auto"/>
                <w:szCs w:val="22"/>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2"/>
                <w:highlight w:val="none"/>
              </w:rPr>
            </w:pPr>
          </w:p>
        </w:tc>
        <w:tc>
          <w:tcPr>
            <w:tcW w:w="206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2"/>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2"/>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2"/>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cs="宋体"/>
                <w:color w:val="auto"/>
                <w:szCs w:val="22"/>
                <w:highlight w:val="none"/>
              </w:rPr>
            </w:pPr>
          </w:p>
        </w:tc>
        <w:tc>
          <w:tcPr>
            <w:tcW w:w="1914" w:type="dxa"/>
            <w:tcBorders>
              <w:top w:val="single" w:color="auto" w:sz="4" w:space="0"/>
              <w:left w:val="single" w:color="auto" w:sz="4" w:space="0"/>
              <w:bottom w:val="single" w:color="auto" w:sz="4" w:space="0"/>
              <w:right w:val="single" w:color="auto" w:sz="4" w:space="0"/>
            </w:tcBorders>
          </w:tcPr>
          <w:p>
            <w:pPr>
              <w:rPr>
                <w:rFonts w:hint="eastAsia" w:ascii="宋体" w:hAnsi="宋体" w:cs="宋体"/>
                <w:color w:val="auto"/>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7"/>
            <w:tcBorders>
              <w:top w:val="single" w:color="auto" w:sz="4" w:space="0"/>
              <w:left w:val="single" w:color="auto" w:sz="4" w:space="0"/>
              <w:bottom w:val="single" w:color="auto" w:sz="4" w:space="0"/>
              <w:right w:val="single" w:color="auto" w:sz="4" w:space="0"/>
            </w:tcBorders>
            <w:vAlign w:val="center"/>
          </w:tcPr>
          <w:p>
            <w:pPr>
              <w:pStyle w:val="15"/>
              <w:rPr>
                <w:color w:val="auto"/>
                <w:highlight w:val="none"/>
              </w:rPr>
            </w:pPr>
          </w:p>
          <w:p>
            <w:pPr>
              <w:rPr>
                <w:color w:val="auto"/>
                <w:highlight w:val="none"/>
              </w:rPr>
            </w:pPr>
            <w:r>
              <w:rPr>
                <w:rFonts w:hint="eastAsia"/>
                <w:color w:val="auto"/>
                <w:highlight w:val="none"/>
              </w:rPr>
              <w:t xml:space="preserve">投标总报价（包含税费等所有费用）：（大写）人民币      （小写）¥    </w:t>
            </w:r>
          </w:p>
          <w:p>
            <w:pPr>
              <w:rPr>
                <w:color w:val="auto"/>
                <w:highlight w:val="none"/>
              </w:rPr>
            </w:pPr>
            <w:r>
              <w:rPr>
                <w:rFonts w:hint="eastAsia"/>
                <w:color w:val="auto"/>
                <w:highlight w:val="none"/>
              </w:rPr>
              <w:t xml:space="preserve">交付时间：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7"/>
            <w:tcBorders>
              <w:top w:val="single" w:color="auto" w:sz="4" w:space="0"/>
              <w:left w:val="single" w:color="auto" w:sz="4" w:space="0"/>
              <w:bottom w:val="single" w:color="auto" w:sz="4" w:space="0"/>
              <w:right w:val="single" w:color="auto" w:sz="4" w:space="0"/>
            </w:tcBorders>
            <w:vAlign w:val="center"/>
          </w:tcPr>
          <w:p>
            <w:pPr>
              <w:numPr>
                <w:ilvl w:val="0"/>
                <w:numId w:val="57"/>
              </w:num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人员配置：投入本项目项目经理</w:t>
            </w:r>
            <w:r>
              <w:rPr>
                <w:rFonts w:hint="eastAsia" w:ascii="宋体" w:hAnsi="宋体"/>
                <w:color w:val="auto"/>
                <w:szCs w:val="21"/>
                <w:highlight w:val="none"/>
                <w:u w:val="single"/>
              </w:rPr>
              <w:t xml:space="preserve">  </w:t>
            </w:r>
            <w:r>
              <w:rPr>
                <w:rFonts w:hint="eastAsia" w:ascii="宋体" w:hAnsi="宋体"/>
                <w:color w:val="auto"/>
                <w:szCs w:val="21"/>
                <w:highlight w:val="none"/>
              </w:rPr>
              <w:t>人；</w:t>
            </w:r>
            <w:r>
              <w:rPr>
                <w:rFonts w:hint="eastAsia" w:ascii="宋体" w:hAnsi="宋体" w:eastAsia="宋体" w:cs="宋体"/>
                <w:color w:val="auto"/>
                <w:szCs w:val="21"/>
                <w:highlight w:val="none"/>
                <w:shd w:val="clear" w:color="auto" w:fill="FFFFFF"/>
              </w:rPr>
              <w:t>系统开发服务期间，现场项目团队人员</w:t>
            </w:r>
            <w:r>
              <w:rPr>
                <w:rFonts w:hint="eastAsia" w:ascii="宋体" w:hAnsi="宋体"/>
                <w:color w:val="auto"/>
                <w:szCs w:val="21"/>
                <w:highlight w:val="none"/>
                <w:u w:val="single"/>
              </w:rPr>
              <w:t xml:space="preserve">   </w:t>
            </w:r>
            <w:r>
              <w:rPr>
                <w:rFonts w:hint="eastAsia" w:ascii="宋体" w:hAnsi="宋体"/>
                <w:color w:val="auto"/>
                <w:szCs w:val="21"/>
                <w:highlight w:val="none"/>
              </w:rPr>
              <w:t>人；</w:t>
            </w:r>
            <w:r>
              <w:rPr>
                <w:rFonts w:hint="eastAsia" w:ascii="宋体" w:hAnsi="宋体" w:cs="宋体"/>
                <w:color w:val="auto"/>
                <w:szCs w:val="21"/>
                <w:highlight w:val="none"/>
              </w:rPr>
              <w:t>质保服务期内</w:t>
            </w:r>
            <w:r>
              <w:rPr>
                <w:rFonts w:hint="eastAsia" w:ascii="宋体" w:hAnsi="宋体"/>
                <w:color w:val="auto"/>
                <w:szCs w:val="21"/>
                <w:highlight w:val="none"/>
              </w:rPr>
              <w:t>驻场人员</w:t>
            </w:r>
            <w:r>
              <w:rPr>
                <w:rFonts w:hint="eastAsia" w:ascii="宋体" w:hAnsi="宋体"/>
                <w:color w:val="auto"/>
                <w:szCs w:val="21"/>
                <w:highlight w:val="none"/>
                <w:u w:val="single"/>
              </w:rPr>
              <w:t xml:space="preserve">   </w:t>
            </w:r>
            <w:r>
              <w:rPr>
                <w:rFonts w:hint="eastAsia" w:ascii="宋体" w:hAnsi="宋体"/>
                <w:color w:val="auto"/>
                <w:szCs w:val="21"/>
                <w:highlight w:val="none"/>
              </w:rPr>
              <w:t>人。</w:t>
            </w:r>
          </w:p>
          <w:p>
            <w:pPr>
              <w:ind w:firstLine="420" w:firstLineChars="200"/>
              <w:rPr>
                <w:rFonts w:hint="eastAsia" w:ascii="宋体" w:hAnsi="宋体" w:cs="宋体"/>
                <w:color w:val="auto"/>
                <w:szCs w:val="22"/>
                <w:highlight w:val="none"/>
              </w:rPr>
            </w:pPr>
            <w:r>
              <w:rPr>
                <w:rFonts w:hint="eastAsia" w:ascii="宋体" w:hAnsi="宋体" w:cs="宋体"/>
                <w:color w:val="auto"/>
                <w:szCs w:val="22"/>
                <w:highlight w:val="none"/>
              </w:rPr>
              <w:t>（2）优惠及其它：</w:t>
            </w:r>
            <w:r>
              <w:rPr>
                <w:rFonts w:hint="eastAsia" w:ascii="宋体" w:hAnsi="宋体" w:cs="宋体"/>
                <w:i/>
                <w:iCs/>
                <w:color w:val="auto"/>
                <w:highlight w:val="none"/>
              </w:rPr>
              <w:t>（如没有填写无）</w:t>
            </w:r>
          </w:p>
        </w:tc>
      </w:tr>
    </w:tbl>
    <w:p>
      <w:pPr>
        <w:pStyle w:val="15"/>
        <w:rPr>
          <w:rFonts w:hint="eastAsia" w:hAnsi="宋体" w:cs="宋体"/>
          <w:color w:val="auto"/>
          <w:sz w:val="24"/>
          <w:highlight w:val="none"/>
        </w:rPr>
      </w:pPr>
    </w:p>
    <w:p>
      <w:pPr>
        <w:snapToGrid w:val="0"/>
        <w:spacing w:before="50" w:after="50" w:line="360" w:lineRule="auto"/>
        <w:ind w:firstLine="420" w:firstLineChars="200"/>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注： </w:t>
      </w:r>
    </w:p>
    <w:p>
      <w:pPr>
        <w:snapToGrid w:val="0"/>
        <w:spacing w:before="50" w:after="50" w:line="360" w:lineRule="auto"/>
        <w:ind w:firstLine="420" w:firstLineChars="200"/>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1</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投标人需按本表格式填写，不得自行更改，也不得留空（备注除外），如有多分标，按分标分别提供开标一览表，必须加盖投标人有效公章，</w:t>
      </w:r>
      <w:r>
        <w:rPr>
          <w:rFonts w:hint="eastAsia" w:ascii="宋体" w:hAnsi="宋体" w:cs="宋体"/>
          <w:b/>
          <w:color w:val="auto"/>
          <w:kern w:val="0"/>
          <w:szCs w:val="21"/>
          <w:highlight w:val="none"/>
          <w:lang w:val="zh-CN"/>
        </w:rPr>
        <w:t>否则其投标作无效标处理。</w:t>
      </w:r>
    </w:p>
    <w:p>
      <w:pPr>
        <w:snapToGrid w:val="0"/>
        <w:spacing w:before="50" w:after="50" w:line="360" w:lineRule="auto"/>
        <w:ind w:firstLine="420" w:firstLineChars="200"/>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2</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本表内容均不能涂改，</w:t>
      </w:r>
      <w:r>
        <w:rPr>
          <w:rFonts w:hint="eastAsia" w:ascii="宋体" w:hAnsi="宋体" w:cs="宋体"/>
          <w:b/>
          <w:color w:val="auto"/>
          <w:kern w:val="0"/>
          <w:szCs w:val="21"/>
          <w:highlight w:val="none"/>
          <w:lang w:val="zh-CN"/>
        </w:rPr>
        <w:t>否则其投标作无效标处理。</w:t>
      </w:r>
    </w:p>
    <w:p>
      <w:pPr>
        <w:snapToGrid w:val="0"/>
        <w:spacing w:before="50" w:after="50" w:line="360" w:lineRule="auto"/>
        <w:ind w:firstLine="420" w:firstLineChars="200"/>
        <w:jc w:val="left"/>
        <w:rPr>
          <w:rFonts w:hint="eastAsia" w:ascii="宋体" w:hAnsi="宋体" w:cs="宋体"/>
          <w:b/>
          <w:color w:val="auto"/>
          <w:kern w:val="0"/>
          <w:szCs w:val="21"/>
          <w:highlight w:val="none"/>
          <w:lang w:val="zh-CN"/>
        </w:rPr>
      </w:pPr>
      <w:r>
        <w:rPr>
          <w:rFonts w:hint="eastAsia" w:ascii="宋体" w:hAnsi="宋体" w:cs="宋体"/>
          <w:color w:val="auto"/>
          <w:kern w:val="0"/>
          <w:szCs w:val="21"/>
          <w:highlight w:val="none"/>
          <w:lang w:val="zh-CN"/>
        </w:rPr>
        <w:t>3</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zh-CN"/>
        </w:rPr>
        <w:t>如为联合体投标，“投标人名称”处必须列明联合体各方名称，并标注联合体牵头人名称，且盖章处须加盖联合体各方公章，</w:t>
      </w:r>
      <w:r>
        <w:rPr>
          <w:rFonts w:hint="eastAsia" w:ascii="宋体" w:hAnsi="宋体" w:cs="宋体"/>
          <w:b/>
          <w:color w:val="auto"/>
          <w:kern w:val="0"/>
          <w:szCs w:val="21"/>
          <w:highlight w:val="none"/>
          <w:lang w:val="zh-CN"/>
        </w:rPr>
        <w:t>否则其投标作无效标处理。</w:t>
      </w:r>
    </w:p>
    <w:p>
      <w:pPr>
        <w:snapToGrid w:val="0"/>
        <w:spacing w:line="360" w:lineRule="auto"/>
        <w:ind w:firstLine="420" w:firstLineChars="200"/>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4</w:t>
      </w:r>
      <w:r>
        <w:rPr>
          <w:rFonts w:hint="eastAsia" w:ascii="宋体" w:hAnsi="宋体" w:cs="宋体"/>
          <w:color w:val="auto"/>
          <w:kern w:val="0"/>
          <w:szCs w:val="21"/>
          <w:highlight w:val="none"/>
        </w:rPr>
        <w:t>.请</w:t>
      </w:r>
      <w:r>
        <w:rPr>
          <w:rFonts w:hint="eastAsia" w:ascii="宋体" w:hAnsi="宋体" w:cs="宋体"/>
          <w:color w:val="auto"/>
          <w:szCs w:val="21"/>
          <w:highlight w:val="none"/>
        </w:rPr>
        <w:t>根据所投标的</w:t>
      </w:r>
      <w:r>
        <w:rPr>
          <w:rFonts w:hint="eastAsia" w:hAnsi="宋体" w:cs="宋体"/>
          <w:color w:val="auto"/>
          <w:szCs w:val="21"/>
          <w:highlight w:val="none"/>
        </w:rPr>
        <w:t>服务内容</w:t>
      </w:r>
      <w:r>
        <w:rPr>
          <w:rFonts w:hint="eastAsia" w:ascii="宋体" w:hAnsi="宋体" w:cs="宋体"/>
          <w:color w:val="auto"/>
          <w:szCs w:val="21"/>
          <w:highlight w:val="none"/>
        </w:rPr>
        <w:t>，逐条对应本项目招标文件“第二章 采购需求”中“服务参数”的</w:t>
      </w:r>
      <w:r>
        <w:rPr>
          <w:rFonts w:hint="eastAsia" w:hAnsi="宋体" w:cs="宋体"/>
          <w:color w:val="auto"/>
          <w:szCs w:val="21"/>
          <w:highlight w:val="none"/>
        </w:rPr>
        <w:t>内容</w:t>
      </w:r>
      <w:r>
        <w:rPr>
          <w:rFonts w:hint="eastAsia" w:ascii="宋体" w:hAnsi="宋体" w:cs="宋体"/>
          <w:color w:val="auto"/>
          <w:szCs w:val="21"/>
          <w:highlight w:val="none"/>
        </w:rPr>
        <w:t>详细填写相应的具体内容</w:t>
      </w:r>
      <w:r>
        <w:rPr>
          <w:rFonts w:hint="eastAsia" w:ascii="宋体" w:hAnsi="宋体" w:cs="宋体"/>
          <w:b/>
          <w:color w:val="auto"/>
          <w:kern w:val="0"/>
          <w:szCs w:val="21"/>
          <w:highlight w:val="none"/>
          <w:lang w:val="zh-CN"/>
        </w:rPr>
        <w:t>。</w:t>
      </w:r>
    </w:p>
    <w:p>
      <w:pPr>
        <w:snapToGrid w:val="0"/>
        <w:spacing w:line="360" w:lineRule="auto"/>
        <w:ind w:firstLine="420" w:firstLineChars="200"/>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rPr>
        <w:t>5.</w:t>
      </w:r>
      <w:r>
        <w:rPr>
          <w:rFonts w:hint="eastAsia" w:ascii="宋体" w:hAnsi="宋体" w:cs="宋体"/>
          <w:color w:val="auto"/>
          <w:kern w:val="0"/>
          <w:szCs w:val="21"/>
          <w:highlight w:val="none"/>
          <w:lang w:val="zh-CN"/>
        </w:rPr>
        <w:t>特别提示：采购代理机构将对项目名称和项目编号，中标人名称、地址和</w:t>
      </w:r>
      <w:r>
        <w:rPr>
          <w:rFonts w:hint="eastAsia" w:ascii="宋体" w:hAnsi="宋体" w:cs="宋体"/>
          <w:color w:val="auto"/>
          <w:kern w:val="0"/>
          <w:szCs w:val="21"/>
          <w:highlight w:val="none"/>
        </w:rPr>
        <w:t>中标</w:t>
      </w:r>
      <w:r>
        <w:rPr>
          <w:rFonts w:hint="eastAsia" w:ascii="宋体" w:hAnsi="宋体" w:cs="宋体"/>
          <w:color w:val="auto"/>
          <w:kern w:val="0"/>
          <w:szCs w:val="21"/>
          <w:highlight w:val="none"/>
          <w:lang w:val="zh-CN"/>
        </w:rPr>
        <w:t>金额，主要</w:t>
      </w:r>
      <w:r>
        <w:rPr>
          <w:rFonts w:hint="eastAsia" w:ascii="宋体" w:hAnsi="宋体" w:cs="宋体"/>
          <w:color w:val="auto"/>
          <w:kern w:val="0"/>
          <w:szCs w:val="21"/>
          <w:highlight w:val="none"/>
        </w:rPr>
        <w:t>中标</w:t>
      </w:r>
      <w:r>
        <w:rPr>
          <w:rFonts w:hint="eastAsia" w:ascii="宋体" w:hAnsi="宋体" w:cs="宋体"/>
          <w:color w:val="auto"/>
          <w:kern w:val="0"/>
          <w:szCs w:val="21"/>
          <w:highlight w:val="none"/>
          <w:lang w:val="zh-CN"/>
        </w:rPr>
        <w:t>标的的名称、服务范围、服务要求、服务时间、服务标准等予以公示。</w:t>
      </w:r>
    </w:p>
    <w:p>
      <w:pPr>
        <w:snapToGrid w:val="0"/>
        <w:spacing w:line="360" w:lineRule="auto"/>
        <w:ind w:firstLine="420" w:firstLineChars="200"/>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rPr>
        <w:t>6.</w:t>
      </w:r>
      <w:r>
        <w:rPr>
          <w:rFonts w:hint="eastAsia" w:ascii="宋体" w:hAnsi="宋体" w:cs="宋体"/>
          <w:color w:val="auto"/>
          <w:kern w:val="0"/>
          <w:szCs w:val="21"/>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5760" w:firstLineChars="24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投标人名称（盖公章)：</w:t>
      </w:r>
    </w:p>
    <w:p>
      <w:pPr>
        <w:snapToGrid w:val="0"/>
        <w:spacing w:line="360" w:lineRule="auto"/>
        <w:ind w:firstLine="5880" w:firstLineChars="245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widowControl/>
        <w:jc w:val="left"/>
        <w:rPr>
          <w:rFonts w:hint="eastAsia" w:ascii="宋体" w:hAnsi="宋体" w:cs="宋体"/>
          <w:color w:val="auto"/>
          <w:sz w:val="30"/>
          <w:szCs w:val="20"/>
          <w:highlight w:val="none"/>
        </w:rPr>
        <w:sectPr>
          <w:pgSz w:w="11906" w:h="16838"/>
          <w:pgMar w:top="1134" w:right="1020" w:bottom="1020" w:left="1134" w:header="720" w:footer="720" w:gutter="0"/>
          <w:cols w:space="720" w:num="1"/>
          <w:docGrid w:type="lines" w:linePitch="331" w:charSpace="0"/>
        </w:sectPr>
      </w:pPr>
    </w:p>
    <w:p>
      <w:pPr>
        <w:snapToGrid w:val="0"/>
        <w:spacing w:before="165" w:beforeLines="50" w:after="50"/>
        <w:jc w:val="center"/>
        <w:outlineLvl w:val="1"/>
        <w:rPr>
          <w:rFonts w:hint="eastAsia" w:ascii="宋体" w:hAnsi="宋体" w:cs="宋体"/>
          <w:b/>
          <w:bCs/>
          <w:color w:val="auto"/>
          <w:sz w:val="28"/>
          <w:szCs w:val="28"/>
          <w:highlight w:val="none"/>
        </w:rPr>
      </w:pPr>
      <w:bookmarkStart w:id="379" w:name="_Toc8131"/>
      <w:bookmarkStart w:id="380" w:name="_Toc24690"/>
      <w:bookmarkStart w:id="381" w:name="_Toc26722"/>
      <w:bookmarkStart w:id="382" w:name="_Toc19036"/>
      <w:bookmarkStart w:id="383" w:name="_Toc12749"/>
      <w:bookmarkStart w:id="384" w:name="_Toc19686840"/>
      <w:r>
        <w:rPr>
          <w:rFonts w:hint="eastAsia" w:ascii="宋体" w:hAnsi="宋体" w:cs="宋体"/>
          <w:b/>
          <w:bCs/>
          <w:color w:val="auto"/>
          <w:sz w:val="28"/>
          <w:szCs w:val="28"/>
          <w:highlight w:val="none"/>
        </w:rPr>
        <w:t>第五节 其他文书、文件格式</w:t>
      </w:r>
      <w:bookmarkEnd w:id="379"/>
      <w:bookmarkEnd w:id="380"/>
      <w:bookmarkEnd w:id="381"/>
      <w:bookmarkEnd w:id="382"/>
      <w:bookmarkEnd w:id="383"/>
      <w:bookmarkEnd w:id="384"/>
    </w:p>
    <w:p>
      <w:pPr>
        <w:pStyle w:val="13"/>
        <w:jc w:val="left"/>
        <w:rPr>
          <w:rFonts w:hint="eastAsia" w:hAnsi="宋体" w:cs="宋体"/>
          <w:b/>
          <w:color w:val="auto"/>
          <w:sz w:val="28"/>
          <w:szCs w:val="28"/>
          <w:highlight w:val="none"/>
        </w:rPr>
      </w:pPr>
      <w:r>
        <w:rPr>
          <w:rFonts w:hint="eastAsia" w:hAnsi="宋体" w:cs="宋体"/>
          <w:b/>
          <w:color w:val="auto"/>
          <w:sz w:val="28"/>
          <w:szCs w:val="28"/>
          <w:highlight w:val="none"/>
        </w:rPr>
        <w:t>1.中小企业声明函的格式：</w:t>
      </w:r>
    </w:p>
    <w:p>
      <w:pPr>
        <w:pStyle w:val="13"/>
        <w:jc w:val="center"/>
        <w:rPr>
          <w:rFonts w:ascii="Times New Roman" w:hAnsi="Times New Roman"/>
          <w:b/>
          <w:color w:val="auto"/>
          <w:sz w:val="30"/>
          <w:szCs w:val="30"/>
          <w:highlight w:val="none"/>
        </w:rPr>
      </w:pPr>
      <w:r>
        <w:rPr>
          <w:rFonts w:hint="eastAsia" w:ascii="Times New Roman" w:hAnsi="Times New Roman"/>
          <w:b/>
          <w:color w:val="auto"/>
          <w:sz w:val="30"/>
          <w:szCs w:val="30"/>
          <w:highlight w:val="none"/>
        </w:rPr>
        <w:t>中小企业声明函</w:t>
      </w:r>
    </w:p>
    <w:p>
      <w:pPr>
        <w:pStyle w:val="11"/>
        <w:spacing w:line="360" w:lineRule="exact"/>
        <w:ind w:firstLine="404" w:firstLineChars="200"/>
        <w:rPr>
          <w:rFonts w:hint="eastAsia" w:hAnsi="宋体" w:cs="宋体"/>
          <w:color w:val="auto"/>
          <w:sz w:val="21"/>
          <w:szCs w:val="21"/>
          <w:highlight w:val="none"/>
        </w:rPr>
      </w:pPr>
    </w:p>
    <w:p>
      <w:pPr>
        <w:autoSpaceDE w:val="0"/>
        <w:autoSpaceDN w:val="0"/>
        <w:adjustRightInd w:val="0"/>
        <w:spacing w:line="360" w:lineRule="auto"/>
        <w:ind w:firstLine="424" w:firstLineChars="202"/>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本公司（联合体）郑重声明，根据《政府采购促进中小企业发展管理办法》（财库﹝2020﹞46 号）的规定，本公司（联合体）参加</w:t>
      </w:r>
      <w:r>
        <w:rPr>
          <w:rFonts w:hint="eastAsia" w:ascii="宋体" w:hAnsi="宋体" w:cs="宋体"/>
          <w:i/>
          <w:color w:val="auto"/>
          <w:kern w:val="0"/>
          <w:szCs w:val="21"/>
          <w:highlight w:val="none"/>
          <w:u w:val="single"/>
        </w:rPr>
        <w:t>（单位名称）</w:t>
      </w:r>
      <w:r>
        <w:rPr>
          <w:rFonts w:hint="eastAsia" w:ascii="宋体" w:hAnsi="宋体" w:cs="宋体"/>
          <w:color w:val="auto"/>
          <w:kern w:val="0"/>
          <w:szCs w:val="21"/>
          <w:highlight w:val="none"/>
        </w:rPr>
        <w:t>的</w:t>
      </w:r>
      <w:r>
        <w:rPr>
          <w:rFonts w:hint="eastAsia" w:ascii="宋体" w:hAnsi="宋体" w:cs="宋体"/>
          <w:i/>
          <w:color w:val="auto"/>
          <w:kern w:val="0"/>
          <w:szCs w:val="21"/>
          <w:highlight w:val="none"/>
          <w:u w:val="single"/>
        </w:rPr>
        <w:t>（项目名称）</w:t>
      </w:r>
      <w:r>
        <w:rPr>
          <w:rFonts w:hint="eastAsia" w:ascii="宋体" w:hAnsi="宋体" w:cs="宋体"/>
          <w:color w:val="auto"/>
          <w:kern w:val="0"/>
          <w:szCs w:val="21"/>
          <w:highlight w:val="none"/>
        </w:rPr>
        <w:t>采购活动，服务全部由符合政策要求的中小企业承接。相关企业（含联合体中的中小企业、签订分包意向协议的中小企业）的具体情况如下：</w:t>
      </w:r>
    </w:p>
    <w:p>
      <w:pPr>
        <w:autoSpaceDE w:val="0"/>
        <w:autoSpaceDN w:val="0"/>
        <w:adjustRightInd w:val="0"/>
        <w:spacing w:line="360" w:lineRule="auto"/>
        <w:ind w:firstLine="424" w:firstLineChars="202"/>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1. </w:t>
      </w:r>
      <w:r>
        <w:rPr>
          <w:rFonts w:hint="eastAsia" w:ascii="宋体" w:hAnsi="宋体" w:cs="宋体"/>
          <w:i/>
          <w:color w:val="auto"/>
          <w:kern w:val="0"/>
          <w:szCs w:val="21"/>
          <w:highlight w:val="none"/>
          <w:u w:val="single"/>
        </w:rPr>
        <w:t>（标的名称）</w:t>
      </w:r>
      <w:r>
        <w:rPr>
          <w:rFonts w:hint="eastAsia" w:ascii="宋体" w:hAnsi="宋体" w:cs="宋体"/>
          <w:color w:val="auto"/>
          <w:kern w:val="0"/>
          <w:szCs w:val="21"/>
          <w:highlight w:val="none"/>
        </w:rPr>
        <w:t xml:space="preserve"> ，属于</w:t>
      </w:r>
      <w:r>
        <w:rPr>
          <w:rFonts w:hint="eastAsia" w:ascii="宋体" w:hAnsi="宋体" w:cs="宋体"/>
          <w:i/>
          <w:color w:val="auto"/>
          <w:kern w:val="0"/>
          <w:szCs w:val="21"/>
          <w:highlight w:val="none"/>
          <w:u w:val="single"/>
        </w:rPr>
        <w:t>（采购文件中明确的所属行业）</w:t>
      </w:r>
      <w:r>
        <w:rPr>
          <w:rFonts w:hint="eastAsia" w:ascii="宋体" w:hAnsi="宋体" w:cs="宋体"/>
          <w:color w:val="auto"/>
          <w:kern w:val="0"/>
          <w:szCs w:val="21"/>
          <w:highlight w:val="none"/>
        </w:rPr>
        <w:t>；承建（承接）企业为</w:t>
      </w:r>
      <w:r>
        <w:rPr>
          <w:rFonts w:hint="eastAsia" w:ascii="宋体" w:hAnsi="宋体" w:cs="宋体"/>
          <w:i/>
          <w:color w:val="auto"/>
          <w:kern w:val="0"/>
          <w:szCs w:val="21"/>
          <w:highlight w:val="none"/>
          <w:u w:val="single"/>
        </w:rPr>
        <w:t>（企业名称）</w:t>
      </w:r>
      <w:r>
        <w:rPr>
          <w:rFonts w:hint="eastAsia" w:ascii="宋体" w:hAnsi="宋体" w:cs="宋体"/>
          <w:color w:val="auto"/>
          <w:kern w:val="0"/>
          <w:szCs w:val="21"/>
          <w:highlight w:val="none"/>
        </w:rPr>
        <w:t>，从业人员</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人，营业收入为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万元，资产总额为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万元，属于</w:t>
      </w:r>
      <w:r>
        <w:rPr>
          <w:rFonts w:hint="eastAsia" w:ascii="宋体" w:hAnsi="宋体" w:cs="宋体"/>
          <w:i/>
          <w:color w:val="auto"/>
          <w:kern w:val="0"/>
          <w:szCs w:val="21"/>
          <w:highlight w:val="none"/>
          <w:u w:val="single"/>
        </w:rPr>
        <w:t>（中型企业、小型企业、微型企业）</w:t>
      </w:r>
      <w:r>
        <w:rPr>
          <w:rFonts w:hint="eastAsia" w:ascii="宋体" w:hAnsi="宋体" w:cs="宋体"/>
          <w:color w:val="auto"/>
          <w:kern w:val="0"/>
          <w:szCs w:val="21"/>
          <w:highlight w:val="none"/>
        </w:rPr>
        <w:t>；</w:t>
      </w:r>
    </w:p>
    <w:p>
      <w:pPr>
        <w:autoSpaceDE w:val="0"/>
        <w:autoSpaceDN w:val="0"/>
        <w:adjustRightInd w:val="0"/>
        <w:spacing w:line="360" w:lineRule="auto"/>
        <w:ind w:firstLine="424" w:firstLineChars="202"/>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2. </w:t>
      </w:r>
      <w:r>
        <w:rPr>
          <w:rFonts w:hint="eastAsia" w:ascii="宋体" w:hAnsi="宋体" w:cs="宋体"/>
          <w:i/>
          <w:color w:val="auto"/>
          <w:kern w:val="0"/>
          <w:szCs w:val="21"/>
          <w:highlight w:val="none"/>
          <w:u w:val="single"/>
        </w:rPr>
        <w:t>（标的名称）</w:t>
      </w:r>
      <w:r>
        <w:rPr>
          <w:rFonts w:hint="eastAsia" w:ascii="宋体" w:hAnsi="宋体" w:cs="宋体"/>
          <w:color w:val="auto"/>
          <w:kern w:val="0"/>
          <w:szCs w:val="21"/>
          <w:highlight w:val="none"/>
        </w:rPr>
        <w:t xml:space="preserve"> ，属于</w:t>
      </w:r>
      <w:r>
        <w:rPr>
          <w:rFonts w:hint="eastAsia" w:ascii="宋体" w:hAnsi="宋体" w:cs="宋体"/>
          <w:i/>
          <w:color w:val="auto"/>
          <w:kern w:val="0"/>
          <w:szCs w:val="21"/>
          <w:highlight w:val="none"/>
          <w:u w:val="single"/>
        </w:rPr>
        <w:t>（采购文件中明确的所属行业）</w:t>
      </w:r>
      <w:r>
        <w:rPr>
          <w:rFonts w:hint="eastAsia" w:ascii="宋体" w:hAnsi="宋体" w:cs="宋体"/>
          <w:color w:val="auto"/>
          <w:kern w:val="0"/>
          <w:szCs w:val="21"/>
          <w:highlight w:val="none"/>
        </w:rPr>
        <w:t>；承建（承接）企业为</w:t>
      </w:r>
      <w:r>
        <w:rPr>
          <w:rFonts w:hint="eastAsia" w:ascii="宋体" w:hAnsi="宋体" w:cs="宋体"/>
          <w:i/>
          <w:color w:val="auto"/>
          <w:kern w:val="0"/>
          <w:szCs w:val="21"/>
          <w:highlight w:val="none"/>
          <w:u w:val="single"/>
        </w:rPr>
        <w:t>（企业名称）</w:t>
      </w:r>
      <w:r>
        <w:rPr>
          <w:rFonts w:hint="eastAsia" w:ascii="宋体" w:hAnsi="宋体" w:cs="宋体"/>
          <w:color w:val="auto"/>
          <w:kern w:val="0"/>
          <w:szCs w:val="21"/>
          <w:highlight w:val="none"/>
        </w:rPr>
        <w:t>，从业人员</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人，营业收入为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万元，资产总额为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万元，属于</w:t>
      </w:r>
      <w:r>
        <w:rPr>
          <w:rFonts w:hint="eastAsia" w:ascii="宋体" w:hAnsi="宋体" w:cs="宋体"/>
          <w:i/>
          <w:color w:val="auto"/>
          <w:kern w:val="0"/>
          <w:szCs w:val="21"/>
          <w:highlight w:val="none"/>
          <w:u w:val="single"/>
        </w:rPr>
        <w:t>（中型企业、小型企业、微型企业）</w:t>
      </w:r>
      <w:r>
        <w:rPr>
          <w:rFonts w:hint="eastAsia" w:ascii="宋体" w:hAnsi="宋体" w:cs="宋体"/>
          <w:color w:val="auto"/>
          <w:kern w:val="0"/>
          <w:szCs w:val="21"/>
          <w:highlight w:val="none"/>
        </w:rPr>
        <w:t>；</w:t>
      </w:r>
    </w:p>
    <w:p>
      <w:pPr>
        <w:pStyle w:val="10"/>
        <w:spacing w:line="360" w:lineRule="exact"/>
        <w:ind w:left="142" w:right="142"/>
        <w:contextualSpacing/>
        <w:rPr>
          <w:rFonts w:hint="eastAsia" w:ascii="宋体" w:hAnsi="宋体" w:cs="宋体"/>
          <w:color w:val="auto"/>
          <w:kern w:val="24"/>
          <w:highlight w:val="none"/>
        </w:rPr>
      </w:pPr>
      <w:r>
        <w:rPr>
          <w:rFonts w:hint="eastAsia" w:ascii="宋体" w:hAnsi="宋体" w:cs="宋体"/>
          <w:color w:val="auto"/>
          <w:kern w:val="24"/>
          <w:highlight w:val="none"/>
        </w:rPr>
        <w:t xml:space="preserve">…… </w:t>
      </w:r>
    </w:p>
    <w:p>
      <w:pPr>
        <w:pStyle w:val="10"/>
        <w:spacing w:line="360" w:lineRule="exact"/>
        <w:ind w:left="-405" w:leftChars="-193" w:right="142" w:firstLine="453" w:firstLineChars="189"/>
        <w:contextualSpacing/>
        <w:rPr>
          <w:rFonts w:hint="eastAsia" w:ascii="宋体" w:hAnsi="宋体" w:cs="宋体"/>
          <w:color w:val="auto"/>
          <w:kern w:val="24"/>
          <w:sz w:val="24"/>
          <w:highlight w:val="none"/>
        </w:rPr>
      </w:pPr>
      <w:r>
        <w:rPr>
          <w:rFonts w:hint="eastAsia" w:ascii="宋体" w:hAnsi="宋体" w:cs="宋体"/>
          <w:color w:val="auto"/>
          <w:kern w:val="24"/>
          <w:sz w:val="24"/>
          <w:highlight w:val="none"/>
        </w:rPr>
        <w:t>以上企业，不属于大企业的分支机构，不存在控股股东为大企业的情形，也不存在与大企业的负责人为同一人的情形。</w:t>
      </w:r>
    </w:p>
    <w:p>
      <w:pPr>
        <w:pStyle w:val="10"/>
        <w:spacing w:line="360" w:lineRule="exact"/>
        <w:ind w:left="-426" w:right="142" w:firstLine="420"/>
        <w:contextualSpacing/>
        <w:rPr>
          <w:rFonts w:hint="eastAsia" w:ascii="宋体" w:hAnsi="宋体" w:cs="宋体"/>
          <w:color w:val="auto"/>
          <w:kern w:val="24"/>
          <w:sz w:val="24"/>
          <w:highlight w:val="none"/>
        </w:rPr>
      </w:pPr>
      <w:r>
        <w:rPr>
          <w:rFonts w:hint="eastAsia" w:ascii="宋体" w:hAnsi="宋体" w:cs="宋体"/>
          <w:color w:val="auto"/>
          <w:kern w:val="24"/>
          <w:sz w:val="24"/>
          <w:highlight w:val="none"/>
        </w:rPr>
        <w:t>本企业对上述声明内容的真实性负责。如有虚假，将依法承担相应责任。</w:t>
      </w:r>
    </w:p>
    <w:p>
      <w:pPr>
        <w:pStyle w:val="13"/>
        <w:spacing w:line="360" w:lineRule="auto"/>
        <w:ind w:firstLine="480" w:firstLineChars="200"/>
        <w:rPr>
          <w:rFonts w:hint="eastAsia" w:hAnsi="宋体" w:cs="宋体"/>
          <w:color w:val="auto"/>
          <w:sz w:val="24"/>
          <w:szCs w:val="24"/>
          <w:highlight w:val="none"/>
        </w:rPr>
      </w:pPr>
    </w:p>
    <w:p>
      <w:pPr>
        <w:pStyle w:val="13"/>
        <w:spacing w:line="360" w:lineRule="auto"/>
        <w:ind w:firstLine="480" w:firstLineChars="200"/>
        <w:rPr>
          <w:rFonts w:hint="eastAsia" w:hAnsi="宋体" w:cs="宋体"/>
          <w:color w:val="auto"/>
          <w:sz w:val="24"/>
          <w:szCs w:val="24"/>
          <w:highlight w:val="none"/>
        </w:rPr>
      </w:pPr>
    </w:p>
    <w:p>
      <w:pPr>
        <w:snapToGrid w:val="0"/>
        <w:spacing w:line="360" w:lineRule="auto"/>
        <w:ind w:firstLine="5040" w:firstLineChars="21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投标人名称（盖公章)：</w:t>
      </w:r>
    </w:p>
    <w:p>
      <w:pPr>
        <w:snapToGrid w:val="0"/>
        <w:spacing w:line="360" w:lineRule="auto"/>
        <w:ind w:firstLine="5160" w:firstLineChars="215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pStyle w:val="13"/>
        <w:spacing w:line="360" w:lineRule="auto"/>
        <w:ind w:firstLine="420" w:firstLineChars="200"/>
        <w:rPr>
          <w:rFonts w:hint="eastAsia" w:hAnsi="宋体" w:cs="宋体"/>
          <w:color w:val="auto"/>
          <w:szCs w:val="21"/>
          <w:highlight w:val="none"/>
        </w:rPr>
      </w:pPr>
    </w:p>
    <w:p>
      <w:pPr>
        <w:pStyle w:val="11"/>
        <w:spacing w:before="50" w:after="165" w:afterLines="50" w:line="360" w:lineRule="auto"/>
        <w:ind w:firstLine="404" w:firstLineChars="200"/>
        <w:rPr>
          <w:rFonts w:hint="eastAsia" w:hAnsi="宋体" w:cs="宋体"/>
          <w:color w:val="auto"/>
          <w:sz w:val="21"/>
          <w:szCs w:val="21"/>
          <w:highlight w:val="none"/>
        </w:rPr>
      </w:pPr>
      <w:r>
        <w:rPr>
          <w:rFonts w:hint="eastAsia" w:hAnsi="宋体" w:cs="宋体"/>
          <w:color w:val="auto"/>
          <w:sz w:val="21"/>
          <w:szCs w:val="21"/>
          <w:highlight w:val="none"/>
        </w:rPr>
        <w:t>注：</w:t>
      </w:r>
    </w:p>
    <w:p>
      <w:pPr>
        <w:snapToGrid w:val="0"/>
        <w:spacing w:before="50" w:after="165" w:afterLines="50" w:line="360" w:lineRule="auto"/>
        <w:ind w:left="300"/>
        <w:jc w:val="left"/>
        <w:rPr>
          <w:rFonts w:hint="eastAsia" w:ascii="宋体" w:hAnsi="宋体" w:cs="宋体"/>
          <w:color w:val="auto"/>
          <w:szCs w:val="21"/>
          <w:highlight w:val="none"/>
        </w:rPr>
      </w:pPr>
      <w:r>
        <w:rPr>
          <w:rFonts w:hint="eastAsia" w:ascii="宋体" w:hAnsi="宋体" w:cs="宋体"/>
          <w:color w:val="auto"/>
          <w:szCs w:val="21"/>
          <w:highlight w:val="none"/>
        </w:rPr>
        <w:t>1.从业人员、营业收入、资产总额填报上一年度数据，无上一年度数据的新成立企业可不填报。</w:t>
      </w:r>
    </w:p>
    <w:p>
      <w:pPr>
        <w:snapToGrid w:val="0"/>
        <w:spacing w:before="50" w:after="165" w:afterLines="50" w:line="360" w:lineRule="auto"/>
        <w:ind w:firstLine="315" w:firstLineChars="150"/>
        <w:jc w:val="left"/>
        <w:rPr>
          <w:rFonts w:hint="eastAsia" w:ascii="宋体" w:hAnsi="宋体" w:cs="宋体"/>
          <w:color w:val="auto"/>
          <w:szCs w:val="21"/>
          <w:highlight w:val="none"/>
        </w:rPr>
      </w:pPr>
      <w:r>
        <w:rPr>
          <w:rFonts w:hint="eastAsia" w:ascii="宋体" w:hAnsi="宋体" w:cs="宋体"/>
          <w:color w:val="auto"/>
          <w:szCs w:val="21"/>
          <w:highlight w:val="none"/>
        </w:rPr>
        <w:t>2.请根据自己的真实情况出具《中小企业声明函》。依法享受中小企业扶持政策的，采购人或者采购代理机构在公告中标结果时，同时公告其《中小企业声明函》，接受社会监督。</w:t>
      </w:r>
    </w:p>
    <w:p>
      <w:pPr>
        <w:pStyle w:val="11"/>
        <w:spacing w:line="360" w:lineRule="auto"/>
        <w:ind w:firstLine="406" w:firstLineChars="200"/>
        <w:rPr>
          <w:rFonts w:hint="eastAsia" w:hAnsi="宋体" w:cs="宋体"/>
          <w:b/>
          <w:bCs/>
          <w:color w:val="auto"/>
          <w:sz w:val="21"/>
          <w:szCs w:val="21"/>
          <w:highlight w:val="none"/>
        </w:rPr>
      </w:pPr>
      <w:r>
        <w:rPr>
          <w:rFonts w:hint="eastAsia" w:hAnsi="宋体" w:cs="宋体"/>
          <w:b/>
          <w:bCs/>
          <w:color w:val="auto"/>
          <w:sz w:val="21"/>
          <w:szCs w:val="21"/>
          <w:highlight w:val="none"/>
        </w:rPr>
        <w:t>3.本声明函主要供参加政府采购活动的中小企业填写，非中小企业无需填写。</w:t>
      </w:r>
    </w:p>
    <w:p>
      <w:pPr>
        <w:pStyle w:val="11"/>
        <w:spacing w:line="360" w:lineRule="auto"/>
        <w:ind w:firstLine="406" w:firstLineChars="200"/>
        <w:rPr>
          <w:rFonts w:hint="eastAsia" w:hAnsi="宋体" w:cs="宋体"/>
          <w:b/>
          <w:bCs/>
          <w:color w:val="auto"/>
          <w:sz w:val="21"/>
          <w:szCs w:val="21"/>
          <w:highlight w:val="none"/>
        </w:rPr>
      </w:pPr>
      <w:r>
        <w:rPr>
          <w:rFonts w:hint="eastAsia" w:hAnsi="宋体" w:cs="宋体"/>
          <w:b/>
          <w:bCs/>
          <w:color w:val="auto"/>
          <w:sz w:val="21"/>
          <w:szCs w:val="21"/>
          <w:highlight w:val="none"/>
        </w:rPr>
        <w:t>4.小型、微型企业提供中型企业提供的服务的，视同为中型企业。</w:t>
      </w:r>
    </w:p>
    <w:p>
      <w:pPr>
        <w:pStyle w:val="11"/>
        <w:spacing w:line="360" w:lineRule="auto"/>
        <w:ind w:firstLine="406" w:firstLineChars="200"/>
        <w:rPr>
          <w:rFonts w:hint="eastAsia" w:hAnsi="宋体" w:cs="宋体"/>
          <w:b/>
          <w:bCs/>
          <w:color w:val="auto"/>
          <w:sz w:val="21"/>
          <w:szCs w:val="21"/>
          <w:highlight w:val="none"/>
        </w:rPr>
      </w:pPr>
    </w:p>
    <w:p>
      <w:pPr>
        <w:pStyle w:val="11"/>
        <w:spacing w:line="360" w:lineRule="auto"/>
        <w:ind w:firstLine="404" w:firstLineChars="200"/>
        <w:rPr>
          <w:rFonts w:hint="eastAsia" w:hAnsi="宋体" w:cs="宋体"/>
          <w:color w:val="auto"/>
          <w:sz w:val="21"/>
          <w:szCs w:val="21"/>
          <w:highlight w:val="none"/>
        </w:rPr>
        <w:sectPr>
          <w:pgSz w:w="11906" w:h="16838"/>
          <w:pgMar w:top="1134" w:right="1020" w:bottom="1020" w:left="1134" w:header="720" w:footer="720" w:gutter="0"/>
          <w:cols w:space="720" w:num="1"/>
          <w:docGrid w:type="lines" w:linePitch="331" w:charSpace="0"/>
        </w:sectPr>
      </w:pPr>
    </w:p>
    <w:p>
      <w:pPr>
        <w:pStyle w:val="13"/>
        <w:spacing w:line="360" w:lineRule="auto"/>
        <w:jc w:val="left"/>
        <w:rPr>
          <w:rFonts w:hint="eastAsia" w:hAnsi="宋体" w:cs="宋体"/>
          <w:b/>
          <w:color w:val="auto"/>
          <w:sz w:val="28"/>
          <w:szCs w:val="28"/>
          <w:highlight w:val="none"/>
        </w:rPr>
      </w:pPr>
      <w:r>
        <w:rPr>
          <w:rFonts w:hint="eastAsia" w:hAnsi="宋体" w:cs="宋体"/>
          <w:b/>
          <w:color w:val="auto"/>
          <w:sz w:val="28"/>
          <w:szCs w:val="28"/>
          <w:highlight w:val="none"/>
        </w:rPr>
        <w:t>2.残疾人福利性单位声明函的格式：</w:t>
      </w:r>
    </w:p>
    <w:p>
      <w:pPr>
        <w:pStyle w:val="13"/>
        <w:spacing w:line="360" w:lineRule="auto"/>
        <w:jc w:val="center"/>
        <w:rPr>
          <w:rFonts w:hint="eastAsia" w:hAnsi="宋体" w:cs="宋体"/>
          <w:b/>
          <w:color w:val="auto"/>
          <w:sz w:val="30"/>
          <w:szCs w:val="30"/>
          <w:highlight w:val="none"/>
        </w:rPr>
      </w:pPr>
    </w:p>
    <w:p>
      <w:pPr>
        <w:pStyle w:val="13"/>
        <w:spacing w:line="360" w:lineRule="auto"/>
        <w:jc w:val="center"/>
        <w:rPr>
          <w:rFonts w:hint="eastAsia" w:hAnsi="宋体" w:cs="宋体"/>
          <w:b/>
          <w:color w:val="auto"/>
          <w:sz w:val="30"/>
          <w:szCs w:val="30"/>
          <w:highlight w:val="none"/>
        </w:rPr>
      </w:pPr>
      <w:r>
        <w:rPr>
          <w:rFonts w:hint="eastAsia" w:hAnsi="宋体" w:cs="宋体"/>
          <w:b/>
          <w:color w:val="auto"/>
          <w:sz w:val="30"/>
          <w:szCs w:val="30"/>
          <w:highlight w:val="none"/>
        </w:rPr>
        <w:t>残疾人福利性单位声明函</w:t>
      </w:r>
    </w:p>
    <w:p>
      <w:pPr>
        <w:pStyle w:val="13"/>
        <w:spacing w:line="360" w:lineRule="auto"/>
        <w:jc w:val="center"/>
        <w:rPr>
          <w:rFonts w:hint="eastAsia" w:hAnsi="宋体" w:cs="宋体"/>
          <w:b/>
          <w:color w:val="auto"/>
          <w:sz w:val="30"/>
          <w:szCs w:val="30"/>
          <w:highlight w:val="none"/>
        </w:rPr>
      </w:pPr>
    </w:p>
    <w:p>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pPr>
        <w:pStyle w:val="13"/>
        <w:spacing w:line="360" w:lineRule="auto"/>
        <w:ind w:firstLine="480" w:firstLineChars="200"/>
        <w:jc w:val="left"/>
        <w:rPr>
          <w:rFonts w:hint="eastAsia" w:hAnsi="宋体" w:cs="宋体"/>
          <w:color w:val="auto"/>
          <w:sz w:val="30"/>
          <w:szCs w:val="30"/>
          <w:highlight w:val="none"/>
        </w:rPr>
      </w:pPr>
      <w:r>
        <w:rPr>
          <w:rFonts w:hint="eastAsia" w:hAnsi="宋体" w:cs="宋体"/>
          <w:color w:val="auto"/>
          <w:sz w:val="24"/>
          <w:szCs w:val="24"/>
          <w:highlight w:val="none"/>
        </w:rPr>
        <w:t>本单位对上述声明的真实性负责。如有虚假，将依法承担相应责任。</w:t>
      </w:r>
    </w:p>
    <w:p>
      <w:pPr>
        <w:pStyle w:val="13"/>
        <w:spacing w:line="360" w:lineRule="auto"/>
        <w:jc w:val="left"/>
        <w:rPr>
          <w:rFonts w:hint="eastAsia" w:hAnsi="宋体" w:cs="宋体"/>
          <w:b/>
          <w:color w:val="auto"/>
          <w:szCs w:val="21"/>
          <w:highlight w:val="none"/>
        </w:rPr>
      </w:pPr>
    </w:p>
    <w:p>
      <w:pPr>
        <w:pStyle w:val="13"/>
        <w:spacing w:line="360" w:lineRule="auto"/>
        <w:jc w:val="left"/>
        <w:rPr>
          <w:rFonts w:hint="eastAsia" w:hAnsi="宋体" w:cs="宋体"/>
          <w:b/>
          <w:color w:val="auto"/>
          <w:szCs w:val="21"/>
          <w:highlight w:val="none"/>
        </w:rPr>
      </w:pPr>
    </w:p>
    <w:p>
      <w:pPr>
        <w:snapToGrid w:val="0"/>
        <w:spacing w:line="360" w:lineRule="auto"/>
        <w:ind w:left="5137" w:leftChars="1736" w:hanging="1491" w:hangingChars="825"/>
        <w:rPr>
          <w:rFonts w:hint="eastAsia" w:ascii="宋体" w:hAnsi="宋体" w:cs="宋体"/>
          <w:color w:val="auto"/>
          <w:kern w:val="0"/>
          <w:sz w:val="24"/>
          <w:highlight w:val="none"/>
        </w:rPr>
      </w:pPr>
      <w:r>
        <w:rPr>
          <w:rFonts w:hint="eastAsia" w:ascii="宋体" w:hAnsi="宋体" w:cs="宋体"/>
          <w:b/>
          <w:color w:val="auto"/>
          <w:sz w:val="18"/>
          <w:szCs w:val="18"/>
          <w:highlight w:val="none"/>
        </w:rPr>
        <w:t xml:space="preserve">                                                                    </w:t>
      </w:r>
      <w:r>
        <w:rPr>
          <w:rFonts w:hint="eastAsia" w:ascii="宋体" w:hAnsi="宋体" w:cs="宋体"/>
          <w:color w:val="auto"/>
          <w:kern w:val="0"/>
          <w:sz w:val="24"/>
          <w:highlight w:val="none"/>
          <w:lang w:val="zh-CN"/>
        </w:rPr>
        <w:t>投标人名称（盖公章)：</w:t>
      </w:r>
    </w:p>
    <w:p>
      <w:pPr>
        <w:snapToGrid w:val="0"/>
        <w:spacing w:line="360" w:lineRule="auto"/>
        <w:ind w:firstLine="5160" w:firstLineChars="215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pPr>
        <w:pStyle w:val="13"/>
        <w:spacing w:line="360" w:lineRule="auto"/>
        <w:ind w:left="5132" w:leftChars="1979" w:hanging="976" w:hangingChars="488"/>
        <w:rPr>
          <w:rFonts w:hint="eastAsia" w:hAnsi="宋体" w:cs="宋体"/>
          <w:color w:val="auto"/>
          <w:sz w:val="20"/>
          <w:highlight w:val="none"/>
        </w:rPr>
      </w:pPr>
    </w:p>
    <w:p>
      <w:pPr>
        <w:spacing w:line="360" w:lineRule="auto"/>
        <w:ind w:right="42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请根据自己的真实情况出具《残疾人福利性单位声明函》。依法享受中小企业扶持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pPr>
        <w:shd w:val="clear" w:color="auto" w:fill="FFFFFF"/>
        <w:spacing w:line="480" w:lineRule="atLeast"/>
        <w:jc w:val="left"/>
        <w:rPr>
          <w:color w:val="auto"/>
          <w:highlight w:val="none"/>
        </w:rPr>
      </w:pPr>
      <w:r>
        <w:rPr>
          <w:rFonts w:hint="eastAsia" w:ascii="宋体" w:hAnsi="宋体" w:cs="宋体"/>
          <w:color w:val="auto"/>
          <w:szCs w:val="21"/>
          <w:highlight w:val="none"/>
        </w:rPr>
        <w:br w:type="page"/>
      </w:r>
      <w:r>
        <w:rPr>
          <w:rFonts w:hint="eastAsia" w:ascii="宋体" w:hAnsi="宋体" w:cs="宋体"/>
          <w:color w:val="auto"/>
          <w:sz w:val="28"/>
          <w:szCs w:val="28"/>
          <w:highlight w:val="none"/>
        </w:rPr>
        <w:t>3.</w:t>
      </w:r>
      <w:r>
        <w:rPr>
          <w:rFonts w:hint="eastAsia" w:ascii="宋体" w:hAnsi="宋体" w:cs="宋体"/>
          <w:color w:val="auto"/>
          <w:kern w:val="0"/>
          <w:sz w:val="28"/>
          <w:szCs w:val="28"/>
          <w:highlight w:val="none"/>
        </w:rPr>
        <w:t>广西壮族自治区政府采购项目合同验收书的格式：</w:t>
      </w:r>
    </w:p>
    <w:p>
      <w:pPr>
        <w:shd w:val="clear" w:color="auto" w:fill="FFFFFF"/>
        <w:spacing w:line="480" w:lineRule="atLeast"/>
        <w:jc w:val="center"/>
        <w:rPr>
          <w:rFonts w:hint="eastAsia" w:ascii="宋体" w:hAnsi="宋体" w:cs="宋体"/>
          <w:color w:val="auto"/>
          <w:kern w:val="0"/>
          <w:sz w:val="32"/>
          <w:szCs w:val="32"/>
          <w:highlight w:val="none"/>
        </w:rPr>
      </w:pPr>
    </w:p>
    <w:p>
      <w:pPr>
        <w:shd w:val="clear" w:color="auto" w:fill="FFFFFF"/>
        <w:spacing w:line="480" w:lineRule="atLeast"/>
        <w:jc w:val="center"/>
        <w:rPr>
          <w:rFonts w:hint="eastAsia" w:ascii="宋体" w:hAnsi="宋体" w:cs="宋体"/>
          <w:color w:val="auto"/>
          <w:kern w:val="0"/>
          <w:sz w:val="32"/>
          <w:szCs w:val="32"/>
          <w:highlight w:val="none"/>
        </w:rPr>
      </w:pPr>
      <w:r>
        <w:rPr>
          <w:rFonts w:hint="eastAsia" w:ascii="宋体" w:hAnsi="宋体" w:cs="宋体"/>
          <w:color w:val="auto"/>
          <w:kern w:val="0"/>
          <w:sz w:val="32"/>
          <w:szCs w:val="32"/>
          <w:highlight w:val="none"/>
        </w:rPr>
        <w:t>广西壮族自治区政府采购项目合同验收书</w:t>
      </w:r>
    </w:p>
    <w:p>
      <w:pPr>
        <w:shd w:val="clear" w:color="auto" w:fill="FFFFFF"/>
        <w:spacing w:line="480" w:lineRule="atLeast"/>
        <w:jc w:val="center"/>
        <w:rPr>
          <w:rFonts w:hint="eastAsia" w:ascii="宋体" w:hAnsi="宋体" w:cs="宋体"/>
          <w:color w:val="auto"/>
          <w:kern w:val="0"/>
          <w:sz w:val="32"/>
          <w:szCs w:val="32"/>
          <w:highlight w:val="none"/>
        </w:rPr>
      </w:pPr>
    </w:p>
    <w:p>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 xml:space="preserve">采购合同编号：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政府采购项目中标（或者成交）投标人（</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提供的货物（或者工程、服务）进行了验收，验收情况如下：</w:t>
      </w:r>
    </w:p>
    <w:tbl>
      <w:tblPr>
        <w:tblStyle w:val="25"/>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vAlign w:val="center"/>
          </w:tcPr>
          <w:p>
            <w:pPr>
              <w:snapToGrid w:val="0"/>
              <w:spacing w:before="100" w:beforeAutospacing="1" w:after="100" w:afterAutospacing="1" w:line="320" w:lineRule="atLeast"/>
              <w:ind w:firstLine="5"/>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vAlign w:val="center"/>
          </w:tcPr>
          <w:p>
            <w:pPr>
              <w:snapToGrid w:val="0"/>
              <w:spacing w:before="100" w:beforeAutospacing="1" w:after="100" w:afterAutospacing="1" w:line="320" w:lineRule="atLeast"/>
              <w:ind w:firstLine="48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□自行验收 □委托验收</w:t>
            </w:r>
          </w:p>
        </w:tc>
      </w:tr>
      <w:tr>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vAlign w:val="center"/>
          </w:tcPr>
          <w:p>
            <w:pPr>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921" w:type="dxa"/>
            <w:tcBorders>
              <w:top w:val="nil"/>
              <w:left w:val="nil"/>
              <w:bottom w:val="single" w:color="auto" w:sz="8" w:space="0"/>
              <w:right w:val="single" w:color="auto" w:sz="8" w:space="0"/>
            </w:tcBorders>
            <w:vAlign w:val="center"/>
          </w:tcPr>
          <w:p>
            <w:pPr>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vAlign w:val="center"/>
          </w:tcPr>
          <w:p>
            <w:pPr>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pPr>
              <w:snapToGrid w:val="0"/>
              <w:spacing w:before="100" w:beforeAutospacing="1" w:after="100" w:afterAutospacing="1" w:line="320" w:lineRule="atLeas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2354" w:type="dxa"/>
            <w:tcBorders>
              <w:top w:val="nil"/>
              <w:left w:val="nil"/>
              <w:bottom w:val="single" w:color="auto" w:sz="8" w:space="0"/>
              <w:right w:val="single" w:color="auto" w:sz="8" w:space="0"/>
            </w:tcBorders>
            <w:vAlign w:val="center"/>
          </w:tcPr>
          <w:p>
            <w:pPr>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金 额</w:t>
            </w:r>
          </w:p>
        </w:tc>
      </w:tr>
      <w:tr>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1921" w:type="dxa"/>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2354" w:type="dxa"/>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1921" w:type="dxa"/>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2354" w:type="dxa"/>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1921" w:type="dxa"/>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2354" w:type="dxa"/>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vAlign w:val="center"/>
          </w:tcPr>
          <w:p>
            <w:pPr>
              <w:snapToGrid w:val="0"/>
              <w:spacing w:before="100" w:beforeAutospacing="1" w:after="100" w:afterAutospacing="1" w:line="320" w:lineRule="atLeast"/>
              <w:ind w:firstLine="5"/>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2354" w:type="dxa"/>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r>
      <w:tr>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vAlign w:val="center"/>
          </w:tcPr>
          <w:p>
            <w:pPr>
              <w:snapToGrid w:val="0"/>
              <w:spacing w:before="100" w:beforeAutospacing="1" w:after="100" w:afterAutospacing="1" w:line="320" w:lineRule="atLeast"/>
              <w:ind w:firstLine="2"/>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合计大写金额： 亿 仟 佰 拾 万 仟 佰 拾 元</w:t>
            </w:r>
          </w:p>
        </w:tc>
      </w:tr>
      <w:tr>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vAlign w:val="center"/>
          </w:tcPr>
          <w:p>
            <w:pPr>
              <w:snapToGrid w:val="0"/>
              <w:spacing w:before="100" w:beforeAutospacing="1" w:after="100" w:afterAutospacing="1" w:line="320" w:lineRule="atLeast"/>
              <w:ind w:firstLine="2"/>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实际供货日期</w:t>
            </w:r>
          </w:p>
        </w:tc>
        <w:tc>
          <w:tcPr>
            <w:tcW w:w="2719"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pPr>
              <w:snapToGrid w:val="0"/>
              <w:spacing w:before="100" w:beforeAutospacing="1" w:after="100" w:afterAutospacing="1" w:line="320" w:lineRule="atLeast"/>
              <w:ind w:firstLine="46"/>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合同交货验收日期</w:t>
            </w:r>
          </w:p>
        </w:tc>
        <w:tc>
          <w:tcPr>
            <w:tcW w:w="3039"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r>
      <w:tr>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2719"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c>
          <w:tcPr>
            <w:tcW w:w="3039" w:type="dxa"/>
            <w:gridSpan w:val="2"/>
            <w:tcBorders>
              <w:top w:val="nil"/>
              <w:left w:val="nil"/>
              <w:bottom w:val="single" w:color="auto" w:sz="8" w:space="0"/>
              <w:right w:val="single" w:color="auto" w:sz="8" w:space="0"/>
            </w:tcBorders>
            <w:vAlign w:val="center"/>
          </w:tcPr>
          <w:p>
            <w:pPr>
              <w:spacing w:before="100" w:beforeAutospacing="1" w:after="100" w:afterAutospacing="1" w:line="240" w:lineRule="atLeast"/>
              <w:jc w:val="center"/>
              <w:rPr>
                <w:rFonts w:hint="eastAsia" w:ascii="宋体" w:hAnsi="宋体" w:cs="宋体"/>
                <w:color w:val="auto"/>
                <w:kern w:val="0"/>
                <w:szCs w:val="21"/>
                <w:highlight w:val="none"/>
              </w:rPr>
            </w:pPr>
          </w:p>
        </w:tc>
      </w:tr>
      <w:tr>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napToGrid w:val="0"/>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pPr>
              <w:snapToGrid w:val="0"/>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附件)</w:t>
            </w:r>
          </w:p>
        </w:tc>
      </w:tr>
      <w:tr>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vAlign w:val="center"/>
          </w:tcPr>
          <w:p>
            <w:pPr>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验收结论性意见：</w:t>
            </w:r>
          </w:p>
        </w:tc>
      </w:tr>
      <w:tr>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vAlign w:val="center"/>
          </w:tcPr>
          <w:p>
            <w:pPr>
              <w:jc w:val="left"/>
              <w:rPr>
                <w:rFonts w:hint="eastAsia" w:ascii="宋体" w:hAnsi="宋体" w:cs="宋体"/>
                <w:color w:val="auto"/>
                <w:kern w:val="0"/>
                <w:szCs w:val="21"/>
                <w:highlight w:val="none"/>
              </w:rPr>
            </w:pPr>
          </w:p>
        </w:tc>
        <w:tc>
          <w:tcPr>
            <w:tcW w:w="8040" w:type="dxa"/>
            <w:gridSpan w:val="7"/>
            <w:tcBorders>
              <w:top w:val="nil"/>
              <w:left w:val="nil"/>
              <w:bottom w:val="single" w:color="auto" w:sz="8" w:space="0"/>
              <w:right w:val="single" w:color="auto" w:sz="8" w:space="0"/>
            </w:tcBorders>
            <w:vAlign w:val="center"/>
          </w:tcPr>
          <w:p>
            <w:pPr>
              <w:spacing w:before="100" w:beforeAutospacing="1" w:after="100" w:afterAutospacing="1" w:line="320" w:lineRule="atLeast"/>
              <w:ind w:firstLine="96"/>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有异议的意见和说明理由：</w:t>
            </w:r>
          </w:p>
          <w:p>
            <w:pPr>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签字：</w:t>
            </w:r>
          </w:p>
        </w:tc>
      </w:tr>
      <w:tr>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验收小组成员签字：</w:t>
            </w:r>
          </w:p>
        </w:tc>
      </w:tr>
      <w:tr>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监督人员或者其他相关人员签字：</w:t>
            </w:r>
          </w:p>
          <w:p>
            <w:pPr>
              <w:spacing w:before="100" w:beforeAutospacing="1" w:after="100" w:afterAutospacing="1" w:line="320" w:lineRule="atLeast"/>
              <w:ind w:firstLine="74"/>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或者受邀机构的意见（盖章）：</w:t>
            </w:r>
          </w:p>
        </w:tc>
      </w:tr>
      <w:tr>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single" w:color="auto" w:sz="4" w:space="0"/>
            </w:tcBorders>
            <w:tcMar>
              <w:top w:w="0" w:type="dxa"/>
              <w:left w:w="108" w:type="dxa"/>
              <w:bottom w:w="0" w:type="dxa"/>
              <w:right w:w="108" w:type="dxa"/>
            </w:tcMar>
            <w:vAlign w:val="center"/>
          </w:tcPr>
          <w:p>
            <w:pPr>
              <w:spacing w:before="100" w:beforeAutospacing="1" w:after="100" w:afterAutospacing="1" w:line="320" w:lineRule="atLeast"/>
              <w:ind w:firstLine="74"/>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中标或者成交人负责人签字或者盖章：</w:t>
            </w:r>
          </w:p>
          <w:p>
            <w:pPr>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联系电话： </w:t>
            </w:r>
          </w:p>
          <w:p>
            <w:pPr>
              <w:spacing w:before="100" w:beforeAutospacing="1" w:after="100" w:afterAutospacing="1" w:line="320" w:lineRule="atLeast"/>
              <w:ind w:firstLine="2940" w:firstLineChars="14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年 月 日</w:t>
            </w:r>
          </w:p>
        </w:tc>
        <w:tc>
          <w:tcPr>
            <w:tcW w:w="5219" w:type="dxa"/>
            <w:gridSpan w:val="4"/>
            <w:tcBorders>
              <w:top w:val="nil"/>
              <w:left w:val="single" w:color="auto" w:sz="4" w:space="0"/>
              <w:bottom w:val="single" w:color="auto" w:sz="8" w:space="0"/>
              <w:right w:val="single" w:color="auto" w:sz="8" w:space="0"/>
            </w:tcBorders>
            <w:vAlign w:val="center"/>
          </w:tcPr>
          <w:p>
            <w:pPr>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采购人或者受托机构的意见（盖章）：</w:t>
            </w:r>
          </w:p>
          <w:p>
            <w:pPr>
              <w:spacing w:before="100" w:beforeAutospacing="1" w:after="100" w:afterAutospacing="1" w:line="320" w:lineRule="atLeas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联系电话： </w:t>
            </w:r>
          </w:p>
          <w:p>
            <w:pPr>
              <w:spacing w:before="100" w:beforeAutospacing="1" w:after="100" w:afterAutospacing="1" w:line="320" w:lineRule="atLeast"/>
              <w:ind w:firstLine="3780" w:firstLineChars="18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年 月 日</w:t>
            </w:r>
          </w:p>
        </w:tc>
      </w:tr>
    </w:tbl>
    <w:p>
      <w:pPr>
        <w:jc w:val="left"/>
        <w:rPr>
          <w:rFonts w:hint="eastAsia"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sz w:val="28"/>
          <w:szCs w:val="28"/>
          <w:highlight w:val="none"/>
        </w:rPr>
        <w:t>4.政府采购项目履约保证金退付意见书的格式：</w:t>
      </w:r>
    </w:p>
    <w:p>
      <w:pPr>
        <w:jc w:val="center"/>
        <w:rPr>
          <w:rFonts w:hint="eastAsia" w:ascii="宋体" w:hAnsi="宋体" w:cs="宋体"/>
          <w:color w:val="auto"/>
          <w:sz w:val="32"/>
          <w:szCs w:val="32"/>
          <w:highlight w:val="none"/>
        </w:rPr>
      </w:pPr>
    </w:p>
    <w:p>
      <w:pPr>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政府采购项目履约保证金退付意见书（参考）</w:t>
      </w:r>
    </w:p>
    <w:p>
      <w:pPr>
        <w:jc w:val="center"/>
        <w:rPr>
          <w:rFonts w:hint="eastAsia" w:ascii="宋体" w:hAnsi="宋体" w:cs="宋体"/>
          <w:color w:val="auto"/>
          <w:sz w:val="36"/>
          <w:szCs w:val="36"/>
          <w:highlight w:val="none"/>
        </w:rPr>
      </w:pP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供</w:t>
            </w:r>
          </w:p>
          <w:p>
            <w:pPr>
              <w:jc w:val="center"/>
              <w:rPr>
                <w:rFonts w:hint="eastAsia" w:ascii="宋体" w:hAnsi="宋体" w:cs="宋体"/>
                <w:color w:val="auto"/>
                <w:sz w:val="24"/>
                <w:highlight w:val="none"/>
              </w:rPr>
            </w:pPr>
            <w:r>
              <w:rPr>
                <w:rFonts w:hint="eastAsia" w:ascii="宋体" w:hAnsi="宋体" w:cs="宋体"/>
                <w:color w:val="auto"/>
                <w:sz w:val="24"/>
                <w:highlight w:val="none"/>
              </w:rPr>
              <w:t>应</w:t>
            </w:r>
          </w:p>
          <w:p>
            <w:pPr>
              <w:jc w:val="center"/>
              <w:rPr>
                <w:rFonts w:hint="eastAsia" w:ascii="宋体" w:hAnsi="宋体" w:cs="宋体"/>
                <w:color w:val="auto"/>
                <w:sz w:val="24"/>
                <w:highlight w:val="none"/>
              </w:rPr>
            </w:pPr>
            <w:r>
              <w:rPr>
                <w:rFonts w:hint="eastAsia" w:ascii="宋体" w:hAnsi="宋体" w:cs="宋体"/>
                <w:color w:val="auto"/>
                <w:sz w:val="24"/>
                <w:highlight w:val="none"/>
              </w:rPr>
              <w:t>商</w:t>
            </w:r>
          </w:p>
          <w:p>
            <w:pPr>
              <w:jc w:val="center"/>
              <w:rPr>
                <w:rFonts w:hint="eastAsia" w:ascii="宋体" w:hAnsi="宋体" w:cs="宋体"/>
                <w:color w:val="auto"/>
                <w:sz w:val="24"/>
                <w:highlight w:val="none"/>
              </w:rPr>
            </w:pPr>
            <w:r>
              <w:rPr>
                <w:rFonts w:hint="eastAsia" w:ascii="宋体" w:hAnsi="宋体" w:cs="宋体"/>
                <w:color w:val="auto"/>
                <w:sz w:val="24"/>
                <w:highlight w:val="none"/>
              </w:rPr>
              <w:t>申</w:t>
            </w:r>
          </w:p>
          <w:p>
            <w:pPr>
              <w:jc w:val="center"/>
              <w:rPr>
                <w:rFonts w:hint="eastAsia" w:ascii="宋体" w:hAnsi="宋体" w:cs="宋体"/>
                <w:color w:val="auto"/>
                <w:sz w:val="24"/>
                <w:highlight w:val="none"/>
              </w:rPr>
            </w:pPr>
            <w:r>
              <w:rPr>
                <w:rFonts w:hint="eastAsia" w:ascii="宋体" w:hAnsi="宋体" w:cs="宋体"/>
                <w:color w:val="auto"/>
                <w:sz w:val="24"/>
                <w:highlight w:val="none"/>
              </w:rPr>
              <w:t>请</w:t>
            </w:r>
          </w:p>
        </w:tc>
        <w:tc>
          <w:tcPr>
            <w:tcW w:w="8456" w:type="dxa"/>
            <w:vAlign w:val="center"/>
          </w:tcPr>
          <w:p>
            <w:pPr>
              <w:rPr>
                <w:rFonts w:hint="eastAsia" w:ascii="宋体" w:hAnsi="宋体" w:cs="宋体"/>
                <w:color w:val="auto"/>
                <w:sz w:val="24"/>
                <w:highlight w:val="none"/>
              </w:rPr>
            </w:pPr>
            <w:r>
              <w:rPr>
                <w:rFonts w:hint="eastAsia" w:ascii="宋体" w:hAnsi="宋体" w:cs="宋体"/>
                <w:color w:val="auto"/>
                <w:sz w:val="24"/>
                <w:highlight w:val="none"/>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vAlign w:val="center"/>
          </w:tcPr>
          <w:p>
            <w:pPr>
              <w:rPr>
                <w:rFonts w:hint="eastAsia" w:ascii="宋体" w:hAnsi="宋体" w:cs="宋体"/>
                <w:color w:val="auto"/>
                <w:sz w:val="24"/>
                <w:highlight w:val="none"/>
              </w:rPr>
            </w:pPr>
          </w:p>
        </w:tc>
        <w:tc>
          <w:tcPr>
            <w:tcW w:w="8456" w:type="dxa"/>
            <w:vAlign w:val="center"/>
          </w:tcPr>
          <w:p>
            <w:pPr>
              <w:rPr>
                <w:rFonts w:hint="eastAsia" w:ascii="宋体" w:hAnsi="宋体" w:cs="宋体"/>
                <w:color w:val="auto"/>
                <w:sz w:val="24"/>
                <w:highlight w:val="none"/>
              </w:rPr>
            </w:pPr>
            <w:r>
              <w:rPr>
                <w:rFonts w:hint="eastAsia" w:ascii="宋体" w:hAnsi="宋体" w:cs="宋体"/>
                <w:color w:val="auto"/>
                <w:sz w:val="24"/>
                <w:highlight w:val="none"/>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tcPr>
          <w:p>
            <w:pPr>
              <w:rPr>
                <w:rFonts w:hint="eastAsia" w:ascii="宋体" w:hAnsi="宋体" w:cs="宋体"/>
                <w:color w:val="auto"/>
                <w:sz w:val="24"/>
                <w:highlight w:val="none"/>
              </w:rPr>
            </w:pPr>
          </w:p>
        </w:tc>
        <w:tc>
          <w:tcPr>
            <w:tcW w:w="8456" w:type="dxa"/>
          </w:tcPr>
          <w:p>
            <w:pPr>
              <w:rPr>
                <w:rFonts w:hint="eastAsia" w:ascii="宋体" w:hAnsi="宋体" w:cs="宋体"/>
                <w:color w:val="auto"/>
                <w:sz w:val="24"/>
                <w:highlight w:val="none"/>
              </w:rPr>
            </w:pPr>
            <w:r>
              <w:rPr>
                <w:rFonts w:hint="eastAsia" w:ascii="宋体" w:hAnsi="宋体" w:cs="宋体"/>
                <w:color w:val="auto"/>
                <w:sz w:val="24"/>
                <w:highlight w:val="none"/>
              </w:rPr>
              <w:t xml:space="preserve">  </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该项目已于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日验收并交付使用。根据合同规定，该项目的履约保证金期限于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日已满，请将履约保证金（大写）人民币                              （小写）¥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退付到达以下账户。</w:t>
            </w:r>
          </w:p>
          <w:p>
            <w:pPr>
              <w:spacing w:line="400" w:lineRule="exact"/>
              <w:rPr>
                <w:rFonts w:hint="eastAsia" w:ascii="宋体" w:hAnsi="宋体" w:cs="宋体"/>
                <w:color w:val="auto"/>
                <w:sz w:val="24"/>
                <w:highlight w:val="none"/>
              </w:rPr>
            </w:pP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单位名称：</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开户银行：</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账   号：</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联系人及电话：</w:t>
            </w:r>
          </w:p>
          <w:p>
            <w:pPr>
              <w:spacing w:line="400" w:lineRule="exact"/>
              <w:rPr>
                <w:rFonts w:hint="eastAsia" w:ascii="宋体" w:hAnsi="宋体" w:cs="宋体"/>
                <w:color w:val="auto"/>
                <w:sz w:val="24"/>
                <w:highlight w:val="none"/>
              </w:rPr>
            </w:pPr>
          </w:p>
          <w:p>
            <w:pPr>
              <w:spacing w:line="520" w:lineRule="exact"/>
              <w:jc w:val="center"/>
              <w:rPr>
                <w:rFonts w:hint="eastAsia" w:ascii="宋体" w:hAnsi="宋体" w:cs="宋体"/>
                <w:color w:val="auto"/>
                <w:sz w:val="24"/>
                <w:highlight w:val="none"/>
              </w:rPr>
            </w:pPr>
            <w:r>
              <w:rPr>
                <w:rFonts w:hint="eastAsia" w:ascii="宋体" w:hAnsi="宋体" w:cs="宋体"/>
                <w:color w:val="auto"/>
                <w:sz w:val="24"/>
                <w:highlight w:val="none"/>
              </w:rPr>
              <w:t xml:space="preserve">         投标人签章：</w:t>
            </w:r>
          </w:p>
          <w:p>
            <w:pPr>
              <w:spacing w:line="520" w:lineRule="exact"/>
              <w:jc w:val="center"/>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trPr>
        <w:tc>
          <w:tcPr>
            <w:tcW w:w="1008" w:type="dxa"/>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采</w:t>
            </w:r>
          </w:p>
          <w:p>
            <w:pPr>
              <w:jc w:val="center"/>
              <w:rPr>
                <w:rFonts w:hint="eastAsia" w:ascii="宋体" w:hAnsi="宋体" w:cs="宋体"/>
                <w:color w:val="auto"/>
                <w:sz w:val="24"/>
                <w:highlight w:val="none"/>
              </w:rPr>
            </w:pPr>
            <w:r>
              <w:rPr>
                <w:rFonts w:hint="eastAsia" w:ascii="宋体" w:hAnsi="宋体" w:cs="宋体"/>
                <w:color w:val="auto"/>
                <w:sz w:val="24"/>
                <w:highlight w:val="none"/>
              </w:rPr>
              <w:t>购</w:t>
            </w:r>
          </w:p>
          <w:p>
            <w:pPr>
              <w:jc w:val="center"/>
              <w:rPr>
                <w:rFonts w:hint="eastAsia" w:ascii="宋体" w:hAnsi="宋体" w:cs="宋体"/>
                <w:color w:val="auto"/>
                <w:sz w:val="24"/>
                <w:highlight w:val="none"/>
              </w:rPr>
            </w:pPr>
            <w:r>
              <w:rPr>
                <w:rFonts w:hint="eastAsia" w:ascii="宋体" w:hAnsi="宋体" w:cs="宋体"/>
                <w:color w:val="auto"/>
                <w:sz w:val="24"/>
                <w:highlight w:val="none"/>
              </w:rPr>
              <w:t>人</w:t>
            </w:r>
          </w:p>
          <w:p>
            <w:pPr>
              <w:jc w:val="center"/>
              <w:rPr>
                <w:rFonts w:hint="eastAsia" w:ascii="宋体" w:hAnsi="宋体" w:cs="宋体"/>
                <w:color w:val="auto"/>
                <w:sz w:val="24"/>
                <w:highlight w:val="none"/>
              </w:rPr>
            </w:pPr>
            <w:r>
              <w:rPr>
                <w:rFonts w:hint="eastAsia" w:ascii="宋体" w:hAnsi="宋体" w:cs="宋体"/>
                <w:color w:val="auto"/>
                <w:sz w:val="24"/>
                <w:highlight w:val="none"/>
              </w:rPr>
              <w:t>意</w:t>
            </w:r>
          </w:p>
          <w:p>
            <w:pPr>
              <w:jc w:val="center"/>
              <w:rPr>
                <w:rFonts w:hint="eastAsia" w:ascii="宋体" w:hAnsi="宋体" w:cs="宋体"/>
                <w:color w:val="auto"/>
                <w:sz w:val="24"/>
                <w:highlight w:val="none"/>
              </w:rPr>
            </w:pPr>
            <w:r>
              <w:rPr>
                <w:rFonts w:hint="eastAsia" w:ascii="宋体" w:hAnsi="宋体" w:cs="宋体"/>
                <w:color w:val="auto"/>
                <w:sz w:val="24"/>
                <w:highlight w:val="none"/>
              </w:rPr>
              <w:t>见</w:t>
            </w:r>
          </w:p>
        </w:tc>
        <w:tc>
          <w:tcPr>
            <w:tcW w:w="8456" w:type="dxa"/>
          </w:tcPr>
          <w:p>
            <w:pPr>
              <w:rPr>
                <w:rFonts w:hint="eastAsia" w:ascii="宋体" w:hAnsi="宋体" w:cs="宋体"/>
                <w:color w:val="auto"/>
                <w:sz w:val="24"/>
                <w:highlight w:val="none"/>
              </w:rPr>
            </w:pPr>
          </w:p>
          <w:p>
            <w:pPr>
              <w:rPr>
                <w:rFonts w:hint="eastAsia" w:ascii="宋体" w:hAnsi="宋体" w:cs="宋体"/>
                <w:color w:val="auto"/>
                <w:sz w:val="24"/>
                <w:highlight w:val="none"/>
              </w:rPr>
            </w:pPr>
            <w:r>
              <w:rPr>
                <w:rFonts w:hint="eastAsia" w:ascii="宋体" w:hAnsi="宋体" w:cs="宋体"/>
                <w:color w:val="auto"/>
                <w:sz w:val="24"/>
                <w:highlight w:val="none"/>
              </w:rPr>
              <w:t>退付意见：（是否同意退付履约保证金及退付金额）</w:t>
            </w:r>
          </w:p>
          <w:p>
            <w:pPr>
              <w:rPr>
                <w:rFonts w:hint="eastAsia" w:ascii="宋体" w:hAnsi="宋体" w:cs="宋体"/>
                <w:color w:val="auto"/>
                <w:sz w:val="24"/>
                <w:highlight w:val="none"/>
              </w:rPr>
            </w:pPr>
          </w:p>
          <w:p>
            <w:pPr>
              <w:rPr>
                <w:rFonts w:hint="eastAsia" w:ascii="宋体" w:hAnsi="宋体" w:cs="宋体"/>
                <w:color w:val="auto"/>
                <w:sz w:val="24"/>
                <w:highlight w:val="none"/>
              </w:rPr>
            </w:pPr>
          </w:p>
          <w:p>
            <w:pPr>
              <w:rPr>
                <w:rFonts w:hint="eastAsia" w:ascii="宋体" w:hAnsi="宋体" w:cs="宋体"/>
                <w:color w:val="auto"/>
                <w:sz w:val="24"/>
                <w:highlight w:val="none"/>
              </w:rPr>
            </w:pPr>
          </w:p>
          <w:p>
            <w:pPr>
              <w:rPr>
                <w:rFonts w:hint="eastAsia" w:ascii="宋体" w:hAnsi="宋体" w:cs="宋体"/>
                <w:color w:val="auto"/>
                <w:sz w:val="24"/>
                <w:highlight w:val="none"/>
              </w:rPr>
            </w:pPr>
          </w:p>
          <w:p>
            <w:pPr>
              <w:spacing w:line="520" w:lineRule="exact"/>
              <w:rPr>
                <w:rFonts w:hint="eastAsia" w:ascii="宋体" w:hAnsi="宋体" w:cs="宋体"/>
                <w:color w:val="auto"/>
                <w:sz w:val="24"/>
                <w:highlight w:val="none"/>
              </w:rPr>
            </w:pPr>
            <w:r>
              <w:rPr>
                <w:rFonts w:hint="eastAsia" w:ascii="宋体" w:hAnsi="宋体" w:cs="宋体"/>
                <w:color w:val="auto"/>
                <w:sz w:val="24"/>
                <w:highlight w:val="none"/>
              </w:rPr>
              <w:t>联系人及电话：                         采购人签章</w:t>
            </w:r>
          </w:p>
          <w:p>
            <w:pPr>
              <w:spacing w:line="520" w:lineRule="exact"/>
              <w:jc w:val="center"/>
              <w:rPr>
                <w:rFonts w:hint="eastAsia" w:ascii="宋体" w:hAnsi="宋体" w:cs="宋体"/>
                <w:color w:val="auto"/>
                <w:sz w:val="24"/>
                <w:highlight w:val="none"/>
              </w:rPr>
            </w:pPr>
            <w:r>
              <w:rPr>
                <w:rFonts w:hint="eastAsia" w:ascii="宋体" w:hAnsi="宋体" w:cs="宋体"/>
                <w:color w:val="auto"/>
                <w:sz w:val="24"/>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1008" w:type="dxa"/>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备注</w:t>
            </w:r>
          </w:p>
        </w:tc>
        <w:tc>
          <w:tcPr>
            <w:tcW w:w="8456" w:type="dxa"/>
          </w:tcPr>
          <w:p>
            <w:pPr>
              <w:rPr>
                <w:rFonts w:hint="eastAsia" w:ascii="宋体" w:hAnsi="宋体" w:cs="宋体"/>
                <w:color w:val="auto"/>
                <w:sz w:val="24"/>
                <w:highlight w:val="none"/>
              </w:rPr>
            </w:pPr>
          </w:p>
        </w:tc>
      </w:tr>
    </w:tbl>
    <w:p>
      <w:pPr>
        <w:pStyle w:val="10"/>
        <w:ind w:left="420" w:leftChars="114" w:hanging="181" w:hangingChars="100"/>
        <w:rPr>
          <w:rFonts w:hint="eastAsia" w:ascii="宋体" w:hAnsi="宋体" w:cs="宋体"/>
          <w:b/>
          <w:bCs/>
          <w:color w:val="auto"/>
          <w:sz w:val="18"/>
          <w:highlight w:val="none"/>
        </w:rPr>
      </w:pPr>
      <w:r>
        <w:rPr>
          <w:rFonts w:hint="eastAsia" w:ascii="宋体" w:hAnsi="宋体" w:cs="宋体"/>
          <w:b/>
          <w:bCs/>
          <w:color w:val="auto"/>
          <w:sz w:val="18"/>
          <w:highlight w:val="none"/>
        </w:rPr>
        <w:t>注：投标人凭经采购人审批的退付意见书到履约保证金收取单位办理履约保证金退付事宜。</w:t>
      </w:r>
    </w:p>
    <w:p>
      <w:pPr>
        <w:widowControl/>
        <w:spacing w:line="360" w:lineRule="auto"/>
        <w:jc w:val="left"/>
        <w:rPr>
          <w:rFonts w:hint="eastAsia" w:ascii="宋体" w:hAnsi="宋体" w:cs="宋体"/>
          <w:color w:val="auto"/>
          <w:szCs w:val="21"/>
          <w:highlight w:val="none"/>
        </w:rPr>
        <w:sectPr>
          <w:pgSz w:w="11906" w:h="16838"/>
          <w:pgMar w:top="1134" w:right="1020" w:bottom="1020" w:left="1134" w:header="720" w:footer="720" w:gutter="0"/>
          <w:cols w:space="720" w:num="1"/>
          <w:docGrid w:type="lines" w:linePitch="331" w:charSpace="0"/>
        </w:sectPr>
      </w:pPr>
    </w:p>
    <w:p>
      <w:pPr>
        <w:snapToGrid w:val="0"/>
        <w:spacing w:before="50" w:after="165" w:afterLines="50" w:line="360" w:lineRule="auto"/>
        <w:jc w:val="left"/>
        <w:rPr>
          <w:rFonts w:hint="eastAsia" w:ascii="宋体" w:hAnsi="宋体" w:cs="宋体"/>
          <w:color w:val="auto"/>
          <w:sz w:val="20"/>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rPr>
          <w:rFonts w:hint="eastAsia" w:hAnsi="宋体" w:cs="宋体"/>
          <w:b/>
          <w:color w:val="auto"/>
          <w:sz w:val="36"/>
          <w:highlight w:val="none"/>
        </w:rPr>
      </w:pPr>
    </w:p>
    <w:p>
      <w:pPr>
        <w:pStyle w:val="13"/>
        <w:tabs>
          <w:tab w:val="left" w:pos="2472"/>
        </w:tabs>
        <w:spacing w:line="460" w:lineRule="exact"/>
        <w:jc w:val="center"/>
        <w:outlineLvl w:val="0"/>
        <w:rPr>
          <w:rFonts w:hint="eastAsia" w:hAnsi="宋体" w:cs="宋体"/>
          <w:color w:val="auto"/>
          <w:sz w:val="20"/>
          <w:highlight w:val="none"/>
        </w:rPr>
        <w:sectPr>
          <w:pgSz w:w="11906" w:h="16838"/>
          <w:pgMar w:top="1134" w:right="1020" w:bottom="1020" w:left="1134" w:header="720" w:footer="720" w:gutter="0"/>
          <w:cols w:space="720" w:num="1"/>
          <w:docGrid w:type="lines" w:linePitch="331" w:charSpace="0"/>
        </w:sectPr>
      </w:pPr>
      <w:bookmarkStart w:id="385" w:name="_Toc30176"/>
      <w:bookmarkStart w:id="386" w:name="_Toc8663"/>
      <w:bookmarkStart w:id="387" w:name="_Toc19823"/>
      <w:bookmarkStart w:id="388" w:name="_Toc29827"/>
      <w:bookmarkStart w:id="389" w:name="_Toc15281"/>
      <w:bookmarkStart w:id="390" w:name="_Toc1424"/>
      <w:bookmarkStart w:id="391" w:name="_Toc18201"/>
      <w:bookmarkStart w:id="392" w:name="_Toc8319"/>
      <w:bookmarkStart w:id="393" w:name="_Toc22405"/>
      <w:bookmarkStart w:id="394" w:name="_Toc4526"/>
      <w:bookmarkStart w:id="395" w:name="_Toc10282"/>
      <w:r>
        <w:rPr>
          <w:rFonts w:hint="eastAsia" w:hAnsi="宋体" w:cs="宋体"/>
          <w:b/>
          <w:color w:val="auto"/>
          <w:sz w:val="36"/>
          <w:highlight w:val="none"/>
        </w:rPr>
        <w:t>第七章 质疑、投诉材料格</w:t>
      </w:r>
      <w:bookmarkEnd w:id="385"/>
      <w:bookmarkEnd w:id="386"/>
      <w:bookmarkEnd w:id="387"/>
      <w:r>
        <w:rPr>
          <w:rFonts w:hint="eastAsia" w:hAnsi="宋体" w:cs="宋体"/>
          <w:b/>
          <w:color w:val="auto"/>
          <w:sz w:val="36"/>
          <w:highlight w:val="none"/>
        </w:rPr>
        <w:t>式</w:t>
      </w:r>
      <w:bookmarkEnd w:id="388"/>
      <w:bookmarkEnd w:id="389"/>
      <w:bookmarkEnd w:id="390"/>
      <w:bookmarkEnd w:id="391"/>
      <w:bookmarkEnd w:id="392"/>
      <w:bookmarkEnd w:id="393"/>
      <w:bookmarkEnd w:id="394"/>
      <w:bookmarkEnd w:id="395"/>
    </w:p>
    <w:p>
      <w:pPr>
        <w:pStyle w:val="3"/>
        <w:jc w:val="center"/>
        <w:rPr>
          <w:rFonts w:hint="eastAsia" w:ascii="宋体" w:hAnsi="宋体" w:eastAsia="宋体" w:cs="宋体"/>
          <w:b w:val="0"/>
          <w:bCs w:val="0"/>
          <w:color w:val="auto"/>
          <w:highlight w:val="none"/>
        </w:rPr>
      </w:pPr>
      <w:bookmarkStart w:id="396" w:name="_Toc19413"/>
      <w:bookmarkStart w:id="397" w:name="_Toc5790"/>
      <w:bookmarkStart w:id="398" w:name="_Toc25079"/>
      <w:bookmarkStart w:id="399" w:name="_Toc12534"/>
      <w:bookmarkStart w:id="400" w:name="_Toc18910"/>
      <w:r>
        <w:rPr>
          <w:rFonts w:hint="eastAsia" w:ascii="宋体" w:hAnsi="宋体" w:eastAsia="宋体" w:cs="宋体"/>
          <w:b w:val="0"/>
          <w:bCs w:val="0"/>
          <w:color w:val="auto"/>
          <w:highlight w:val="none"/>
        </w:rPr>
        <w:t>第一节 质疑函（格式）</w:t>
      </w:r>
      <w:bookmarkEnd w:id="396"/>
      <w:bookmarkEnd w:id="397"/>
      <w:bookmarkEnd w:id="398"/>
      <w:bookmarkEnd w:id="399"/>
      <w:bookmarkEnd w:id="400"/>
    </w:p>
    <w:p>
      <w:pPr>
        <w:jc w:val="center"/>
        <w:rPr>
          <w:rFonts w:hint="eastAsia" w:ascii="宋体" w:hAnsi="宋体" w:cs="宋体"/>
          <w:b/>
          <w:bCs/>
          <w:color w:val="auto"/>
          <w:sz w:val="44"/>
          <w:szCs w:val="44"/>
          <w:highlight w:val="none"/>
        </w:rPr>
      </w:pPr>
      <w:r>
        <w:rPr>
          <w:rFonts w:hint="eastAsia" w:ascii="宋体" w:hAnsi="宋体" w:cs="宋体"/>
          <w:b/>
          <w:bCs/>
          <w:color w:val="auto"/>
          <w:sz w:val="30"/>
          <w:szCs w:val="30"/>
          <w:highlight w:val="none"/>
        </w:rPr>
        <w:t>质疑函</w:t>
      </w:r>
    </w:p>
    <w:p>
      <w:pPr>
        <w:adjustRightInd w:val="0"/>
        <w:snapToGrid w:val="0"/>
        <w:spacing w:before="331" w:beforeLines="100" w:line="360" w:lineRule="auto"/>
        <w:rPr>
          <w:rFonts w:hint="eastAsia" w:ascii="宋体" w:hAnsi="宋体" w:cs="宋体"/>
          <w:bCs/>
          <w:color w:val="auto"/>
          <w:sz w:val="24"/>
          <w:highlight w:val="none"/>
        </w:rPr>
      </w:pPr>
      <w:r>
        <w:rPr>
          <w:rFonts w:hint="eastAsia" w:ascii="宋体" w:hAnsi="宋体" w:cs="宋体"/>
          <w:bCs/>
          <w:color w:val="auto"/>
          <w:sz w:val="24"/>
          <w:highlight w:val="none"/>
        </w:rPr>
        <w:t>一、质疑供应商基本信息</w:t>
      </w:r>
    </w:p>
    <w:p>
      <w:pPr>
        <w:adjustRightInd w:val="0"/>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adjustRightInd w:val="0"/>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adjustRightInd w:val="0"/>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二、质疑项目基本情况</w:t>
      </w:r>
    </w:p>
    <w:p>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adjustRightInd w:val="0"/>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bookmarkStart w:id="401" w:name="PO_3000001867_PM026_5"/>
      <w:r>
        <w:rPr>
          <w:rFonts w:hint="eastAsia" w:ascii="宋体" w:hAnsi="宋体" w:cs="宋体"/>
          <w:color w:val="auto"/>
          <w:sz w:val="24"/>
          <w:highlight w:val="none"/>
          <w:u w:val="dotted"/>
        </w:rPr>
        <w:t xml:space="preserve">                        </w:t>
      </w:r>
      <w:bookmarkEnd w:id="401"/>
      <w:r>
        <w:rPr>
          <w:rFonts w:hint="eastAsia" w:ascii="宋体" w:hAnsi="宋体" w:cs="宋体"/>
          <w:color w:val="auto"/>
          <w:sz w:val="24"/>
          <w:highlight w:val="none"/>
          <w:u w:val="dotted"/>
        </w:rPr>
        <w:t xml:space="preserve">  </w:t>
      </w:r>
    </w:p>
    <w:p>
      <w:pPr>
        <w:adjustRightInd w:val="0"/>
        <w:snapToGri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质疑事项：</w:t>
      </w:r>
    </w:p>
    <w:p>
      <w:pPr>
        <w:adjustRightInd w:val="0"/>
        <w:snapToGri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□采购文件   采购文件获取日期：</w:t>
      </w:r>
      <w:r>
        <w:rPr>
          <w:rFonts w:hint="eastAsia" w:ascii="宋体" w:hAnsi="宋体" w:cs="宋体"/>
          <w:color w:val="auto"/>
          <w:sz w:val="24"/>
          <w:highlight w:val="none"/>
          <w:u w:val="dotted"/>
        </w:rPr>
        <w:t xml:space="preserve">                         </w:t>
      </w:r>
      <w:r>
        <w:rPr>
          <w:rFonts w:hint="eastAsia" w:ascii="宋体" w:hAnsi="宋体" w:cs="宋体"/>
          <w:color w:val="auto"/>
          <w:sz w:val="24"/>
          <w:highlight w:val="none"/>
          <w:lang w:val="zh-CN"/>
        </w:rPr>
        <w:t xml:space="preserve">  </w:t>
      </w:r>
    </w:p>
    <w:p>
      <w:pPr>
        <w:adjustRightInd w:val="0"/>
        <w:snapToGri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□采购过程   </w:t>
      </w:r>
    </w:p>
    <w:p>
      <w:pPr>
        <w:adjustRightInd w:val="0"/>
        <w:snapToGri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□中标结果   </w:t>
      </w:r>
    </w:p>
    <w:p>
      <w:pPr>
        <w:adjustRightInd w:val="0"/>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三、质疑事项具体内容</w:t>
      </w:r>
    </w:p>
    <w:p>
      <w:pPr>
        <w:adjustRightInd w:val="0"/>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pPr>
        <w:adjustRightInd w:val="0"/>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u w:val="dotted"/>
        </w:rPr>
        <w:t xml:space="preserve">                                                       </w:t>
      </w:r>
    </w:p>
    <w:p>
      <w:pPr>
        <w:adjustRightInd w:val="0"/>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adjustRightInd w:val="0"/>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pPr>
        <w:adjustRightInd w:val="0"/>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质疑事项2</w:t>
      </w:r>
    </w:p>
    <w:p>
      <w:pPr>
        <w:adjustRightInd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p>
    <w:p>
      <w:pPr>
        <w:adjustRightInd w:val="0"/>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四、与质疑事项相关的质疑请求</w:t>
      </w:r>
    </w:p>
    <w:p>
      <w:pPr>
        <w:adjustRightInd w:val="0"/>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pPr>
        <w:rPr>
          <w:rFonts w:hint="eastAsia" w:ascii="宋体" w:hAnsi="宋体" w:cs="宋体"/>
          <w:color w:val="auto"/>
          <w:sz w:val="24"/>
          <w:highlight w:val="none"/>
        </w:rPr>
      </w:pPr>
      <w:r>
        <w:rPr>
          <w:rFonts w:hint="eastAsia" w:ascii="宋体" w:hAnsi="宋体" w:cs="宋体"/>
          <w:color w:val="auto"/>
          <w:sz w:val="24"/>
          <w:highlight w:val="none"/>
        </w:rPr>
        <w:t xml:space="preserve">签字（签章)：                   公章：                      </w:t>
      </w:r>
    </w:p>
    <w:p>
      <w:pPr>
        <w:ind w:firstLine="6240" w:firstLineChars="2600"/>
        <w:rPr>
          <w:rFonts w:hint="eastAsia" w:ascii="宋体" w:hAnsi="宋体" w:cs="宋体"/>
          <w:color w:val="auto"/>
          <w:sz w:val="24"/>
          <w:highlight w:val="none"/>
        </w:rPr>
      </w:pPr>
      <w:r>
        <w:rPr>
          <w:rFonts w:hint="eastAsia" w:ascii="宋体" w:hAnsi="宋体" w:cs="宋体"/>
          <w:color w:val="auto"/>
          <w:sz w:val="24"/>
          <w:highlight w:val="none"/>
        </w:rPr>
        <w:t xml:space="preserve">日期：    </w:t>
      </w:r>
    </w:p>
    <w:p>
      <w:pPr>
        <w:rPr>
          <w:rFonts w:hint="eastAsia" w:ascii="宋体" w:hAnsi="宋体" w:cs="宋体"/>
          <w:b/>
          <w:color w:val="auto"/>
          <w:sz w:val="24"/>
          <w:highlight w:val="none"/>
        </w:rPr>
      </w:pPr>
    </w:p>
    <w:p>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质疑函制作说明：</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w:t>
      </w:r>
      <w:r>
        <w:rPr>
          <w:rFonts w:hint="eastAsia" w:ascii="宋体" w:hAnsi="宋体" w:cs="宋体"/>
          <w:color w:val="auto"/>
          <w:kern w:val="0"/>
          <w:szCs w:val="21"/>
          <w:highlight w:val="none"/>
        </w:rPr>
        <w:t>供应商签署的授权委托书。授权委托书应载明代理人的姓名或者名称、代理事项、具体权限、期限和相关事项。</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widowControl/>
        <w:spacing w:line="360" w:lineRule="auto"/>
        <w:ind w:firstLine="420" w:firstLineChars="200"/>
        <w:jc w:val="left"/>
        <w:rPr>
          <w:rFonts w:hint="eastAsia" w:ascii="宋体" w:hAnsi="宋体" w:cs="宋体"/>
          <w:color w:val="auto"/>
          <w:sz w:val="28"/>
          <w:szCs w:val="28"/>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3"/>
        <w:jc w:val="center"/>
        <w:rPr>
          <w:rFonts w:hint="eastAsia" w:ascii="宋体" w:hAnsi="宋体" w:eastAsia="宋体" w:cs="宋体"/>
          <w:b w:val="0"/>
          <w:bCs w:val="0"/>
          <w:color w:val="auto"/>
          <w:highlight w:val="none"/>
        </w:rPr>
      </w:pPr>
      <w:bookmarkStart w:id="402" w:name="_Toc11085"/>
      <w:bookmarkStart w:id="403" w:name="_Toc31115"/>
    </w:p>
    <w:p>
      <w:pPr>
        <w:pStyle w:val="3"/>
        <w:jc w:val="center"/>
        <w:rPr>
          <w:rFonts w:hint="eastAsia" w:ascii="宋体" w:hAnsi="宋体" w:eastAsia="宋体" w:cs="宋体"/>
          <w:b w:val="0"/>
          <w:bCs w:val="0"/>
          <w:color w:val="auto"/>
          <w:highlight w:val="none"/>
        </w:rPr>
      </w:pPr>
    </w:p>
    <w:p>
      <w:pPr>
        <w:pStyle w:val="3"/>
        <w:jc w:val="center"/>
        <w:rPr>
          <w:rFonts w:hint="eastAsia" w:ascii="宋体" w:hAnsi="宋体" w:eastAsia="宋体" w:cs="宋体"/>
          <w:b w:val="0"/>
          <w:bCs w:val="0"/>
          <w:color w:val="auto"/>
          <w:highlight w:val="none"/>
        </w:rPr>
      </w:pPr>
    </w:p>
    <w:p>
      <w:pPr>
        <w:pStyle w:val="3"/>
        <w:jc w:val="center"/>
        <w:rPr>
          <w:rFonts w:hint="eastAsia" w:ascii="宋体" w:hAnsi="宋体" w:eastAsia="宋体" w:cs="宋体"/>
          <w:b w:val="0"/>
          <w:bCs w:val="0"/>
          <w:color w:val="auto"/>
          <w:highlight w:val="none"/>
        </w:rPr>
      </w:pPr>
    </w:p>
    <w:p>
      <w:pPr>
        <w:rPr>
          <w:rFonts w:hint="eastAsia" w:ascii="宋体" w:hAnsi="宋体" w:cs="宋体"/>
          <w:color w:val="auto"/>
          <w:highlight w:val="none"/>
        </w:rPr>
      </w:pPr>
    </w:p>
    <w:p>
      <w:pPr>
        <w:pStyle w:val="15"/>
        <w:rPr>
          <w:rFonts w:hint="eastAsia" w:ascii="宋体" w:hAnsi="宋体" w:cs="宋体"/>
          <w:color w:val="auto"/>
          <w:highlight w:val="none"/>
        </w:rPr>
      </w:pPr>
    </w:p>
    <w:p>
      <w:pPr>
        <w:pStyle w:val="15"/>
        <w:rPr>
          <w:rFonts w:hint="eastAsia" w:ascii="宋体" w:hAnsi="宋体" w:cs="宋体"/>
          <w:color w:val="auto"/>
          <w:highlight w:val="none"/>
        </w:rPr>
      </w:pPr>
    </w:p>
    <w:p>
      <w:pPr>
        <w:pStyle w:val="15"/>
        <w:rPr>
          <w:rFonts w:hint="eastAsia" w:ascii="宋体" w:hAnsi="宋体" w:cs="宋体"/>
          <w:color w:val="auto"/>
          <w:highlight w:val="none"/>
        </w:rPr>
      </w:pPr>
    </w:p>
    <w:p>
      <w:pPr>
        <w:pStyle w:val="15"/>
        <w:rPr>
          <w:rFonts w:hint="eastAsia" w:ascii="宋体" w:hAnsi="宋体" w:cs="宋体"/>
          <w:color w:val="auto"/>
          <w:highlight w:val="none"/>
        </w:rPr>
      </w:pPr>
    </w:p>
    <w:p>
      <w:pPr>
        <w:pStyle w:val="15"/>
        <w:rPr>
          <w:rFonts w:hint="eastAsia" w:ascii="宋体" w:hAnsi="宋体" w:cs="宋体"/>
          <w:color w:val="auto"/>
          <w:highlight w:val="none"/>
        </w:rPr>
      </w:pPr>
    </w:p>
    <w:p>
      <w:pPr>
        <w:pStyle w:val="15"/>
        <w:rPr>
          <w:rFonts w:hint="eastAsia" w:ascii="宋体" w:hAnsi="宋体" w:cs="宋体"/>
          <w:color w:val="auto"/>
          <w:highlight w:val="none"/>
        </w:rPr>
      </w:pPr>
    </w:p>
    <w:p>
      <w:pPr>
        <w:pStyle w:val="15"/>
        <w:rPr>
          <w:rFonts w:hint="eastAsia" w:ascii="宋体" w:hAnsi="宋体" w:cs="宋体"/>
          <w:color w:val="auto"/>
          <w:highlight w:val="none"/>
        </w:rPr>
      </w:pPr>
    </w:p>
    <w:p>
      <w:pPr>
        <w:pStyle w:val="15"/>
        <w:rPr>
          <w:rFonts w:hint="eastAsia" w:ascii="宋体" w:hAnsi="宋体" w:cs="宋体"/>
          <w:color w:val="auto"/>
          <w:highlight w:val="none"/>
        </w:rPr>
      </w:pPr>
    </w:p>
    <w:p>
      <w:pPr>
        <w:pStyle w:val="15"/>
        <w:rPr>
          <w:rFonts w:hint="eastAsia" w:ascii="宋体" w:hAnsi="宋体" w:cs="宋体"/>
          <w:color w:val="auto"/>
          <w:highlight w:val="none"/>
        </w:rPr>
      </w:pPr>
    </w:p>
    <w:p>
      <w:pPr>
        <w:pStyle w:val="15"/>
        <w:rPr>
          <w:rFonts w:hint="eastAsia" w:ascii="宋体" w:hAnsi="宋体" w:cs="宋体"/>
          <w:color w:val="auto"/>
          <w:highlight w:val="none"/>
        </w:rPr>
      </w:pPr>
    </w:p>
    <w:p>
      <w:pPr>
        <w:pStyle w:val="15"/>
        <w:rPr>
          <w:rFonts w:hint="eastAsia" w:ascii="宋体" w:hAnsi="宋体" w:cs="宋体"/>
          <w:color w:val="auto"/>
          <w:highlight w:val="none"/>
        </w:rPr>
      </w:pPr>
    </w:p>
    <w:p>
      <w:pPr>
        <w:pStyle w:val="15"/>
        <w:rPr>
          <w:rFonts w:hint="eastAsia" w:ascii="宋体" w:hAnsi="宋体" w:cs="宋体"/>
          <w:color w:val="auto"/>
          <w:highlight w:val="none"/>
        </w:rPr>
      </w:pPr>
    </w:p>
    <w:p>
      <w:pPr>
        <w:pStyle w:val="15"/>
        <w:rPr>
          <w:rFonts w:hint="eastAsia" w:ascii="宋体" w:hAnsi="宋体" w:cs="宋体"/>
          <w:color w:val="auto"/>
          <w:highlight w:val="none"/>
        </w:rPr>
      </w:pPr>
    </w:p>
    <w:p>
      <w:pPr>
        <w:pStyle w:val="15"/>
        <w:rPr>
          <w:rFonts w:hint="eastAsia" w:ascii="宋体" w:hAnsi="宋体" w:cs="宋体"/>
          <w:color w:val="auto"/>
          <w:highlight w:val="none"/>
        </w:rPr>
      </w:pPr>
    </w:p>
    <w:p>
      <w:pPr>
        <w:pStyle w:val="15"/>
        <w:rPr>
          <w:rFonts w:hint="eastAsia" w:ascii="宋体" w:hAnsi="宋体" w:cs="宋体"/>
          <w:color w:val="auto"/>
          <w:highlight w:val="none"/>
        </w:rPr>
      </w:pPr>
    </w:p>
    <w:p>
      <w:pPr>
        <w:pStyle w:val="3"/>
        <w:jc w:val="center"/>
        <w:rPr>
          <w:rFonts w:hint="eastAsia" w:ascii="宋体" w:hAnsi="宋体" w:eastAsia="宋体" w:cs="宋体"/>
          <w:b w:val="0"/>
          <w:bCs w:val="0"/>
          <w:color w:val="auto"/>
          <w:highlight w:val="none"/>
        </w:rPr>
      </w:pPr>
      <w:bookmarkStart w:id="404" w:name="_Toc6950"/>
      <w:bookmarkStart w:id="405" w:name="_Toc22163"/>
      <w:bookmarkStart w:id="406" w:name="_Toc11120"/>
      <w:r>
        <w:rPr>
          <w:rFonts w:hint="eastAsia" w:ascii="宋体" w:hAnsi="宋体" w:eastAsia="宋体" w:cs="宋体"/>
          <w:b w:val="0"/>
          <w:bCs w:val="0"/>
          <w:color w:val="auto"/>
          <w:highlight w:val="none"/>
        </w:rPr>
        <w:t>第二节 投诉书（格式）</w:t>
      </w:r>
      <w:bookmarkEnd w:id="402"/>
      <w:bookmarkEnd w:id="403"/>
      <w:bookmarkEnd w:id="404"/>
      <w:bookmarkEnd w:id="405"/>
      <w:bookmarkEnd w:id="406"/>
    </w:p>
    <w:p>
      <w:pPr>
        <w:jc w:val="center"/>
        <w:rPr>
          <w:rFonts w:hint="eastAsia" w:ascii="宋体" w:hAnsi="宋体" w:cs="宋体"/>
          <w:b/>
          <w:color w:val="auto"/>
          <w:sz w:val="44"/>
          <w:szCs w:val="44"/>
          <w:highlight w:val="none"/>
        </w:rPr>
      </w:pPr>
      <w:r>
        <w:rPr>
          <w:rFonts w:hint="eastAsia" w:ascii="宋体" w:hAnsi="宋体" w:cs="宋体"/>
          <w:b/>
          <w:color w:val="auto"/>
          <w:sz w:val="30"/>
          <w:szCs w:val="30"/>
          <w:highlight w:val="none"/>
        </w:rPr>
        <w:t>投诉书</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一、投诉相关主体基本情况</w:t>
      </w:r>
    </w:p>
    <w:p>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tabs>
          <w:tab w:val="left" w:pos="6510"/>
        </w:tabs>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tabs>
          <w:tab w:val="left" w:pos="6510"/>
        </w:tabs>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被投诉人2</w:t>
      </w:r>
    </w:p>
    <w:p>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二、投诉项目基本情况</w:t>
      </w:r>
    </w:p>
    <w:p>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bookmarkStart w:id="407" w:name="PO_3000001867_PM002_12"/>
      <w:r>
        <w:rPr>
          <w:rFonts w:hint="eastAsia" w:ascii="宋体" w:hAnsi="宋体" w:cs="宋体"/>
          <w:color w:val="auto"/>
          <w:sz w:val="24"/>
          <w:highlight w:val="none"/>
          <w:u w:val="dotted"/>
        </w:rPr>
        <w:t xml:space="preserve">                    </w:t>
      </w:r>
      <w:bookmarkEnd w:id="407"/>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bookmarkStart w:id="408" w:name="PO_3000001867_PM001_9"/>
      <w:r>
        <w:rPr>
          <w:rFonts w:hint="eastAsia" w:ascii="宋体" w:hAnsi="宋体" w:cs="宋体"/>
          <w:color w:val="auto"/>
          <w:sz w:val="24"/>
          <w:highlight w:val="none"/>
          <w:u w:val="dotted"/>
        </w:rPr>
        <w:t xml:space="preserve">                    </w:t>
      </w:r>
      <w:bookmarkEnd w:id="408"/>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bookmarkStart w:id="409" w:name="PO_3000001867_PM026_6"/>
      <w:r>
        <w:rPr>
          <w:rFonts w:hint="eastAsia" w:ascii="宋体" w:hAnsi="宋体" w:cs="宋体"/>
          <w:color w:val="auto"/>
          <w:sz w:val="24"/>
          <w:highlight w:val="none"/>
          <w:u w:val="dotted"/>
        </w:rPr>
        <w:t xml:space="preserve">                    </w:t>
      </w:r>
      <w:bookmarkEnd w:id="409"/>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三、质疑基本情况</w:t>
      </w:r>
    </w:p>
    <w:p>
      <w:pPr>
        <w:spacing w:line="360" w:lineRule="auto"/>
        <w:ind w:firstLine="480" w:firstLineChars="200"/>
        <w:rPr>
          <w:rFonts w:hint="eastAsia"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ind w:firstLine="360" w:firstLineChars="150"/>
        <w:rPr>
          <w:rFonts w:hint="eastAsia" w:ascii="宋体" w:hAnsi="宋体" w:cs="宋体"/>
          <w:color w:val="auto"/>
          <w:sz w:val="24"/>
          <w:highlight w:val="none"/>
        </w:rPr>
      </w:pPr>
      <w:r>
        <w:rPr>
          <w:rFonts w:hint="eastAsia" w:ascii="宋体" w:hAnsi="宋体" w:cs="宋体"/>
          <w:color w:val="auto"/>
          <w:sz w:val="24"/>
          <w:highlight w:val="none"/>
          <w:u w:val="dotted"/>
        </w:rPr>
        <w:t>采购人/采购代理机构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四、投诉事项具体内容</w:t>
      </w:r>
    </w:p>
    <w:p>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投诉事项2</w:t>
      </w:r>
    </w:p>
    <w:p>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五、与投诉事项相关的投诉请求</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p>
    <w:p>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签字（签章)：                   公章：                      </w:t>
      </w:r>
    </w:p>
    <w:p>
      <w:pPr>
        <w:spacing w:line="360" w:lineRule="auto"/>
        <w:ind w:firstLine="6960" w:firstLineChars="2900"/>
        <w:rPr>
          <w:rFonts w:hint="eastAsia" w:ascii="宋体" w:hAnsi="宋体" w:cs="宋体"/>
          <w:color w:val="auto"/>
          <w:sz w:val="24"/>
          <w:highlight w:val="none"/>
        </w:rPr>
      </w:pPr>
      <w:r>
        <w:rPr>
          <w:rFonts w:hint="eastAsia" w:ascii="宋体" w:hAnsi="宋体" w:cs="宋体"/>
          <w:color w:val="auto"/>
          <w:sz w:val="24"/>
          <w:highlight w:val="none"/>
        </w:rPr>
        <w:t xml:space="preserve">日期：    </w:t>
      </w:r>
    </w:p>
    <w:p>
      <w:pPr>
        <w:spacing w:line="360" w:lineRule="auto"/>
        <w:rPr>
          <w:rFonts w:hint="eastAsia" w:ascii="宋体" w:hAnsi="宋体" w:cs="宋体"/>
          <w:b/>
          <w:color w:val="auto"/>
          <w:sz w:val="24"/>
          <w:highlight w:val="none"/>
        </w:rPr>
      </w:pPr>
    </w:p>
    <w:p>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投诉书制作说明：</w:t>
      </w:r>
    </w:p>
    <w:p>
      <w:pPr>
        <w:widowControl/>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szCs w:val="21"/>
          <w:highlight w:val="none"/>
        </w:rPr>
        <w:t>1.投诉人提起投诉时，应当提交投诉书和必要的证明材料，并按照被投诉人和与投诉事项有关的供应商数量提供投诉书副本。</w:t>
      </w:r>
    </w:p>
    <w:p>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szCs w:val="21"/>
          <w:highlight w:val="none"/>
        </w:rPr>
        <w:t>2.投诉人若委托代理人进行投诉的，投诉书应按照要求列明“授权代表”的有关内容，并在附件中提交由</w:t>
      </w:r>
      <w:r>
        <w:rPr>
          <w:rFonts w:hint="eastAsia" w:ascii="宋体" w:hAnsi="宋体" w:cs="宋体"/>
          <w:color w:val="auto"/>
          <w:kern w:val="0"/>
          <w:szCs w:val="21"/>
          <w:highlight w:val="none"/>
        </w:rPr>
        <w:t>投诉人签署的授权委托书。授权委托书应当载明代理人的姓名或者名称、代理事项、具体权限、期限和相关事项。</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3.投诉人若对项目的某一分包进行投诉，投诉书应列明具体分包号。</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4.投诉书应简要列明质疑事项，质疑函、质疑答复等作为附件材料提供。</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5.投诉书的投诉事项应具体、明确，并有必要的事实依据和法律依据。</w:t>
      </w:r>
    </w:p>
    <w:p>
      <w:pPr>
        <w:widowControl/>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6.投诉书的投诉请求应与投诉事项相关。</w:t>
      </w:r>
    </w:p>
    <w:p>
      <w:pPr>
        <w:widowControl/>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szCs w:val="21"/>
          <w:highlight w:val="none"/>
        </w:rPr>
        <w:t>7.投诉人为自然人的，投诉书应当由本人签字；投诉人为法人或者其他组织的，投诉书应当由法定代表人、主要负责人，或者其授权代表签字或者盖章，并加盖公章。</w:t>
      </w:r>
    </w:p>
    <w:p>
      <w:pPr>
        <w:snapToGrid w:val="0"/>
        <w:spacing w:before="50" w:after="165" w:afterLines="50" w:line="360" w:lineRule="auto"/>
        <w:ind w:firstLine="420" w:firstLineChars="200"/>
        <w:jc w:val="left"/>
        <w:rPr>
          <w:rFonts w:hint="eastAsia" w:ascii="宋体" w:hAnsi="宋体" w:cs="宋体"/>
          <w:color w:val="auto"/>
          <w:szCs w:val="21"/>
          <w:highlight w:val="none"/>
        </w:rPr>
      </w:pPr>
    </w:p>
    <w:p>
      <w:pPr>
        <w:rPr>
          <w:rFonts w:hint="eastAsia" w:ascii="宋体" w:hAnsi="宋体" w:cs="宋体"/>
          <w:color w:val="auto"/>
          <w:highlight w:val="none"/>
        </w:rPr>
      </w:pPr>
    </w:p>
    <w:sectPr>
      <w:footerReference r:id="rId8" w:type="first"/>
      <w:headerReference r:id="rId5" w:type="default"/>
      <w:footerReference r:id="rId6" w:type="default"/>
      <w:footerReference r:id="rId7" w:type="even"/>
      <w:pgSz w:w="11906" w:h="16838"/>
      <w:pgMar w:top="1134" w:right="1020" w:bottom="1020"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E5A30D4-485D-485E-98B9-FAB4030E3910}"/>
  </w:font>
  <w:font w:name="黑体">
    <w:panose1 w:val="02010609060101010101"/>
    <w:charset w:val="86"/>
    <w:family w:val="auto"/>
    <w:pitch w:val="default"/>
    <w:sig w:usb0="800002BF" w:usb1="38CF7CFA" w:usb2="00000016" w:usb3="00000000" w:csb0="00040001" w:csb1="00000000"/>
    <w:embedRegular r:id="rId2" w:fontKey="{B2BA3659-6405-44BC-AEFE-377C2A421C1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3" w:fontKey="{A58DD1FD-CADF-46AF-AB5A-8D11AA546CFB}"/>
  </w:font>
  <w:font w:name="Impact">
    <w:panose1 w:val="020B0806030902050204"/>
    <w:charset w:val="00"/>
    <w:family w:val="auto"/>
    <w:pitch w:val="default"/>
    <w:sig w:usb0="00000287" w:usb1="00000000" w:usb2="00000000" w:usb3="00000000" w:csb0="2000009F" w:csb1="DFD70000"/>
  </w:font>
  <w:font w:name="仿宋_GB2312">
    <w:panose1 w:val="02010609030101010101"/>
    <w:charset w:val="86"/>
    <w:family w:val="modern"/>
    <w:pitch w:val="default"/>
    <w:sig w:usb0="00000001" w:usb1="080E0000" w:usb2="00000000" w:usb3="00000000" w:csb0="00040000" w:csb1="00000000"/>
    <w:embedRegular r:id="rId4" w:fontKey="{76EC3580-0683-4EA3-86F1-39785E6FD471}"/>
  </w:font>
  <w:font w:name="仿宋">
    <w:panose1 w:val="02010609060101010101"/>
    <w:charset w:val="86"/>
    <w:family w:val="modern"/>
    <w:pitch w:val="default"/>
    <w:sig w:usb0="800002BF" w:usb1="38CF7CFA" w:usb2="00000016" w:usb3="00000000" w:csb0="00040001" w:csb1="00000000"/>
    <w:embedRegular r:id="rId5" w:fontKey="{257A725D-4F1B-4AEC-9876-284E36EC98C1}"/>
  </w:font>
  <w:font w:name="幼圆">
    <w:panose1 w:val="0201050906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6" w:fontKey="{554E8B28-81DE-4294-9C8B-C6AAA3D9922C}"/>
  </w:font>
  <w:font w:name="Wingdings 2">
    <w:panose1 w:val="05020102010507070707"/>
    <w:charset w:val="02"/>
    <w:family w:val="roman"/>
    <w:pitch w:val="default"/>
    <w:sig w:usb0="00000000" w:usb1="00000000" w:usb2="00000000" w:usb3="00000000" w:csb0="80000000" w:csb1="00000000"/>
    <w:embedRegular r:id="rId7" w:fontKey="{3548521D-FB04-430B-9DC8-2993B3462DBA}"/>
  </w:font>
  <w:font w:name="楷体">
    <w:panose1 w:val="02010609060101010101"/>
    <w:charset w:val="86"/>
    <w:family w:val="modern"/>
    <w:pitch w:val="default"/>
    <w:sig w:usb0="800002BF" w:usb1="38CF7CFA" w:usb2="00000016" w:usb3="00000000" w:csb0="00040001" w:csb1="00000000"/>
    <w:embedRegular r:id="rId8" w:fontKey="{A20E456A-7FE9-4FD2-B5F4-79DBD4DBCDF7}"/>
  </w:font>
  <w:font w:name="方正仿宋_GBK">
    <w:panose1 w:val="03000509000000000000"/>
    <w:charset w:val="86"/>
    <w:family w:val="script"/>
    <w:pitch w:val="default"/>
    <w:sig w:usb0="00000001" w:usb1="080E0000" w:usb2="00000000" w:usb3="00000000" w:csb0="00040000" w:csb1="00000000"/>
    <w:embedRegular r:id="rId9" w:fontKey="{80D7A616-1B46-471D-A71F-1AD8332292F7}"/>
  </w:font>
  <w:font w:name="华文仿宋">
    <w:panose1 w:val="02010600040101010101"/>
    <w:charset w:val="86"/>
    <w:family w:val="auto"/>
    <w:pitch w:val="default"/>
    <w:sig w:usb0="00000287" w:usb1="080F0000" w:usb2="00000000" w:usb3="00000000" w:csb0="0004009F" w:csb1="DFD70000"/>
    <w:embedRegular r:id="rId10" w:fontKey="{54214840-E870-427F-BAA9-2D8066750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wrap="none" lIns="0" tIns="0" rIns="0" bIns="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XgoRbr0BAAB7AwAADgAAAAAAAAABACAAAAAfAQAAZHJzL2Uyb0RvYy54bWxQSwUGAAAA&#10;AAYABgBZAQAATgUAAAAA&#10;">
              <v:fill on="f" focussize="0,0"/>
              <v:stroke on="f"/>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2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wps:txbx>
                    <wps:bodyPr wrap="none" lIns="0" tIns="0" rIns="0" bIns="0" upright="1">
                      <a:spAutoFit/>
                    </wps:bodyPr>
                  </wps:wsp>
                </a:graphicData>
              </a:graphic>
            </wp:anchor>
          </w:drawing>
        </mc:Choice>
        <mc:Fallback>
          <w:pict>
            <v:rect id="文本框 102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Dl+dyjxQEAAIoDAAAOAAAAAAAAAAEAIAAAAB8BAABkcnMvZTJvRG9jLnht&#10;bFBLBQYAAAAABgAGAFkBAABWBQAAAAA=&#10;">
              <v:fill on="f" focussize="0,0"/>
              <v:stroke on="f"/>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5"/>
                            <w:jc w:val="center"/>
                          </w:pPr>
                          <w:r>
                            <w:fldChar w:fldCharType="begin"/>
                          </w:r>
                          <w:r>
                            <w:instrText xml:space="preserve"> PAGE   \* MERGEFORMAT </w:instrText>
                          </w:r>
                          <w:r>
                            <w:fldChar w:fldCharType="separate"/>
                          </w:r>
                          <w:r>
                            <w:rPr>
                              <w:lang w:val="zh-CN"/>
                            </w:rPr>
                            <w:t>120</w:t>
                          </w:r>
                          <w:r>
                            <w:fldChar w:fldCharType="end"/>
                          </w:r>
                        </w:p>
                      </w:txbxContent>
                    </wps:txbx>
                    <wps:bodyPr wrap="none" lIns="0" tIns="0" rIns="0" bIns="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l1uVLQAAAABQEAAA8AAAAAAAAAAQAgAAAAIgAAAGRycy9kb3ducmV2LnhtbFBLAQIUABQAAAAI&#10;AIdO4kCvTDjKvAEAAHsDAAAOAAAAAAAAAAEAIAAAAB8BAABkcnMvZTJvRG9jLnhtbFBLBQYAAAAA&#10;BgAGAFkBAABNBQAAAAA=&#10;">
              <v:fill on="f" focussize="0,0"/>
              <v:stroke on="f"/>
              <v:imagedata o:title=""/>
              <o:lock v:ext="edit" aspectratio="f"/>
              <v:textbox inset="0mm,0mm,0mm,0mm" style="mso-fit-shape-to-text:t;">
                <w:txbxContent>
                  <w:p>
                    <w:pPr>
                      <w:pStyle w:val="15"/>
                      <w:jc w:val="center"/>
                    </w:pPr>
                    <w:r>
                      <w:fldChar w:fldCharType="begin"/>
                    </w:r>
                    <w:r>
                      <w:instrText xml:space="preserve"> PAGE   \* MERGEFORMAT </w:instrText>
                    </w:r>
                    <w:r>
                      <w:fldChar w:fldCharType="separate"/>
                    </w:r>
                    <w:r>
                      <w:rPr>
                        <w:lang w:val="zh-CN"/>
                      </w:rPr>
                      <w:t>120</w:t>
                    </w:r>
                    <w:r>
                      <w:fldChar w:fldCharType="end"/>
                    </w:r>
                  </w:p>
                </w:txbxContent>
              </v:textbox>
            </v:rect>
          </w:pict>
        </mc:Fallback>
      </mc:AlternateContent>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9"/>
      </w:rPr>
    </w:pPr>
    <w:r>
      <w:fldChar w:fldCharType="begin"/>
    </w:r>
    <w:r>
      <w:rPr>
        <w:rStyle w:val="29"/>
      </w:rPr>
      <w:instrText xml:space="preserve">PAGE  </w:instrText>
    </w:r>
    <w:r>
      <w:fldChar w:fldCharType="end"/>
    </w:r>
  </w:p>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9"/>
      </w:rPr>
    </w:pPr>
    <w:r>
      <w:fldChar w:fldCharType="begin"/>
    </w:r>
    <w:r>
      <w:rPr>
        <w:rStyle w:val="29"/>
      </w:rPr>
      <w:instrText xml:space="preserve">PAGE  </w:instrText>
    </w:r>
    <w:r>
      <w:fldChar w:fldCharType="separate"/>
    </w:r>
    <w:r>
      <w:rPr>
        <w:rStyle w:val="29"/>
      </w:rPr>
      <w:t>122</w:t>
    </w:r>
    <w:r>
      <w:fldChar w:fldCharType="end"/>
    </w:r>
  </w:p>
  <w:p>
    <w:pPr>
      <w:pStyle w:val="15"/>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space"/>
      <w:lvlText w:val="(%1)"/>
      <w:lvlJc w:val="left"/>
      <w:pPr>
        <w:ind w:left="0" w:firstLine="40"/>
      </w:pPr>
      <w:rPr>
        <w:rFonts w:hint="default"/>
      </w:rPr>
    </w:lvl>
  </w:abstractNum>
  <w:abstractNum w:abstractNumId="1">
    <w:nsid w:val="00000001"/>
    <w:multiLevelType w:val="singleLevel"/>
    <w:tmpl w:val="00000001"/>
    <w:lvl w:ilvl="0" w:tentative="0">
      <w:start w:val="1"/>
      <w:numFmt w:val="decimal"/>
      <w:lvlText w:val="(%1)"/>
      <w:lvlJc w:val="left"/>
      <w:pPr>
        <w:ind w:left="425" w:hanging="425"/>
      </w:pPr>
      <w:rPr>
        <w:rFonts w:hint="default"/>
      </w:rPr>
    </w:lvl>
  </w:abstractNum>
  <w:abstractNum w:abstractNumId="2">
    <w:nsid w:val="00000002"/>
    <w:multiLevelType w:val="singleLevel"/>
    <w:tmpl w:val="00000002"/>
    <w:lvl w:ilvl="0" w:tentative="0">
      <w:start w:val="1"/>
      <w:numFmt w:val="decimal"/>
      <w:lvlText w:val="(%1)"/>
      <w:lvlJc w:val="left"/>
      <w:pPr>
        <w:ind w:left="425" w:hanging="425"/>
      </w:pPr>
      <w:rPr>
        <w:rFonts w:hint="default"/>
      </w:rPr>
    </w:lvl>
  </w:abstractNum>
  <w:abstractNum w:abstractNumId="3">
    <w:nsid w:val="00000003"/>
    <w:multiLevelType w:val="singleLevel"/>
    <w:tmpl w:val="00000003"/>
    <w:lvl w:ilvl="0" w:tentative="0">
      <w:start w:val="1"/>
      <w:numFmt w:val="decimal"/>
      <w:suff w:val="space"/>
      <w:lvlText w:val="%1."/>
      <w:lvlJc w:val="left"/>
      <w:pPr>
        <w:ind w:left="425" w:hanging="425"/>
      </w:pPr>
      <w:rPr>
        <w:rFonts w:hint="default"/>
      </w:rPr>
    </w:lvl>
  </w:abstractNum>
  <w:abstractNum w:abstractNumId="4">
    <w:nsid w:val="00000004"/>
    <w:multiLevelType w:val="singleLevel"/>
    <w:tmpl w:val="00000004"/>
    <w:lvl w:ilvl="0" w:tentative="0">
      <w:start w:val="1"/>
      <w:numFmt w:val="decimal"/>
      <w:suff w:val="nothing"/>
      <w:lvlText w:val="%1."/>
      <w:lvlJc w:val="left"/>
      <w:pPr>
        <w:ind w:left="425" w:hanging="425"/>
      </w:pPr>
      <w:rPr>
        <w:rFonts w:hint="default"/>
      </w:rPr>
    </w:lvl>
  </w:abstractNum>
  <w:abstractNum w:abstractNumId="5">
    <w:nsid w:val="00000005"/>
    <w:multiLevelType w:val="singleLevel"/>
    <w:tmpl w:val="00000005"/>
    <w:lvl w:ilvl="0" w:tentative="0">
      <w:start w:val="1"/>
      <w:numFmt w:val="decimal"/>
      <w:lvlText w:val="%1."/>
      <w:lvlJc w:val="left"/>
      <w:pPr>
        <w:ind w:left="425" w:hanging="425"/>
      </w:pPr>
      <w:rPr>
        <w:rFonts w:hint="default"/>
      </w:rPr>
    </w:lvl>
  </w:abstractNum>
  <w:abstractNum w:abstractNumId="6">
    <w:nsid w:val="00000006"/>
    <w:multiLevelType w:val="singleLevel"/>
    <w:tmpl w:val="00000006"/>
    <w:lvl w:ilvl="0" w:tentative="0">
      <w:start w:val="1"/>
      <w:numFmt w:val="decimal"/>
      <w:lvlText w:val="(%1)"/>
      <w:lvlJc w:val="left"/>
      <w:pPr>
        <w:ind w:left="425" w:hanging="425"/>
      </w:pPr>
      <w:rPr>
        <w:rFonts w:hint="default"/>
      </w:rPr>
    </w:lvl>
  </w:abstractNum>
  <w:abstractNum w:abstractNumId="7">
    <w:nsid w:val="00000007"/>
    <w:multiLevelType w:val="singleLevel"/>
    <w:tmpl w:val="00000007"/>
    <w:lvl w:ilvl="0" w:tentative="0">
      <w:start w:val="1"/>
      <w:numFmt w:val="decimal"/>
      <w:lvlText w:val="(%1)"/>
      <w:lvlJc w:val="left"/>
      <w:pPr>
        <w:ind w:left="425" w:hanging="425"/>
      </w:pPr>
      <w:rPr>
        <w:rFonts w:hint="default"/>
      </w:rPr>
    </w:lvl>
  </w:abstractNum>
  <w:abstractNum w:abstractNumId="8">
    <w:nsid w:val="00000008"/>
    <w:multiLevelType w:val="singleLevel"/>
    <w:tmpl w:val="00000008"/>
    <w:lvl w:ilvl="0" w:tentative="0">
      <w:start w:val="1"/>
      <w:numFmt w:val="decimal"/>
      <w:suff w:val="space"/>
      <w:lvlText w:val="%1."/>
      <w:lvlJc w:val="left"/>
      <w:pPr>
        <w:ind w:left="0" w:firstLine="0"/>
      </w:pPr>
      <w:rPr>
        <w:rFonts w:hint="default"/>
      </w:rPr>
    </w:lvl>
  </w:abstractNum>
  <w:abstractNum w:abstractNumId="9">
    <w:nsid w:val="00000009"/>
    <w:multiLevelType w:val="singleLevel"/>
    <w:tmpl w:val="00000009"/>
    <w:lvl w:ilvl="0" w:tentative="0">
      <w:start w:val="1"/>
      <w:numFmt w:val="decimal"/>
      <w:lvlText w:val="(%1)"/>
      <w:lvlJc w:val="left"/>
      <w:pPr>
        <w:ind w:left="425" w:hanging="425"/>
      </w:pPr>
      <w:rPr>
        <w:rFonts w:hint="default"/>
      </w:rPr>
    </w:lvl>
  </w:abstractNum>
  <w:abstractNum w:abstractNumId="10">
    <w:nsid w:val="0000000A"/>
    <w:multiLevelType w:val="singleLevel"/>
    <w:tmpl w:val="0000000A"/>
    <w:lvl w:ilvl="0" w:tentative="0">
      <w:start w:val="1"/>
      <w:numFmt w:val="decimal"/>
      <w:suff w:val="space"/>
      <w:lvlText w:val="(%1)"/>
      <w:lvlJc w:val="left"/>
      <w:pPr>
        <w:ind w:left="425" w:hanging="425"/>
      </w:pPr>
      <w:rPr>
        <w:rFonts w:hint="default"/>
      </w:rPr>
    </w:lvl>
  </w:abstractNum>
  <w:abstractNum w:abstractNumId="11">
    <w:nsid w:val="0000000B"/>
    <w:multiLevelType w:val="singleLevel"/>
    <w:tmpl w:val="0000000B"/>
    <w:lvl w:ilvl="0" w:tentative="0">
      <w:start w:val="1"/>
      <w:numFmt w:val="decimal"/>
      <w:suff w:val="space"/>
      <w:lvlText w:val="%1."/>
      <w:lvlJc w:val="left"/>
      <w:pPr>
        <w:ind w:left="0" w:firstLine="0"/>
      </w:pPr>
      <w:rPr>
        <w:rFonts w:hint="default"/>
      </w:rPr>
    </w:lvl>
  </w:abstractNum>
  <w:abstractNum w:abstractNumId="12">
    <w:nsid w:val="0000000C"/>
    <w:multiLevelType w:val="singleLevel"/>
    <w:tmpl w:val="0000000C"/>
    <w:lvl w:ilvl="0" w:tentative="0">
      <w:start w:val="1"/>
      <w:numFmt w:val="decimal"/>
      <w:lvlText w:val="(%1)"/>
      <w:lvlJc w:val="left"/>
      <w:pPr>
        <w:ind w:left="425" w:hanging="425"/>
      </w:pPr>
      <w:rPr>
        <w:rFonts w:hint="default"/>
      </w:rPr>
    </w:lvl>
  </w:abstractNum>
  <w:abstractNum w:abstractNumId="13">
    <w:nsid w:val="0000000D"/>
    <w:multiLevelType w:val="singleLevel"/>
    <w:tmpl w:val="0000000D"/>
    <w:lvl w:ilvl="0" w:tentative="0">
      <w:start w:val="1"/>
      <w:numFmt w:val="decimal"/>
      <w:lvlText w:val="(%1)"/>
      <w:lvlJc w:val="left"/>
      <w:pPr>
        <w:ind w:left="425" w:hanging="425"/>
      </w:pPr>
      <w:rPr>
        <w:rFonts w:hint="default"/>
      </w:rPr>
    </w:lvl>
  </w:abstractNum>
  <w:abstractNum w:abstractNumId="14">
    <w:nsid w:val="0000000E"/>
    <w:multiLevelType w:val="singleLevel"/>
    <w:tmpl w:val="0000000E"/>
    <w:lvl w:ilvl="0" w:tentative="0">
      <w:start w:val="1"/>
      <w:numFmt w:val="decimal"/>
      <w:lvlText w:val="(%1)"/>
      <w:lvlJc w:val="left"/>
      <w:pPr>
        <w:ind w:left="425" w:hanging="425"/>
      </w:pPr>
      <w:rPr>
        <w:rFonts w:hint="default"/>
      </w:rPr>
    </w:lvl>
  </w:abstractNum>
  <w:abstractNum w:abstractNumId="15">
    <w:nsid w:val="0000000F"/>
    <w:multiLevelType w:val="singleLevel"/>
    <w:tmpl w:val="0000000F"/>
    <w:lvl w:ilvl="0" w:tentative="0">
      <w:start w:val="1"/>
      <w:numFmt w:val="decimal"/>
      <w:lvlText w:val="(%1)"/>
      <w:lvlJc w:val="left"/>
      <w:pPr>
        <w:ind w:left="425" w:hanging="425"/>
      </w:pPr>
      <w:rPr>
        <w:rFonts w:hint="default"/>
      </w:rPr>
    </w:lvl>
  </w:abstractNum>
  <w:abstractNum w:abstractNumId="16">
    <w:nsid w:val="00000010"/>
    <w:multiLevelType w:val="singleLevel"/>
    <w:tmpl w:val="00000010"/>
    <w:lvl w:ilvl="0" w:tentative="0">
      <w:start w:val="1"/>
      <w:numFmt w:val="decimal"/>
      <w:lvlText w:val="(%1)"/>
      <w:lvlJc w:val="left"/>
      <w:pPr>
        <w:ind w:left="425" w:hanging="425"/>
      </w:pPr>
      <w:rPr>
        <w:rFonts w:hint="default"/>
      </w:rPr>
    </w:lvl>
  </w:abstractNum>
  <w:abstractNum w:abstractNumId="17">
    <w:nsid w:val="00000011"/>
    <w:multiLevelType w:val="singleLevel"/>
    <w:tmpl w:val="00000011"/>
    <w:lvl w:ilvl="0" w:tentative="0">
      <w:start w:val="1"/>
      <w:numFmt w:val="decimal"/>
      <w:suff w:val="nothing"/>
      <w:lvlText w:val="%1."/>
      <w:lvlJc w:val="left"/>
      <w:pPr>
        <w:ind w:left="425" w:hanging="425"/>
      </w:pPr>
      <w:rPr>
        <w:rFonts w:hint="default"/>
      </w:rPr>
    </w:lvl>
  </w:abstractNum>
  <w:abstractNum w:abstractNumId="18">
    <w:nsid w:val="00000012"/>
    <w:multiLevelType w:val="singleLevel"/>
    <w:tmpl w:val="00000012"/>
    <w:lvl w:ilvl="0" w:tentative="0">
      <w:start w:val="1"/>
      <w:numFmt w:val="decimal"/>
      <w:suff w:val="nothing"/>
      <w:lvlText w:val="（%1）"/>
      <w:lvlJc w:val="left"/>
    </w:lvl>
  </w:abstractNum>
  <w:abstractNum w:abstractNumId="19">
    <w:nsid w:val="00000013"/>
    <w:multiLevelType w:val="singleLevel"/>
    <w:tmpl w:val="00000013"/>
    <w:lvl w:ilvl="0" w:tentative="0">
      <w:start w:val="1"/>
      <w:numFmt w:val="decimal"/>
      <w:lvlText w:val="(%1)"/>
      <w:lvlJc w:val="left"/>
      <w:pPr>
        <w:ind w:left="425" w:hanging="425"/>
      </w:pPr>
      <w:rPr>
        <w:rFonts w:hint="default"/>
      </w:rPr>
    </w:lvl>
  </w:abstractNum>
  <w:abstractNum w:abstractNumId="20">
    <w:nsid w:val="00000014"/>
    <w:multiLevelType w:val="singleLevel"/>
    <w:tmpl w:val="00000014"/>
    <w:lvl w:ilvl="0" w:tentative="0">
      <w:start w:val="1"/>
      <w:numFmt w:val="decimal"/>
      <w:suff w:val="nothing"/>
      <w:lvlText w:val="(%1)"/>
      <w:lvlJc w:val="left"/>
      <w:pPr>
        <w:ind w:left="425" w:hanging="425"/>
      </w:pPr>
      <w:rPr>
        <w:rFonts w:hint="default"/>
      </w:rPr>
    </w:lvl>
  </w:abstractNum>
  <w:abstractNum w:abstractNumId="21">
    <w:nsid w:val="00000015"/>
    <w:multiLevelType w:val="singleLevel"/>
    <w:tmpl w:val="00000015"/>
    <w:lvl w:ilvl="0" w:tentative="0">
      <w:start w:val="1"/>
      <w:numFmt w:val="decimal"/>
      <w:suff w:val="space"/>
      <w:lvlText w:val="%1."/>
      <w:lvlJc w:val="left"/>
      <w:pPr>
        <w:ind w:left="0" w:firstLine="0"/>
      </w:pPr>
      <w:rPr>
        <w:rFonts w:hint="default"/>
      </w:rPr>
    </w:lvl>
  </w:abstractNum>
  <w:abstractNum w:abstractNumId="22">
    <w:nsid w:val="00000016"/>
    <w:multiLevelType w:val="singleLevel"/>
    <w:tmpl w:val="00000016"/>
    <w:lvl w:ilvl="0" w:tentative="0">
      <w:start w:val="1"/>
      <w:numFmt w:val="decimal"/>
      <w:lvlText w:val="(%1)"/>
      <w:lvlJc w:val="left"/>
      <w:pPr>
        <w:ind w:left="425" w:hanging="425"/>
      </w:pPr>
      <w:rPr>
        <w:rFonts w:hint="default"/>
      </w:rPr>
    </w:lvl>
  </w:abstractNum>
  <w:abstractNum w:abstractNumId="23">
    <w:nsid w:val="00000017"/>
    <w:multiLevelType w:val="singleLevel"/>
    <w:tmpl w:val="00000017"/>
    <w:lvl w:ilvl="0" w:tentative="0">
      <w:start w:val="1"/>
      <w:numFmt w:val="decimal"/>
      <w:lvlText w:val="(%1)"/>
      <w:lvlJc w:val="left"/>
      <w:pPr>
        <w:ind w:left="425" w:hanging="425"/>
      </w:pPr>
      <w:rPr>
        <w:rFonts w:hint="default"/>
      </w:rPr>
    </w:lvl>
  </w:abstractNum>
  <w:abstractNum w:abstractNumId="24">
    <w:nsid w:val="00000018"/>
    <w:multiLevelType w:val="singleLevel"/>
    <w:tmpl w:val="00000018"/>
    <w:lvl w:ilvl="0" w:tentative="0">
      <w:start w:val="1"/>
      <w:numFmt w:val="decimal"/>
      <w:lvlText w:val="(%1)"/>
      <w:lvlJc w:val="left"/>
      <w:pPr>
        <w:ind w:left="425" w:hanging="425"/>
      </w:pPr>
      <w:rPr>
        <w:rFonts w:hint="default"/>
      </w:rPr>
    </w:lvl>
  </w:abstractNum>
  <w:abstractNum w:abstractNumId="25">
    <w:nsid w:val="00000019"/>
    <w:multiLevelType w:val="singleLevel"/>
    <w:tmpl w:val="00000019"/>
    <w:lvl w:ilvl="0" w:tentative="0">
      <w:start w:val="1"/>
      <w:numFmt w:val="decimal"/>
      <w:lvlText w:val="(%1)"/>
      <w:lvlJc w:val="left"/>
      <w:pPr>
        <w:ind w:left="425" w:hanging="425"/>
      </w:pPr>
      <w:rPr>
        <w:rFonts w:hint="default"/>
      </w:rPr>
    </w:lvl>
  </w:abstractNum>
  <w:abstractNum w:abstractNumId="26">
    <w:nsid w:val="0000001A"/>
    <w:multiLevelType w:val="singleLevel"/>
    <w:tmpl w:val="0000001A"/>
    <w:lvl w:ilvl="0" w:tentative="0">
      <w:start w:val="1"/>
      <w:numFmt w:val="decimal"/>
      <w:lvlText w:val="(%1)"/>
      <w:lvlJc w:val="left"/>
      <w:pPr>
        <w:ind w:left="425" w:hanging="425"/>
      </w:pPr>
      <w:rPr>
        <w:rFonts w:hint="default"/>
      </w:rPr>
    </w:lvl>
  </w:abstractNum>
  <w:abstractNum w:abstractNumId="27">
    <w:nsid w:val="0000001B"/>
    <w:multiLevelType w:val="singleLevel"/>
    <w:tmpl w:val="0000001B"/>
    <w:lvl w:ilvl="0" w:tentative="0">
      <w:start w:val="1"/>
      <w:numFmt w:val="decimal"/>
      <w:suff w:val="space"/>
      <w:lvlText w:val="(%1)"/>
      <w:lvlJc w:val="left"/>
      <w:pPr>
        <w:ind w:left="425" w:hanging="425"/>
      </w:pPr>
      <w:rPr>
        <w:rFonts w:hint="default"/>
      </w:rPr>
    </w:lvl>
  </w:abstractNum>
  <w:abstractNum w:abstractNumId="28">
    <w:nsid w:val="0000001C"/>
    <w:multiLevelType w:val="singleLevel"/>
    <w:tmpl w:val="0000001C"/>
    <w:lvl w:ilvl="0" w:tentative="0">
      <w:start w:val="1"/>
      <w:numFmt w:val="decimal"/>
      <w:lvlText w:val="(%1)"/>
      <w:lvlJc w:val="left"/>
      <w:pPr>
        <w:ind w:left="425" w:hanging="425"/>
      </w:pPr>
      <w:rPr>
        <w:rFonts w:hint="default"/>
      </w:rPr>
    </w:lvl>
  </w:abstractNum>
  <w:abstractNum w:abstractNumId="29">
    <w:nsid w:val="0000001D"/>
    <w:multiLevelType w:val="singleLevel"/>
    <w:tmpl w:val="0000001D"/>
    <w:lvl w:ilvl="0" w:tentative="0">
      <w:start w:val="1"/>
      <w:numFmt w:val="decimal"/>
      <w:suff w:val="nothing"/>
      <w:lvlText w:val="（%1）"/>
      <w:lvlJc w:val="left"/>
    </w:lvl>
  </w:abstractNum>
  <w:abstractNum w:abstractNumId="30">
    <w:nsid w:val="0000001E"/>
    <w:multiLevelType w:val="singleLevel"/>
    <w:tmpl w:val="0000001E"/>
    <w:lvl w:ilvl="0" w:tentative="0">
      <w:start w:val="1"/>
      <w:numFmt w:val="decimal"/>
      <w:lvlText w:val="(%1)"/>
      <w:lvlJc w:val="left"/>
      <w:pPr>
        <w:ind w:left="425" w:hanging="425"/>
      </w:pPr>
      <w:rPr>
        <w:rFonts w:hint="default"/>
      </w:rPr>
    </w:lvl>
  </w:abstractNum>
  <w:abstractNum w:abstractNumId="31">
    <w:nsid w:val="0000001F"/>
    <w:multiLevelType w:val="multilevel"/>
    <w:tmpl w:val="0000001F"/>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2">
    <w:nsid w:val="00000020"/>
    <w:multiLevelType w:val="multilevel"/>
    <w:tmpl w:val="00000020"/>
    <w:lvl w:ilvl="0" w:tentative="0">
      <w:start w:val="1"/>
      <w:numFmt w:val="decimal"/>
      <w:suff w:val="space"/>
      <w:lvlText w:val="%1."/>
      <w:lvlJc w:val="left"/>
      <w:pPr>
        <w:tabs>
          <w:tab w:val="left" w:pos="0"/>
        </w:tabs>
        <w:ind w:left="0" w:firstLine="0"/>
      </w:pPr>
      <w:rPr>
        <w:rFonts w:hint="default"/>
      </w:rPr>
    </w:lvl>
    <w:lvl w:ilvl="1" w:tentative="0">
      <w:start w:val="1"/>
      <w:numFmt w:val="decimal"/>
      <w:isLgl/>
      <w:suff w:val="nothing"/>
      <w:lvlText w:val="%1.%2."/>
      <w:lvlJc w:val="left"/>
      <w:pPr>
        <w:ind w:left="567" w:hanging="567"/>
      </w:pPr>
      <w:rPr>
        <w:rFonts w:hint="eastAsia"/>
      </w:rPr>
    </w:lvl>
    <w:lvl w:ilvl="2" w:tentative="0">
      <w:start w:val="1"/>
      <w:numFmt w:val="decimal"/>
      <w:isLgl/>
      <w:suff w:val="space"/>
      <w:lvlText w:val="%1.%2.%3."/>
      <w:lvlJc w:val="left"/>
      <w:pPr>
        <w:ind w:left="709" w:hanging="709"/>
      </w:pPr>
      <w:rPr>
        <w:rFonts w:hint="eastAsia"/>
      </w:rPr>
    </w:lvl>
    <w:lvl w:ilvl="3" w:tentative="0">
      <w:start w:val="1"/>
      <w:numFmt w:val="decimal"/>
      <w:isLgl/>
      <w:lvlText w:val="%1.%2.%3.%4."/>
      <w:lvlJc w:val="left"/>
      <w:pPr>
        <w:ind w:left="850" w:hanging="850"/>
      </w:pPr>
      <w:rPr>
        <w:rFonts w:hint="default" w:ascii="Times New Roman" w:hAnsi="Times New Roman" w:cs="Times New Roman"/>
      </w:rPr>
    </w:lvl>
    <w:lvl w:ilvl="4" w:tentative="0">
      <w:start w:val="1"/>
      <w:numFmt w:val="decimal"/>
      <w:isLgl/>
      <w:lvlText w:val="%1.%2.%3.%4.%5."/>
      <w:lvlJc w:val="left"/>
      <w:pPr>
        <w:ind w:left="991" w:hanging="991"/>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5" w:hanging="1275"/>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8" w:hanging="1558"/>
      </w:pPr>
      <w:rPr>
        <w:rFonts w:hint="eastAsia"/>
      </w:rPr>
    </w:lvl>
  </w:abstractNum>
  <w:abstractNum w:abstractNumId="33">
    <w:nsid w:val="00000021"/>
    <w:multiLevelType w:val="singleLevel"/>
    <w:tmpl w:val="00000021"/>
    <w:lvl w:ilvl="0" w:tentative="0">
      <w:start w:val="1"/>
      <w:numFmt w:val="decimal"/>
      <w:lvlText w:val="(%1)"/>
      <w:lvlJc w:val="left"/>
      <w:pPr>
        <w:ind w:left="425" w:hanging="425"/>
      </w:pPr>
      <w:rPr>
        <w:rFonts w:hint="default"/>
      </w:rPr>
    </w:lvl>
  </w:abstractNum>
  <w:abstractNum w:abstractNumId="34">
    <w:nsid w:val="00000022"/>
    <w:multiLevelType w:val="singleLevel"/>
    <w:tmpl w:val="00000022"/>
    <w:lvl w:ilvl="0" w:tentative="0">
      <w:start w:val="1"/>
      <w:numFmt w:val="decimal"/>
      <w:lvlText w:val="(%1)"/>
      <w:lvlJc w:val="left"/>
      <w:pPr>
        <w:ind w:left="425" w:hanging="425"/>
      </w:pPr>
      <w:rPr>
        <w:rFonts w:hint="default"/>
      </w:rPr>
    </w:lvl>
  </w:abstractNum>
  <w:abstractNum w:abstractNumId="35">
    <w:nsid w:val="00000023"/>
    <w:multiLevelType w:val="singleLevel"/>
    <w:tmpl w:val="00000023"/>
    <w:lvl w:ilvl="0" w:tentative="0">
      <w:start w:val="1"/>
      <w:numFmt w:val="decimal"/>
      <w:lvlText w:val="(%1)"/>
      <w:lvlJc w:val="left"/>
      <w:pPr>
        <w:ind w:left="425" w:hanging="425"/>
      </w:pPr>
      <w:rPr>
        <w:rFonts w:hint="default"/>
      </w:rPr>
    </w:lvl>
  </w:abstractNum>
  <w:abstractNum w:abstractNumId="36">
    <w:nsid w:val="00000024"/>
    <w:multiLevelType w:val="singleLevel"/>
    <w:tmpl w:val="00000024"/>
    <w:lvl w:ilvl="0" w:tentative="0">
      <w:start w:val="1"/>
      <w:numFmt w:val="decimal"/>
      <w:lvlText w:val="(%1)"/>
      <w:lvlJc w:val="left"/>
      <w:pPr>
        <w:ind w:left="425" w:hanging="425"/>
      </w:pPr>
      <w:rPr>
        <w:rFonts w:hint="default"/>
      </w:rPr>
    </w:lvl>
  </w:abstractNum>
  <w:abstractNum w:abstractNumId="37">
    <w:nsid w:val="00000025"/>
    <w:multiLevelType w:val="singleLevel"/>
    <w:tmpl w:val="00000025"/>
    <w:lvl w:ilvl="0" w:tentative="0">
      <w:start w:val="1"/>
      <w:numFmt w:val="decimal"/>
      <w:lvlText w:val="(%1)"/>
      <w:lvlJc w:val="left"/>
      <w:pPr>
        <w:ind w:left="425" w:hanging="425"/>
      </w:pPr>
      <w:rPr>
        <w:rFonts w:hint="default"/>
      </w:rPr>
    </w:lvl>
  </w:abstractNum>
  <w:abstractNum w:abstractNumId="38">
    <w:nsid w:val="00000026"/>
    <w:multiLevelType w:val="singleLevel"/>
    <w:tmpl w:val="00000026"/>
    <w:lvl w:ilvl="0" w:tentative="0">
      <w:start w:val="1"/>
      <w:numFmt w:val="decimal"/>
      <w:lvlText w:val="(%1)"/>
      <w:lvlJc w:val="left"/>
      <w:pPr>
        <w:ind w:left="425" w:hanging="425"/>
      </w:pPr>
      <w:rPr>
        <w:rFonts w:hint="default"/>
      </w:rPr>
    </w:lvl>
  </w:abstractNum>
  <w:abstractNum w:abstractNumId="39">
    <w:nsid w:val="00000027"/>
    <w:multiLevelType w:val="singleLevel"/>
    <w:tmpl w:val="00000027"/>
    <w:lvl w:ilvl="0" w:tentative="0">
      <w:start w:val="1"/>
      <w:numFmt w:val="decimal"/>
      <w:lvlText w:val="(%1)"/>
      <w:lvlJc w:val="left"/>
      <w:pPr>
        <w:ind w:left="425" w:hanging="425"/>
      </w:pPr>
      <w:rPr>
        <w:rFonts w:hint="default"/>
      </w:rPr>
    </w:lvl>
  </w:abstractNum>
  <w:abstractNum w:abstractNumId="40">
    <w:nsid w:val="00000028"/>
    <w:multiLevelType w:val="singleLevel"/>
    <w:tmpl w:val="00000028"/>
    <w:lvl w:ilvl="0" w:tentative="0">
      <w:start w:val="1"/>
      <w:numFmt w:val="decimal"/>
      <w:lvlText w:val="(%1)"/>
      <w:lvlJc w:val="left"/>
      <w:pPr>
        <w:ind w:left="425" w:hanging="425"/>
      </w:pPr>
      <w:rPr>
        <w:rFonts w:hint="default"/>
      </w:rPr>
    </w:lvl>
  </w:abstractNum>
  <w:abstractNum w:abstractNumId="41">
    <w:nsid w:val="00000029"/>
    <w:multiLevelType w:val="singleLevel"/>
    <w:tmpl w:val="00000029"/>
    <w:lvl w:ilvl="0" w:tentative="0">
      <w:start w:val="1"/>
      <w:numFmt w:val="decimal"/>
      <w:suff w:val="nothing"/>
      <w:lvlText w:val="（%1）"/>
      <w:lvlJc w:val="left"/>
    </w:lvl>
  </w:abstractNum>
  <w:abstractNum w:abstractNumId="42">
    <w:nsid w:val="0000002A"/>
    <w:multiLevelType w:val="singleLevel"/>
    <w:tmpl w:val="0000002A"/>
    <w:lvl w:ilvl="0" w:tentative="0">
      <w:start w:val="1"/>
      <w:numFmt w:val="decimal"/>
      <w:suff w:val="space"/>
      <w:lvlText w:val="(%1)"/>
      <w:lvlJc w:val="left"/>
      <w:pPr>
        <w:ind w:left="0" w:firstLine="40"/>
      </w:pPr>
      <w:rPr>
        <w:rFonts w:hint="default"/>
      </w:rPr>
    </w:lvl>
  </w:abstractNum>
  <w:abstractNum w:abstractNumId="43">
    <w:nsid w:val="0000002B"/>
    <w:multiLevelType w:val="singleLevel"/>
    <w:tmpl w:val="0000002B"/>
    <w:lvl w:ilvl="0" w:tentative="0">
      <w:start w:val="1"/>
      <w:numFmt w:val="decimal"/>
      <w:lvlText w:val="(%1)"/>
      <w:lvlJc w:val="left"/>
      <w:pPr>
        <w:ind w:left="425" w:hanging="425"/>
      </w:pPr>
      <w:rPr>
        <w:rFonts w:hint="default"/>
      </w:rPr>
    </w:lvl>
  </w:abstractNum>
  <w:abstractNum w:abstractNumId="44">
    <w:nsid w:val="0000002C"/>
    <w:multiLevelType w:val="singleLevel"/>
    <w:tmpl w:val="0000002C"/>
    <w:lvl w:ilvl="0" w:tentative="0">
      <w:start w:val="1"/>
      <w:numFmt w:val="decimal"/>
      <w:lvlText w:val="(%1)"/>
      <w:lvlJc w:val="left"/>
      <w:pPr>
        <w:ind w:left="425" w:hanging="425"/>
      </w:pPr>
      <w:rPr>
        <w:rFonts w:hint="default"/>
      </w:rPr>
    </w:lvl>
  </w:abstractNum>
  <w:abstractNum w:abstractNumId="45">
    <w:nsid w:val="0000002D"/>
    <w:multiLevelType w:val="singleLevel"/>
    <w:tmpl w:val="0000002D"/>
    <w:lvl w:ilvl="0" w:tentative="0">
      <w:start w:val="1"/>
      <w:numFmt w:val="decimal"/>
      <w:suff w:val="space"/>
      <w:lvlText w:val="(%1)"/>
      <w:lvlJc w:val="left"/>
      <w:pPr>
        <w:ind w:left="0" w:firstLine="40"/>
      </w:pPr>
      <w:rPr>
        <w:rFonts w:hint="default"/>
      </w:rPr>
    </w:lvl>
  </w:abstractNum>
  <w:abstractNum w:abstractNumId="46">
    <w:nsid w:val="0000002E"/>
    <w:multiLevelType w:val="singleLevel"/>
    <w:tmpl w:val="0000002E"/>
    <w:lvl w:ilvl="0" w:tentative="0">
      <w:start w:val="1"/>
      <w:numFmt w:val="decimal"/>
      <w:lvlText w:val="(%1)"/>
      <w:lvlJc w:val="left"/>
      <w:pPr>
        <w:ind w:left="425" w:hanging="425"/>
      </w:pPr>
      <w:rPr>
        <w:rFonts w:hint="default"/>
      </w:rPr>
    </w:lvl>
  </w:abstractNum>
  <w:abstractNum w:abstractNumId="47">
    <w:nsid w:val="0000002F"/>
    <w:multiLevelType w:val="singleLevel"/>
    <w:tmpl w:val="0000002F"/>
    <w:lvl w:ilvl="0" w:tentative="0">
      <w:start w:val="1"/>
      <w:numFmt w:val="decimal"/>
      <w:lvlText w:val="(%1)"/>
      <w:lvlJc w:val="left"/>
      <w:pPr>
        <w:ind w:left="425" w:hanging="425"/>
      </w:pPr>
      <w:rPr>
        <w:rFonts w:hint="default"/>
      </w:rPr>
    </w:lvl>
  </w:abstractNum>
  <w:abstractNum w:abstractNumId="48">
    <w:nsid w:val="00000030"/>
    <w:multiLevelType w:val="singleLevel"/>
    <w:tmpl w:val="00000030"/>
    <w:lvl w:ilvl="0" w:tentative="0">
      <w:start w:val="1"/>
      <w:numFmt w:val="decimal"/>
      <w:lvlText w:val="(%1)"/>
      <w:lvlJc w:val="left"/>
      <w:pPr>
        <w:ind w:left="425" w:hanging="425"/>
      </w:pPr>
      <w:rPr>
        <w:rFonts w:hint="default"/>
      </w:rPr>
    </w:lvl>
  </w:abstractNum>
  <w:abstractNum w:abstractNumId="49">
    <w:nsid w:val="00000031"/>
    <w:multiLevelType w:val="singleLevel"/>
    <w:tmpl w:val="00000031"/>
    <w:lvl w:ilvl="0" w:tentative="0">
      <w:start w:val="1"/>
      <w:numFmt w:val="decimal"/>
      <w:lvlText w:val="(%1)"/>
      <w:lvlJc w:val="left"/>
      <w:pPr>
        <w:ind w:left="425" w:hanging="425"/>
      </w:pPr>
      <w:rPr>
        <w:rFonts w:hint="default"/>
      </w:rPr>
    </w:lvl>
  </w:abstractNum>
  <w:abstractNum w:abstractNumId="50">
    <w:nsid w:val="00000032"/>
    <w:multiLevelType w:val="singleLevel"/>
    <w:tmpl w:val="00000032"/>
    <w:lvl w:ilvl="0" w:tentative="0">
      <w:start w:val="1"/>
      <w:numFmt w:val="decimal"/>
      <w:lvlText w:val="(%1)"/>
      <w:lvlJc w:val="left"/>
      <w:pPr>
        <w:ind w:left="425" w:hanging="425"/>
      </w:pPr>
      <w:rPr>
        <w:rFonts w:hint="default"/>
      </w:rPr>
    </w:lvl>
  </w:abstractNum>
  <w:abstractNum w:abstractNumId="51">
    <w:nsid w:val="00000033"/>
    <w:multiLevelType w:val="singleLevel"/>
    <w:tmpl w:val="00000033"/>
    <w:lvl w:ilvl="0" w:tentative="0">
      <w:start w:val="1"/>
      <w:numFmt w:val="chineseCounting"/>
      <w:suff w:val="nothing"/>
      <w:lvlText w:val="%1、"/>
      <w:lvlJc w:val="left"/>
      <w:pPr>
        <w:ind w:left="0" w:firstLine="420"/>
      </w:pPr>
      <w:rPr>
        <w:rFonts w:hint="eastAsia"/>
      </w:rPr>
    </w:lvl>
  </w:abstractNum>
  <w:abstractNum w:abstractNumId="52">
    <w:nsid w:val="00000034"/>
    <w:multiLevelType w:val="singleLevel"/>
    <w:tmpl w:val="00000034"/>
    <w:lvl w:ilvl="0" w:tentative="0">
      <w:start w:val="1"/>
      <w:numFmt w:val="decimal"/>
      <w:lvlText w:val="(%1)"/>
      <w:lvlJc w:val="left"/>
      <w:pPr>
        <w:ind w:left="425" w:hanging="425"/>
      </w:pPr>
      <w:rPr>
        <w:rFonts w:hint="default"/>
      </w:rPr>
    </w:lvl>
  </w:abstractNum>
  <w:abstractNum w:abstractNumId="53">
    <w:nsid w:val="00000035"/>
    <w:multiLevelType w:val="singleLevel"/>
    <w:tmpl w:val="00000035"/>
    <w:lvl w:ilvl="0" w:tentative="0">
      <w:start w:val="1"/>
      <w:numFmt w:val="decimal"/>
      <w:suff w:val="space"/>
      <w:lvlText w:val="%1."/>
      <w:lvlJc w:val="left"/>
      <w:pPr>
        <w:ind w:left="0" w:firstLine="0"/>
      </w:pPr>
      <w:rPr>
        <w:rFonts w:hint="default"/>
      </w:rPr>
    </w:lvl>
  </w:abstractNum>
  <w:abstractNum w:abstractNumId="54">
    <w:nsid w:val="00000036"/>
    <w:multiLevelType w:val="singleLevel"/>
    <w:tmpl w:val="00000036"/>
    <w:lvl w:ilvl="0" w:tentative="0">
      <w:start w:val="1"/>
      <w:numFmt w:val="decimal"/>
      <w:lvlText w:val="(%1)"/>
      <w:lvlJc w:val="left"/>
      <w:pPr>
        <w:ind w:left="425" w:hanging="425"/>
      </w:pPr>
      <w:rPr>
        <w:rFonts w:hint="default"/>
      </w:rPr>
    </w:lvl>
  </w:abstractNum>
  <w:abstractNum w:abstractNumId="55">
    <w:nsid w:val="00000037"/>
    <w:multiLevelType w:val="singleLevel"/>
    <w:tmpl w:val="00000037"/>
    <w:lvl w:ilvl="0" w:tentative="0">
      <w:start w:val="1"/>
      <w:numFmt w:val="decimal"/>
      <w:lvlText w:val="(%1)"/>
      <w:lvlJc w:val="left"/>
      <w:pPr>
        <w:ind w:left="425" w:hanging="425"/>
      </w:pPr>
      <w:rPr>
        <w:rFonts w:hint="default"/>
      </w:rPr>
    </w:lvl>
  </w:abstractNum>
  <w:abstractNum w:abstractNumId="56">
    <w:nsid w:val="00000038"/>
    <w:multiLevelType w:val="singleLevel"/>
    <w:tmpl w:val="00000038"/>
    <w:lvl w:ilvl="0" w:tentative="0">
      <w:start w:val="1"/>
      <w:numFmt w:val="decimal"/>
      <w:lvlText w:val="(%1)"/>
      <w:lvlJc w:val="left"/>
      <w:pPr>
        <w:ind w:left="425" w:hanging="425"/>
      </w:pPr>
      <w:rPr>
        <w:rFonts w:hint="default"/>
      </w:rPr>
    </w:lvl>
  </w:abstractNum>
  <w:num w:numId="1">
    <w:abstractNumId w:val="51"/>
  </w:num>
  <w:num w:numId="2">
    <w:abstractNumId w:val="32"/>
  </w:num>
  <w:num w:numId="3">
    <w:abstractNumId w:val="44"/>
  </w:num>
  <w:num w:numId="4">
    <w:abstractNumId w:val="35"/>
  </w:num>
  <w:num w:numId="5">
    <w:abstractNumId w:val="34"/>
  </w:num>
  <w:num w:numId="6">
    <w:abstractNumId w:val="20"/>
  </w:num>
  <w:num w:numId="7">
    <w:abstractNumId w:val="38"/>
  </w:num>
  <w:num w:numId="8">
    <w:abstractNumId w:val="50"/>
  </w:num>
  <w:num w:numId="9">
    <w:abstractNumId w:val="33"/>
  </w:num>
  <w:num w:numId="10">
    <w:abstractNumId w:val="37"/>
  </w:num>
  <w:num w:numId="11">
    <w:abstractNumId w:val="22"/>
  </w:num>
  <w:num w:numId="12">
    <w:abstractNumId w:val="49"/>
  </w:num>
  <w:num w:numId="13">
    <w:abstractNumId w:val="12"/>
  </w:num>
  <w:num w:numId="14">
    <w:abstractNumId w:val="19"/>
  </w:num>
  <w:num w:numId="15">
    <w:abstractNumId w:val="40"/>
  </w:num>
  <w:num w:numId="16">
    <w:abstractNumId w:val="1"/>
  </w:num>
  <w:num w:numId="17">
    <w:abstractNumId w:val="13"/>
  </w:num>
  <w:num w:numId="18">
    <w:abstractNumId w:val="23"/>
  </w:num>
  <w:num w:numId="19">
    <w:abstractNumId w:val="16"/>
  </w:num>
  <w:num w:numId="20">
    <w:abstractNumId w:val="2"/>
  </w:num>
  <w:num w:numId="21">
    <w:abstractNumId w:val="9"/>
  </w:num>
  <w:num w:numId="22">
    <w:abstractNumId w:val="47"/>
  </w:num>
  <w:num w:numId="23">
    <w:abstractNumId w:val="30"/>
  </w:num>
  <w:num w:numId="24">
    <w:abstractNumId w:val="36"/>
  </w:num>
  <w:num w:numId="25">
    <w:abstractNumId w:val="56"/>
  </w:num>
  <w:num w:numId="26">
    <w:abstractNumId w:val="25"/>
  </w:num>
  <w:num w:numId="27">
    <w:abstractNumId w:val="26"/>
  </w:num>
  <w:num w:numId="28">
    <w:abstractNumId w:val="6"/>
  </w:num>
  <w:num w:numId="29">
    <w:abstractNumId w:val="15"/>
  </w:num>
  <w:num w:numId="30">
    <w:abstractNumId w:val="54"/>
  </w:num>
  <w:num w:numId="31">
    <w:abstractNumId w:val="43"/>
  </w:num>
  <w:num w:numId="32">
    <w:abstractNumId w:val="7"/>
  </w:num>
  <w:num w:numId="33">
    <w:abstractNumId w:val="39"/>
  </w:num>
  <w:num w:numId="34">
    <w:abstractNumId w:val="46"/>
  </w:num>
  <w:num w:numId="35">
    <w:abstractNumId w:val="55"/>
  </w:num>
  <w:num w:numId="36">
    <w:abstractNumId w:val="24"/>
  </w:num>
  <w:num w:numId="37">
    <w:abstractNumId w:val="14"/>
  </w:num>
  <w:num w:numId="38">
    <w:abstractNumId w:val="28"/>
  </w:num>
  <w:num w:numId="39">
    <w:abstractNumId w:val="52"/>
  </w:num>
  <w:num w:numId="40">
    <w:abstractNumId w:val="48"/>
  </w:num>
  <w:num w:numId="41">
    <w:abstractNumId w:val="5"/>
  </w:num>
  <w:num w:numId="42">
    <w:abstractNumId w:val="45"/>
  </w:num>
  <w:num w:numId="43">
    <w:abstractNumId w:val="21"/>
  </w:num>
  <w:num w:numId="44">
    <w:abstractNumId w:val="42"/>
  </w:num>
  <w:num w:numId="45">
    <w:abstractNumId w:val="11"/>
  </w:num>
  <w:num w:numId="46">
    <w:abstractNumId w:val="10"/>
  </w:num>
  <w:num w:numId="47">
    <w:abstractNumId w:val="27"/>
  </w:num>
  <w:num w:numId="48">
    <w:abstractNumId w:val="0"/>
  </w:num>
  <w:num w:numId="49">
    <w:abstractNumId w:val="53"/>
  </w:num>
  <w:num w:numId="50">
    <w:abstractNumId w:val="8"/>
  </w:num>
  <w:num w:numId="51">
    <w:abstractNumId w:val="18"/>
  </w:num>
  <w:num w:numId="52">
    <w:abstractNumId w:val="29"/>
  </w:num>
  <w:num w:numId="53">
    <w:abstractNumId w:val="3"/>
  </w:num>
  <w:num w:numId="54">
    <w:abstractNumId w:val="4"/>
  </w:num>
  <w:num w:numId="55">
    <w:abstractNumId w:val="17"/>
  </w:num>
  <w:num w:numId="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HorizontalSpacing w:val="21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iYWEwZWY0YjhkOTZjNmY1MTY3ZDU2MWZkYzc3NDAifQ=="/>
  </w:docVars>
  <w:rsids>
    <w:rsidRoot w:val="00172A27"/>
    <w:rsid w:val="10BE0EC2"/>
    <w:rsid w:val="1462037C"/>
    <w:rsid w:val="15F74C55"/>
    <w:rsid w:val="1A083E76"/>
    <w:rsid w:val="2954300F"/>
    <w:rsid w:val="2C1105D9"/>
    <w:rsid w:val="2F8D734D"/>
    <w:rsid w:val="30C15ACB"/>
    <w:rsid w:val="41B01D75"/>
    <w:rsid w:val="44AF385B"/>
    <w:rsid w:val="5AE241E4"/>
    <w:rsid w:val="5DFD1C95"/>
    <w:rsid w:val="748D0D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autoRedefine/>
    <w:qFormat/>
    <w:uiPriority w:val="9"/>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autoRedefine/>
    <w:qFormat/>
    <w:uiPriority w:val="9"/>
    <w:pPr>
      <w:keepNext/>
      <w:keepLines/>
      <w:spacing w:line="600" w:lineRule="exact"/>
      <w:ind w:firstLine="643" w:firstLineChars="200"/>
      <w:outlineLvl w:val="2"/>
    </w:pPr>
    <w:rPr>
      <w:b/>
      <w:bCs/>
      <w:sz w:val="32"/>
      <w:szCs w:val="32"/>
    </w:rPr>
  </w:style>
  <w:style w:type="paragraph" w:styleId="5">
    <w:name w:val="heading 4"/>
    <w:basedOn w:val="1"/>
    <w:next w:val="1"/>
    <w:autoRedefine/>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1"/>
    <w:next w:val="7"/>
    <w:autoRedefine/>
    <w:qFormat/>
    <w:uiPriority w:val="9"/>
    <w:pPr>
      <w:keepNext/>
      <w:keepLines/>
      <w:spacing w:before="280" w:after="290" w:line="376" w:lineRule="auto"/>
      <w:outlineLvl w:val="4"/>
    </w:pPr>
    <w:rPr>
      <w:b/>
      <w:bCs/>
      <w:sz w:val="28"/>
      <w:szCs w:val="28"/>
    </w:rPr>
  </w:style>
  <w:style w:type="character" w:default="1" w:styleId="27">
    <w:name w:val="Default Paragraph Font"/>
    <w:autoRedefine/>
    <w:qFormat/>
    <w:uiPriority w:val="1"/>
  </w:style>
  <w:style w:type="table" w:default="1" w:styleId="25">
    <w:name w:val="Normal Table"/>
    <w:autoRedefine/>
    <w:qFormat/>
    <w:uiPriority w:val="99"/>
    <w:tblPr>
      <w:tblCellMar>
        <w:top w:w="0" w:type="dxa"/>
        <w:left w:w="108" w:type="dxa"/>
        <w:bottom w:w="0" w:type="dxa"/>
        <w:right w:w="108" w:type="dxa"/>
      </w:tblCellMar>
    </w:tblPr>
  </w:style>
  <w:style w:type="paragraph" w:styleId="7">
    <w:name w:val="Normal Indent"/>
    <w:basedOn w:val="1"/>
    <w:autoRedefine/>
    <w:qFormat/>
    <w:uiPriority w:val="99"/>
    <w:pPr>
      <w:ind w:firstLine="420"/>
    </w:pPr>
    <w:rPr>
      <w:szCs w:val="20"/>
    </w:rPr>
  </w:style>
  <w:style w:type="paragraph" w:styleId="8">
    <w:name w:val="index 8"/>
    <w:basedOn w:val="1"/>
    <w:next w:val="1"/>
    <w:autoRedefine/>
    <w:qFormat/>
    <w:uiPriority w:val="0"/>
    <w:pPr>
      <w:ind w:left="2940"/>
    </w:pPr>
  </w:style>
  <w:style w:type="paragraph" w:styleId="9">
    <w:name w:val="annotation text"/>
    <w:basedOn w:val="1"/>
    <w:autoRedefine/>
    <w:qFormat/>
    <w:uiPriority w:val="99"/>
    <w:pPr>
      <w:jc w:val="left"/>
    </w:pPr>
  </w:style>
  <w:style w:type="paragraph" w:styleId="10">
    <w:name w:val="Body Text"/>
    <w:basedOn w:val="1"/>
    <w:autoRedefine/>
    <w:qFormat/>
    <w:uiPriority w:val="0"/>
    <w:pPr>
      <w:spacing w:after="120"/>
    </w:pPr>
  </w:style>
  <w:style w:type="paragraph" w:styleId="11">
    <w:name w:val="Body Text Indent"/>
    <w:basedOn w:val="1"/>
    <w:next w:val="1"/>
    <w:autoRedefine/>
    <w:qFormat/>
    <w:uiPriority w:val="99"/>
    <w:pPr>
      <w:spacing w:line="200" w:lineRule="exact"/>
      <w:ind w:firstLine="301"/>
    </w:pPr>
    <w:rPr>
      <w:rFonts w:ascii="宋体" w:hAnsi="Courier New"/>
      <w:spacing w:val="-4"/>
      <w:sz w:val="18"/>
      <w:szCs w:val="20"/>
    </w:rPr>
  </w:style>
  <w:style w:type="paragraph" w:styleId="12">
    <w:name w:val="toc 3"/>
    <w:basedOn w:val="1"/>
    <w:next w:val="1"/>
    <w:autoRedefine/>
    <w:qFormat/>
    <w:uiPriority w:val="39"/>
    <w:pPr>
      <w:jc w:val="left"/>
    </w:pPr>
    <w:rPr>
      <w:rFonts w:ascii="Calibri" w:hAnsi="Calibri"/>
      <w:smallCaps/>
      <w:sz w:val="22"/>
      <w:szCs w:val="22"/>
    </w:rPr>
  </w:style>
  <w:style w:type="paragraph" w:styleId="13">
    <w:name w:val="Plain Text"/>
    <w:basedOn w:val="1"/>
    <w:autoRedefine/>
    <w:qFormat/>
    <w:uiPriority w:val="0"/>
    <w:rPr>
      <w:rFonts w:ascii="宋体" w:hAnsi="Courier New"/>
      <w:szCs w:val="20"/>
    </w:rPr>
  </w:style>
  <w:style w:type="paragraph" w:styleId="14">
    <w:name w:val="Date"/>
    <w:basedOn w:val="1"/>
    <w:next w:val="1"/>
    <w:autoRedefine/>
    <w:qFormat/>
    <w:uiPriority w:val="0"/>
    <w:pPr>
      <w:ind w:left="100" w:leftChars="2500"/>
    </w:pPr>
    <w:rPr>
      <w:rFonts w:ascii="宋体" w:hAnsi="宋体"/>
      <w:kern w:val="0"/>
    </w:rPr>
  </w:style>
  <w:style w:type="paragraph" w:styleId="15">
    <w:name w:val="footer"/>
    <w:basedOn w:val="1"/>
    <w:autoRedefine/>
    <w:qFormat/>
    <w:uiPriority w:val="0"/>
    <w:pPr>
      <w:tabs>
        <w:tab w:val="center" w:pos="4153"/>
        <w:tab w:val="right" w:pos="8306"/>
      </w:tabs>
      <w:snapToGrid w:val="0"/>
      <w:jc w:val="left"/>
    </w:pPr>
    <w:rPr>
      <w:sz w:val="18"/>
      <w:szCs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39"/>
    <w:pPr>
      <w:spacing w:before="360" w:after="360"/>
      <w:jc w:val="left"/>
    </w:pPr>
    <w:rPr>
      <w:rFonts w:ascii="Calibri" w:hAnsi="Calibri"/>
      <w:b/>
      <w:bCs/>
      <w:caps/>
      <w:sz w:val="22"/>
      <w:szCs w:val="22"/>
      <w:u w:val="single"/>
    </w:rPr>
  </w:style>
  <w:style w:type="paragraph" w:styleId="18">
    <w:name w:val="List"/>
    <w:basedOn w:val="1"/>
    <w:autoRedefine/>
    <w:qFormat/>
    <w:uiPriority w:val="99"/>
    <w:pPr>
      <w:ind w:left="200" w:hanging="200" w:hangingChars="200"/>
    </w:pPr>
    <w:rPr>
      <w:sz w:val="28"/>
    </w:rPr>
  </w:style>
  <w:style w:type="paragraph" w:styleId="19">
    <w:name w:val="toc 2"/>
    <w:basedOn w:val="1"/>
    <w:next w:val="1"/>
    <w:autoRedefine/>
    <w:qFormat/>
    <w:uiPriority w:val="39"/>
    <w:pPr>
      <w:jc w:val="left"/>
    </w:pPr>
    <w:rPr>
      <w:rFonts w:ascii="Calibri" w:hAnsi="Calibri"/>
      <w:b/>
      <w:bCs/>
      <w:smallCaps/>
      <w:sz w:val="22"/>
      <w:szCs w:val="22"/>
    </w:rPr>
  </w:style>
  <w:style w:type="paragraph" w:styleId="20">
    <w:name w:val="Body Text 2"/>
    <w:basedOn w:val="1"/>
    <w:next w:val="10"/>
    <w:autoRedefine/>
    <w:qFormat/>
    <w:uiPriority w:val="0"/>
    <w:pPr>
      <w:spacing w:after="120" w:line="480" w:lineRule="auto"/>
    </w:pPr>
    <w:rPr>
      <w:kern w:val="0"/>
      <w:sz w:val="20"/>
    </w:rPr>
  </w:style>
  <w:style w:type="paragraph" w:styleId="21">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autoRedefine/>
    <w:qFormat/>
    <w:uiPriority w:val="0"/>
    <w:pPr>
      <w:spacing w:before="240" w:after="60"/>
      <w:jc w:val="center"/>
      <w:outlineLvl w:val="0"/>
    </w:pPr>
    <w:rPr>
      <w:rFonts w:ascii="Cambria" w:hAnsi="Cambria"/>
      <w:b/>
      <w:bCs/>
      <w:sz w:val="32"/>
      <w:szCs w:val="32"/>
    </w:rPr>
  </w:style>
  <w:style w:type="paragraph" w:styleId="23">
    <w:name w:val="Body Text First Indent"/>
    <w:basedOn w:val="10"/>
    <w:autoRedefine/>
    <w:qFormat/>
    <w:uiPriority w:val="99"/>
    <w:pPr>
      <w:ind w:firstLine="420" w:firstLineChars="100"/>
    </w:pPr>
  </w:style>
  <w:style w:type="paragraph" w:styleId="24">
    <w:name w:val="Body Text First Indent 2"/>
    <w:basedOn w:val="1"/>
    <w:autoRedefine/>
    <w:qFormat/>
    <w:uiPriority w:val="99"/>
    <w:pPr>
      <w:spacing w:after="120"/>
      <w:ind w:left="420" w:leftChars="200" w:firstLine="420" w:firstLineChars="200"/>
    </w:pPr>
  </w:style>
  <w:style w:type="table" w:styleId="26">
    <w:name w:val="Table Grid"/>
    <w:basedOn w:val="25"/>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uiPriority w:val="0"/>
    <w:rPr>
      <w:b/>
      <w:bCs/>
    </w:rPr>
  </w:style>
  <w:style w:type="character" w:styleId="29">
    <w:name w:val="page number"/>
    <w:basedOn w:val="27"/>
    <w:autoRedefine/>
    <w:qFormat/>
    <w:uiPriority w:val="0"/>
  </w:style>
  <w:style w:type="character" w:styleId="30">
    <w:name w:val="FollowedHyperlink"/>
    <w:autoRedefine/>
    <w:qFormat/>
    <w:uiPriority w:val="0"/>
    <w:rPr>
      <w:rFonts w:hint="eastAsia" w:ascii="微软雅黑" w:hAnsi="微软雅黑" w:eastAsia="微软雅黑" w:cs="微软雅黑"/>
      <w:color w:val="02396F"/>
      <w:u w:val="single"/>
    </w:rPr>
  </w:style>
  <w:style w:type="character" w:styleId="31">
    <w:name w:val="Emphasis"/>
    <w:basedOn w:val="27"/>
    <w:autoRedefine/>
    <w:qFormat/>
    <w:uiPriority w:val="0"/>
    <w:rPr>
      <w:b/>
      <w:bCs/>
    </w:rPr>
  </w:style>
  <w:style w:type="character" w:styleId="32">
    <w:name w:val="HTML Definition"/>
    <w:basedOn w:val="27"/>
    <w:autoRedefine/>
    <w:qFormat/>
    <w:uiPriority w:val="0"/>
  </w:style>
  <w:style w:type="character" w:styleId="33">
    <w:name w:val="HTML Typewriter"/>
    <w:basedOn w:val="27"/>
    <w:autoRedefine/>
    <w:qFormat/>
    <w:uiPriority w:val="0"/>
    <w:rPr>
      <w:rFonts w:hint="default" w:ascii="Impact" w:hAnsi="Impact" w:eastAsia="Impact" w:cs="Impact"/>
      <w:sz w:val="20"/>
    </w:rPr>
  </w:style>
  <w:style w:type="character" w:styleId="34">
    <w:name w:val="HTML Acronym"/>
    <w:basedOn w:val="27"/>
    <w:autoRedefine/>
    <w:qFormat/>
    <w:uiPriority w:val="0"/>
    <w:rPr>
      <w:vanish/>
    </w:rPr>
  </w:style>
  <w:style w:type="character" w:styleId="35">
    <w:name w:val="HTML Variable"/>
    <w:basedOn w:val="27"/>
    <w:autoRedefine/>
    <w:qFormat/>
    <w:uiPriority w:val="0"/>
  </w:style>
  <w:style w:type="character" w:styleId="36">
    <w:name w:val="Hyperlink"/>
    <w:autoRedefine/>
    <w:qFormat/>
    <w:uiPriority w:val="99"/>
    <w:rPr>
      <w:rFonts w:hint="eastAsia" w:ascii="微软雅黑" w:hAnsi="微软雅黑" w:eastAsia="微软雅黑" w:cs="微软雅黑"/>
      <w:color w:val="02396F"/>
      <w:u w:val="single"/>
    </w:rPr>
  </w:style>
  <w:style w:type="character" w:styleId="37">
    <w:name w:val="HTML Code"/>
    <w:basedOn w:val="27"/>
    <w:autoRedefine/>
    <w:qFormat/>
    <w:uiPriority w:val="0"/>
    <w:rPr>
      <w:rFonts w:hint="default" w:ascii="Impact" w:hAnsi="Impact" w:eastAsia="Impact" w:cs="Impact"/>
      <w:sz w:val="20"/>
    </w:rPr>
  </w:style>
  <w:style w:type="character" w:styleId="38">
    <w:name w:val="annotation reference"/>
    <w:basedOn w:val="27"/>
    <w:autoRedefine/>
    <w:qFormat/>
    <w:uiPriority w:val="0"/>
    <w:rPr>
      <w:sz w:val="21"/>
      <w:szCs w:val="21"/>
    </w:rPr>
  </w:style>
  <w:style w:type="character" w:styleId="39">
    <w:name w:val="HTML Cite"/>
    <w:basedOn w:val="27"/>
    <w:autoRedefine/>
    <w:qFormat/>
    <w:uiPriority w:val="0"/>
  </w:style>
  <w:style w:type="character" w:styleId="40">
    <w:name w:val="HTML Keyboard"/>
    <w:basedOn w:val="27"/>
    <w:autoRedefine/>
    <w:qFormat/>
    <w:uiPriority w:val="0"/>
    <w:rPr>
      <w:rFonts w:hint="default" w:ascii="Impact" w:hAnsi="Impact" w:eastAsia="Impact" w:cs="Impact"/>
      <w:sz w:val="20"/>
    </w:rPr>
  </w:style>
  <w:style w:type="character" w:styleId="41">
    <w:name w:val="HTML Sample"/>
    <w:basedOn w:val="27"/>
    <w:autoRedefine/>
    <w:qFormat/>
    <w:uiPriority w:val="0"/>
    <w:rPr>
      <w:rFonts w:ascii="Courier New" w:hAnsi="Courier New"/>
    </w:rPr>
  </w:style>
  <w:style w:type="character" w:customStyle="1" w:styleId="42">
    <w:name w:val="cfdate"/>
    <w:autoRedefine/>
    <w:qFormat/>
    <w:uiPriority w:val="0"/>
    <w:rPr>
      <w:color w:val="333333"/>
      <w:sz w:val="18"/>
      <w:szCs w:val="18"/>
    </w:rPr>
  </w:style>
  <w:style w:type="character" w:customStyle="1" w:styleId="43">
    <w:name w:val="prev"/>
    <w:autoRedefine/>
    <w:qFormat/>
    <w:uiPriority w:val="0"/>
    <w:rPr>
      <w:rFonts w:hint="eastAsia" w:ascii="微软雅黑" w:hAnsi="微软雅黑" w:eastAsia="微软雅黑" w:cs="微软雅黑"/>
      <w:sz w:val="21"/>
      <w:szCs w:val="21"/>
    </w:rPr>
  </w:style>
  <w:style w:type="character" w:customStyle="1" w:styleId="44">
    <w:name w:val="prev1"/>
    <w:autoRedefine/>
    <w:qFormat/>
    <w:uiPriority w:val="0"/>
    <w:rPr>
      <w:color w:val="888888"/>
    </w:rPr>
  </w:style>
  <w:style w:type="character" w:customStyle="1" w:styleId="45">
    <w:name w:val="redfilenumber"/>
    <w:autoRedefine/>
    <w:qFormat/>
    <w:uiPriority w:val="0"/>
    <w:rPr>
      <w:color w:val="BA2636"/>
      <w:sz w:val="18"/>
      <w:szCs w:val="18"/>
    </w:rPr>
  </w:style>
  <w:style w:type="character" w:customStyle="1" w:styleId="46">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47">
    <w:name w:val="next1"/>
    <w:autoRedefine/>
    <w:qFormat/>
    <w:uiPriority w:val="0"/>
    <w:rPr>
      <w:color w:val="888888"/>
    </w:rPr>
  </w:style>
  <w:style w:type="character" w:customStyle="1" w:styleId="48">
    <w:name w:val="next"/>
    <w:autoRedefine/>
    <w:qFormat/>
    <w:uiPriority w:val="0"/>
    <w:rPr>
      <w:rFonts w:ascii="微软雅黑" w:hAnsi="微软雅黑" w:eastAsia="微软雅黑" w:cs="微软雅黑"/>
      <w:sz w:val="21"/>
      <w:szCs w:val="21"/>
    </w:rPr>
  </w:style>
  <w:style w:type="character" w:customStyle="1" w:styleId="49">
    <w:name w:val="displayarti"/>
    <w:autoRedefine/>
    <w:qFormat/>
    <w:uiPriority w:val="0"/>
    <w:rPr>
      <w:color w:val="FFFFFF"/>
      <w:shd w:val="clear" w:color="auto" w:fill="A00000"/>
    </w:rPr>
  </w:style>
  <w:style w:type="character" w:customStyle="1" w:styleId="50">
    <w:name w:val="redfilefwwh"/>
    <w:autoRedefine/>
    <w:qFormat/>
    <w:uiPriority w:val="0"/>
    <w:rPr>
      <w:color w:val="BA2636"/>
      <w:sz w:val="18"/>
      <w:szCs w:val="18"/>
    </w:rPr>
  </w:style>
  <w:style w:type="character" w:customStyle="1" w:styleId="51">
    <w:name w:val="qxdate"/>
    <w:autoRedefine/>
    <w:qFormat/>
    <w:uiPriority w:val="0"/>
    <w:rPr>
      <w:color w:val="333333"/>
      <w:sz w:val="18"/>
      <w:szCs w:val="18"/>
    </w:rPr>
  </w:style>
  <w:style w:type="character" w:customStyle="1" w:styleId="52">
    <w:name w:val="gjfg"/>
    <w:basedOn w:val="27"/>
    <w:autoRedefine/>
    <w:qFormat/>
    <w:uiPriority w:val="0"/>
  </w:style>
  <w:style w:type="paragraph" w:customStyle="1" w:styleId="53">
    <w:name w:val="正文缩进1"/>
    <w:basedOn w:val="1"/>
    <w:next w:val="11"/>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54">
    <w:name w:val="样式 标题 2 + 宋体"/>
    <w:basedOn w:val="3"/>
    <w:autoRedefine/>
    <w:qFormat/>
    <w:uiPriority w:val="99"/>
    <w:rPr>
      <w:rFonts w:ascii="宋体" w:hAnsi="宋体"/>
      <w:sz w:val="30"/>
    </w:rPr>
  </w:style>
  <w:style w:type="paragraph" w:styleId="55">
    <w:name w:val="List Paragraph"/>
    <w:basedOn w:val="1"/>
    <w:autoRedefine/>
    <w:qFormat/>
    <w:uiPriority w:val="34"/>
    <w:pPr>
      <w:ind w:firstLine="420" w:firstLineChars="200"/>
    </w:pPr>
  </w:style>
  <w:style w:type="paragraph" w:customStyle="1" w:styleId="56">
    <w:name w:val="p15"/>
    <w:basedOn w:val="1"/>
    <w:autoRedefine/>
    <w:qFormat/>
    <w:uiPriority w:val="0"/>
    <w:pPr>
      <w:widowControl/>
    </w:pPr>
    <w:rPr>
      <w:rFonts w:ascii="宋体" w:hAnsi="宋体" w:cs="宋体"/>
      <w:kern w:val="0"/>
      <w:szCs w:val="21"/>
    </w:rPr>
  </w:style>
  <w:style w:type="paragraph" w:customStyle="1" w:styleId="57">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58">
    <w:name w:val="正文2"/>
    <w:basedOn w:val="1"/>
    <w:autoRedefine/>
    <w:qFormat/>
    <w:uiPriority w:val="0"/>
    <w:pPr>
      <w:adjustRightInd w:val="0"/>
      <w:spacing w:before="156" w:line="360" w:lineRule="auto"/>
      <w:ind w:firstLine="510" w:firstLineChars="200"/>
    </w:pPr>
    <w:rPr>
      <w:sz w:val="24"/>
      <w:szCs w:val="20"/>
    </w:rPr>
  </w:style>
  <w:style w:type="paragraph" w:customStyle="1" w:styleId="59">
    <w:name w:val="Body text|1"/>
    <w:basedOn w:val="1"/>
    <w:autoRedefine/>
    <w:qFormat/>
    <w:uiPriority w:val="0"/>
    <w:pPr>
      <w:spacing w:after="40" w:line="439" w:lineRule="auto"/>
      <w:ind w:firstLine="400"/>
    </w:pPr>
    <w:rPr>
      <w:rFonts w:ascii="宋体" w:hAnsi="宋体" w:cs="宋体"/>
      <w:sz w:val="22"/>
      <w:szCs w:val="22"/>
      <w:lang w:val="zh-TW" w:eastAsia="zh-TW" w:bidi="zh-TW"/>
    </w:rPr>
  </w:style>
  <w:style w:type="character" w:customStyle="1" w:styleId="60">
    <w:name w:val="font11"/>
    <w:basedOn w:val="27"/>
    <w:autoRedefine/>
    <w:qFormat/>
    <w:uiPriority w:val="0"/>
    <w:rPr>
      <w:rFonts w:hint="eastAsia" w:ascii="宋体" w:hAnsi="宋体" w:eastAsia="宋体" w:cs="宋体"/>
      <w:color w:val="000000"/>
      <w:sz w:val="20"/>
      <w:szCs w:val="20"/>
      <w:u w:val="none"/>
    </w:rPr>
  </w:style>
  <w:style w:type="character" w:customStyle="1" w:styleId="61">
    <w:name w:val="hover1"/>
    <w:basedOn w:val="27"/>
    <w:autoRedefine/>
    <w:qFormat/>
    <w:uiPriority w:val="0"/>
    <w:rPr>
      <w:color w:val="2590EB"/>
    </w:rPr>
  </w:style>
  <w:style w:type="character" w:customStyle="1" w:styleId="62">
    <w:name w:val="hover2"/>
    <w:basedOn w:val="27"/>
    <w:autoRedefine/>
    <w:qFormat/>
    <w:uiPriority w:val="0"/>
  </w:style>
  <w:style w:type="character" w:customStyle="1" w:styleId="63">
    <w:name w:val="hover3"/>
    <w:basedOn w:val="27"/>
    <w:autoRedefine/>
    <w:qFormat/>
    <w:uiPriority w:val="0"/>
    <w:rPr>
      <w:color w:val="2590EB"/>
    </w:rPr>
  </w:style>
  <w:style w:type="character" w:customStyle="1" w:styleId="64">
    <w:name w:val="mini-outputtext1"/>
    <w:basedOn w:val="27"/>
    <w:autoRedefine/>
    <w:qFormat/>
    <w:uiPriority w:val="0"/>
  </w:style>
  <w:style w:type="paragraph" w:customStyle="1" w:styleId="65">
    <w:name w:val="*正文"/>
    <w:basedOn w:val="1"/>
    <w:autoRedefine/>
    <w:qFormat/>
    <w:uiPriority w:val="0"/>
    <w:pPr>
      <w:spacing w:line="360" w:lineRule="auto"/>
      <w:ind w:firstLine="200" w:firstLineChars="200"/>
    </w:pPr>
    <w:rPr>
      <w:rFonts w:ascii="宋体" w:hAnsi="宋体"/>
      <w:sz w:val="28"/>
      <w:lang w:val="zh-CN"/>
    </w:rPr>
  </w:style>
  <w:style w:type="character" w:customStyle="1" w:styleId="66">
    <w:name w:val="font21"/>
    <w:autoRedefine/>
    <w:qFormat/>
    <w:uiPriority w:val="0"/>
    <w:rPr>
      <w:rFonts w:hint="eastAsia" w:ascii="仿宋" w:hAnsi="仿宋" w:eastAsia="仿宋" w:cs="仿宋"/>
      <w:color w:val="000000"/>
      <w:sz w:val="24"/>
      <w:szCs w:val="24"/>
      <w:u w:val="none"/>
    </w:rPr>
  </w:style>
  <w:style w:type="character" w:customStyle="1" w:styleId="67">
    <w:name w:val="font31"/>
    <w:autoRedefine/>
    <w:qFormat/>
    <w:uiPriority w:val="0"/>
    <w:rPr>
      <w:rFonts w:hint="eastAsia" w:ascii="仿宋" w:hAnsi="仿宋" w:eastAsia="仿宋" w:cs="仿宋"/>
      <w:color w:val="000000"/>
      <w:sz w:val="22"/>
      <w:szCs w:val="22"/>
      <w:u w:val="none"/>
    </w:rPr>
  </w:style>
  <w:style w:type="paragraph" w:customStyle="1" w:styleId="68">
    <w:name w:val="纯文本1"/>
    <w:basedOn w:val="1"/>
    <w:autoRedefine/>
    <w:qFormat/>
    <w:uiPriority w:val="0"/>
    <w:rPr>
      <w:rFonts w:ascii="宋体" w:hAnsi="Courier New" w:eastAsia="幼圆"/>
      <w:kern w:val="0"/>
      <w:sz w:val="20"/>
      <w:szCs w:val="20"/>
    </w:rPr>
  </w:style>
  <w:style w:type="paragraph" w:customStyle="1" w:styleId="69">
    <w:name w:val="Table Text"/>
    <w:autoRedefine/>
    <w:qFormat/>
    <w:uiPriority w:val="0"/>
    <w:pPr>
      <w:kinsoku w:val="0"/>
      <w:autoSpaceDE w:val="0"/>
      <w:autoSpaceDN w:val="0"/>
      <w:adjustRightInd w:val="0"/>
      <w:snapToGrid w:val="0"/>
      <w:textAlignment w:val="baseline"/>
    </w:pPr>
    <w:rPr>
      <w:rFonts w:ascii="宋体" w:hAnsi="宋体" w:eastAsia="宋体" w:cs="宋体"/>
      <w:snapToGrid w:val="0"/>
      <w:color w:val="000000"/>
      <w:lang w:val="en-US" w:eastAsia="en-US" w:bidi="ar-SA"/>
    </w:rPr>
  </w:style>
  <w:style w:type="table" w:customStyle="1" w:styleId="70">
    <w:name w:val="Table Normal"/>
    <w:autoRedefine/>
    <w:qFormat/>
    <w:uiPriority w:val="0"/>
    <w:tblPr>
      <w:tblCellMar>
        <w:top w:w="0" w:type="dxa"/>
        <w:left w:w="0" w:type="dxa"/>
        <w:bottom w:w="0" w:type="dxa"/>
        <w:right w:w="0" w:type="dxa"/>
      </w:tblCellMar>
    </w:tblPr>
  </w:style>
  <w:style w:type="paragraph" w:customStyle="1" w:styleId="71">
    <w:name w:val="正文-2字符首行缩进"/>
    <w:basedOn w:val="1"/>
    <w:autoRedefine/>
    <w:qFormat/>
    <w:uiPriority w:val="0"/>
    <w:pPr>
      <w:ind w:firstLine="200" w:firstLineChars="200"/>
    </w:pPr>
  </w:style>
  <w:style w:type="paragraph" w:styleId="72">
    <w:name w:val="No Spacing"/>
    <w:autoRedefine/>
    <w:qFormat/>
    <w:uiPriority w:val="0"/>
    <w:pPr>
      <w:widowControl w:val="0"/>
      <w:jc w:val="both"/>
    </w:pPr>
    <w:rPr>
      <w:rFonts w:ascii="Calibri" w:hAnsi="Calibri" w:eastAsia="宋体" w:cs="Times New Roman"/>
      <w:kern w:val="2"/>
      <w:sz w:val="21"/>
      <w:szCs w:val="21"/>
      <w:lang w:val="en-US" w:eastAsia="zh-CN" w:bidi="ar-SA"/>
    </w:rPr>
  </w:style>
  <w:style w:type="paragraph" w:customStyle="1" w:styleId="73">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74">
    <w:name w:val="Revision_6b4d1bee-01ad-461e-8a5b-92db16acff5f"/>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4.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9c0cea-512e-4d24-acfd-f3b691f01a59}">
  <ds:schemaRefs/>
</ds:datastoreItem>
</file>

<file path=customXml/itemProps3.xml><?xml version="1.0" encoding="utf-8"?>
<ds:datastoreItem xmlns:ds="http://schemas.openxmlformats.org/officeDocument/2006/customXml" ds:itemID="{eb49e7cf-d640-4470-bd85-d82cce4c700a}">
  <ds:schemaRefs/>
</ds:datastoreItem>
</file>

<file path=customXml/itemProps4.xml><?xml version="1.0" encoding="utf-8"?>
<ds:datastoreItem xmlns:ds="http://schemas.openxmlformats.org/officeDocument/2006/customXml" ds:itemID="{82fdc919-f8dd-41e6-9654-90010b7bbcd2}">
  <ds:schemaRefs/>
</ds:datastoreItem>
</file>

<file path=docProps/app.xml><?xml version="1.0" encoding="utf-8"?>
<Properties xmlns="http://schemas.openxmlformats.org/officeDocument/2006/extended-properties" xmlns:vt="http://schemas.openxmlformats.org/officeDocument/2006/docPropsVTypes">
  <Template>Normal.dotm</Template>
  <Pages>128</Pages>
  <Words>79906</Words>
  <Characters>82770</Characters>
  <Paragraphs>3046</Paragraphs>
  <TotalTime>248</TotalTime>
  <ScaleCrop>false</ScaleCrop>
  <LinksUpToDate>false</LinksUpToDate>
  <CharactersWithSpaces>88751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2024-04-15T02:40:00Z</dcterms:created>
  <dc:creator>Administrator</dc:creator>
  <cp:lastModifiedBy>欧明聪</cp:lastModifiedBy>
  <cp:lastPrinted>2025-11-25T01:51:00Z</cp:lastPrinted>
  <dcterms:modified xsi:type="dcterms:W3CDTF">2025-12-01T07:27:35Z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FFFE5B011965453988CE9F4C01CCF79C_13</vt:lpwstr>
  </property>
  <property fmtid="{D5CDD505-2E9C-101B-9397-08002B2CF9AE}" pid="4" name="KSOTemplateDocerSaveRecord">
    <vt:lpwstr>eyJoZGlkIjoiNWNlNTY0ZmVjZWI1NTY1YzgzMjZkZTgwY2M4ZDkzZmUiLCJ1c2VySWQiOiIxNTgxMDc4OTIwIn0=</vt:lpwstr>
  </property>
</Properties>
</file>