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56" w:beforeLines="50" w:line="360" w:lineRule="auto"/>
        <w:jc w:val="left"/>
        <w:rPr>
          <w:rFonts w:ascii="宋体" w:hAnsi="宋体" w:eastAsia="宋体" w:cs="宋体"/>
          <w:color w:val="auto"/>
          <w:sz w:val="72"/>
          <w:szCs w:val="72"/>
          <w:highlight w:val="none"/>
        </w:rPr>
      </w:pPr>
    </w:p>
    <w:p>
      <w:pPr>
        <w:snapToGrid w:val="0"/>
        <w:spacing w:before="156" w:beforeLines="50" w:line="360" w:lineRule="auto"/>
        <w:jc w:val="center"/>
        <w:rPr>
          <w:rFonts w:ascii="宋体" w:hAnsi="宋体" w:eastAsia="宋体" w:cs="宋体"/>
          <w:b/>
          <w:bCs/>
          <w:color w:val="auto"/>
          <w:sz w:val="48"/>
          <w:szCs w:val="48"/>
          <w:highlight w:val="none"/>
        </w:rPr>
      </w:pPr>
      <w:r>
        <w:rPr>
          <w:rFonts w:hint="eastAsia" w:ascii="宋体" w:hAnsi="宋体" w:eastAsia="宋体" w:cs="宋体"/>
          <w:b/>
          <w:bCs/>
          <w:color w:val="auto"/>
          <w:sz w:val="96"/>
          <w:szCs w:val="96"/>
          <w:highlight w:val="none"/>
        </w:rPr>
        <w:t>竞争性谈判文件</w:t>
      </w:r>
    </w:p>
    <w:p>
      <w:pPr>
        <w:spacing w:before="312" w:beforeLines="100" w:after="156" w:afterLines="50" w:line="360" w:lineRule="auto"/>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（全流程电子化评标）</w:t>
      </w:r>
    </w:p>
    <w:p>
      <w:pPr>
        <w:spacing w:line="360" w:lineRule="auto"/>
        <w:rPr>
          <w:rFonts w:ascii="宋体" w:hAnsi="宋体" w:eastAsia="宋体" w:cs="宋体"/>
          <w:b/>
          <w:color w:val="auto"/>
          <w:sz w:val="32"/>
          <w:szCs w:val="32"/>
          <w:highlight w:val="none"/>
        </w:rPr>
      </w:pPr>
    </w:p>
    <w:p>
      <w:pPr>
        <w:spacing w:line="360" w:lineRule="auto"/>
        <w:jc w:val="center"/>
        <w:rPr>
          <w:rFonts w:ascii="宋体" w:hAnsi="宋体" w:eastAsia="宋体" w:cs="宋体"/>
          <w:b/>
          <w:color w:val="auto"/>
          <w:sz w:val="32"/>
          <w:szCs w:val="32"/>
          <w:highlight w:val="none"/>
        </w:rPr>
      </w:pPr>
    </w:p>
    <w:p>
      <w:pPr>
        <w:snapToGrid w:val="0"/>
        <w:spacing w:before="50" w:after="120" w:line="360" w:lineRule="auto"/>
        <w:ind w:firstLine="1193" w:firstLineChars="396"/>
        <w:rPr>
          <w:rFonts w:ascii="宋体" w:hAnsi="宋体" w:eastAsia="宋体" w:cs="宋体"/>
          <w:b/>
          <w:bCs/>
          <w:color w:val="auto"/>
          <w:kern w:val="0"/>
          <w:sz w:val="30"/>
          <w:szCs w:val="30"/>
          <w:highlight w:val="none"/>
          <w:lang w:val="zh-CN"/>
        </w:rPr>
      </w:pPr>
      <w:r>
        <w:rPr>
          <w:rFonts w:hint="eastAsia" w:ascii="宋体" w:hAnsi="宋体" w:eastAsia="宋体" w:cs="宋体"/>
          <w:b/>
          <w:bCs/>
          <w:color w:val="auto"/>
          <w:kern w:val="0"/>
          <w:sz w:val="30"/>
          <w:szCs w:val="30"/>
          <w:highlight w:val="none"/>
          <w:lang w:val="zh-CN"/>
        </w:rPr>
        <w:t>项目</w:t>
      </w:r>
      <w:r>
        <w:rPr>
          <w:rFonts w:hint="eastAsia" w:ascii="宋体" w:hAnsi="宋体" w:eastAsia="宋体" w:cs="宋体"/>
          <w:b/>
          <w:bCs/>
          <w:color w:val="auto"/>
          <w:w w:val="95"/>
          <w:kern w:val="0"/>
          <w:sz w:val="30"/>
          <w:szCs w:val="30"/>
          <w:highlight w:val="none"/>
          <w:lang w:val="zh-CN"/>
        </w:rPr>
        <w:t>名称</w:t>
      </w:r>
      <w:r>
        <w:rPr>
          <w:rFonts w:hint="eastAsia" w:ascii="宋体" w:hAnsi="宋体" w:eastAsia="宋体" w:cs="宋体"/>
          <w:b/>
          <w:bCs/>
          <w:color w:val="auto"/>
          <w:kern w:val="0"/>
          <w:sz w:val="30"/>
          <w:szCs w:val="30"/>
          <w:highlight w:val="none"/>
          <w:lang w:val="zh-CN"/>
        </w:rPr>
        <w:t>：彩色多普勒超声诊断仪（心脏）采购</w:t>
      </w:r>
    </w:p>
    <w:p>
      <w:pPr>
        <w:snapToGrid w:val="0"/>
        <w:spacing w:before="50" w:after="120" w:line="360" w:lineRule="auto"/>
        <w:ind w:firstLine="2699" w:firstLineChars="896"/>
        <w:rPr>
          <w:rFonts w:ascii="宋体" w:hAnsi="宋体" w:eastAsia="宋体" w:cs="宋体"/>
          <w:b/>
          <w:bCs/>
          <w:color w:val="auto"/>
          <w:kern w:val="0"/>
          <w:sz w:val="30"/>
          <w:szCs w:val="30"/>
          <w:highlight w:val="none"/>
        </w:rPr>
      </w:pPr>
    </w:p>
    <w:p>
      <w:pPr>
        <w:snapToGrid w:val="0"/>
        <w:spacing w:before="156" w:beforeLines="50" w:line="360" w:lineRule="auto"/>
        <w:ind w:firstLine="1145" w:firstLineChars="400"/>
        <w:rPr>
          <w:rFonts w:hint="eastAsia" w:ascii="宋体" w:hAnsi="宋体" w:eastAsia="宋体" w:cs="宋体"/>
          <w:b/>
          <w:color w:val="auto"/>
          <w:sz w:val="30"/>
          <w:szCs w:val="48"/>
          <w:highlight w:val="none"/>
          <w:lang w:eastAsia="zh-CN"/>
        </w:rPr>
      </w:pPr>
      <w:r>
        <w:rPr>
          <w:rFonts w:hint="eastAsia" w:ascii="宋体" w:hAnsi="宋体" w:eastAsia="宋体" w:cs="宋体"/>
          <w:b/>
          <w:bCs/>
          <w:color w:val="auto"/>
          <w:w w:val="95"/>
          <w:sz w:val="30"/>
          <w:szCs w:val="30"/>
          <w:highlight w:val="none"/>
        </w:rPr>
        <w:t>项目</w:t>
      </w:r>
      <w:r>
        <w:rPr>
          <w:rFonts w:hint="eastAsia" w:ascii="宋体" w:hAnsi="宋体" w:eastAsia="宋体" w:cs="宋体"/>
          <w:b/>
          <w:bCs/>
          <w:color w:val="auto"/>
          <w:sz w:val="30"/>
          <w:szCs w:val="30"/>
          <w:highlight w:val="none"/>
        </w:rPr>
        <w:t>编号</w:t>
      </w:r>
      <w:r>
        <w:rPr>
          <w:rFonts w:hint="eastAsia" w:ascii="宋体" w:hAnsi="宋体" w:eastAsia="宋体" w:cs="宋体"/>
          <w:b/>
          <w:bCs/>
          <w:color w:val="auto"/>
          <w:w w:val="95"/>
          <w:sz w:val="30"/>
          <w:szCs w:val="30"/>
          <w:highlight w:val="none"/>
        </w:rPr>
        <w:t>：</w:t>
      </w:r>
      <w:r>
        <w:rPr>
          <w:rFonts w:hint="eastAsia" w:ascii="宋体" w:hAnsi="宋体" w:eastAsia="宋体" w:cs="宋体"/>
          <w:b/>
          <w:bCs/>
          <w:color w:val="auto"/>
          <w:w w:val="95"/>
          <w:sz w:val="30"/>
          <w:szCs w:val="30"/>
          <w:highlight w:val="none"/>
          <w:lang w:eastAsia="zh-CN"/>
        </w:rPr>
        <w:t>GXZC2025-J1-003961-GXKL</w:t>
      </w:r>
    </w:p>
    <w:p>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p>
    <w:p>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p>
    <w:p>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p>
    <w:p>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r>
        <w:rPr>
          <w:rFonts w:hint="eastAsia" w:ascii="宋体" w:hAnsi="宋体" w:eastAsia="宋体" w:cs="宋体"/>
          <w:b/>
          <w:bCs/>
          <w:color w:val="auto"/>
          <w:w w:val="95"/>
          <w:kern w:val="0"/>
          <w:sz w:val="30"/>
          <w:szCs w:val="30"/>
          <w:highlight w:val="none"/>
          <w:lang w:val="zh-CN"/>
        </w:rPr>
        <w:t>采 购 人：</w:t>
      </w:r>
      <w:r>
        <w:rPr>
          <w:rFonts w:hint="eastAsia" w:ascii="宋体" w:hAnsi="宋体" w:eastAsia="宋体" w:cs="宋体"/>
          <w:b/>
          <w:bCs/>
          <w:color w:val="auto"/>
          <w:w w:val="95"/>
          <w:kern w:val="0"/>
          <w:sz w:val="30"/>
          <w:szCs w:val="30"/>
          <w:highlight w:val="none"/>
          <w:lang w:eastAsia="zh-CN"/>
        </w:rPr>
        <w:t>广西医科大学</w:t>
      </w:r>
      <w:r>
        <w:rPr>
          <w:rFonts w:hint="eastAsia" w:ascii="宋体" w:hAnsi="宋体" w:eastAsia="宋体" w:cs="宋体"/>
          <w:b/>
          <w:bCs/>
          <w:color w:val="auto"/>
          <w:w w:val="95"/>
          <w:kern w:val="0"/>
          <w:sz w:val="30"/>
          <w:szCs w:val="30"/>
          <w:highlight w:val="none"/>
          <w:lang w:val="en-US" w:eastAsia="zh-CN"/>
        </w:rPr>
        <w:t>附属</w:t>
      </w:r>
      <w:r>
        <w:rPr>
          <w:rFonts w:hint="eastAsia" w:ascii="宋体" w:hAnsi="宋体" w:eastAsia="宋体" w:cs="宋体"/>
          <w:b/>
          <w:bCs/>
          <w:color w:val="auto"/>
          <w:w w:val="95"/>
          <w:kern w:val="0"/>
          <w:sz w:val="30"/>
          <w:szCs w:val="30"/>
          <w:highlight w:val="none"/>
          <w:lang w:eastAsia="zh-CN"/>
        </w:rPr>
        <w:t>武鸣医院</w:t>
      </w:r>
      <w:r>
        <w:rPr>
          <w:rFonts w:hint="eastAsia" w:ascii="宋体" w:hAnsi="宋体" w:cs="宋体"/>
          <w:b/>
          <w:bCs/>
          <w:color w:val="auto"/>
          <w:w w:val="95"/>
          <w:kern w:val="0"/>
          <w:sz w:val="30"/>
          <w:szCs w:val="30"/>
          <w:highlight w:val="none"/>
          <w:lang w:val="zh-CN"/>
        </w:rPr>
        <w:t xml:space="preserve"> </w:t>
      </w:r>
      <w:r>
        <w:rPr>
          <w:rFonts w:hint="eastAsia" w:ascii="宋体" w:hAnsi="宋体" w:eastAsia="宋体" w:cs="宋体"/>
          <w:b/>
          <w:bCs/>
          <w:color w:val="auto"/>
          <w:w w:val="95"/>
          <w:kern w:val="0"/>
          <w:sz w:val="30"/>
          <w:szCs w:val="30"/>
          <w:highlight w:val="none"/>
          <w:lang w:val="zh-CN"/>
        </w:rPr>
        <w:t xml:space="preserve"> </w:t>
      </w:r>
      <w:r>
        <w:rPr>
          <w:rFonts w:hint="eastAsia" w:ascii="宋体" w:hAnsi="宋体" w:eastAsia="宋体" w:cs="宋体"/>
          <w:b/>
          <w:bCs/>
          <w:color w:val="auto"/>
          <w:w w:val="95"/>
          <w:kern w:val="0"/>
          <w:sz w:val="30"/>
          <w:szCs w:val="30"/>
          <w:highlight w:val="none"/>
        </w:rPr>
        <w:t xml:space="preserve"> </w:t>
      </w:r>
    </w:p>
    <w:p>
      <w:pPr>
        <w:spacing w:line="360" w:lineRule="auto"/>
        <w:ind w:firstLine="1145" w:firstLineChars="400"/>
        <w:rPr>
          <w:rFonts w:ascii="宋体" w:hAnsi="宋体" w:eastAsia="宋体" w:cs="宋体"/>
          <w:b/>
          <w:color w:val="auto"/>
          <w:sz w:val="32"/>
          <w:szCs w:val="32"/>
          <w:highlight w:val="none"/>
        </w:rPr>
      </w:pPr>
      <w:r>
        <w:rPr>
          <w:rFonts w:hint="eastAsia" w:ascii="宋体" w:hAnsi="宋体" w:eastAsia="宋体" w:cs="宋体"/>
          <w:b/>
          <w:bCs/>
          <w:color w:val="auto"/>
          <w:w w:val="95"/>
          <w:kern w:val="0"/>
          <w:sz w:val="30"/>
          <w:szCs w:val="30"/>
          <w:highlight w:val="none"/>
          <w:lang w:val="zh-CN"/>
        </w:rPr>
        <w:t>采购代理机构：</w:t>
      </w:r>
      <w:bookmarkStart w:id="0" w:name="PO_3000001866_PM031"/>
      <w:r>
        <w:rPr>
          <w:rFonts w:hint="eastAsia" w:ascii="宋体" w:hAnsi="宋体" w:eastAsia="宋体" w:cs="宋体"/>
          <w:b/>
          <w:bCs/>
          <w:color w:val="auto"/>
          <w:w w:val="95"/>
          <w:kern w:val="0"/>
          <w:sz w:val="30"/>
          <w:szCs w:val="30"/>
          <w:highlight w:val="none"/>
          <w:lang w:val="zh-CN"/>
        </w:rPr>
        <w:t>广西科联招标中心有限公司</w:t>
      </w:r>
      <w:bookmarkEnd w:id="0"/>
    </w:p>
    <w:p>
      <w:pPr>
        <w:ind w:firstLine="803"/>
        <w:jc w:val="center"/>
        <w:rPr>
          <w:rFonts w:ascii="宋体" w:hAnsi="宋体" w:eastAsia="宋体" w:cs="宋体"/>
          <w:b/>
          <w:color w:val="auto"/>
          <w:sz w:val="32"/>
          <w:szCs w:val="32"/>
          <w:highlight w:val="none"/>
          <w:lang w:val="zh-CN"/>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pPr>
        <w:spacing w:line="400" w:lineRule="exact"/>
        <w:jc w:val="left"/>
        <w:rPr>
          <w:rFonts w:ascii="宋体" w:hAnsi="宋体" w:eastAsia="宋体" w:cs="Times New Roman"/>
          <w:b/>
          <w:color w:val="auto"/>
          <w:sz w:val="32"/>
          <w:szCs w:val="32"/>
          <w:highlight w:val="none"/>
        </w:rPr>
      </w:pPr>
    </w:p>
    <w:p>
      <w:pPr>
        <w:spacing w:line="360" w:lineRule="auto"/>
        <w:jc w:val="center"/>
        <w:rPr>
          <w:rFonts w:ascii="宋体" w:hAnsi="宋体" w:eastAsia="宋体" w:cs="Times New Roman"/>
          <w:b/>
          <w:color w:val="auto"/>
          <w:sz w:val="44"/>
          <w:szCs w:val="44"/>
          <w:highlight w:val="none"/>
        </w:rPr>
      </w:pPr>
      <w:r>
        <w:rPr>
          <w:rFonts w:hint="eastAsia" w:ascii="宋体" w:hAnsi="宋体" w:eastAsia="宋体" w:cs="Times New Roman"/>
          <w:b/>
          <w:color w:val="auto"/>
          <w:sz w:val="44"/>
          <w:szCs w:val="44"/>
          <w:highlight w:val="none"/>
        </w:rPr>
        <w:t>目   录</w:t>
      </w:r>
    </w:p>
    <w:p>
      <w:pPr>
        <w:spacing w:line="400" w:lineRule="exact"/>
        <w:jc w:val="center"/>
        <w:rPr>
          <w:rFonts w:ascii="宋体" w:hAnsi="宋体" w:eastAsia="宋体" w:cs="Times New Roman"/>
          <w:b/>
          <w:color w:val="auto"/>
          <w:sz w:val="44"/>
          <w:szCs w:val="44"/>
          <w:highlight w:val="none"/>
        </w:rPr>
      </w:pPr>
    </w:p>
    <w:p>
      <w:pPr>
        <w:pStyle w:val="23"/>
        <w:tabs>
          <w:tab w:val="right" w:leader="dot" w:pos="8879"/>
        </w:tabs>
        <w:rPr>
          <w:rFonts w:ascii="宋体" w:hAnsi="宋体" w:eastAsia="宋体" w:cs="宋体"/>
          <w:b/>
          <w:color w:val="auto"/>
          <w:sz w:val="28"/>
          <w:szCs w:val="28"/>
          <w:highlight w:val="none"/>
        </w:rPr>
      </w:pPr>
    </w:p>
    <w:p>
      <w:pPr>
        <w:pStyle w:val="23"/>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TOC \o "1-1" \h \u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"_Toc28468"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第一章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竞争性谈判公告</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_Toc28468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2</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pPr>
        <w:pStyle w:val="23"/>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"_Toc7676"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第二章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采购需求</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_Toc7676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5</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pPr>
        <w:pStyle w:val="23"/>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"_Toc16363"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第三章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供应商须知</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_Toc16363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16</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pPr>
        <w:pStyle w:val="23"/>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"_Toc17139"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sz w:val="28"/>
          <w:szCs w:val="28"/>
          <w:highlight w:val="none"/>
          <w:lang w:val="zh-CN"/>
        </w:rPr>
        <w:t xml:space="preserve">第四章 </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zh-CN"/>
        </w:rPr>
        <w:t>评审程序、评审方法和成交标准</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_Toc17139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34</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pPr>
        <w:pStyle w:val="23"/>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"_Toc25678"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第五章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响应文件格式</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_Toc25678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40</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pPr>
        <w:pStyle w:val="23"/>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"_Toc4631"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第六章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合同文本</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_Toc4631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68</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pPr>
        <w:pStyle w:val="23"/>
        <w:tabs>
          <w:tab w:val="right" w:leader="dot" w:pos="8879"/>
        </w:tabs>
        <w:spacing w:line="60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"_Toc24483"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第七章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质疑、投诉材料格式</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_Toc24483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79</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pPr>
        <w:spacing w:line="600" w:lineRule="auto"/>
        <w:rPr>
          <w:rFonts w:ascii="宋体" w:hAnsi="宋体" w:eastAsia="宋体" w:cs="宋体"/>
          <w:b/>
          <w:bCs/>
          <w:color w:val="auto"/>
          <w:sz w:val="24"/>
          <w:szCs w:val="24"/>
          <w:highlight w:val="none"/>
        </w:rPr>
      </w:pPr>
      <w:r>
        <w:rPr>
          <w:rFonts w:hint="eastAsia" w:ascii="宋体" w:hAnsi="宋体" w:eastAsia="宋体" w:cs="宋体"/>
          <w:b/>
          <w:color w:val="auto"/>
          <w:sz w:val="28"/>
          <w:szCs w:val="28"/>
          <w:highlight w:val="none"/>
        </w:rPr>
        <w:fldChar w:fldCharType="end"/>
      </w:r>
    </w:p>
    <w:p>
      <w:pPr>
        <w:spacing w:line="400" w:lineRule="exact"/>
        <w:jc w:val="center"/>
        <w:rPr>
          <w:rFonts w:ascii="宋体" w:hAnsi="宋体" w:eastAsia="宋体" w:cs="Times New Roman"/>
          <w:b/>
          <w:color w:val="auto"/>
          <w:sz w:val="32"/>
          <w:szCs w:val="32"/>
          <w:highlight w:val="none"/>
        </w:rPr>
      </w:pPr>
    </w:p>
    <w:p>
      <w:pPr>
        <w:spacing w:line="400" w:lineRule="exact"/>
        <w:jc w:val="center"/>
        <w:rPr>
          <w:rFonts w:ascii="宋体" w:hAnsi="宋体" w:eastAsia="宋体" w:cs="Times New Roman"/>
          <w:b/>
          <w:color w:val="auto"/>
          <w:sz w:val="32"/>
          <w:szCs w:val="32"/>
          <w:highlight w:val="none"/>
        </w:rPr>
      </w:pPr>
    </w:p>
    <w:p>
      <w:pPr>
        <w:spacing w:line="400" w:lineRule="exact"/>
        <w:rPr>
          <w:rFonts w:ascii="宋体" w:hAnsi="宋体" w:eastAsia="宋体" w:cs="Times New Roman"/>
          <w:b/>
          <w:color w:val="auto"/>
          <w:sz w:val="32"/>
          <w:szCs w:val="32"/>
          <w:highlight w:val="none"/>
        </w:rPr>
        <w:sectPr>
          <w:footerReference r:id="rId8" w:type="first"/>
          <w:footerReference r:id="rId7" w:type="default"/>
          <w:pgSz w:w="11906" w:h="16838"/>
          <w:pgMar w:top="1440" w:right="1440" w:bottom="1440" w:left="1587" w:header="851" w:footer="992" w:gutter="0"/>
          <w:cols w:space="720" w:num="1"/>
          <w:titlePg/>
          <w:docGrid w:type="lines" w:linePitch="312" w:charSpace="0"/>
        </w:sectPr>
      </w:pPr>
    </w:p>
    <w:p>
      <w:pPr>
        <w:keepNext/>
        <w:keepLines/>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eastAsia="宋体" w:cs="Times New Roman"/>
          <w:b/>
          <w:bCs/>
          <w:color w:val="auto"/>
          <w:kern w:val="44"/>
          <w:sz w:val="44"/>
          <w:szCs w:val="44"/>
          <w:highlight w:val="none"/>
          <w:lang w:val="zh-CN"/>
        </w:rPr>
      </w:pPr>
      <w:bookmarkStart w:id="1" w:name="_Toc15375"/>
      <w:bookmarkStart w:id="2" w:name="_Toc7085"/>
      <w:bookmarkStart w:id="3" w:name="_Toc80205920"/>
      <w:bookmarkStart w:id="4" w:name="_Toc21558"/>
      <w:bookmarkStart w:id="5" w:name="_Toc32002"/>
      <w:bookmarkStart w:id="6" w:name="_Toc28468"/>
      <w:bookmarkStart w:id="7" w:name="_Toc6626"/>
      <w:bookmarkStart w:id="8" w:name="_Toc2567"/>
      <w:bookmarkStart w:id="9" w:name="_Toc21011"/>
      <w:r>
        <w:rPr>
          <w:rFonts w:hint="eastAsia" w:ascii="Times New Roman" w:hAnsi="Times New Roman" w:eastAsia="宋体" w:cs="Times New Roman"/>
          <w:b/>
          <w:bCs/>
          <w:color w:val="auto"/>
          <w:kern w:val="44"/>
          <w:sz w:val="44"/>
          <w:szCs w:val="44"/>
          <w:highlight w:val="none"/>
          <w:lang w:val="zh-CN"/>
        </w:rPr>
        <w:t>第一章 竞争性谈判公告</w:t>
      </w:r>
      <w:bookmarkEnd w:id="1"/>
      <w:bookmarkEnd w:id="2"/>
      <w:bookmarkEnd w:id="3"/>
      <w:bookmarkEnd w:id="4"/>
      <w:bookmarkEnd w:id="5"/>
      <w:bookmarkEnd w:id="6"/>
      <w:bookmarkEnd w:id="7"/>
      <w:bookmarkEnd w:id="8"/>
      <w:bookmarkEnd w:id="9"/>
      <w:bookmarkStart w:id="10" w:name="_Toc28359089"/>
      <w:bookmarkStart w:id="11" w:name="_Toc44229878"/>
      <w:bookmarkStart w:id="12" w:name="_Toc28359012"/>
      <w:bookmarkStart w:id="13" w:name="_Toc35393798"/>
      <w:bookmarkStart w:id="14" w:name="_Toc35393629"/>
      <w:bookmarkStart w:id="15" w:name="_Toc35393792"/>
      <w:bookmarkStart w:id="16" w:name="_Toc28359004"/>
      <w:bookmarkStart w:id="17" w:name="_Toc35393623"/>
      <w:bookmarkStart w:id="18" w:name="_Toc28359081"/>
    </w:p>
    <w:tbl>
      <w:tblPr>
        <w:tblStyle w:val="30"/>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859" w:type="dxa"/>
          </w:tcPr>
          <w:p>
            <w:pPr>
              <w:spacing w:line="360" w:lineRule="auto"/>
              <w:ind w:firstLine="420" w:firstLineChars="200"/>
              <w:rPr>
                <w:color w:val="auto"/>
                <w:szCs w:val="21"/>
                <w:highlight w:val="none"/>
              </w:rPr>
            </w:pPr>
            <w:r>
              <w:rPr>
                <w:rFonts w:hint="eastAsia"/>
                <w:color w:val="auto"/>
                <w:szCs w:val="21"/>
                <w:highlight w:val="none"/>
              </w:rPr>
              <w:t>项目概况</w:t>
            </w:r>
          </w:p>
          <w:p>
            <w:pPr>
              <w:spacing w:line="360" w:lineRule="auto"/>
              <w:ind w:firstLine="420" w:firstLineChars="200"/>
              <w:rPr>
                <w:rFonts w:ascii="黑体" w:hAnsi="黑体" w:eastAsia="黑体" w:cs="宋体"/>
                <w:bCs/>
                <w:color w:val="auto"/>
                <w:sz w:val="24"/>
                <w:highlight w:val="none"/>
              </w:rPr>
            </w:pPr>
            <w:r>
              <w:rPr>
                <w:rFonts w:hint="eastAsia" w:ascii="宋体" w:hAnsi="宋体"/>
                <w:color w:val="auto"/>
                <w:szCs w:val="21"/>
                <w:highlight w:val="none"/>
                <w:u w:val="single"/>
                <w:lang w:eastAsia="zh-CN"/>
              </w:rPr>
              <w:t>彩色多普勒超声诊断仪（心脏）采购</w:t>
            </w:r>
            <w:r>
              <w:rPr>
                <w:rFonts w:hint="eastAsia" w:ascii="宋体" w:hAnsi="宋体"/>
                <w:color w:val="auto"/>
                <w:szCs w:val="21"/>
                <w:highlight w:val="none"/>
              </w:rPr>
              <w:t>项目</w:t>
            </w:r>
            <w:r>
              <w:rPr>
                <w:rFonts w:hint="eastAsia"/>
                <w:color w:val="auto"/>
                <w:szCs w:val="21"/>
                <w:highlight w:val="none"/>
              </w:rPr>
              <w:t>的潜在供应商应在</w:t>
            </w:r>
            <w:r>
              <w:rPr>
                <w:rFonts w:hint="eastAsia" w:ascii="宋体" w:hAnsi="宋体" w:cs="宋体"/>
                <w:color w:val="auto"/>
                <w:szCs w:val="21"/>
                <w:highlight w:val="none"/>
              </w:rPr>
              <w:t>广西政府采购云平台（</w:t>
            </w:r>
            <w:r>
              <w:rPr>
                <w:rStyle w:val="33"/>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color w:val="auto"/>
                <w:szCs w:val="21"/>
                <w:highlight w:val="none"/>
              </w:rPr>
              <w:t>获取采购文件，</w:t>
            </w:r>
            <w:r>
              <w:rPr>
                <w:rFonts w:hint="eastAsia" w:ascii="宋体" w:hAnsi="宋体" w:eastAsia="宋体" w:cs="宋体"/>
                <w:color w:val="auto"/>
                <w:szCs w:val="21"/>
                <w:highlight w:val="none"/>
              </w:rPr>
              <w:t>并于2025年</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29</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点00分</w:t>
            </w:r>
            <w:r>
              <w:rPr>
                <w:rFonts w:hint="eastAsia"/>
                <w:color w:val="auto"/>
                <w:szCs w:val="21"/>
                <w:highlight w:val="none"/>
              </w:rPr>
              <w:t>（北京时间）前提交响应文件。</w:t>
            </w:r>
          </w:p>
        </w:tc>
      </w:tr>
    </w:tbl>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黑体" w:hAnsi="黑体" w:eastAsia="黑体" w:cs="宋体"/>
          <w:b/>
          <w:color w:val="auto"/>
          <w:sz w:val="24"/>
          <w:szCs w:val="24"/>
          <w:highlight w:val="none"/>
        </w:rPr>
      </w:pPr>
      <w:r>
        <w:rPr>
          <w:rFonts w:hint="eastAsia" w:ascii="黑体" w:hAnsi="黑体" w:eastAsia="黑体" w:cs="宋体"/>
          <w:b/>
          <w:color w:val="auto"/>
          <w:kern w:val="2"/>
          <w:sz w:val="24"/>
          <w:szCs w:val="24"/>
          <w:highlight w:val="none"/>
          <w:lang w:val="en-US" w:eastAsia="zh-CN" w:bidi="ar-SA"/>
        </w:rPr>
        <w:t>一、</w:t>
      </w:r>
      <w:r>
        <w:rPr>
          <w:rFonts w:hint="eastAsia" w:ascii="黑体" w:hAnsi="黑体" w:eastAsia="黑体" w:cs="宋体"/>
          <w:b/>
          <w:color w:val="auto"/>
          <w:sz w:val="24"/>
          <w:szCs w:val="24"/>
          <w:highlight w:val="none"/>
        </w:rPr>
        <w:t>项目基本情况</w:t>
      </w:r>
      <w:bookmarkEnd w:id="10"/>
      <w:bookmarkEnd w:id="11"/>
      <w:bookmarkEnd w:id="12"/>
      <w:bookmarkEnd w:id="13"/>
      <w:bookmarkEnd w:id="14"/>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项目编号：</w:t>
      </w:r>
      <w:r>
        <w:rPr>
          <w:rFonts w:hint="eastAsia" w:ascii="宋体" w:hAnsi="宋体" w:eastAsia="宋体" w:cs="Times New Roman"/>
          <w:color w:val="auto"/>
          <w:szCs w:val="21"/>
          <w:highlight w:val="none"/>
          <w:lang w:eastAsia="zh-CN"/>
        </w:rPr>
        <w:t>GXZC2025-J1-003961-GXKL</w:t>
      </w:r>
      <w:r>
        <w:rPr>
          <w:rFonts w:ascii="宋体" w:hAnsi="宋体" w:eastAsia="宋体" w:cs="Times New Roman"/>
          <w:color w:val="auto"/>
          <w:szCs w:val="21"/>
          <w:highlight w:val="none"/>
        </w:rPr>
        <w:tab/>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项目名称：</w:t>
      </w:r>
      <w:r>
        <w:rPr>
          <w:rFonts w:hint="eastAsia" w:ascii="宋体" w:hAnsi="宋体" w:eastAsia="宋体" w:cs="Times New Roman"/>
          <w:color w:val="auto"/>
          <w:szCs w:val="21"/>
          <w:highlight w:val="none"/>
          <w:lang w:eastAsia="zh-CN"/>
        </w:rPr>
        <w:t>彩色多普勒超声诊断仪（心脏）采购</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采购方式：竞争性谈判</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预算总金额（元）：2</w:t>
      </w:r>
      <w:r>
        <w:rPr>
          <w:rFonts w:hint="eastAsia" w:ascii="宋体" w:hAnsi="宋体" w:eastAsia="宋体" w:cs="Times New Roman"/>
          <w:color w:val="auto"/>
          <w:szCs w:val="21"/>
          <w:highlight w:val="none"/>
          <w:lang w:val="en-US" w:eastAsia="zh-CN"/>
        </w:rPr>
        <w:t>300000</w:t>
      </w:r>
      <w:r>
        <w:rPr>
          <w:rFonts w:hint="eastAsia" w:ascii="宋体" w:hAnsi="宋体" w:eastAsia="宋体" w:cs="Times New Roman"/>
          <w:color w:val="auto"/>
          <w:szCs w:val="21"/>
          <w:highlight w:val="none"/>
        </w:rPr>
        <w:t>.00</w:t>
      </w:r>
      <w:r>
        <w:rPr>
          <w:rFonts w:hint="eastAsia" w:ascii="宋体" w:hAnsi="宋体"/>
          <w:color w:val="auto"/>
          <w:szCs w:val="21"/>
          <w:highlight w:val="none"/>
        </w:rPr>
        <w:t>。</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采购需求：</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标项一</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标项名称：</w:t>
      </w:r>
      <w:r>
        <w:rPr>
          <w:rFonts w:hint="eastAsia" w:ascii="宋体" w:hAnsi="宋体" w:eastAsia="宋体" w:cs="宋体"/>
          <w:color w:val="auto"/>
          <w:szCs w:val="21"/>
          <w:highlight w:val="none"/>
          <w:lang w:eastAsia="zh-CN"/>
        </w:rPr>
        <w:t>彩色多普勒超声诊断仪（心脏）采购</w:t>
      </w:r>
      <w:r>
        <w:rPr>
          <w:rFonts w:hint="eastAsia" w:ascii="宋体" w:hAnsi="宋体" w:eastAsia="宋体" w:cs="宋体"/>
          <w:color w:val="auto"/>
          <w:szCs w:val="21"/>
          <w:highlight w:val="none"/>
        </w:rPr>
        <w:t> </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数量：1 </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预算金额（元）：2</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0000.00</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简要规格描述或项目基本概况介绍、用途：详见附件《采购需求》</w:t>
      </w:r>
      <w:r>
        <w:rPr>
          <w:rFonts w:hint="eastAsia" w:ascii="宋体" w:hAnsi="宋体" w:eastAsia="宋体" w:cs="宋体"/>
          <w:color w:val="auto"/>
          <w:szCs w:val="21"/>
          <w:highlight w:val="none"/>
          <w:lang w:eastAsia="zh-CN"/>
        </w:rPr>
        <w:t>。</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最高限价（</w:t>
      </w:r>
      <w:r>
        <w:rPr>
          <w:rFonts w:hint="eastAsia" w:ascii="宋体" w:hAnsi="宋体" w:eastAsia="宋体" w:cs="宋体"/>
          <w:color w:val="auto"/>
          <w:szCs w:val="21"/>
          <w:highlight w:val="none"/>
          <w:lang w:val="en-US" w:eastAsia="zh-CN"/>
        </w:rPr>
        <w:t>元</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w:t>
      </w:r>
      <w:bookmarkStart w:id="186" w:name="_GoBack"/>
      <w:bookmarkEnd w:id="186"/>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合同履行期限：</w:t>
      </w:r>
      <w:r>
        <w:rPr>
          <w:rFonts w:hint="eastAsia" w:ascii="宋体" w:hAnsi="宋体" w:eastAsia="宋体" w:cs="宋体"/>
          <w:color w:val="auto"/>
          <w:kern w:val="2"/>
          <w:sz w:val="21"/>
          <w:szCs w:val="21"/>
          <w:highlight w:val="none"/>
        </w:rPr>
        <w:t>自签订合同之日</w:t>
      </w:r>
      <w:r>
        <w:rPr>
          <w:rFonts w:hint="eastAsia" w:ascii="宋体" w:hAnsi="宋体" w:eastAsia="宋体" w:cs="宋体"/>
          <w:color w:val="auto"/>
          <w:kern w:val="2"/>
          <w:sz w:val="21"/>
          <w:szCs w:val="21"/>
          <w:highlight w:val="none"/>
          <w:lang w:val="en-US" w:eastAsia="zh-CN"/>
        </w:rPr>
        <w:t>起6</w:t>
      </w:r>
      <w:r>
        <w:rPr>
          <w:rFonts w:hint="eastAsia" w:ascii="宋体" w:hAnsi="宋体" w:eastAsia="宋体" w:cs="宋体"/>
          <w:color w:val="auto"/>
          <w:kern w:val="2"/>
          <w:sz w:val="21"/>
          <w:szCs w:val="21"/>
          <w:highlight w:val="none"/>
        </w:rPr>
        <w:t>0</w:t>
      </w:r>
      <w:r>
        <w:rPr>
          <w:rFonts w:hint="eastAsia" w:ascii="宋体" w:hAnsi="宋体" w:eastAsia="宋体" w:cs="宋体"/>
          <w:color w:val="auto"/>
          <w:kern w:val="2"/>
          <w:sz w:val="21"/>
          <w:szCs w:val="21"/>
          <w:highlight w:val="none"/>
          <w:lang w:val="en-US" w:eastAsia="zh-CN"/>
        </w:rPr>
        <w:t>个日历日内</w:t>
      </w:r>
      <w:r>
        <w:rPr>
          <w:rFonts w:hint="eastAsia" w:ascii="宋体" w:hAnsi="宋体" w:eastAsia="宋体" w:cs="宋体"/>
          <w:color w:val="auto"/>
          <w:kern w:val="2"/>
          <w:sz w:val="21"/>
          <w:szCs w:val="21"/>
          <w:highlight w:val="none"/>
        </w:rPr>
        <w:t>交货并完成安装调试</w:t>
      </w:r>
      <w:r>
        <w:rPr>
          <w:rFonts w:hint="eastAsia" w:ascii="宋体" w:hAnsi="宋体" w:eastAsia="宋体" w:cs="宋体"/>
          <w:color w:val="auto"/>
          <w:kern w:val="0"/>
          <w:szCs w:val="21"/>
          <w:highlight w:val="none"/>
        </w:rPr>
        <w:t>。</w:t>
      </w:r>
    </w:p>
    <w:p>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本标项（否）接受联合体投标</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kern w:val="0"/>
          <w:szCs w:val="21"/>
          <w:highlight w:val="none"/>
        </w:rPr>
        <w:t>备注：</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黑体" w:hAnsi="黑体" w:eastAsia="黑体" w:cs="宋体"/>
          <w:b/>
          <w:color w:val="auto"/>
          <w:kern w:val="44"/>
          <w:sz w:val="24"/>
          <w:szCs w:val="24"/>
          <w:highlight w:val="none"/>
        </w:rPr>
      </w:pPr>
      <w:bookmarkStart w:id="19" w:name="_Toc28359013"/>
      <w:bookmarkStart w:id="20" w:name="_Toc44229879"/>
      <w:bookmarkStart w:id="21" w:name="_Toc35393630"/>
      <w:bookmarkStart w:id="22" w:name="_Toc35393799"/>
      <w:bookmarkStart w:id="23" w:name="_Toc28359090"/>
      <w:r>
        <w:rPr>
          <w:rFonts w:hint="eastAsia" w:ascii="黑体" w:hAnsi="黑体" w:eastAsia="黑体" w:cs="宋体"/>
          <w:b/>
          <w:color w:val="auto"/>
          <w:kern w:val="44"/>
          <w:sz w:val="24"/>
          <w:szCs w:val="24"/>
          <w:highlight w:val="none"/>
          <w:lang w:val="en-US" w:eastAsia="zh-CN" w:bidi="ar-SA"/>
        </w:rPr>
        <w:t>二、</w:t>
      </w:r>
      <w:r>
        <w:rPr>
          <w:rFonts w:hint="eastAsia" w:ascii="黑体" w:hAnsi="黑体" w:eastAsia="黑体" w:cs="宋体"/>
          <w:b/>
          <w:color w:val="auto"/>
          <w:kern w:val="44"/>
          <w:sz w:val="24"/>
          <w:szCs w:val="24"/>
          <w:highlight w:val="none"/>
        </w:rPr>
        <w:t>申请人的资格</w:t>
      </w:r>
      <w:bookmarkEnd w:id="19"/>
      <w:bookmarkEnd w:id="20"/>
      <w:bookmarkEnd w:id="21"/>
      <w:bookmarkEnd w:id="22"/>
      <w:bookmarkEnd w:id="23"/>
      <w:r>
        <w:rPr>
          <w:rFonts w:hint="eastAsia" w:ascii="黑体" w:hAnsi="黑体" w:eastAsia="黑体" w:cs="宋体"/>
          <w:b/>
          <w:color w:val="auto"/>
          <w:kern w:val="44"/>
          <w:sz w:val="24"/>
          <w:szCs w:val="24"/>
          <w:highlight w:val="none"/>
        </w:rPr>
        <w:t>要求</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1.满足《中华人民共和国政府采购法》第二十二条规定；</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2.落实政府采购政策需满足的资格要求：</w:t>
      </w:r>
      <w:r>
        <w:rPr>
          <w:rFonts w:hint="eastAsia" w:ascii="宋体" w:hAnsi="宋体" w:eastAsia="宋体" w:cs="宋体"/>
          <w:color w:val="auto"/>
          <w:szCs w:val="21"/>
          <w:highlight w:val="none"/>
          <w:u w:val="none"/>
          <w:lang w:val="en-US" w:eastAsia="zh-CN"/>
        </w:rPr>
        <w:t>无</w:t>
      </w:r>
      <w:r>
        <w:rPr>
          <w:rFonts w:hint="eastAsia" w:ascii="宋体" w:hAnsi="宋体" w:eastAsia="宋体" w:cs="宋体"/>
          <w:color w:val="auto"/>
          <w:szCs w:val="21"/>
          <w:highlight w:val="none"/>
          <w:u w:val="none"/>
        </w:rPr>
        <w:t>；</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3.本项目的特定资格要求：</w:t>
      </w:r>
      <w:r>
        <w:rPr>
          <w:rFonts w:hint="eastAsia" w:ascii="宋体" w:hAnsi="宋体" w:eastAsia="宋体" w:cs="宋体"/>
          <w:color w:val="auto"/>
          <w:szCs w:val="21"/>
          <w:highlight w:val="none"/>
          <w:lang w:val="en-US" w:eastAsia="zh-CN"/>
        </w:rPr>
        <w:t>无</w:t>
      </w:r>
      <w:r>
        <w:rPr>
          <w:rFonts w:hint="eastAsia" w:ascii="宋体" w:hAnsi="宋体" w:eastAsia="宋体" w:cs="宋体"/>
          <w:color w:val="auto"/>
          <w:szCs w:val="21"/>
          <w:highlight w:val="none"/>
        </w:rPr>
        <w:t>。</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三、获取采购文件</w:t>
      </w:r>
      <w:bookmarkEnd w:id="15"/>
      <w:bookmarkEnd w:id="16"/>
      <w:bookmarkEnd w:id="17"/>
      <w:bookmarkEnd w:id="18"/>
      <w:bookmarkStart w:id="24" w:name="_Toc28359005"/>
      <w:bookmarkStart w:id="25" w:name="_Toc35393793"/>
      <w:bookmarkStart w:id="26" w:name="_Toc35393624"/>
      <w:bookmarkStart w:id="27" w:name="_Toc28359082"/>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kern w:val="0"/>
          <w:szCs w:val="21"/>
          <w:highlight w:val="none"/>
        </w:rPr>
      </w:pPr>
      <w:r>
        <w:rPr>
          <w:rFonts w:hint="eastAsia" w:ascii="宋体" w:hAnsi="宋体" w:eastAsia="宋体" w:cs="宋体"/>
          <w:color w:val="auto"/>
          <w:szCs w:val="21"/>
          <w:highlight w:val="none"/>
        </w:rPr>
        <w:t>时间：</w:t>
      </w:r>
      <w:r>
        <w:rPr>
          <w:rFonts w:hint="eastAsia" w:ascii="宋体" w:hAnsi="宋体" w:eastAsia="宋体" w:cs="宋体"/>
          <w:bCs/>
          <w:color w:val="auto"/>
          <w:kern w:val="0"/>
          <w:szCs w:val="21"/>
          <w:highlight w:val="none"/>
          <w:u w:val="single"/>
        </w:rPr>
        <w:t>2025年</w:t>
      </w:r>
      <w:r>
        <w:rPr>
          <w:rFonts w:hint="eastAsia" w:ascii="宋体" w:hAnsi="宋体" w:eastAsia="宋体" w:cs="宋体"/>
          <w:bCs/>
          <w:color w:val="auto"/>
          <w:kern w:val="0"/>
          <w:szCs w:val="21"/>
          <w:highlight w:val="none"/>
          <w:u w:val="single"/>
          <w:lang w:val="en-US" w:eastAsia="zh-CN"/>
        </w:rPr>
        <w:t>12</w:t>
      </w:r>
      <w:r>
        <w:rPr>
          <w:rFonts w:hint="eastAsia" w:ascii="宋体" w:hAnsi="宋体" w:eastAsia="宋体" w:cs="宋体"/>
          <w:bCs/>
          <w:color w:val="auto"/>
          <w:kern w:val="0"/>
          <w:szCs w:val="21"/>
          <w:highlight w:val="none"/>
          <w:u w:val="single"/>
        </w:rPr>
        <w:t>月</w:t>
      </w:r>
      <w:r>
        <w:rPr>
          <w:rFonts w:hint="eastAsia" w:ascii="宋体" w:hAnsi="宋体" w:eastAsia="宋体" w:cs="宋体"/>
          <w:bCs/>
          <w:color w:val="auto"/>
          <w:kern w:val="0"/>
          <w:szCs w:val="21"/>
          <w:highlight w:val="none"/>
          <w:u w:val="single"/>
          <w:lang w:val="en-US" w:eastAsia="zh-CN"/>
        </w:rPr>
        <w:t>23</w:t>
      </w:r>
      <w:r>
        <w:rPr>
          <w:rFonts w:hint="eastAsia" w:ascii="宋体" w:hAnsi="宋体" w:eastAsia="宋体" w:cs="宋体"/>
          <w:bCs/>
          <w:color w:val="auto"/>
          <w:kern w:val="0"/>
          <w:szCs w:val="21"/>
          <w:highlight w:val="none"/>
          <w:u w:val="single"/>
        </w:rPr>
        <w:t>日</w:t>
      </w:r>
      <w:r>
        <w:rPr>
          <w:rFonts w:hint="eastAsia" w:ascii="宋体" w:hAnsi="宋体" w:eastAsia="宋体" w:cs="宋体"/>
          <w:bCs/>
          <w:color w:val="auto"/>
          <w:kern w:val="0"/>
          <w:szCs w:val="21"/>
          <w:highlight w:val="none"/>
        </w:rPr>
        <w:t>至</w:t>
      </w:r>
      <w:r>
        <w:rPr>
          <w:rFonts w:hint="eastAsia" w:ascii="宋体" w:hAnsi="宋体" w:eastAsia="宋体" w:cs="宋体"/>
          <w:bCs/>
          <w:color w:val="auto"/>
          <w:kern w:val="0"/>
          <w:szCs w:val="21"/>
          <w:highlight w:val="none"/>
          <w:u w:val="single"/>
        </w:rPr>
        <w:t>2025年</w:t>
      </w:r>
      <w:r>
        <w:rPr>
          <w:rFonts w:hint="eastAsia" w:ascii="宋体" w:hAnsi="宋体" w:eastAsia="宋体" w:cs="宋体"/>
          <w:bCs/>
          <w:color w:val="auto"/>
          <w:kern w:val="0"/>
          <w:szCs w:val="21"/>
          <w:highlight w:val="none"/>
          <w:u w:val="single"/>
          <w:lang w:val="en-US" w:eastAsia="zh-CN"/>
        </w:rPr>
        <w:t>12</w:t>
      </w:r>
      <w:r>
        <w:rPr>
          <w:rFonts w:hint="eastAsia" w:ascii="宋体" w:hAnsi="宋体" w:eastAsia="宋体" w:cs="宋体"/>
          <w:bCs/>
          <w:color w:val="auto"/>
          <w:kern w:val="0"/>
          <w:szCs w:val="21"/>
          <w:highlight w:val="none"/>
          <w:u w:val="single"/>
        </w:rPr>
        <w:t>月</w:t>
      </w:r>
      <w:r>
        <w:rPr>
          <w:rFonts w:hint="eastAsia" w:ascii="宋体" w:hAnsi="宋体" w:eastAsia="宋体" w:cs="宋体"/>
          <w:bCs/>
          <w:color w:val="auto"/>
          <w:kern w:val="0"/>
          <w:szCs w:val="21"/>
          <w:highlight w:val="none"/>
          <w:u w:val="single"/>
          <w:lang w:val="en-US" w:eastAsia="zh-CN"/>
        </w:rPr>
        <w:t>26</w:t>
      </w:r>
      <w:r>
        <w:rPr>
          <w:rFonts w:hint="eastAsia" w:ascii="宋体" w:hAnsi="宋体" w:eastAsia="宋体" w:cs="宋体"/>
          <w:bCs/>
          <w:color w:val="auto"/>
          <w:kern w:val="0"/>
          <w:szCs w:val="21"/>
          <w:highlight w:val="none"/>
          <w:u w:val="single"/>
        </w:rPr>
        <w:t>日，每天上午00:00至11:59，下午12:00至23:59（</w:t>
      </w:r>
      <w:r>
        <w:rPr>
          <w:rFonts w:hint="eastAsia" w:ascii="宋体" w:hAnsi="宋体" w:eastAsia="宋体" w:cs="宋体"/>
          <w:bCs/>
          <w:color w:val="auto"/>
          <w:kern w:val="0"/>
          <w:szCs w:val="21"/>
          <w:highlight w:val="none"/>
        </w:rPr>
        <w:t>北京时间，法定节假日除外）</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Cs/>
          <w:color w:val="auto"/>
          <w:kern w:val="0"/>
          <w:szCs w:val="21"/>
          <w:highlight w:val="none"/>
        </w:rPr>
        <w:t>地点：</w:t>
      </w:r>
      <w:bookmarkStart w:id="28" w:name="OLE_LINK5"/>
      <w:r>
        <w:rPr>
          <w:rFonts w:hint="eastAsia" w:ascii="宋体" w:hAnsi="宋体" w:eastAsia="宋体" w:cs="宋体"/>
          <w:color w:val="auto"/>
          <w:szCs w:val="21"/>
          <w:highlight w:val="none"/>
        </w:rPr>
        <w:t>广西政府采购云平台（https://www.gcy.zfcg.gxzf.gov.cn/）</w:t>
      </w:r>
      <w:bookmarkEnd w:id="28"/>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方式：</w:t>
      </w:r>
      <w:bookmarkStart w:id="29" w:name="OLE_LINK6"/>
      <w:r>
        <w:rPr>
          <w:rFonts w:hint="eastAsia" w:ascii="宋体" w:hAnsi="宋体" w:eastAsia="宋体" w:cs="宋体"/>
          <w:color w:val="auto"/>
          <w:szCs w:val="21"/>
          <w:highlight w:val="none"/>
        </w:rPr>
        <w:t>网上下载。本项目不发放纸质采购文件，潜在供应商可自行在广西政府采购云平台（https://www.gcy.zfcg.gxzf.gov.cn/）下载采购文件（操作路径：登录广西政府采购云平台-项目采购-获取采购文件-找到本项目-点击“申请获取采购文件”），电子响应文件制作需要基于广西政府采购云平台获取的采购文件编制</w:t>
      </w:r>
      <w:bookmarkEnd w:id="29"/>
      <w:r>
        <w:rPr>
          <w:rFonts w:hint="eastAsia" w:ascii="宋体" w:hAnsi="宋体" w:eastAsia="宋体" w:cs="宋体"/>
          <w:color w:val="auto"/>
          <w:szCs w:val="21"/>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szCs w:val="21"/>
          <w:highlight w:val="none"/>
        </w:rPr>
        <w:t>售价（元）：0</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四、</w:t>
      </w:r>
      <w:bookmarkEnd w:id="24"/>
      <w:bookmarkEnd w:id="25"/>
      <w:bookmarkEnd w:id="26"/>
      <w:bookmarkEnd w:id="27"/>
      <w:r>
        <w:rPr>
          <w:rFonts w:hint="eastAsia" w:ascii="黑体" w:hAnsi="黑体" w:eastAsia="黑体" w:cs="Times New Roman"/>
          <w:b/>
          <w:bCs/>
          <w:color w:val="auto"/>
          <w:sz w:val="24"/>
          <w:szCs w:val="24"/>
          <w:highlight w:val="none"/>
        </w:rPr>
        <w:t>响应文件提交</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截止时间</w:t>
      </w:r>
      <w:r>
        <w:rPr>
          <w:rFonts w:hint="eastAsia" w:ascii="宋体" w:hAnsi="宋体" w:eastAsia="宋体" w:cs="宋体"/>
          <w:bCs/>
          <w:color w:val="auto"/>
          <w:szCs w:val="21"/>
          <w:highlight w:val="none"/>
        </w:rPr>
        <w:t>：</w:t>
      </w:r>
      <w:bookmarkStart w:id="30" w:name="PO_3000001868_PM015"/>
      <w:r>
        <w:rPr>
          <w:rFonts w:hint="eastAsia" w:ascii="宋体" w:hAnsi="宋体" w:eastAsia="宋体" w:cs="宋体"/>
          <w:bCs/>
          <w:color w:val="auto"/>
          <w:szCs w:val="21"/>
          <w:highlight w:val="none"/>
          <w:u w:val="single"/>
        </w:rPr>
        <w:t>2025年</w:t>
      </w:r>
      <w:r>
        <w:rPr>
          <w:rFonts w:hint="eastAsia" w:ascii="宋体" w:hAnsi="宋体" w:eastAsia="宋体" w:cs="宋体"/>
          <w:color w:val="auto"/>
          <w:szCs w:val="21"/>
          <w:highlight w:val="none"/>
          <w:u w:val="single"/>
          <w:lang w:val="en-US" w:eastAsia="zh-CN"/>
        </w:rPr>
        <w:t>12</w:t>
      </w:r>
      <w:r>
        <w:rPr>
          <w:rFonts w:hint="eastAsia" w:ascii="宋体" w:hAnsi="宋体" w:eastAsia="宋体" w:cs="宋体"/>
          <w:bCs/>
          <w:color w:val="auto"/>
          <w:szCs w:val="21"/>
          <w:highlight w:val="none"/>
          <w:u w:val="single"/>
        </w:rPr>
        <w:t>月</w:t>
      </w:r>
      <w:r>
        <w:rPr>
          <w:rFonts w:hint="eastAsia" w:ascii="宋体" w:hAnsi="宋体" w:eastAsia="宋体" w:cs="宋体"/>
          <w:color w:val="auto"/>
          <w:szCs w:val="21"/>
          <w:highlight w:val="none"/>
          <w:u w:val="single"/>
          <w:lang w:val="en-US" w:eastAsia="zh-CN"/>
        </w:rPr>
        <w:t>29</w:t>
      </w:r>
      <w:r>
        <w:rPr>
          <w:rFonts w:hint="eastAsia" w:ascii="宋体" w:hAnsi="宋体" w:eastAsia="宋体" w:cs="宋体"/>
          <w:bCs/>
          <w:color w:val="auto"/>
          <w:szCs w:val="21"/>
          <w:highlight w:val="none"/>
          <w:u w:val="single"/>
        </w:rPr>
        <w:t>日</w:t>
      </w:r>
      <w:bookmarkEnd w:id="30"/>
      <w:r>
        <w:rPr>
          <w:rFonts w:hint="eastAsia" w:ascii="宋体" w:hAnsi="宋体" w:eastAsia="宋体" w:cs="宋体"/>
          <w:bCs/>
          <w:color w:val="auto"/>
          <w:szCs w:val="21"/>
          <w:highlight w:val="none"/>
          <w:u w:val="single"/>
          <w:lang w:val="en-US" w:eastAsia="zh-CN"/>
        </w:rPr>
        <w:t>9</w:t>
      </w:r>
      <w:r>
        <w:rPr>
          <w:rFonts w:hint="eastAsia" w:ascii="宋体" w:hAnsi="宋体" w:eastAsia="宋体" w:cs="宋体"/>
          <w:bCs/>
          <w:color w:val="auto"/>
          <w:szCs w:val="21"/>
          <w:highlight w:val="none"/>
          <w:u w:val="single"/>
        </w:rPr>
        <w:t>点00分</w:t>
      </w:r>
      <w:r>
        <w:rPr>
          <w:rFonts w:hint="eastAsia" w:ascii="宋体" w:hAnsi="宋体" w:eastAsia="宋体" w:cs="宋体"/>
          <w:bCs/>
          <w:color w:val="auto"/>
          <w:szCs w:val="21"/>
          <w:highlight w:val="none"/>
        </w:rPr>
        <w:t>（北京时间）</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szCs w:val="21"/>
          <w:highlight w:val="none"/>
        </w:rPr>
        <w:t>地点（网址）：</w:t>
      </w:r>
      <w:bookmarkStart w:id="31" w:name="OLE_LINK7"/>
      <w:r>
        <w:rPr>
          <w:rFonts w:hint="eastAsia" w:ascii="宋体" w:hAnsi="宋体" w:eastAsia="宋体" w:cs="宋体"/>
          <w:color w:val="auto"/>
          <w:szCs w:val="21"/>
          <w:highlight w:val="none"/>
        </w:rPr>
        <w:t>广西政府采购云平台（https://www.gcy.zfcg.gxzf.gov.cn/）</w:t>
      </w:r>
      <w:bookmarkEnd w:id="31"/>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五、响应文件开启</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bCs/>
          <w:color w:val="auto"/>
          <w:szCs w:val="21"/>
          <w:highlight w:val="none"/>
          <w:u w:val="single"/>
        </w:rPr>
      </w:pPr>
      <w:r>
        <w:rPr>
          <w:rFonts w:hint="eastAsia" w:ascii="宋体" w:hAnsi="宋体" w:eastAsia="宋体" w:cs="宋体"/>
          <w:color w:val="auto"/>
          <w:szCs w:val="21"/>
          <w:highlight w:val="none"/>
        </w:rPr>
        <w:t>开启时间：</w:t>
      </w:r>
      <w:bookmarkStart w:id="32" w:name="PO_3000001868_PM015_1"/>
      <w:r>
        <w:rPr>
          <w:rFonts w:hint="eastAsia" w:ascii="宋体" w:hAnsi="宋体" w:eastAsia="宋体" w:cs="宋体"/>
          <w:color w:val="auto"/>
          <w:szCs w:val="21"/>
          <w:highlight w:val="none"/>
          <w:u w:val="single"/>
        </w:rPr>
        <w:t>2025年</w:t>
      </w:r>
      <w:r>
        <w:rPr>
          <w:rFonts w:hint="eastAsia" w:ascii="宋体" w:hAnsi="宋体" w:eastAsia="宋体" w:cs="宋体"/>
          <w:color w:val="auto"/>
          <w:szCs w:val="21"/>
          <w:highlight w:val="none"/>
          <w:u w:val="single"/>
          <w:lang w:val="en-US" w:eastAsia="zh-CN"/>
        </w:rPr>
        <w:t>12</w:t>
      </w:r>
      <w:r>
        <w:rPr>
          <w:rFonts w:hint="eastAsia" w:ascii="宋体" w:hAnsi="宋体" w:eastAsia="宋体" w:cs="宋体"/>
          <w:color w:val="auto"/>
          <w:szCs w:val="21"/>
          <w:highlight w:val="none"/>
          <w:u w:val="single"/>
        </w:rPr>
        <w:t>月</w:t>
      </w:r>
      <w:r>
        <w:rPr>
          <w:rFonts w:hint="eastAsia" w:ascii="宋体" w:hAnsi="宋体" w:eastAsia="宋体" w:cs="宋体"/>
          <w:color w:val="auto"/>
          <w:szCs w:val="21"/>
          <w:highlight w:val="none"/>
          <w:u w:val="single"/>
          <w:lang w:val="en-US" w:eastAsia="zh-CN"/>
        </w:rPr>
        <w:t>29</w:t>
      </w:r>
      <w:r>
        <w:rPr>
          <w:rFonts w:hint="eastAsia" w:ascii="宋体" w:hAnsi="宋体" w:eastAsia="宋体" w:cs="宋体"/>
          <w:color w:val="auto"/>
          <w:szCs w:val="21"/>
          <w:highlight w:val="none"/>
          <w:u w:val="single"/>
        </w:rPr>
        <w:t>日</w:t>
      </w:r>
      <w:bookmarkEnd w:id="32"/>
      <w:r>
        <w:rPr>
          <w:rFonts w:hint="eastAsia" w:ascii="宋体" w:hAnsi="宋体" w:eastAsia="宋体" w:cs="宋体"/>
          <w:color w:val="auto"/>
          <w:szCs w:val="21"/>
          <w:highlight w:val="none"/>
          <w:u w:val="single"/>
          <w:lang w:val="en-US" w:eastAsia="zh-CN"/>
        </w:rPr>
        <w:t>9</w:t>
      </w:r>
      <w:r>
        <w:rPr>
          <w:rFonts w:hint="eastAsia" w:ascii="宋体" w:hAnsi="宋体" w:eastAsia="宋体" w:cs="宋体"/>
          <w:color w:val="auto"/>
          <w:szCs w:val="21"/>
          <w:highlight w:val="none"/>
          <w:u w:val="single"/>
        </w:rPr>
        <w:t>点00分</w:t>
      </w:r>
      <w:r>
        <w:rPr>
          <w:rFonts w:hint="eastAsia" w:ascii="宋体" w:hAnsi="宋体" w:eastAsia="宋体" w:cs="宋体"/>
          <w:bCs/>
          <w:color w:val="auto"/>
          <w:szCs w:val="21"/>
          <w:highlight w:val="none"/>
        </w:rPr>
        <w:t>（北京时间）</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bCs/>
          <w:color w:val="auto"/>
          <w:szCs w:val="21"/>
          <w:highlight w:val="none"/>
          <w:u w:val="single"/>
        </w:rPr>
      </w:pPr>
      <w:r>
        <w:rPr>
          <w:rFonts w:hint="eastAsia" w:ascii="宋体" w:hAnsi="宋体" w:eastAsia="宋体" w:cs="宋体"/>
          <w:color w:val="auto"/>
          <w:szCs w:val="21"/>
          <w:highlight w:val="none"/>
        </w:rPr>
        <w:t>地点：广西政府采购云平台远程开标大厅</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Times New Roman"/>
          <w:b/>
          <w:bCs/>
          <w:color w:val="auto"/>
          <w:sz w:val="24"/>
          <w:szCs w:val="24"/>
          <w:highlight w:val="none"/>
        </w:rPr>
      </w:pPr>
      <w:bookmarkStart w:id="33" w:name="_Toc35393625"/>
      <w:bookmarkStart w:id="34" w:name="_Toc28359084"/>
      <w:bookmarkStart w:id="35" w:name="_Toc28359007"/>
      <w:bookmarkStart w:id="36" w:name="_Toc35393794"/>
      <w:r>
        <w:rPr>
          <w:rFonts w:hint="eastAsia" w:ascii="黑体" w:hAnsi="黑体" w:eastAsia="黑体" w:cs="Times New Roman"/>
          <w:b/>
          <w:bCs/>
          <w:color w:val="auto"/>
          <w:sz w:val="24"/>
          <w:szCs w:val="24"/>
          <w:highlight w:val="none"/>
        </w:rPr>
        <w:t>六、公告期限</w:t>
      </w:r>
      <w:bookmarkEnd w:id="33"/>
      <w:bookmarkEnd w:id="34"/>
      <w:bookmarkEnd w:id="35"/>
      <w:bookmarkEnd w:id="36"/>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自本公告发布之日起3个工作日。</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黑体" w:hAnsi="黑体" w:eastAsia="黑体" w:cs="Times New Roman"/>
          <w:b/>
          <w:bCs/>
          <w:color w:val="auto"/>
          <w:sz w:val="24"/>
          <w:szCs w:val="24"/>
          <w:highlight w:val="none"/>
        </w:rPr>
      </w:pPr>
      <w:bookmarkStart w:id="37" w:name="_Toc35393626"/>
      <w:bookmarkStart w:id="38" w:name="_Toc35393795"/>
      <w:r>
        <w:rPr>
          <w:rFonts w:hint="eastAsia" w:ascii="黑体" w:hAnsi="黑体" w:eastAsia="黑体" w:cs="Times New Roman"/>
          <w:b/>
          <w:bCs/>
          <w:color w:val="auto"/>
          <w:kern w:val="2"/>
          <w:sz w:val="24"/>
          <w:szCs w:val="24"/>
          <w:highlight w:val="none"/>
          <w:lang w:val="en-US" w:eastAsia="zh-CN" w:bidi="ar-SA"/>
        </w:rPr>
        <w:t>七、</w:t>
      </w:r>
      <w:r>
        <w:rPr>
          <w:rFonts w:hint="eastAsia" w:ascii="黑体" w:hAnsi="黑体" w:eastAsia="黑体" w:cs="Times New Roman"/>
          <w:b/>
          <w:bCs/>
          <w:color w:val="auto"/>
          <w:sz w:val="24"/>
          <w:szCs w:val="24"/>
          <w:highlight w:val="none"/>
        </w:rPr>
        <w:t>其他补充事宜</w:t>
      </w:r>
      <w:bookmarkEnd w:id="37"/>
      <w:bookmarkEnd w:id="38"/>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1.谈判保证金：</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本项目不需要缴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谈判保证金。</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本项目需要缴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谈判保证金，相关要求：</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谈判保证金金额：</w:t>
      </w:r>
      <w:r>
        <w:rPr>
          <w:rFonts w:hint="eastAsia" w:ascii="宋体" w:hAnsi="宋体" w:eastAsia="宋体" w:cs="宋体"/>
          <w:color w:val="auto"/>
          <w:szCs w:val="21"/>
          <w:highlight w:val="none"/>
        </w:rPr>
        <w:t>（大写）</w:t>
      </w:r>
      <w:r>
        <w:rPr>
          <w:rFonts w:hint="eastAsia" w:ascii="宋体" w:hAnsi="宋体" w:eastAsia="宋体" w:cs="宋体"/>
          <w:color w:val="auto"/>
          <w:szCs w:val="21"/>
          <w:highlight w:val="none"/>
          <w:u w:val="single"/>
        </w:rPr>
        <w:t>人民币</w:t>
      </w:r>
      <w:r>
        <w:rPr>
          <w:rFonts w:hint="eastAsia" w:ascii="宋体" w:hAnsi="宋体" w:eastAsia="宋体" w:cs="宋体"/>
          <w:color w:val="auto"/>
          <w:szCs w:val="21"/>
          <w:highlight w:val="none"/>
          <w:u w:val="single"/>
          <w:lang w:val="en-US" w:eastAsia="zh-CN"/>
        </w:rPr>
        <w:t>贰万叁仟</w:t>
      </w:r>
      <w:r>
        <w:rPr>
          <w:rFonts w:hint="eastAsia" w:ascii="宋体" w:hAnsi="宋体" w:eastAsia="宋体" w:cs="宋体"/>
          <w:color w:val="auto"/>
          <w:szCs w:val="21"/>
          <w:highlight w:val="none"/>
          <w:u w:val="single"/>
        </w:rPr>
        <w:t>元整（小写）</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val="en-US" w:eastAsia="zh-CN"/>
        </w:rPr>
        <w:t>23000.00</w:t>
      </w:r>
      <w:r>
        <w:rPr>
          <w:rFonts w:hint="eastAsia" w:ascii="宋体" w:hAnsi="宋体" w:eastAsia="宋体" w:cs="宋体"/>
          <w:color w:val="auto"/>
          <w:kern w:val="0"/>
          <w:szCs w:val="21"/>
          <w:highlight w:val="none"/>
        </w:rPr>
        <w:t>。</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谈判保证金的</w:t>
      </w:r>
      <w:r>
        <w:rPr>
          <w:rFonts w:hint="eastAsia" w:ascii="宋体" w:hAnsi="宋体" w:eastAsia="宋体" w:cs="宋体"/>
          <w:color w:val="auto"/>
          <w:szCs w:val="21"/>
          <w:highlight w:val="none"/>
        </w:rPr>
        <w:t>缴</w:t>
      </w:r>
      <w:r>
        <w:rPr>
          <w:rFonts w:hint="eastAsia" w:ascii="宋体" w:hAnsi="宋体" w:eastAsia="宋体" w:cs="宋体"/>
          <w:color w:val="auto"/>
          <w:kern w:val="0"/>
          <w:szCs w:val="21"/>
          <w:highlight w:val="none"/>
        </w:rPr>
        <w:t>纳方式：银行转账、支票、汇票、本票或者金融机构、担保机构出具的保函等非现金形式提交。采用银行转账方式的，在首次响应文件提交截止时间前交至采购代理机构指定账户并且到账；缴纳谈判保证金指定账户的信息：</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开户银行：招商银行南宁金浦路支行</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开户名称：广西科联招标中心有限公司</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银行账号：7719011969103333000011370</w:t>
      </w:r>
      <w:r>
        <w:rPr>
          <w:rFonts w:hint="eastAsia" w:ascii="宋体" w:hAnsi="宋体" w:eastAsia="宋体" w:cs="宋体"/>
          <w:color w:val="auto"/>
          <w:kern w:val="0"/>
          <w:szCs w:val="21"/>
          <w:highlight w:val="none"/>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采用支票、汇票、本票或者保函等方式的，</w:t>
      </w:r>
      <w:r>
        <w:rPr>
          <w:rFonts w:hint="eastAsia" w:ascii="宋体" w:hAnsi="宋体"/>
          <w:color w:val="auto"/>
          <w:szCs w:val="21"/>
          <w:highlight w:val="none"/>
        </w:rPr>
        <w:t>供应商必须在首次响应文件提交截止时间前将支票、汇票、本票或者金融机构、担保机构出具的保函</w:t>
      </w:r>
      <w:r>
        <w:rPr>
          <w:rFonts w:hint="eastAsia" w:ascii="宋体" w:hAnsi="宋体" w:cs="宋体"/>
          <w:color w:val="auto"/>
          <w:szCs w:val="21"/>
          <w:highlight w:val="none"/>
        </w:rPr>
        <w:t>（</w:t>
      </w:r>
      <w:r>
        <w:rPr>
          <w:rFonts w:hint="eastAsia" w:ascii="宋体" w:hAnsi="宋体" w:cs="宋体"/>
          <w:color w:val="auto"/>
          <w:kern w:val="0"/>
          <w:szCs w:val="21"/>
          <w:highlight w:val="none"/>
        </w:rPr>
        <w:t>电子保函除外</w:t>
      </w:r>
      <w:r>
        <w:rPr>
          <w:rFonts w:hint="eastAsia" w:ascii="宋体" w:hAnsi="宋体" w:cs="宋体"/>
          <w:color w:val="auto"/>
          <w:szCs w:val="21"/>
          <w:highlight w:val="none"/>
        </w:rPr>
        <w:t>）</w:t>
      </w:r>
      <w:r>
        <w:rPr>
          <w:rFonts w:hint="eastAsia" w:ascii="宋体" w:hAnsi="宋体"/>
          <w:color w:val="auto"/>
          <w:szCs w:val="21"/>
          <w:highlight w:val="none"/>
        </w:rPr>
        <w:t>等原件提交给采购代理机构</w:t>
      </w:r>
      <w:r>
        <w:rPr>
          <w:rFonts w:hint="eastAsia" w:ascii="宋体" w:hAnsi="宋体" w:eastAsia="宋体" w:cs="宋体"/>
          <w:color w:val="auto"/>
          <w:kern w:val="0"/>
          <w:szCs w:val="21"/>
          <w:highlight w:val="none"/>
        </w:rPr>
        <w:t>。否则视为无效谈判保证金。</w:t>
      </w:r>
      <w:bookmarkStart w:id="39" w:name="_Hlk37429585"/>
      <w:bookmarkStart w:id="40" w:name="_Hlk37429595"/>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 w:val="21"/>
          <w:szCs w:val="21"/>
          <w:highlight w:val="none"/>
          <w:lang w:val="en-US" w:eastAsia="zh-CN" w:bidi="ar-SA"/>
        </w:rPr>
        <w:t>2.</w:t>
      </w:r>
      <w:r>
        <w:rPr>
          <w:rFonts w:hint="eastAsia" w:ascii="宋体" w:hAnsi="宋体" w:eastAsia="宋体" w:cs="宋体"/>
          <w:color w:val="auto"/>
          <w:kern w:val="0"/>
          <w:szCs w:val="21"/>
          <w:highlight w:val="none"/>
        </w:rPr>
        <w:t>网上查询地址</w:t>
      </w:r>
      <w:bookmarkEnd w:id="39"/>
      <w:bookmarkEnd w:id="40"/>
      <w:bookmarkStart w:id="41" w:name="_Hlk37429674"/>
    </w:p>
    <w:p>
      <w:pPr>
        <w:spacing w:line="360" w:lineRule="auto"/>
        <w:ind w:firstLine="420" w:firstLineChars="2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http://www.ccgp.gov.cn/（中国政府采购网）、</w:t>
      </w:r>
      <w:r>
        <w:rPr>
          <w:rFonts w:hint="eastAsia" w:ascii="宋体" w:hAnsi="宋体" w:eastAsia="宋体" w:cs="宋体"/>
          <w:i w:val="0"/>
          <w:caps w:val="0"/>
          <w:color w:val="auto"/>
          <w:spacing w:val="0"/>
          <w:sz w:val="21"/>
          <w:szCs w:val="21"/>
          <w:highlight w:val="none"/>
        </w:rPr>
        <w:t>http://zfcg.gxzf.gov.cn/</w:t>
      </w:r>
      <w:r>
        <w:rPr>
          <w:rFonts w:hint="eastAsia" w:ascii="宋体" w:hAnsi="宋体" w:cs="宋体"/>
          <w:color w:val="auto"/>
          <w:kern w:val="0"/>
          <w:szCs w:val="21"/>
          <w:highlight w:val="none"/>
        </w:rPr>
        <w:t xml:space="preserve"> (广西政府采购网)</w:t>
      </w:r>
      <w:r>
        <w:rPr>
          <w:rFonts w:hint="eastAsia" w:ascii="宋体" w:hAnsi="宋体" w:eastAsia="宋体" w:cs="宋体"/>
          <w:color w:val="auto"/>
          <w:kern w:val="0"/>
          <w:szCs w:val="21"/>
          <w:highlight w:val="none"/>
          <w:lang w:eastAsia="zh-CN"/>
        </w:rPr>
        <w:t>、</w:t>
      </w:r>
      <w:r>
        <w:rPr>
          <w:rFonts w:hint="eastAsia" w:ascii="宋体" w:hAnsi="宋体" w:cs="宋体"/>
          <w:color w:val="auto"/>
          <w:kern w:val="0"/>
          <w:szCs w:val="21"/>
          <w:highlight w:val="none"/>
        </w:rPr>
        <w:t>https://www.gxmu.edu.cn/</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广西医科大学官网</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、http://www.gxmuwmfy.com/</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广西医科大学附属武鸣医院官网</w:t>
      </w:r>
      <w:r>
        <w:rPr>
          <w:rFonts w:hint="eastAsia" w:ascii="宋体" w:hAnsi="宋体" w:cs="宋体"/>
          <w:color w:val="auto"/>
          <w:kern w:val="0"/>
          <w:szCs w:val="21"/>
          <w:highlight w:val="none"/>
          <w:lang w:eastAsia="zh-CN"/>
        </w:rPr>
        <w:t>）、广西科联招标中心有限公司网站（https://www.gxkl.com）</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 w:val="21"/>
          <w:szCs w:val="21"/>
          <w:highlight w:val="none"/>
          <w:lang w:val="en-US" w:eastAsia="zh-CN" w:bidi="ar-SA"/>
        </w:rPr>
        <w:t>3.</w:t>
      </w:r>
      <w:r>
        <w:rPr>
          <w:rFonts w:hint="eastAsia" w:ascii="宋体" w:hAnsi="宋体" w:eastAsia="宋体" w:cs="宋体"/>
          <w:color w:val="auto"/>
          <w:kern w:val="0"/>
          <w:szCs w:val="21"/>
          <w:highlight w:val="none"/>
        </w:rPr>
        <w:t>本项目需要落实的政府采购政策</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bookmarkEnd w:id="41"/>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szCs w:val="21"/>
          <w:highlight w:val="none"/>
        </w:rPr>
        <w:t>5.对在“信用中国”网站(www.creditchina.gov.cn)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6.</w:t>
      </w:r>
      <w:r>
        <w:rPr>
          <w:rFonts w:hint="eastAsia" w:ascii="宋体" w:hAnsi="宋体" w:eastAsia="宋体" w:cs="宋体"/>
          <w:b/>
          <w:bCs/>
          <w:color w:val="auto"/>
          <w:szCs w:val="21"/>
          <w:highlight w:val="none"/>
        </w:rPr>
        <w:t>在线竞标的有关说明</w:t>
      </w:r>
      <w:r>
        <w:rPr>
          <w:rFonts w:hint="eastAsia" w:ascii="宋体" w:hAnsi="宋体" w:eastAsia="宋体" w:cs="宋体"/>
          <w:b/>
          <w:bCs/>
          <w:color w:val="auto"/>
          <w:kern w:val="0"/>
          <w:szCs w:val="21"/>
          <w:highlight w:val="none"/>
        </w:rPr>
        <w:t>：</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（1）响应文件提交方式：本项目为全流程电子化项目，通过</w:t>
      </w:r>
      <w:r>
        <w:rPr>
          <w:rFonts w:hint="eastAsia" w:ascii="宋体" w:hAnsi="宋体" w:cs="宋体"/>
          <w:color w:val="auto"/>
          <w:szCs w:val="21"/>
          <w:highlight w:val="none"/>
        </w:rPr>
        <w:t>广西政府采购云平台（</w:t>
      </w:r>
      <w:r>
        <w:rPr>
          <w:rStyle w:val="33"/>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ascii="宋体" w:hAnsi="宋体" w:eastAsia="宋体" w:cs="宋体"/>
          <w:color w:val="auto"/>
          <w:szCs w:val="21"/>
          <w:highlight w:val="none"/>
        </w:rPr>
        <w:t>实行在线电子响应，供应商应先安装</w:t>
      </w:r>
      <w:r>
        <w:rPr>
          <w:rFonts w:hint="eastAsia" w:ascii="宋体" w:hAnsi="宋体" w:cs="宋体"/>
          <w:color w:val="auto"/>
          <w:szCs w:val="21"/>
          <w:highlight w:val="none"/>
        </w:rPr>
        <w:t>广西政府采购云平台新版客户端（新版</w:t>
      </w:r>
      <w:r>
        <w:rPr>
          <w:rFonts w:hint="eastAsia" w:ascii="宋体" w:hAnsi="宋体" w:eastAsia="宋体" w:cs="宋体"/>
          <w:color w:val="auto"/>
          <w:szCs w:val="21"/>
          <w:highlight w:val="none"/>
        </w:rPr>
        <w:t>客户端下载路径：广西政府采购网（访问地址http://zfcg.gxzf.gov.cn/）—办事服务—下载专区</w:t>
      </w:r>
      <w:r>
        <w:rPr>
          <w:rFonts w:hint="eastAsia" w:ascii="宋体" w:hAnsi="宋体" w:cs="宋体"/>
          <w:color w:val="auto"/>
          <w:szCs w:val="21"/>
          <w:highlight w:val="none"/>
        </w:rPr>
        <w:t>）</w:t>
      </w:r>
      <w:r>
        <w:rPr>
          <w:rFonts w:hint="eastAsia" w:ascii="宋体" w:hAnsi="宋体" w:eastAsia="宋体" w:cs="宋体"/>
          <w:color w:val="auto"/>
          <w:szCs w:val="21"/>
          <w:highlight w:val="none"/>
        </w:rPr>
        <w:t>，并按照本项目采购文件和</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的要求编制、加密后在响应文件提交截止时间前通过网络上传至</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供应商在广西政府采购云平台提交电子版响应文件时，请填写参加远程采购活动经办人联系方式</w:t>
      </w:r>
      <w:r>
        <w:rPr>
          <w:rFonts w:hint="eastAsia" w:ascii="宋体" w:hAnsi="宋体" w:eastAsia="宋体" w:cs="宋体"/>
          <w:color w:val="auto"/>
          <w:szCs w:val="21"/>
          <w:highlight w:val="none"/>
        </w:rPr>
        <w:t>。</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（2）未进行网上注册并办理数字证书（CA认证）的供应商将无法参与本项目政府采购活动，潜在供应商应当在首次响应文件提交截止时间前，完成电子交易平台上的CA数字证书办理及响应文件的提交。</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w:t>
      </w:r>
      <w:r>
        <w:rPr>
          <w:rFonts w:hint="eastAsia" w:ascii="宋体" w:hAnsi="宋体" w:eastAsia="宋体" w:cs="宋体"/>
          <w:b/>
          <w:color w:val="auto"/>
          <w:szCs w:val="21"/>
          <w:highlight w:val="none"/>
        </w:rPr>
        <w:t>响应文件提交</w:t>
      </w:r>
      <w:r>
        <w:rPr>
          <w:rFonts w:hint="eastAsia" w:ascii="宋体" w:hAnsi="宋体" w:eastAsia="宋体" w:cs="宋体"/>
          <w:b/>
          <w:color w:val="auto"/>
          <w:szCs w:val="21"/>
          <w:highlight w:val="none"/>
          <w:u w:val="single"/>
        </w:rPr>
        <w:t>截止时间前未完成上传、递交的，视为撤回响应文件。响应文件提交截止时间以后上传递交的响应文件的，广西政府采购云平台将予以拒收。</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 w:val="21"/>
          <w:szCs w:val="21"/>
          <w:highlight w:val="none"/>
          <w:lang w:val="en-US" w:eastAsia="zh-CN" w:bidi="ar-SA"/>
        </w:rPr>
        <w:t>（4）</w:t>
      </w:r>
      <w:r>
        <w:rPr>
          <w:rFonts w:hint="eastAsia" w:ascii="宋体" w:hAnsi="宋体" w:eastAsia="宋体" w:cs="宋体"/>
          <w:color w:val="auto"/>
          <w:kern w:val="0"/>
          <w:szCs w:val="21"/>
          <w:highlight w:val="none"/>
        </w:rPr>
        <w:t>CA证书在线解密：首次响应文件开启时，需要供应商登录</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电子开标大厅按规定时间对加密的响应文件进行解密。</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宋体"/>
          <w:color w:val="auto"/>
          <w:kern w:val="0"/>
          <w:szCs w:val="21"/>
          <w:highlight w:val="none"/>
        </w:rPr>
        <w:t>5</w:t>
      </w:r>
      <w:r>
        <w:rPr>
          <w:rFonts w:hint="eastAsia" w:ascii="宋体" w:hAnsi="宋体" w:eastAsia="宋体" w:cs="宋体"/>
          <w:color w:val="auto"/>
          <w:kern w:val="0"/>
          <w:szCs w:val="21"/>
          <w:highlight w:val="none"/>
        </w:rPr>
        <w:t>）供应商需要在具备有摄像头及语音功能且互联网网络状况良好的电脑登录</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远程开标大厅参与本次谈判，否则后果自负。</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7.若对项目采购电子交易系统操作有疑问，可登录</w:t>
      </w:r>
      <w:r>
        <w:rPr>
          <w:rFonts w:hint="eastAsia" w:ascii="宋体" w:hAnsi="宋体" w:cs="宋体"/>
          <w:color w:val="auto"/>
          <w:szCs w:val="21"/>
          <w:highlight w:val="none"/>
        </w:rPr>
        <w:t>广西政府采购云平台（</w:t>
      </w:r>
      <w:r>
        <w:rPr>
          <w:rStyle w:val="33"/>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ascii="宋体" w:hAnsi="宋体" w:eastAsia="宋体" w:cs="宋体"/>
          <w:color w:val="auto"/>
          <w:kern w:val="0"/>
          <w:szCs w:val="21"/>
          <w:highlight w:val="none"/>
        </w:rPr>
        <w:t>，点击右侧咨询小采，获取采小蜜智能服务管家帮助，或拨打</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服务热线95763获取热线服务帮助。</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宋体"/>
          <w:bCs/>
          <w:color w:val="auto"/>
          <w:sz w:val="24"/>
          <w:szCs w:val="24"/>
          <w:highlight w:val="none"/>
        </w:rPr>
      </w:pPr>
      <w:r>
        <w:rPr>
          <w:rFonts w:hint="eastAsia" w:ascii="黑体" w:hAnsi="黑体" w:eastAsia="黑体" w:cs="宋体"/>
          <w:b/>
          <w:color w:val="auto"/>
          <w:kern w:val="44"/>
          <w:sz w:val="24"/>
          <w:szCs w:val="24"/>
          <w:highlight w:val="none"/>
        </w:rPr>
        <w:t>八、凡对本次采购提出询问，请按</w:t>
      </w:r>
      <w:r>
        <w:rPr>
          <w:rFonts w:ascii="黑体" w:hAnsi="黑体" w:eastAsia="黑体" w:cs="宋体"/>
          <w:b/>
          <w:color w:val="auto"/>
          <w:kern w:val="44"/>
          <w:sz w:val="24"/>
          <w:szCs w:val="24"/>
          <w:highlight w:val="none"/>
        </w:rPr>
        <w:t>以下方式</w:t>
      </w:r>
      <w:r>
        <w:rPr>
          <w:rFonts w:hint="eastAsia" w:ascii="黑体" w:hAnsi="黑体" w:eastAsia="黑体" w:cs="宋体"/>
          <w:b/>
          <w:color w:val="auto"/>
          <w:kern w:val="44"/>
          <w:sz w:val="24"/>
          <w:szCs w:val="24"/>
          <w:highlight w:val="none"/>
        </w:rPr>
        <w:t>联系。</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1.采购人信息</w:t>
      </w:r>
    </w:p>
    <w:p>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名</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称：</w:t>
      </w:r>
      <w:r>
        <w:rPr>
          <w:rFonts w:hint="eastAsia" w:ascii="宋体" w:hAnsi="宋体" w:eastAsia="宋体" w:cs="宋体"/>
          <w:color w:val="auto"/>
          <w:szCs w:val="21"/>
          <w:highlight w:val="none"/>
          <w:lang w:eastAsia="zh-CN"/>
        </w:rPr>
        <w:t>广西医科大学</w:t>
      </w:r>
      <w:r>
        <w:rPr>
          <w:rFonts w:hint="eastAsia" w:ascii="宋体" w:hAnsi="宋体" w:eastAsia="宋体" w:cs="宋体"/>
          <w:color w:val="auto"/>
          <w:szCs w:val="21"/>
          <w:highlight w:val="none"/>
          <w:lang w:val="en-US" w:eastAsia="zh-CN"/>
        </w:rPr>
        <w:t>附属</w:t>
      </w:r>
      <w:r>
        <w:rPr>
          <w:rFonts w:hint="eastAsia" w:ascii="宋体" w:hAnsi="宋体" w:eastAsia="宋体" w:cs="宋体"/>
          <w:color w:val="auto"/>
          <w:szCs w:val="21"/>
          <w:highlight w:val="none"/>
          <w:lang w:eastAsia="zh-CN"/>
        </w:rPr>
        <w:t>武鸣医院</w:t>
      </w:r>
    </w:p>
    <w:p>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地</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址：广西南宁市武鸣区永宁路26号</w:t>
      </w:r>
    </w:p>
    <w:p>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项目联系人：</w:t>
      </w:r>
      <w:r>
        <w:rPr>
          <w:rFonts w:hint="eastAsia" w:ascii="宋体" w:hAnsi="宋体" w:eastAsia="宋体" w:cs="宋体"/>
          <w:color w:val="auto"/>
          <w:szCs w:val="21"/>
          <w:highlight w:val="none"/>
          <w:lang w:val="en-US" w:eastAsia="zh-CN"/>
        </w:rPr>
        <w:t>丘工</w:t>
      </w:r>
      <w:r>
        <w:rPr>
          <w:rFonts w:hint="eastAsia" w:ascii="宋体" w:hAnsi="宋体" w:eastAsia="宋体" w:cs="宋体"/>
          <w:color w:val="auto"/>
          <w:szCs w:val="21"/>
          <w:highlight w:val="none"/>
        </w:rPr>
        <w:t xml:space="preserve">    </w:t>
      </w:r>
    </w:p>
    <w:p>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项目联系方式：</w:t>
      </w:r>
      <w:r>
        <w:rPr>
          <w:rFonts w:hint="eastAsia" w:ascii="宋体" w:hAnsi="宋体" w:eastAsia="宋体" w:cs="宋体"/>
          <w:color w:val="auto"/>
          <w:szCs w:val="21"/>
          <w:highlight w:val="none"/>
          <w:lang w:eastAsia="zh-CN"/>
        </w:rPr>
        <w:t>0771-6200039</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名</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称：广西科联招标中心有限公司</w:t>
      </w:r>
    </w:p>
    <w:p>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地　　址：</w:t>
      </w:r>
      <w:bookmarkStart w:id="42" w:name="OLE_LINK11"/>
      <w:r>
        <w:rPr>
          <w:rFonts w:hint="eastAsia" w:ascii="宋体" w:hAnsi="宋体" w:eastAsia="宋体" w:cs="宋体"/>
          <w:color w:val="auto"/>
          <w:szCs w:val="21"/>
          <w:highlight w:val="none"/>
        </w:rPr>
        <w:t>广西南宁市西乡塘区大学东路170号</w:t>
      </w:r>
      <w:bookmarkEnd w:id="42"/>
    </w:p>
    <w:p>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项目联系人：</w:t>
      </w:r>
      <w:r>
        <w:rPr>
          <w:rFonts w:hint="eastAsia" w:ascii="宋体" w:hAnsi="宋体" w:eastAsia="宋体" w:cs="宋体"/>
          <w:color w:val="auto"/>
          <w:szCs w:val="21"/>
          <w:highlight w:val="none"/>
          <w:lang w:val="en-US" w:eastAsia="zh-CN"/>
        </w:rPr>
        <w:t>韦雯思、梁莹、莫琳</w:t>
      </w:r>
      <w:r>
        <w:rPr>
          <w:rFonts w:hint="eastAsia" w:ascii="宋体" w:hAnsi="宋体" w:eastAsia="宋体" w:cs="宋体"/>
          <w:color w:val="auto"/>
          <w:szCs w:val="21"/>
          <w:highlight w:val="none"/>
          <w:lang w:val="en-US" w:eastAsia="zh-CN"/>
        </w:rPr>
        <w:tab/>
      </w:r>
    </w:p>
    <w:p>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hint="eastAsia" w:ascii="宋体" w:hAnsi="宋体" w:eastAsia="宋体" w:cs="Times New Roman"/>
          <w:color w:val="auto"/>
          <w:szCs w:val="21"/>
          <w:highlight w:val="none"/>
          <w:lang w:val="en-US" w:eastAsia="zh-CN"/>
        </w:rPr>
      </w:pPr>
      <w:r>
        <w:rPr>
          <w:rFonts w:hint="eastAsia" w:ascii="宋体" w:hAnsi="宋体" w:eastAsia="宋体" w:cs="宋体"/>
          <w:color w:val="auto"/>
          <w:szCs w:val="21"/>
          <w:highlight w:val="none"/>
        </w:rPr>
        <w:t>项目联系方式：</w:t>
      </w:r>
      <w:r>
        <w:rPr>
          <w:rFonts w:hint="eastAsia" w:ascii="宋体" w:hAnsi="宋体" w:eastAsia="宋体" w:cs="宋体"/>
          <w:color w:val="auto"/>
          <w:szCs w:val="21"/>
          <w:highlight w:val="none"/>
          <w:lang w:eastAsia="zh-CN"/>
        </w:rPr>
        <w:t>0771-3486278</w:t>
      </w:r>
    </w:p>
    <w:p>
      <w:pPr>
        <w:keepNext/>
        <w:keepLines/>
        <w:pageBreakBefore w:val="0"/>
        <w:widowControl w:val="0"/>
        <w:kinsoku/>
        <w:wordWrap/>
        <w:overflowPunct/>
        <w:topLinePunct w:val="0"/>
        <w:autoSpaceDE/>
        <w:autoSpaceDN/>
        <w:bidi w:val="0"/>
        <w:adjustRightInd/>
        <w:snapToGrid/>
        <w:spacing w:before="340" w:after="330" w:line="240" w:lineRule="auto"/>
        <w:jc w:val="center"/>
        <w:textAlignment w:val="auto"/>
        <w:outlineLvl w:val="0"/>
        <w:rPr>
          <w:rFonts w:ascii="Times New Roman" w:hAnsi="Times New Roman" w:eastAsia="宋体" w:cs="Times New Roman"/>
          <w:b/>
          <w:bCs/>
          <w:color w:val="auto"/>
          <w:kern w:val="44"/>
          <w:sz w:val="44"/>
          <w:szCs w:val="44"/>
          <w:highlight w:val="none"/>
          <w:lang w:val="zh-CN"/>
        </w:rPr>
      </w:pPr>
      <w:bookmarkStart w:id="43" w:name="_Toc80205921"/>
      <w:bookmarkStart w:id="44" w:name="_Toc30720"/>
      <w:bookmarkStart w:id="45" w:name="_Toc27517"/>
      <w:bookmarkStart w:id="46" w:name="_Toc16263"/>
      <w:bookmarkStart w:id="47" w:name="_Toc21351"/>
      <w:bookmarkStart w:id="48" w:name="_Toc14086"/>
      <w:bookmarkStart w:id="49" w:name="_Toc7676"/>
      <w:bookmarkStart w:id="50" w:name="_Toc7360"/>
      <w:bookmarkStart w:id="51" w:name="_Toc30021"/>
      <w:r>
        <w:rPr>
          <w:rFonts w:hint="eastAsia" w:ascii="Cambria" w:hAnsi="Cambria" w:eastAsia="宋体" w:cs="Times New Roman"/>
          <w:b/>
          <w:color w:val="auto"/>
          <w:kern w:val="44"/>
          <w:sz w:val="32"/>
          <w:szCs w:val="32"/>
          <w:highlight w:val="none"/>
          <w:lang w:val="zh-CN"/>
        </w:rPr>
        <w:t>第二章 采购需求</w:t>
      </w:r>
      <w:bookmarkEnd w:id="43"/>
      <w:bookmarkEnd w:id="44"/>
      <w:bookmarkEnd w:id="45"/>
      <w:bookmarkEnd w:id="46"/>
      <w:bookmarkEnd w:id="47"/>
      <w:bookmarkEnd w:id="48"/>
      <w:bookmarkEnd w:id="49"/>
      <w:bookmarkEnd w:id="50"/>
      <w:bookmarkEnd w:id="51"/>
    </w:p>
    <w:p>
      <w:pPr>
        <w:spacing w:line="42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说明：</w:t>
      </w:r>
    </w:p>
    <w:p>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4"/>
          <w:highlight w:val="none"/>
        </w:rPr>
        <w:t>1.为落实政府采购政策需满足的要求：</w:t>
      </w:r>
    </w:p>
    <w:p>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（1）本竞争性谈判文件所称中小企业必须符合《政府采购促进中小企业发展管理办法》（财库〔2020〕46号）的规定。</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w:t>
      </w:r>
      <w:r>
        <w:rPr>
          <w:rFonts w:hint="eastAsia" w:ascii="宋体" w:hAnsi="宋体" w:eastAsia="宋体" w:cs="宋体"/>
          <w:b/>
          <w:bCs/>
          <w:color w:val="auto"/>
          <w:szCs w:val="21"/>
          <w:highlight w:val="none"/>
        </w:rPr>
        <w:t>供应商必须在响应文件中提供所竞标产品有效期内的节能产品认证证书复印件（加盖供应商公章），否则响应文件作无效处理</w:t>
      </w:r>
      <w:r>
        <w:rPr>
          <w:rFonts w:hint="eastAsia" w:ascii="宋体" w:hAnsi="宋体" w:eastAsia="宋体" w:cs="宋体"/>
          <w:color w:val="auto"/>
          <w:szCs w:val="21"/>
          <w:highlight w:val="none"/>
        </w:rPr>
        <w:t>。如本项目包含的配套货物属于品目清单内非标注“★”的产品时，应优先采购，具体详见“第四章 评审程序、评审方法和成交标准”。</w:t>
      </w:r>
    </w:p>
    <w:p>
      <w:pPr>
        <w:spacing w:line="360" w:lineRule="auto"/>
        <w:ind w:firstLine="420" w:firstLineChars="200"/>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b/>
          <w:bCs/>
          <w:color w:val="auto"/>
          <w:szCs w:val="21"/>
          <w:highlight w:val="none"/>
        </w:rPr>
        <w:t>“实质性要求”是指竞争性谈判文件中已经指明不满足则响应文件作无效响应处理的条款，或者不能负偏离的条款，或者采购需求中带“▲”的条款。</w:t>
      </w:r>
      <w:bookmarkStart w:id="52" w:name="PO_3000001871_PM050"/>
    </w:p>
    <w:p>
      <w:pPr>
        <w:spacing w:line="360" w:lineRule="auto"/>
        <w:ind w:firstLine="420" w:firstLineChars="200"/>
        <w:jc w:val="left"/>
        <w:rPr>
          <w:rFonts w:hint="eastAsia" w:ascii="宋体" w:hAnsi="宋体" w:cs="宋体"/>
          <w:b/>
          <w:bCs/>
          <w:color w:val="auto"/>
          <w:highlight w:val="none"/>
        </w:rPr>
      </w:pPr>
      <w:r>
        <w:rPr>
          <w:rFonts w:hint="eastAsia" w:ascii="宋体" w:hAnsi="宋体" w:eastAsia="宋体" w:cs="宋体"/>
          <w:color w:val="auto"/>
          <w:highlight w:val="none"/>
        </w:rPr>
        <w:t>3.</w:t>
      </w:r>
      <w:r>
        <w:rPr>
          <w:rFonts w:hint="eastAsia" w:ascii="宋体" w:hAnsi="宋体" w:cs="宋体"/>
          <w:b/>
          <w:bCs/>
          <w:color w:val="auto"/>
          <w:highlight w:val="none"/>
        </w:rPr>
        <w:t>本项目为货物类采购项目，</w:t>
      </w:r>
      <w:r>
        <w:rPr>
          <w:rFonts w:hint="eastAsia" w:ascii="宋体" w:hAnsi="宋体" w:eastAsia="宋体" w:cs="宋体"/>
          <w:b/>
          <w:bCs/>
          <w:color w:val="auto"/>
          <w:highlight w:val="none"/>
        </w:rPr>
        <w:t>采购标的对应的中小企业划分标准所属行业</w:t>
      </w:r>
      <w:r>
        <w:rPr>
          <w:rFonts w:hint="eastAsia" w:ascii="宋体" w:hAnsi="宋体" w:cs="宋体"/>
          <w:b/>
          <w:bCs/>
          <w:color w:val="auto"/>
          <w:highlight w:val="none"/>
        </w:rPr>
        <w:t>名称及要求：</w:t>
      </w:r>
    </w:p>
    <w:p>
      <w:pPr>
        <w:spacing w:line="360" w:lineRule="auto"/>
        <w:ind w:firstLine="420" w:firstLineChars="200"/>
        <w:jc w:val="left"/>
        <w:rPr>
          <w:rFonts w:ascii="宋体" w:hAnsi="宋体" w:eastAsia="宋体" w:cs="宋体"/>
          <w:i/>
          <w:iCs/>
          <w:color w:val="auto"/>
          <w:highlight w:val="none"/>
          <w:u w:val="single"/>
        </w:rPr>
      </w:pPr>
      <w:r>
        <w:rPr>
          <w:rFonts w:hint="eastAsia" w:ascii="宋体" w:hAnsi="宋体" w:cs="宋体"/>
          <w:color w:val="auto"/>
          <w:highlight w:val="none"/>
        </w:rPr>
        <w:t>需求一览表中的采购标的对应的中小企业划分标准所属行业名称为：</w:t>
      </w:r>
      <w:r>
        <w:rPr>
          <w:rFonts w:hint="eastAsia" w:ascii="宋体" w:hAnsi="宋体" w:cs="宋体"/>
          <w:b/>
          <w:bCs/>
          <w:color w:val="auto"/>
          <w:highlight w:val="none"/>
          <w:u w:val="single"/>
        </w:rPr>
        <w:t>工业；</w:t>
      </w:r>
    </w:p>
    <w:p>
      <w:pPr>
        <w:pStyle w:val="2"/>
        <w:rPr>
          <w:rFonts w:ascii="宋体" w:hAnsi="宋体" w:cs="宋体"/>
          <w:i/>
          <w:iCs/>
          <w:color w:val="auto"/>
          <w:highlight w:val="none"/>
          <w:u w:val="single"/>
          <w:lang w:val="en-US"/>
        </w:rPr>
      </w:pPr>
    </w:p>
    <w:bookmarkEnd w:id="52"/>
    <w:tbl>
      <w:tblPr>
        <w:tblStyle w:val="30"/>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83"/>
        <w:gridCol w:w="1185"/>
        <w:gridCol w:w="600"/>
        <w:gridCol w:w="645"/>
        <w:gridCol w:w="6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5" w:hRule="atLeast"/>
          <w:jc w:val="center"/>
        </w:trPr>
        <w:tc>
          <w:tcPr>
            <w:tcW w:w="9809" w:type="dxa"/>
            <w:gridSpan w:val="5"/>
            <w:shd w:val="clear" w:color="auto" w:fill="auto"/>
            <w:vAlign w:val="center"/>
          </w:tcPr>
          <w:p>
            <w:pPr>
              <w:keepNext w:val="0"/>
              <w:keepLines w:val="0"/>
              <w:pageBreakBefore w:val="0"/>
              <w:widowControl/>
              <w:tabs>
                <w:tab w:val="left" w:pos="796"/>
              </w:tabs>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bookmarkStart w:id="53" w:name="PO_TDCUS_ITEM_PB_REQ_FILE_1_1"/>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rPr>
              <w:t>需求一览表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2" w:hRule="atLeast"/>
          <w:jc w:val="center"/>
        </w:trPr>
        <w:tc>
          <w:tcPr>
            <w:tcW w:w="58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序号</w:t>
            </w:r>
          </w:p>
        </w:tc>
        <w:tc>
          <w:tcPr>
            <w:tcW w:w="118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标的名称</w:t>
            </w:r>
          </w:p>
        </w:tc>
        <w:tc>
          <w:tcPr>
            <w:tcW w:w="60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数量</w:t>
            </w:r>
          </w:p>
        </w:tc>
        <w:tc>
          <w:tcPr>
            <w:tcW w:w="64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单位</w:t>
            </w:r>
          </w:p>
        </w:tc>
        <w:tc>
          <w:tcPr>
            <w:tcW w:w="679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技术参数及配置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76" w:hRule="atLeast"/>
          <w:jc w:val="center"/>
        </w:trPr>
        <w:tc>
          <w:tcPr>
            <w:tcW w:w="583"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1185"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彩色多普勒超声诊断仪（心脏）</w:t>
            </w:r>
          </w:p>
        </w:tc>
        <w:tc>
          <w:tcPr>
            <w:tcW w:w="600"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45"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6796"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一、设备用途及说明</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用于成人心脏、儿童心脏及胎儿心脏、血管（外周、腹部、脑血管）、腹部、产科、妇科、浅表等临床应用，用于超声临床诊断应用和相关科研教学工作，满足开展新的临床应用需求。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二、主要技术规格</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（一）主机成像系统</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1.超高数字化通道，支持集束精准发射及海量并行处理，可同步进行多个声束的形成、采集和处理；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▲2.高分辨率液晶显示器≥21英寸，分辨率≥1920×1080，可上下左右任意旋转，可前后折叠；</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▲3.操作面板具备液晶触摸屏≥12英寸，可通过手指滑动触摸屏进行翻、调节的参数，操作面板可上下左右进行高度调整及旋转；</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4.触摸屏可以与主显示器实时同步显示动态图像，并可在触摸屏上进行容积图像的旋转、放大等调整；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5.显示器可全屏显示扫查图像，包括二维、彩色、频谱等；</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6.通用成像探头接口≥4个，均为微型无针式接口，4个接口通用，可同时支持经食道探头并可任意互换；</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7.单晶体探头技术：支持相控阵、凸阵、微凸阵和线阵探头；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8.机器可支持单晶体探头≥4支；</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9.数字化频谱多普勒显示和分析单元(包括PW、CW和High PRF)；</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10.数字化二维灰阶成像及M型显像单元；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▲11.M型及解剖M型技术；</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12.谐波成像技术；</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13.彩色多普勒成像技术；</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14.彩色多普勒能量图技术；</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15.动态范围≥300 dB；</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16.实时双同步/三同步功能；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17.内置DICOM 3.0 标准输出接口；</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18.内有一体化超声工作站。</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（二）二维灰阶成像单元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1.所有探头均为宽频、变频探头，频率数值可在屏幕上显示；</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2.具备斑点噪声抑制技术，可增强组织边界，抑制斑点噪声，可用于2D、3D等多种模式；</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3.具备实时空间复合成像技术，同时作用于发射和接收多角度声束；</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4.具备扩展成像技术，可与空间复合成像，斑点噪声抑制技术联合使用；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5.一键优化图像，可实时优化二维增益、TGC曲线等成像参数；</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6.自动实时持续增益补偿；</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7.侧向增益补偿技术，可支持相控阵探头、矩阵实时三维探头，且可视可调；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8.分辨率和帧频可视可调；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9.超宽视野全景成像技术；</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10.穿刺引导功能：支持相控阵、凸阵、线阵探头穿刺引导功能；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11.具备专业心超工作者定制界面，提高心超医生易用性。</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（三）彩色多普勒血流成像单元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1.具有二维彩色模式、能量图模式、彩色M型模式、组织多普勒模式等多种成像模式；</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2.自适应超宽频带彩色多普勒成像技术；</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3.彩色增益可独立调节，支持凸阵、线阵、相控阵；</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4.彩色实时同屏双幅对比显像；</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5.具备专业冠脉血流成像模式，可支持心脏成像探头（包括成人心脏相控阵探头、儿童相控阵探头等）。</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（四）频谱多普勒成像单元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1.具有PW、CW、High PRF模式，高性能三同步成像；</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2.实时自动多普勒测量分析，可提供多参数选择；</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3.一键自动优化多普勒频谱，自动调整基线及量程等参数；</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4.频谱自动分析系统：包括实时自动包络、手动包络等；自动计算各血流动力学参数，参数可根据客户需要灵活进行选择。</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（五）组织多普勒成像单元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1.具备高帧频彩色和脉冲波组织多普勒成像；</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2.二维、速度曲线同屏显示；</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3.提供专业TDI测量软件包，可进行组织速度、位移、应变、应变率等进行整体和节段定量分析；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4.具备基于组织多普勒的定量分析，可同时显示不低于16个亚节段的心肌速度曲线、位移曲线、应变及应变率曲线，可用于整体及节段功能评价。</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（六）组织谐波成像单元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1.具备组织谐波技术；</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2.谐波频率多级可调。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（七）超声造影成像单元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1.造影成像单元，包含LVO、LowMI实时灌注成像和Flash爆破造影成像；</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2.支持负荷超声成像下的心肌灌注造影；</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3.支持心腔和心肌造影成像；</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4.支持腹部、浅表、血管造影应用；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5.造影技术支持凸阵、线阵、相控阵、矩阵探头；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6.支持实时相交互两个平面同屏同时相显示造影成像技术；</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7.具备在机及脱机造影定量分析软件，可提供≥5种参数及动态曲线；且造影连续采集时间≥5分钟。</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（八）负荷超声成像单元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1.内置专业负荷超声模板；</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2.可提供负荷超声斑点追踪定量分析；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3.智能旋转角度可植入负荷超声模板中，加快工作流程；</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（九）测量及定量分析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1.常规测量和分析（B型、M型、频谱多普勒、彩色多普勒）</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1.1一般常规测量（直径、面积、体积、狭窄率、压差等）；</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1.2多普勒血流测量及分析软件包；</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1.3专业心脏功能测量与分析，可支持Simpson三点法快速描记心内膜，加快工作流程；</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1.4自动、实时多普勒频谱波形分析，在实时或者冻结模式下都可以使用。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2.感兴趣区定量</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2.1≥9个用户自定义的区域；</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2.2自动标记 ECG 触发，以实现特定心动周期时相的定量分析；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2.3生成时间－强度曲线，支持多种曲线拟合模式；</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2.4分析结果包括每一帧图像的dB数值、密度或速度/频率、达峰时间、“A”值，曲线下面积和峰值密度。</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3.血管中内膜厚度自动测量：对感兴趣区域内自动测量，无需手动描计，计算结果为一段距离内的平均值，提高测量的可靠性和可重复性，并可根据血管内中膜厚度不同进行优化设置，脱机数据可输出。</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 xml:space="preserve">4.心肌应变定量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4.1实时组织多普勒定量技术；</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▲4.2可显示组织速度、位移、应变、应变率等多种参数曲线，并支持曲线测量对比分析。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 xml:space="preserve">5.心脏自动应变定量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5.1专用的智能化自动应变分析模块；</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5.2连接和未连接心电信号的超声图像均可在机分析；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5.3支持心脏常规二维、心脏造影成像等多种模式下使用；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5.4全自动识别左心室切面并追踪，快速获得左心室整体应变值、左心室长径值、左心室应变牛眼图和达峰时间牛眼图；</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5.5全自动识别追踪左心房切面，快速获取左心房储备功能、管道功能、收缩功能应变值及曲线，并同时提供ED、PreA两种参考时间点左心房应变值；</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5.6全自动识别追踪右心室切面，快速获取右心室四腔和游离壁整体应变值，同时得到右心室游离壁三个节段应变曲线。</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6.自动心肌运动定量</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6.1可在机分析心脏长轴和短轴图像，不依赖ECG，可在机选择分析内、中、外三层心肌信息；</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6.2可快速获得左心室长轴切面容积曲线、长轴应变曲线、长轴位移曲线等；自动计算心脏EF值、左心室长轴应变及达峰时间结果，结果以牛眼图显示；</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6.3快速获得左心室短轴切面面积曲线、圆周应变曲线、径向位移曲线、旋转曲线等；自动计算左心室短轴FAC、左心室短轴应变及达峰时间等，短轴应变及达峰时间以牛眼图显示；</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7.负荷心肌运动定量：支持负荷试验状态下左心室整体和节段进行应变定量分析。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（十）图像存储与（电影）回放重现及病案管理单元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1.数字化捕捉、回放、存储动、静态图像，实时图像传输；</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2.主机内置硬盘≥1T，可扩展的存储装置：大容量移动硬盘、DVD-RW、DVR等；</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3.具备主机硬盘图像数据存储；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4.病案管理单元包括病人资料、报告、图像等的存储、修改和检索等；</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5.可根据检查要求对工作站参数（存储、压缩、回放）进行编程调节。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三、技术参数及要求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（一）系统通用功能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1.标准成像探头接口≥4个，无针式微型接口，均可通用；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2.功能分区控制面板，可升降、旋转、前后左右平移, 电子锁定。</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（二）探头规格</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1.频率：超宽频变频探头, 可支持探头频率1 MHz 到12 MHz；</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2.可支持类型：相控阵、凸阵、微凸阵、线阵、经食道、机械容积、矩阵探头等；</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3.压电晶体材料：相控阵、凸阵、微凸阵、线阵探头均具备采用单晶体材料；</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（三）二维成像主要参数</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1.小儿心脏探头，带宽参考：2.1-8.9MHz；</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腹部单晶体凸阵探头，带宽参考：1.1-5.0MHz；</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血管/小器官线阵探头，带宽参考：3.1-11.8MHz；</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心脏单晶体相控阵探头，带宽参考：1.1-5.0MHz；</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2.扫描速率：相控阵，成像角度120°，20cm深度时，帧速率≥ 80帧/秒；</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3.扫描深度：最大扫描深度≥40cm；</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4.扇扫角度：儿童相控阵探头≥110度；</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5.声束聚焦：发射接收动态连续聚焦；</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6.回放重现及存储：存储时间≥6分钟；</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8.增益调节：2D/Color/Doppler可独立调节。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（四）频率多普勒</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1.具备脉冲波多普勒PW，连续波多普勒CW，高脉冲重复频率HPRF；</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2.多普勒探头与频率：PW，CW；</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3.最低测量速度1mm/s (非噪声信号)；</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4.电影回放：≥2000帧；</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5.频谱零位移动：≥6级；</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6.取样宽度及位置范围：参考宽度0.9-20mm；分级可调；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7.显示控制：反转显示(左/右，上/下)。</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（五）彩色多普勒</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1.显示方式：速度方差显示、能量显示、速度显示、方差显示；</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2.二维图像/频谱多普勒/彩色血流成像三同步显示；</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3.彩色显示角度：10-120°可选；</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4.彩色显示帧数：帧频≥18帧/秒；</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5.组织多普勒帧频：帧频≥110帧/秒；</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6.彩色增强功能：彩色多普勒能量图(CDE/CPI)；组织多普勒(TDI)。</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 xml:space="preserve">（六）超声图像及病案管理系统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1.动态图像采集，存储，一次连续采集≥100幅；</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2.同屏电影回放≥4画面，可调回放速度；</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3.存储图像及文档：超大1TB硬盘，CD/DVD、以及USB接口；</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（七）超声功率输出调节：B/M，PW，CDFI，输出功率选择多级可调。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四</w:t>
            </w:r>
            <w:bookmarkStart w:id="54" w:name="OLE_LINK1"/>
            <w:r>
              <w:rPr>
                <w:rFonts w:hint="eastAsia" w:ascii="宋体" w:hAnsi="宋体" w:eastAsia="宋体" w:cs="宋体"/>
                <w:color w:val="auto"/>
                <w:kern w:val="0"/>
                <w:sz w:val="21"/>
                <w:szCs w:val="21"/>
                <w:highlight w:val="none"/>
                <w:lang w:val="en-US" w:eastAsia="zh-CN" w:bidi="en-US"/>
              </w:rPr>
              <w:t>、配置清单</w:t>
            </w:r>
            <w:bookmarkEnd w:id="54"/>
          </w:p>
          <w:tbl>
            <w:tblPr>
              <w:tblStyle w:val="31"/>
              <w:tblW w:w="6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4021"/>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序号</w:t>
                  </w:r>
                </w:p>
              </w:tc>
              <w:tc>
                <w:tcPr>
                  <w:tcW w:w="4021"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名称</w:t>
                  </w:r>
                </w:p>
              </w:tc>
              <w:tc>
                <w:tcPr>
                  <w:tcW w:w="1183"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4021"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彩色超声诊断系统主机</w:t>
                  </w:r>
                </w:p>
              </w:tc>
              <w:tc>
                <w:tcPr>
                  <w:tcW w:w="1183"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w:t>
                  </w:r>
                </w:p>
              </w:tc>
              <w:tc>
                <w:tcPr>
                  <w:tcW w:w="4021"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高分辨率液晶显示器</w:t>
                  </w:r>
                </w:p>
              </w:tc>
              <w:tc>
                <w:tcPr>
                  <w:tcW w:w="1183"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小儿心脏探头</w:t>
                  </w: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腹部单晶体凸阵探头</w:t>
                  </w:r>
                </w:p>
              </w:tc>
              <w:tc>
                <w:tcPr>
                  <w:tcW w:w="1183"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血管/小器官线阵探头</w:t>
                  </w:r>
                </w:p>
              </w:tc>
              <w:tc>
                <w:tcPr>
                  <w:tcW w:w="1183"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心脏单晶体相控阵探头</w:t>
                  </w:r>
                </w:p>
              </w:tc>
              <w:tc>
                <w:tcPr>
                  <w:tcW w:w="1183"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7</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造影成像</w:t>
                  </w:r>
                </w:p>
              </w:tc>
              <w:tc>
                <w:tcPr>
                  <w:tcW w:w="1183"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8</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感兴趣区域定量</w:t>
                  </w:r>
                </w:p>
              </w:tc>
              <w:tc>
                <w:tcPr>
                  <w:tcW w:w="1183"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9</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TDI定量分析</w:t>
                  </w:r>
                </w:p>
              </w:tc>
              <w:tc>
                <w:tcPr>
                  <w:tcW w:w="1183"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10</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自动心肌运动定量分析</w:t>
                  </w:r>
                </w:p>
              </w:tc>
              <w:tc>
                <w:tcPr>
                  <w:tcW w:w="1183"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血管检查软件包</w:t>
                  </w:r>
                </w:p>
              </w:tc>
              <w:tc>
                <w:tcPr>
                  <w:tcW w:w="1183"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12</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内中膜厚度测量</w:t>
                  </w: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13</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心脏临床应用软件包</w:t>
                  </w: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14</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自动心功能定量分析</w:t>
                  </w: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15</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自动左室应变定量</w:t>
                  </w: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16</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心肌应变定量</w:t>
                  </w: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17</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专用台车</w:t>
                  </w: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18</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双杯超声耦合剂恒温加热仪</w:t>
                  </w: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19</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操作主机一台（配置要求：CUP：I5以上，内存：16G以上，固态硬盘：500G以上）</w:t>
                  </w: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20</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自助大容量彩色打印装置</w:t>
                  </w:r>
                </w:p>
              </w:tc>
              <w:tc>
                <w:tcPr>
                  <w:tcW w:w="1183"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相关配套设备：UPS一台；高清图像采集卡一张，图像采集手柄一把</w:t>
                  </w: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22</w:t>
                  </w:r>
                </w:p>
              </w:tc>
              <w:tc>
                <w:tcPr>
                  <w:tcW w:w="402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检查床一张，人体学检查椅一张、工作台一张</w:t>
                  </w:r>
                </w:p>
              </w:tc>
              <w:tc>
                <w:tcPr>
                  <w:tcW w:w="11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1批</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9809" w:type="dxa"/>
            <w:gridSpan w:val="5"/>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color w:val="auto"/>
                <w:kern w:val="0"/>
                <w:sz w:val="21"/>
                <w:szCs w:val="21"/>
                <w:highlight w:val="none"/>
                <w:lang w:val="en-US" w:eastAsia="zh-CN" w:bidi="en-US"/>
              </w:rPr>
              <w:t>▲</w:t>
            </w:r>
            <w:r>
              <w:rPr>
                <w:rFonts w:hint="eastAsia" w:ascii="宋体" w:hAnsi="宋体" w:eastAsia="宋体" w:cs="宋体"/>
                <w:b/>
                <w:bCs/>
                <w:color w:val="auto"/>
                <w:sz w:val="21"/>
                <w:szCs w:val="21"/>
                <w:highlight w:val="none"/>
              </w:rPr>
              <w:t>商务条款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合同签订时间</w:t>
            </w:r>
          </w:p>
        </w:tc>
        <w:tc>
          <w:tcPr>
            <w:tcW w:w="8041" w:type="dxa"/>
            <w:gridSpan w:val="3"/>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自成交通知书发出之日起25个日历日内。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交付时间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方式</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及地点</w:t>
            </w:r>
          </w:p>
        </w:tc>
        <w:tc>
          <w:tcPr>
            <w:tcW w:w="8041" w:type="dxa"/>
            <w:gridSpan w:val="3"/>
            <w:shd w:val="clear" w:color="auto" w:fill="auto"/>
            <w:noWrap/>
            <w:vAlign w:val="center"/>
          </w:tcPr>
          <w:p>
            <w:pPr>
              <w:widowControl/>
              <w:adjustRightInd w:val="0"/>
              <w:snapToGrid w:val="0"/>
              <w:spacing w:line="360" w:lineRule="auto"/>
              <w:ind w:left="105" w:leftChars="50"/>
              <w:textAlignment w:val="center"/>
              <w:rPr>
                <w:rFonts w:hint="eastAsia" w:ascii="宋体" w:hAnsi="宋体" w:eastAsia="宋体" w:cs="宋体"/>
                <w:color w:val="auto"/>
                <w:kern w:val="2"/>
                <w:szCs w:val="21"/>
                <w:highlight w:val="none"/>
              </w:rPr>
            </w:pPr>
            <w:r>
              <w:rPr>
                <w:rFonts w:hint="eastAsia" w:ascii="宋体" w:hAnsi="宋体" w:eastAsia="宋体" w:cs="宋体"/>
                <w:color w:val="auto"/>
                <w:sz w:val="21"/>
                <w:szCs w:val="21"/>
                <w:highlight w:val="none"/>
              </w:rPr>
              <w:t>交付时间：</w:t>
            </w:r>
            <w:r>
              <w:rPr>
                <w:rFonts w:hint="eastAsia" w:ascii="宋体" w:hAnsi="宋体" w:eastAsia="宋体" w:cs="宋体"/>
                <w:color w:val="auto"/>
                <w:kern w:val="2"/>
                <w:sz w:val="21"/>
                <w:szCs w:val="21"/>
                <w:highlight w:val="none"/>
              </w:rPr>
              <w:t>自签订合同之日</w:t>
            </w:r>
            <w:r>
              <w:rPr>
                <w:rFonts w:hint="eastAsia" w:ascii="宋体" w:hAnsi="宋体" w:eastAsia="宋体" w:cs="宋体"/>
                <w:color w:val="auto"/>
                <w:kern w:val="2"/>
                <w:sz w:val="21"/>
                <w:szCs w:val="21"/>
                <w:highlight w:val="none"/>
                <w:lang w:val="en-US" w:eastAsia="zh-CN"/>
              </w:rPr>
              <w:t>起6</w:t>
            </w:r>
            <w:r>
              <w:rPr>
                <w:rFonts w:hint="eastAsia" w:ascii="宋体" w:hAnsi="宋体" w:eastAsia="宋体" w:cs="宋体"/>
                <w:color w:val="auto"/>
                <w:kern w:val="2"/>
                <w:sz w:val="21"/>
                <w:szCs w:val="21"/>
                <w:highlight w:val="none"/>
              </w:rPr>
              <w:t>0</w:t>
            </w:r>
            <w:r>
              <w:rPr>
                <w:rFonts w:hint="eastAsia" w:ascii="宋体" w:hAnsi="宋体" w:eastAsia="宋体" w:cs="宋体"/>
                <w:color w:val="auto"/>
                <w:kern w:val="2"/>
                <w:sz w:val="21"/>
                <w:szCs w:val="21"/>
                <w:highlight w:val="none"/>
                <w:lang w:val="en-US" w:eastAsia="zh-CN"/>
              </w:rPr>
              <w:t>个日历日内</w:t>
            </w:r>
            <w:r>
              <w:rPr>
                <w:rFonts w:hint="eastAsia" w:ascii="宋体" w:hAnsi="宋体" w:eastAsia="宋体" w:cs="宋体"/>
                <w:color w:val="auto"/>
                <w:kern w:val="2"/>
                <w:sz w:val="21"/>
                <w:szCs w:val="21"/>
                <w:highlight w:val="none"/>
              </w:rPr>
              <w:t>交货并完成安装调试。</w:t>
            </w:r>
          </w:p>
          <w:p>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交付地点：</w:t>
            </w:r>
            <w:r>
              <w:rPr>
                <w:rFonts w:hint="eastAsia" w:ascii="宋体" w:hAnsi="宋体" w:eastAsia="宋体" w:cs="宋体"/>
                <w:color w:val="auto"/>
                <w:sz w:val="21"/>
                <w:szCs w:val="21"/>
                <w:highlight w:val="none"/>
                <w:lang w:val="en-US" w:eastAsia="zh-CN"/>
              </w:rPr>
              <w:t>采购人指定地点</w:t>
            </w:r>
            <w:r>
              <w:rPr>
                <w:rFonts w:hint="eastAsia" w:ascii="宋体" w:hAnsi="宋体" w:eastAsia="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交付方式：现场交付</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2" w:hRule="atLeast"/>
          <w:jc w:val="center"/>
        </w:trPr>
        <w:tc>
          <w:tcPr>
            <w:tcW w:w="1768" w:type="dxa"/>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质量保证期</w:t>
            </w:r>
          </w:p>
        </w:tc>
        <w:tc>
          <w:tcPr>
            <w:tcW w:w="8041" w:type="dxa"/>
            <w:gridSpan w:val="3"/>
            <w:shd w:val="clear" w:color="auto" w:fill="auto"/>
            <w:noWrap/>
            <w:vAlign w:val="center"/>
          </w:tcPr>
          <w:p>
            <w:pPr>
              <w:numPr>
                <w:ilvl w:val="0"/>
                <w:numId w:val="0"/>
              </w:num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质保期最短不得少于3 年（自采购人、成交供应商双方验收合格之日起计）。</w:t>
            </w:r>
            <w:r>
              <w:rPr>
                <w:rFonts w:hint="eastAsia" w:ascii="宋体" w:hAnsi="宋体" w:eastAsia="宋体" w:cs="宋体"/>
                <w:color w:val="auto"/>
                <w:sz w:val="21"/>
                <w:szCs w:val="21"/>
                <w:highlight w:val="none"/>
                <w:lang w:eastAsia="zh-CN"/>
              </w:rPr>
              <w:t>按国家有关产品“三包”规定执行“三包”，</w:t>
            </w:r>
            <w:r>
              <w:rPr>
                <w:rFonts w:hint="eastAsia" w:ascii="宋体" w:hAnsi="宋体" w:eastAsia="宋体" w:cs="宋体"/>
                <w:color w:val="auto"/>
                <w:sz w:val="21"/>
                <w:szCs w:val="21"/>
                <w:highlight w:val="none"/>
                <w:lang w:val="en-US" w:eastAsia="zh-CN"/>
              </w:rPr>
              <w:t>质保期内负责上门服务、维修、更换配件，不得收取任何费用</w:t>
            </w:r>
            <w:r>
              <w:rPr>
                <w:rFonts w:hint="eastAsia" w:ascii="宋体" w:hAnsi="宋体" w:eastAsia="宋体" w:cs="宋体"/>
                <w:color w:val="auto"/>
                <w:sz w:val="21"/>
                <w:szCs w:val="21"/>
                <w:highlight w:val="none"/>
                <w:lang w:eastAsia="zh-CN"/>
              </w:rPr>
              <w:t>。若在使用的前3个月内，出现非人为操作失误的重大故障，应予以换货。</w:t>
            </w:r>
            <w:r>
              <w:rPr>
                <w:rFonts w:hint="eastAsia" w:ascii="宋体" w:hAnsi="宋体" w:eastAsia="宋体" w:cs="宋体"/>
                <w:color w:val="auto"/>
                <w:sz w:val="21"/>
                <w:szCs w:val="21"/>
                <w:highlight w:val="none"/>
                <w:lang w:val="en-US" w:eastAsia="zh-CN"/>
              </w:rPr>
              <w:t>质保期</w:t>
            </w:r>
            <w:r>
              <w:rPr>
                <w:rFonts w:hint="eastAsia" w:ascii="宋体" w:hAnsi="宋体" w:eastAsia="宋体" w:cs="宋体"/>
                <w:color w:val="auto"/>
                <w:sz w:val="21"/>
                <w:szCs w:val="21"/>
                <w:highlight w:val="none"/>
                <w:lang w:eastAsia="zh-CN"/>
              </w:rPr>
              <w:t>满前1个月内成交人应负责一次全面检查；质保期满后，终身维护，以优惠价格提供维修和备件更换，且免除一切手续费。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实施及售后服务要求</w:t>
            </w:r>
          </w:p>
        </w:tc>
        <w:tc>
          <w:tcPr>
            <w:tcW w:w="8041" w:type="dxa"/>
            <w:gridSpan w:val="3"/>
            <w:shd w:val="clear" w:color="auto" w:fill="auto"/>
            <w:noWrap/>
            <w:vAlign w:val="center"/>
          </w:tcPr>
          <w:p>
            <w:pPr>
              <w:numPr>
                <w:ilvl w:val="0"/>
                <w:numId w:val="0"/>
              </w:num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xml:space="preserve">提供全部设备必须是具备厂家合法销售渠道的全新合格正品，产品符合国家有关认证标准及安全规定。所有设备必须满足采购文件所述性能配置要求，若产品在运输过程中损坏或擦伤须无偿调换相同产品。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en-US" w:eastAsia="zh-CN"/>
              </w:rPr>
              <w:t>负责</w:t>
            </w:r>
            <w:r>
              <w:rPr>
                <w:rFonts w:hint="eastAsia" w:ascii="宋体" w:hAnsi="宋体" w:eastAsia="宋体" w:cs="宋体"/>
                <w:color w:val="auto"/>
                <w:sz w:val="21"/>
                <w:szCs w:val="21"/>
                <w:highlight w:val="none"/>
              </w:rPr>
              <w:t>送货上门、现场安装、调试；提供技术培训和硬件的测试和调整服务。</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、相关人员培训:标的包含医护人员及工程人员的培训计划费用，设备装机验收后，现场提供对院方的1次或多次基本培训，使院方使用人员及工程人员，熟练掌握全部功能及基本维修。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为保证服务质量，一般故障2小时内电话响应，24小时内抵达故障设备现场解决问题，24小时内不能解决故障问题的，成交供应商隔天将提供备用机（与原设备技术参数要求相同或高于原设备技术参数要求的备用产品）以保证采购人的正常工作，所产生的费用，均由成交供应商承担，采购人不再承担任何费用。</w:t>
            </w:r>
          </w:p>
          <w:p>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、设备质保期均属于</w:t>
            </w:r>
            <w:r>
              <w:rPr>
                <w:rFonts w:hint="eastAsia" w:ascii="宋体" w:hAnsi="宋体" w:eastAsia="宋体" w:cs="宋体"/>
                <w:color w:val="auto"/>
                <w:sz w:val="21"/>
                <w:szCs w:val="21"/>
                <w:highlight w:val="none"/>
                <w:lang w:eastAsia="zh-CN"/>
              </w:rPr>
              <w:t>无条件</w:t>
            </w:r>
            <w:r>
              <w:rPr>
                <w:rFonts w:hint="eastAsia" w:ascii="宋体" w:hAnsi="宋体" w:eastAsia="宋体" w:cs="宋体"/>
                <w:color w:val="auto"/>
                <w:sz w:val="21"/>
                <w:szCs w:val="21"/>
                <w:highlight w:val="none"/>
              </w:rPr>
              <w:t>服务期，该期限内的所有售后服务，包括原厂商服务和非原厂商服务，其中硬件的售后服务包括但不限于，硬件维护维修、配件更换、整机更换、硬件升级、提供替代品；应用软件的售后服务包括但不限于应用软件维护升级以及非结构性修改；服务期内售后服务所产生的费用均由</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8041" w:type="dxa"/>
            <w:gridSpan w:val="3"/>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项目采用分期付款方式支付货款，全部货物到达指定地点、安装调试并验收合格，成交供应商凭双方签署验收合格文件，开具合法有效的全额增值税发票给采购人，采购人收到完整、有效请款材料后3个月内一次性支付总合同金额的50%；验收合格满12个月内支付至总合同金额100%。（不计利息）</w:t>
            </w:r>
          </w:p>
          <w:p>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发票要求：</w:t>
            </w:r>
            <w:r>
              <w:rPr>
                <w:rFonts w:hint="eastAsia" w:ascii="宋体" w:hAnsi="宋体" w:eastAsia="宋体" w:cs="宋体"/>
                <w:color w:val="auto"/>
                <w:sz w:val="21"/>
                <w:szCs w:val="21"/>
                <w:highlight w:val="none"/>
                <w:lang w:val="en-US" w:eastAsia="zh-CN"/>
              </w:rPr>
              <w:t>付款前成交人必须提供真实、有效、合法的正式发票，如成交供应商提供虚假发票，除须向采购人补开合法发票外，须赔偿采购人发票票面金额一倍的违约金，且采购人有权终止合同，成交供应商不得提出异议，因终止合同而产生的一切损失均由成交供应商承担。</w:t>
            </w:r>
          </w:p>
          <w:p>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3.付款方式：银行转账。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tc>
        <w:tc>
          <w:tcPr>
            <w:tcW w:w="8041" w:type="dxa"/>
            <w:gridSpan w:val="3"/>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验收标准、规范：依据国家有关规定、采购文件的要求、</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及承诺与本合同约定标准进行验收。</w:t>
            </w:r>
          </w:p>
          <w:p>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除国家药监局公布《免于经营备案的第二类医疗器械产品目录》里的第二类医疗器械产品外，在第二类医疗器械产品供货时，成交供应商必须提供有效的第二类医疗器械经营备案证明复印件，否则采购人不予以验收通过。（注：如成交供应商为符合国家现行《医疗器械监督管理条例》第四十三条规定的备案人的，则不需要提供经营备案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其他要求</w:t>
            </w:r>
          </w:p>
        </w:tc>
        <w:tc>
          <w:tcPr>
            <w:tcW w:w="8041" w:type="dxa"/>
            <w:gridSpan w:val="3"/>
            <w:shd w:val="clear" w:color="auto" w:fill="auto"/>
            <w:noWrap/>
            <w:vAlign w:val="center"/>
          </w:tcPr>
          <w:p>
            <w:pPr>
              <w:snapToGrid w:val="0"/>
              <w:spacing w:line="360" w:lineRule="auto"/>
              <w:ind w:left="34"/>
              <w:contextualSpacing/>
              <w:outlineLvl w:val="0"/>
              <w:rPr>
                <w:rFonts w:hint="eastAsia" w:ascii="宋体" w:hAnsi="宋体" w:eastAsia="宋体" w:cs="宋体"/>
                <w:color w:val="auto"/>
                <w:sz w:val="21"/>
                <w:szCs w:val="21"/>
                <w:highlight w:val="none"/>
              </w:rPr>
            </w:pPr>
            <w:bookmarkStart w:id="55" w:name="OLE_LINK22"/>
            <w:bookmarkStart w:id="56" w:name="OLE_LINK23"/>
            <w:r>
              <w:rPr>
                <w:rFonts w:hint="eastAsia" w:ascii="宋体" w:hAnsi="宋体" w:eastAsia="宋体" w:cs="宋体"/>
                <w:color w:val="auto"/>
                <w:sz w:val="21"/>
                <w:szCs w:val="21"/>
                <w:highlight w:val="none"/>
              </w:rPr>
              <w:t>1、竞标报价包含货物、货物标准附件、备品备件、专用工具、设备安装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费用</w:t>
            </w:r>
            <w:bookmarkEnd w:id="55"/>
            <w:bookmarkEnd w:id="56"/>
            <w:r>
              <w:rPr>
                <w:rFonts w:hint="eastAsia" w:ascii="宋体" w:hAnsi="宋体" w:eastAsia="宋体" w:cs="宋体"/>
                <w:color w:val="auto"/>
                <w:sz w:val="21"/>
                <w:szCs w:val="21"/>
                <w:highlight w:val="none"/>
              </w:rPr>
              <w:t>。</w:t>
            </w:r>
          </w:p>
          <w:p>
            <w:pPr>
              <w:spacing w:line="360" w:lineRule="auto"/>
              <w:jc w:val="left"/>
              <w:rPr>
                <w:rStyle w:val="99"/>
                <w:rFonts w:hint="eastAsia" w:ascii="宋体" w:hAnsi="宋体" w:eastAsia="宋体" w:cs="宋体"/>
                <w:color w:val="auto"/>
                <w:sz w:val="21"/>
                <w:szCs w:val="21"/>
                <w:highlight w:val="none"/>
              </w:rPr>
            </w:pPr>
            <w:r>
              <w:rPr>
                <w:rStyle w:val="99"/>
                <w:rFonts w:hint="eastAsia" w:ascii="宋体" w:hAnsi="宋体" w:eastAsia="宋体" w:cs="宋体"/>
                <w:color w:val="auto"/>
                <w:sz w:val="21"/>
                <w:szCs w:val="21"/>
                <w:highlight w:val="none"/>
              </w:rPr>
              <w:t>2、</w:t>
            </w:r>
            <w:r>
              <w:rPr>
                <w:rStyle w:val="99"/>
                <w:rFonts w:hint="eastAsia" w:ascii="宋体" w:hAnsi="宋体" w:eastAsia="宋体" w:cs="宋体"/>
                <w:color w:val="auto"/>
                <w:sz w:val="21"/>
                <w:szCs w:val="21"/>
                <w:highlight w:val="none"/>
                <w:lang w:val="en-US" w:eastAsia="zh-CN"/>
              </w:rPr>
              <w:t>竞标</w:t>
            </w:r>
            <w:r>
              <w:rPr>
                <w:rStyle w:val="99"/>
                <w:rFonts w:hint="eastAsia" w:ascii="宋体" w:hAnsi="宋体" w:eastAsia="宋体" w:cs="宋体"/>
                <w:color w:val="auto"/>
                <w:sz w:val="21"/>
                <w:szCs w:val="21"/>
                <w:highlight w:val="none"/>
              </w:rPr>
              <w:t>时请提供售后服务承诺书：明确</w:t>
            </w:r>
            <w:r>
              <w:rPr>
                <w:rStyle w:val="99"/>
                <w:rFonts w:hint="eastAsia" w:ascii="宋体" w:hAnsi="宋体" w:eastAsia="宋体" w:cs="宋体"/>
                <w:color w:val="auto"/>
                <w:sz w:val="21"/>
                <w:szCs w:val="21"/>
                <w:highlight w:val="none"/>
                <w:lang w:eastAsia="zh-CN"/>
              </w:rPr>
              <w:t>质保期</w:t>
            </w:r>
            <w:r>
              <w:rPr>
                <w:rStyle w:val="99"/>
                <w:rFonts w:hint="eastAsia" w:ascii="宋体" w:hAnsi="宋体" w:eastAsia="宋体" w:cs="宋体"/>
                <w:color w:val="auto"/>
                <w:sz w:val="21"/>
                <w:szCs w:val="21"/>
                <w:highlight w:val="none"/>
              </w:rPr>
              <w:t>、故障响应时间、培训时间、售后服务技术人员名单和联系方式、不定期走访用户、</w:t>
            </w:r>
            <w:r>
              <w:rPr>
                <w:rStyle w:val="99"/>
                <w:rFonts w:hint="eastAsia" w:ascii="宋体" w:hAnsi="宋体" w:eastAsia="宋体" w:cs="宋体"/>
                <w:color w:val="auto"/>
                <w:sz w:val="21"/>
                <w:szCs w:val="21"/>
                <w:highlight w:val="none"/>
                <w:lang w:eastAsia="zh-CN"/>
              </w:rPr>
              <w:t>质保期</w:t>
            </w:r>
            <w:r>
              <w:rPr>
                <w:rStyle w:val="99"/>
                <w:rFonts w:hint="eastAsia" w:ascii="宋体" w:hAnsi="宋体" w:eastAsia="宋体" w:cs="宋体"/>
                <w:color w:val="auto"/>
                <w:sz w:val="21"/>
                <w:szCs w:val="21"/>
                <w:highlight w:val="none"/>
              </w:rPr>
              <w:t>限外零配件若损坏，提供零配件优惠服务方案等。</w:t>
            </w:r>
          </w:p>
          <w:p>
            <w:pPr>
              <w:spacing w:line="360" w:lineRule="auto"/>
              <w:jc w:val="left"/>
              <w:rPr>
                <w:rStyle w:val="99"/>
                <w:rFonts w:hint="eastAsia" w:ascii="宋体" w:hAnsi="宋体" w:eastAsia="宋体" w:cs="宋体"/>
                <w:color w:val="auto"/>
                <w:sz w:val="21"/>
                <w:szCs w:val="21"/>
                <w:highlight w:val="none"/>
              </w:rPr>
            </w:pPr>
            <w:r>
              <w:rPr>
                <w:rStyle w:val="99"/>
                <w:rFonts w:hint="eastAsia" w:ascii="宋体" w:hAnsi="宋体" w:eastAsia="宋体" w:cs="宋体"/>
                <w:color w:val="auto"/>
                <w:sz w:val="21"/>
                <w:szCs w:val="21"/>
                <w:highlight w:val="none"/>
              </w:rPr>
              <w:t>3、设备必须是全新、完整、未使用过的产品；设备到货后，供货商和购买方应在现场进行清点；清点过程中如果发现因包装或运输不当引起的仪器外观或内部的损坏，供货商应负责更换；若发现错发/漏发情况，供货商应负责更换和补发。</w:t>
            </w:r>
          </w:p>
          <w:p>
            <w:pPr>
              <w:spacing w:line="360" w:lineRule="auto"/>
              <w:jc w:val="left"/>
              <w:rPr>
                <w:rFonts w:hint="eastAsia" w:ascii="宋体" w:hAnsi="宋体" w:eastAsia="宋体" w:cs="宋体"/>
                <w:color w:val="auto"/>
                <w:sz w:val="21"/>
                <w:szCs w:val="21"/>
                <w:highlight w:val="none"/>
              </w:rPr>
            </w:pPr>
            <w:r>
              <w:rPr>
                <w:rStyle w:val="99"/>
                <w:rFonts w:hint="eastAsia" w:ascii="宋体" w:hAnsi="宋体" w:eastAsia="宋体" w:cs="宋体"/>
                <w:color w:val="auto"/>
                <w:sz w:val="21"/>
                <w:szCs w:val="21"/>
                <w:highlight w:val="none"/>
              </w:rPr>
              <w:t>4、安装标准及验收标准：符合我国国家有关技术规范和技术标准；设备安装后，医院按国际和国家标准及厂方标准进行质量验收；卖方应向买方提供详细的验收标准、验收手册。</w:t>
            </w:r>
            <w:r>
              <w:rPr>
                <w:rFonts w:hint="eastAsia" w:ascii="宋体" w:hAnsi="宋体" w:eastAsia="宋体" w:cs="宋体"/>
                <w:color w:val="auto"/>
                <w:sz w:val="21"/>
                <w:szCs w:val="21"/>
                <w:highlight w:val="none"/>
              </w:rPr>
              <w:t>验收过程中所产生的一切费用均由成交供应商承担。报价时应考虑相关费用。</w:t>
            </w:r>
          </w:p>
          <w:p>
            <w:pPr>
              <w:pStyle w:val="15"/>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eastAsia="宋体" w:cs="宋体"/>
                <w:bCs/>
                <w:color w:val="auto"/>
                <w:sz w:val="21"/>
                <w:szCs w:val="21"/>
                <w:highlight w:val="none"/>
              </w:rPr>
            </w:pPr>
            <w:r>
              <w:rPr>
                <w:rFonts w:hint="eastAsia" w:ascii="宋体" w:hAnsi="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Cs/>
                <w:color w:val="auto"/>
                <w:sz w:val="21"/>
                <w:szCs w:val="21"/>
                <w:highlight w:val="none"/>
                <w:lang w:eastAsia="zh-CN"/>
              </w:rPr>
              <w:t>响应文件</w:t>
            </w:r>
            <w:r>
              <w:rPr>
                <w:rFonts w:hint="eastAsia" w:ascii="宋体" w:hAnsi="宋体" w:eastAsia="宋体" w:cs="宋体"/>
                <w:bCs/>
                <w:color w:val="auto"/>
                <w:sz w:val="21"/>
                <w:szCs w:val="21"/>
                <w:highlight w:val="none"/>
              </w:rPr>
              <w:t>中提供投标产品对外公开的产品彩页或说明书（体现技术参数，可以是在食品药品监督管理部门备案的技术参数或检测报告或生产厂家盖章的技术参数证明材料），以供评标时核对。当</w:t>
            </w:r>
            <w:r>
              <w:rPr>
                <w:rFonts w:hint="eastAsia" w:ascii="宋体" w:hAnsi="宋体" w:eastAsia="宋体" w:cs="宋体"/>
                <w:bCs/>
                <w:color w:val="auto"/>
                <w:sz w:val="21"/>
                <w:szCs w:val="21"/>
                <w:highlight w:val="none"/>
                <w:lang w:eastAsia="zh-CN"/>
              </w:rPr>
              <w:t>响应文件</w:t>
            </w:r>
            <w:r>
              <w:rPr>
                <w:rFonts w:hint="eastAsia" w:ascii="宋体" w:hAnsi="宋体" w:eastAsia="宋体" w:cs="宋体"/>
                <w:bCs/>
                <w:color w:val="auto"/>
                <w:sz w:val="21"/>
                <w:szCs w:val="21"/>
                <w:highlight w:val="none"/>
              </w:rPr>
              <w:t>提供的仪器性能参数与该仪器生产商提供的性能参数不符合时，以后者为准。</w:t>
            </w:r>
          </w:p>
          <w:p>
            <w:pPr>
              <w:pStyle w:val="15"/>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eastAsia="宋体" w:cs="宋体"/>
                <w:bCs/>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为有效防止虚假应标，</w:t>
            </w:r>
            <w:r>
              <w:rPr>
                <w:rFonts w:hint="eastAsia" w:ascii="宋体" w:hAnsi="宋体" w:eastAsia="宋体" w:cs="宋体"/>
                <w:color w:val="auto"/>
                <w:spacing w:val="0"/>
                <w:sz w:val="21"/>
                <w:szCs w:val="21"/>
                <w:highlight w:val="none"/>
                <w:shd w:val="clear" w:color="auto" w:fill="auto"/>
              </w:rPr>
              <w:t>签订合同后，</w:t>
            </w:r>
            <w:r>
              <w:rPr>
                <w:rFonts w:hint="eastAsia" w:ascii="宋体" w:hAnsi="宋体" w:eastAsia="宋体" w:cs="宋体"/>
                <w:color w:val="auto"/>
                <w:spacing w:val="0"/>
                <w:sz w:val="21"/>
                <w:szCs w:val="21"/>
                <w:highlight w:val="none"/>
                <w:shd w:val="clear" w:color="auto" w:fill="auto"/>
                <w:lang w:val="en-US" w:eastAsia="zh-CN"/>
              </w:rPr>
              <w:t>采购人在</w:t>
            </w:r>
            <w:r>
              <w:rPr>
                <w:rFonts w:hint="eastAsia" w:ascii="宋体" w:hAnsi="宋体" w:eastAsia="宋体" w:cs="宋体"/>
                <w:color w:val="auto"/>
                <w:spacing w:val="0"/>
                <w:sz w:val="21"/>
                <w:szCs w:val="21"/>
                <w:highlight w:val="none"/>
                <w:shd w:val="clear" w:color="auto" w:fill="auto"/>
              </w:rPr>
              <w:t>验收</w:t>
            </w:r>
            <w:r>
              <w:rPr>
                <w:rFonts w:hint="eastAsia" w:ascii="宋体" w:hAnsi="宋体" w:eastAsia="宋体" w:cs="宋体"/>
                <w:color w:val="auto"/>
                <w:spacing w:val="0"/>
                <w:sz w:val="21"/>
                <w:szCs w:val="21"/>
                <w:highlight w:val="none"/>
                <w:shd w:val="clear" w:color="auto" w:fill="auto"/>
                <w:lang w:val="en-US" w:eastAsia="zh-CN"/>
              </w:rPr>
              <w:t>过程中</w:t>
            </w:r>
            <w:r>
              <w:rPr>
                <w:rFonts w:hint="eastAsia" w:ascii="宋体" w:hAnsi="宋体" w:eastAsia="宋体" w:cs="宋体"/>
                <w:color w:val="auto"/>
                <w:spacing w:val="0"/>
                <w:sz w:val="21"/>
                <w:szCs w:val="21"/>
                <w:highlight w:val="none"/>
                <w:shd w:val="clear" w:color="auto" w:fill="auto"/>
              </w:rPr>
              <w:t>，</w:t>
            </w:r>
            <w:r>
              <w:rPr>
                <w:rFonts w:hint="eastAsia" w:ascii="宋体" w:hAnsi="宋体" w:eastAsia="宋体" w:cs="宋体"/>
                <w:color w:val="auto"/>
                <w:spacing w:val="0"/>
                <w:sz w:val="21"/>
                <w:szCs w:val="21"/>
                <w:highlight w:val="none"/>
                <w:shd w:val="clear" w:color="auto" w:fill="auto"/>
                <w:lang w:val="en-US" w:eastAsia="zh-CN"/>
              </w:rPr>
              <w:t>可进行</w:t>
            </w:r>
            <w:r>
              <w:rPr>
                <w:rFonts w:hint="eastAsia" w:ascii="宋体" w:hAnsi="宋体" w:eastAsia="宋体" w:cs="宋体"/>
                <w:color w:val="auto"/>
                <w:spacing w:val="0"/>
                <w:sz w:val="21"/>
                <w:szCs w:val="21"/>
                <w:highlight w:val="none"/>
                <w:shd w:val="clear" w:color="auto" w:fill="auto"/>
              </w:rPr>
              <w:t>测试，</w:t>
            </w:r>
            <w:r>
              <w:rPr>
                <w:rFonts w:hint="eastAsia" w:ascii="宋体" w:hAnsi="宋体" w:eastAsia="宋体" w:cs="宋体"/>
                <w:color w:val="auto"/>
                <w:sz w:val="21"/>
                <w:szCs w:val="21"/>
                <w:highlight w:val="none"/>
              </w:rPr>
              <w:t>若测试达不到响应指标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pacing w:val="0"/>
                <w:sz w:val="21"/>
                <w:szCs w:val="21"/>
                <w:highlight w:val="none"/>
                <w:shd w:val="clear" w:color="auto" w:fill="auto"/>
                <w:lang w:val="en-US" w:eastAsia="zh-CN"/>
              </w:rPr>
              <w:t>成交供应商应按要求整改</w:t>
            </w:r>
            <w:r>
              <w:rPr>
                <w:rFonts w:hint="eastAsia" w:ascii="宋体" w:hAnsi="宋体" w:eastAsia="宋体" w:cs="宋体"/>
                <w:color w:val="auto"/>
                <w:spacing w:val="0"/>
                <w:sz w:val="21"/>
                <w:szCs w:val="21"/>
                <w:highlight w:val="none"/>
                <w:shd w:val="clear" w:color="auto" w:fill="auto"/>
              </w:rPr>
              <w:t>，成交供应商整改</w:t>
            </w:r>
            <w:r>
              <w:rPr>
                <w:rFonts w:hint="eastAsia" w:ascii="宋体" w:hAnsi="宋体" w:eastAsia="宋体" w:cs="宋体"/>
                <w:color w:val="auto"/>
                <w:spacing w:val="0"/>
                <w:sz w:val="21"/>
                <w:szCs w:val="21"/>
                <w:highlight w:val="none"/>
                <w:shd w:val="clear" w:color="auto" w:fill="auto"/>
                <w:lang w:val="en-US" w:eastAsia="zh-CN"/>
              </w:rPr>
              <w:t>后仍未达要求</w:t>
            </w:r>
            <w:r>
              <w:rPr>
                <w:rFonts w:hint="eastAsia" w:ascii="宋体" w:hAnsi="宋体" w:eastAsia="宋体" w:cs="宋体"/>
                <w:color w:val="auto"/>
                <w:spacing w:val="0"/>
                <w:sz w:val="21"/>
                <w:szCs w:val="21"/>
                <w:highlight w:val="none"/>
                <w:shd w:val="clear" w:color="auto" w:fill="auto"/>
              </w:rPr>
              <w:t>的，经国家认可的第三方检测机构后存在虚假参数的，按</w:t>
            </w:r>
            <w:r>
              <w:rPr>
                <w:rFonts w:hint="eastAsia" w:ascii="宋体" w:hAnsi="宋体" w:eastAsia="宋体" w:cs="宋体"/>
                <w:color w:val="auto"/>
                <w:sz w:val="21"/>
                <w:szCs w:val="21"/>
                <w:highlight w:val="none"/>
              </w:rPr>
              <w:t>虚假应标进行处理，采购人有权</w:t>
            </w:r>
            <w:r>
              <w:rPr>
                <w:rFonts w:hint="eastAsia" w:ascii="宋体" w:hAnsi="宋体" w:eastAsia="宋体" w:cs="宋体"/>
                <w:color w:val="auto"/>
                <w:spacing w:val="0"/>
                <w:sz w:val="21"/>
                <w:szCs w:val="21"/>
                <w:highlight w:val="none"/>
                <w:shd w:val="clear" w:color="auto" w:fill="auto"/>
              </w:rPr>
              <w:t>解</w:t>
            </w:r>
            <w:r>
              <w:rPr>
                <w:rFonts w:hint="eastAsia" w:ascii="宋体" w:hAnsi="宋体" w:eastAsia="宋体" w:cs="宋体"/>
                <w:color w:val="auto"/>
                <w:spacing w:val="0"/>
                <w:sz w:val="21"/>
                <w:szCs w:val="21"/>
                <w:highlight w:val="none"/>
                <w:shd w:val="clear" w:color="auto" w:fill="auto"/>
                <w:lang w:val="en-US" w:eastAsia="zh-CN"/>
              </w:rPr>
              <w:t>除</w:t>
            </w:r>
            <w:r>
              <w:rPr>
                <w:rFonts w:hint="eastAsia" w:ascii="宋体" w:hAnsi="宋体" w:eastAsia="宋体" w:cs="宋体"/>
                <w:color w:val="auto"/>
                <w:spacing w:val="0"/>
                <w:sz w:val="21"/>
                <w:szCs w:val="21"/>
                <w:highlight w:val="none"/>
                <w:shd w:val="clear" w:color="auto" w:fill="auto"/>
              </w:rPr>
              <w:t>合同及上报监督管理部门</w:t>
            </w:r>
            <w:r>
              <w:rPr>
                <w:rFonts w:hint="eastAsia" w:ascii="宋体" w:hAnsi="宋体" w:eastAsia="宋体" w:cs="宋体"/>
                <w:color w:val="auto"/>
                <w:spacing w:val="0"/>
                <w:sz w:val="21"/>
                <w:szCs w:val="21"/>
                <w:highlight w:val="none"/>
                <w:shd w:val="clear" w:color="auto" w:fill="auto"/>
                <w:lang w:eastAsia="zh-CN"/>
              </w:rPr>
              <w:t>。</w:t>
            </w:r>
          </w:p>
          <w:p>
            <w:pPr>
              <w:pStyle w:val="13"/>
              <w:keepNext w:val="0"/>
              <w:keepLines w:val="0"/>
              <w:pageBreakBefore w:val="0"/>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lang w:val="en-US" w:eastAsia="zh-CN"/>
              </w:rPr>
              <w:t>、</w:t>
            </w:r>
            <w:r>
              <w:rPr>
                <w:rFonts w:hint="eastAsia" w:ascii="宋体" w:hAnsi="宋体" w:eastAsia="宋体" w:cs="宋体"/>
                <w:color w:val="auto"/>
                <w:sz w:val="21"/>
                <w:szCs w:val="21"/>
                <w:highlight w:val="none"/>
              </w:rPr>
              <w:t>验收时提供证明资料，查看设备机身铭牌标注的生产日期或其他证明产品生产日期的资料，从出厂日期至采购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收货时间，国产产品（含进口品牌国内制造）不超过6个月</w:t>
            </w:r>
            <w:r>
              <w:rPr>
                <w:rFonts w:hint="eastAsia" w:ascii="宋体" w:hAnsi="宋体" w:eastAsia="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免费开放设备所有数据接口供其他系统同步数据，安装时如有需要，需配合医院接入院内网络信息平台，并承担相应接口费用。</w:t>
            </w:r>
          </w:p>
          <w:p>
            <w:pPr>
              <w:pStyle w:val="13"/>
              <w:keepNext w:val="0"/>
              <w:keepLines w:val="0"/>
              <w:pageBreakBefore w:val="0"/>
              <w:kinsoku/>
              <w:wordWrap/>
              <w:overflowPunct/>
              <w:topLinePunct w:val="0"/>
              <w:autoSpaceDE/>
              <w:autoSpaceDN/>
              <w:bidi w:val="0"/>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为保证设备质量，采购人有权要求供应商供货时提供生产厂家或一级代理的销售授权书及采购文件中带▲的条款出具第三方检验机构的检测报告原件，否则采购人有权终止合同，由此造成的损失由供应商承担。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医疗器械分类</w:t>
            </w:r>
            <w:r>
              <w:rPr>
                <w:rFonts w:hint="eastAsia"/>
                <w:color w:val="auto"/>
                <w:highlight w:val="none"/>
                <w:lang w:val="en-US" w:eastAsia="zh-CN"/>
              </w:rPr>
              <w:t>及有关要求</w:t>
            </w:r>
          </w:p>
        </w:tc>
        <w:tc>
          <w:tcPr>
            <w:tcW w:w="8041" w:type="dxa"/>
            <w:gridSpan w:val="3"/>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1.本项目所采购的医疗器械为第二类医疗器械产品。</w:t>
            </w:r>
          </w:p>
          <w:p>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2.须在首次响应文件中提供本项目采购的第二类医疗器械产品的有效的医疗器械注册证复印件。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7" w:hRule="atLeast"/>
          <w:jc w:val="center"/>
        </w:trPr>
        <w:tc>
          <w:tcPr>
            <w:tcW w:w="9809" w:type="dxa"/>
            <w:gridSpan w:val="5"/>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9809" w:type="dxa"/>
            <w:gridSpan w:val="5"/>
            <w:shd w:val="clear" w:color="auto" w:fill="auto"/>
            <w:noWrap/>
            <w:vAlign w:val="center"/>
          </w:tcPr>
          <w:p>
            <w:pPr>
              <w:keepNext w:val="0"/>
              <w:keepLines w:val="0"/>
              <w:pageBreakBefore w:val="0"/>
              <w:widowControl/>
              <w:tabs>
                <w:tab w:val="left" w:pos="180"/>
                <w:tab w:val="left" w:pos="16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进口产品说明：</w:t>
            </w:r>
          </w:p>
          <w:p>
            <w:pPr>
              <w:keepNext w:val="0"/>
              <w:keepLines w:val="0"/>
              <w:pageBreakBefore w:val="0"/>
              <w:widowControl/>
              <w:tabs>
                <w:tab w:val="left" w:pos="180"/>
                <w:tab w:val="left" w:pos="16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本项目所涉及的货物不接受进口产品（即通过中国海关报关验放进入中国境内且产自关境外的产品）参与竞标，</w:t>
            </w:r>
            <w:r>
              <w:rPr>
                <w:rFonts w:hint="eastAsia" w:ascii="宋体" w:hAnsi="宋体" w:eastAsia="宋体" w:cs="宋体"/>
                <w:b/>
                <w:color w:val="auto"/>
                <w:sz w:val="21"/>
                <w:szCs w:val="21"/>
                <w:highlight w:val="none"/>
              </w:rPr>
              <w:t>如有进口产品参与竞标的作无效竞标处理</w:t>
            </w:r>
            <w:r>
              <w:rPr>
                <w:rFonts w:hint="eastAsia" w:ascii="宋体" w:hAnsi="宋体" w:eastAsia="宋体" w:cs="宋体"/>
                <w:color w:val="auto"/>
                <w:sz w:val="21"/>
                <w:szCs w:val="21"/>
                <w:highlight w:val="none"/>
              </w:rPr>
              <w:t>。</w:t>
            </w:r>
          </w:p>
          <w:p>
            <w:pPr>
              <w:keepNext w:val="0"/>
              <w:keepLines w:val="0"/>
              <w:pageBreakBefore w:val="0"/>
              <w:widowControl/>
              <w:tabs>
                <w:tab w:val="left" w:pos="180"/>
                <w:tab w:val="left" w:pos="16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核心产品：</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本项目的核心产品为“需求一览表”中第</w:t>
            </w:r>
            <w:r>
              <w:rPr>
                <w:rFonts w:hint="eastAsia" w:ascii="宋体" w:hAnsi="宋体" w:eastAsia="宋体" w:cs="宋体"/>
                <w:color w:val="auto"/>
                <w:sz w:val="21"/>
                <w:szCs w:val="21"/>
                <w:highlight w:val="none"/>
                <w:u w:val="single"/>
                <w:lang w:val="en-US" w:eastAsia="zh-CN"/>
              </w:rPr>
              <w:t xml:space="preserve">  1  </w:t>
            </w:r>
            <w:r>
              <w:rPr>
                <w:rFonts w:hint="eastAsia" w:ascii="宋体" w:hAnsi="宋体" w:eastAsia="宋体" w:cs="宋体"/>
                <w:color w:val="auto"/>
                <w:sz w:val="21"/>
                <w:szCs w:val="21"/>
                <w:highlight w:val="none"/>
              </w:rPr>
              <w:t>项产品</w:t>
            </w:r>
            <w:r>
              <w:rPr>
                <w:rFonts w:hint="eastAsia" w:ascii="宋体" w:hAnsi="宋体" w:eastAsia="宋体" w:cs="宋体"/>
                <w:color w:val="auto"/>
                <w:sz w:val="21"/>
                <w:szCs w:val="21"/>
                <w:highlight w:val="none"/>
                <w:u w:val="single"/>
              </w:rPr>
              <w:t>：彩色多普勒超声诊断仪（心脏）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谈判小组根据与供应商谈判情况可能实质性变动的内容：未标注“▲”的内容</w:t>
            </w:r>
            <w:r>
              <w:rPr>
                <w:rFonts w:hint="eastAsia" w:ascii="宋体" w:hAnsi="宋体" w:eastAsia="宋体" w:cs="宋体"/>
                <w:b/>
                <w:bCs/>
                <w:color w:val="auto"/>
                <w:sz w:val="21"/>
                <w:szCs w:val="21"/>
                <w:highlight w:val="none"/>
                <w:lang w:eastAsia="zh-CN"/>
              </w:rPr>
              <w:t>。</w:t>
            </w:r>
          </w:p>
        </w:tc>
      </w:tr>
      <w:bookmarkEnd w:id="53"/>
    </w:tbl>
    <w:p>
      <w:pPr>
        <w:rPr>
          <w:rFonts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br w:type="page"/>
      </w:r>
    </w:p>
    <w:p>
      <w:pPr>
        <w:spacing w:line="428" w:lineRule="exact"/>
        <w:rPr>
          <w:rFonts w:ascii="Arial Unicode MS" w:hAnsi="Arial Unicode MS" w:eastAsia="Arial Unicode MS" w:cs="Arial Unicode MS"/>
          <w:color w:val="auto"/>
          <w:sz w:val="17"/>
          <w:szCs w:val="17"/>
          <w:highlight w:val="none"/>
        </w:rPr>
      </w:pPr>
      <w:r>
        <w:rPr>
          <w:rFonts w:hint="eastAsia" w:ascii="Arial Unicode MS" w:hAnsi="Arial Unicode MS" w:eastAsia="Arial Unicode MS" w:cs="Arial Unicode MS"/>
          <w:color w:val="auto"/>
          <w:sz w:val="32"/>
          <w:szCs w:val="32"/>
          <w:highlight w:val="none"/>
        </w:rPr>
        <w:t>附件1：</w:t>
      </w:r>
    </w:p>
    <w:p>
      <w:pPr>
        <w:widowControl/>
        <w:spacing w:before="120" w:beforeLines="50" w:after="120" w:afterLines="50" w:line="280" w:lineRule="exact"/>
        <w:jc w:val="center"/>
        <w:rPr>
          <w:rFonts w:ascii="宋体" w:hAnsi="宋体" w:cs="宋体"/>
          <w:b/>
          <w:bCs/>
          <w:color w:val="auto"/>
          <w:kern w:val="0"/>
          <w:sz w:val="30"/>
          <w:szCs w:val="30"/>
          <w:highlight w:val="none"/>
        </w:rPr>
      </w:pPr>
      <w:bookmarkStart w:id="57" w:name="_Toc28361_WPSOffice_Level2"/>
      <w:bookmarkStart w:id="58" w:name="_Toc80205922"/>
      <w:bookmarkStart w:id="59" w:name="_Toc20724"/>
      <w:r>
        <w:rPr>
          <w:rFonts w:hint="eastAsia" w:ascii="宋体" w:hAnsi="宋体" w:cs="宋体"/>
          <w:b/>
          <w:bCs/>
          <w:color w:val="auto"/>
          <w:kern w:val="0"/>
          <w:sz w:val="30"/>
          <w:szCs w:val="30"/>
          <w:highlight w:val="none"/>
        </w:rPr>
        <w:t>统计上大中小微型企业划分标准</w:t>
      </w:r>
      <w:bookmarkEnd w:id="57"/>
    </w:p>
    <w:tbl>
      <w:tblPr>
        <w:tblStyle w:val="30"/>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vAlign w:val="center"/>
          </w:tcPr>
          <w:p>
            <w:pPr>
              <w:widowControl/>
              <w:spacing w:line="28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shd w:val="clear" w:color="auto" w:fill="8DB3E2"/>
            <w:vAlign w:val="center"/>
          </w:tcPr>
          <w:p>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shd w:val="clear" w:color="auto" w:fill="8DB3E2"/>
            <w:vAlign w:val="center"/>
          </w:tcPr>
          <w:p>
            <w:pPr>
              <w:widowControl/>
              <w:spacing w:line="280" w:lineRule="exact"/>
              <w:jc w:val="center"/>
              <w:rPr>
                <w:rFonts w:ascii="宋体" w:hAnsi="宋体" w:eastAsia="宋体" w:cs="宋体"/>
                <w:b/>
                <w:bCs/>
                <w:color w:val="auto"/>
                <w:kern w:val="0"/>
                <w:sz w:val="18"/>
                <w:szCs w:val="18"/>
                <w:highlight w:val="none"/>
              </w:rPr>
            </w:pPr>
            <w:r>
              <w:rPr>
                <w:rFonts w:hint="eastAsia" w:ascii="宋体" w:hAnsi="宋体" w:cs="宋体"/>
                <w:b/>
                <w:bCs/>
                <w:color w:val="auto"/>
                <w:kern w:val="0"/>
                <w:sz w:val="18"/>
                <w:szCs w:val="18"/>
                <w:highlight w:val="none"/>
              </w:rPr>
              <w:t>计量</w:t>
            </w:r>
          </w:p>
          <w:p>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shd w:val="clear" w:color="auto" w:fill="8DB3E2"/>
            <w:vAlign w:val="center"/>
          </w:tcPr>
          <w:p>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shd w:val="clear" w:color="auto" w:fill="8DB3E2"/>
            <w:vAlign w:val="center"/>
          </w:tcPr>
          <w:p>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shd w:val="clear" w:color="auto" w:fill="8DB3E2"/>
            <w:vAlign w:val="center"/>
          </w:tcPr>
          <w:p>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shd w:val="clear" w:color="auto" w:fill="8DB3E2"/>
            <w:vAlign w:val="center"/>
          </w:tcPr>
          <w:p>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ascii="宋体" w:hAnsi="宋体" w:cs="宋体"/>
                <w:color w:val="auto"/>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ascii="宋体" w:hAnsi="宋体" w:cs="宋体"/>
                <w:color w:val="auto"/>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ascii="宋体" w:hAnsi="宋体" w:cs="宋体"/>
                <w:color w:val="auto"/>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vAlign w:val="center"/>
          </w:tcPr>
          <w:p>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vAlign w:val="center"/>
          </w:tcPr>
          <w:p>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ascii="宋体" w:hAnsi="宋体" w:cs="宋体"/>
                <w:color w:val="auto"/>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ascii="宋体" w:hAnsi="宋体" w:cs="宋体"/>
                <w:color w:val="auto"/>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ascii="宋体" w:hAnsi="宋体" w:cs="宋体"/>
                <w:color w:val="auto"/>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ascii="宋体" w:hAnsi="宋体" w:cs="宋体"/>
                <w:color w:val="auto"/>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ascii="宋体" w:hAnsi="宋体" w:cs="宋体"/>
                <w:color w:val="auto"/>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ascii="宋体" w:hAnsi="宋体" w:cs="宋体"/>
                <w:color w:val="auto"/>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ascii="宋体" w:hAnsi="宋体" w:cs="宋体"/>
                <w:color w:val="auto"/>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ascii="宋体" w:hAnsi="宋体" w:cs="宋体"/>
                <w:color w:val="auto"/>
                <w:spacing w:val="-12"/>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ascii="宋体" w:hAnsi="宋体" w:cs="宋体"/>
                <w:color w:val="auto"/>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ascii="宋体" w:hAnsi="宋体" w:cs="宋体"/>
                <w:color w:val="auto"/>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vAlign w:val="center"/>
          </w:tcPr>
          <w:p>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ascii="宋体" w:hAnsi="宋体" w:cs="宋体"/>
                <w:color w:val="auto"/>
                <w:kern w:val="0"/>
                <w:sz w:val="18"/>
                <w:szCs w:val="18"/>
                <w:highlight w:val="none"/>
              </w:rPr>
            </w:pP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pPr>
        <w:widowControl/>
        <w:spacing w:line="280" w:lineRule="exact"/>
        <w:rPr>
          <w:rFonts w:ascii="宋体" w:hAnsi="宋体" w:cs="宋体"/>
          <w:color w:val="auto"/>
          <w:spacing w:val="8"/>
          <w:kern w:val="0"/>
          <w:sz w:val="24"/>
          <w:highlight w:val="none"/>
        </w:rPr>
      </w:pPr>
    </w:p>
    <w:p>
      <w:pPr>
        <w:widowControl/>
        <w:spacing w:line="360" w:lineRule="auto"/>
        <w:rPr>
          <w:rFonts w:asciiTheme="minorEastAsia" w:hAnsiTheme="minorEastAsia" w:cstheme="minorEastAsia"/>
          <w:color w:val="auto"/>
          <w:spacing w:val="8"/>
          <w:kern w:val="0"/>
          <w:szCs w:val="21"/>
          <w:highlight w:val="none"/>
        </w:rPr>
      </w:pPr>
      <w:r>
        <w:rPr>
          <w:rFonts w:hint="eastAsia" w:asciiTheme="minorEastAsia" w:hAnsiTheme="minorEastAsia" w:cstheme="minorEastAsia"/>
          <w:color w:val="auto"/>
          <w:spacing w:val="8"/>
          <w:kern w:val="0"/>
          <w:szCs w:val="21"/>
          <w:highlight w:val="none"/>
        </w:rPr>
        <w:t>说明：</w:t>
      </w:r>
    </w:p>
    <w:p>
      <w:pPr>
        <w:pStyle w:val="19"/>
        <w:adjustRightInd w:val="0"/>
        <w:spacing w:line="360" w:lineRule="auto"/>
        <w:ind w:firstLine="452" w:firstLineChars="200"/>
        <w:contextualSpacing/>
        <w:rPr>
          <w:rFonts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1.大型、中型和小型企业须同时满足所列指标的下限，否则下划一档；微型企业只须满足所列指标中的一项即可。</w:t>
      </w:r>
    </w:p>
    <w:p>
      <w:pPr>
        <w:pStyle w:val="19"/>
        <w:adjustRightInd w:val="0"/>
        <w:spacing w:line="360" w:lineRule="auto"/>
        <w:ind w:firstLine="452" w:firstLineChars="200"/>
        <w:contextualSpacing/>
        <w:rPr>
          <w:rFonts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19"/>
        <w:spacing w:line="360" w:lineRule="auto"/>
        <w:ind w:firstLine="452" w:firstLineChars="200"/>
        <w:rPr>
          <w:rFonts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keepNext/>
        <w:keepLines/>
        <w:pageBreakBefore w:val="0"/>
        <w:widowControl w:val="0"/>
        <w:kinsoku/>
        <w:wordWrap/>
        <w:overflowPunct/>
        <w:topLinePunct w:val="0"/>
        <w:autoSpaceDE/>
        <w:autoSpaceDN/>
        <w:bidi w:val="0"/>
        <w:adjustRightInd/>
        <w:snapToGrid/>
        <w:spacing w:before="340" w:after="330" w:line="240" w:lineRule="auto"/>
        <w:jc w:val="center"/>
        <w:textAlignment w:val="auto"/>
        <w:outlineLvl w:val="0"/>
        <w:rPr>
          <w:rFonts w:ascii="Times New Roman" w:hAnsi="Times New Roman" w:eastAsia="宋体" w:cs="Times New Roman"/>
          <w:b/>
          <w:bCs/>
          <w:color w:val="auto"/>
          <w:kern w:val="44"/>
          <w:sz w:val="44"/>
          <w:szCs w:val="44"/>
          <w:highlight w:val="none"/>
          <w:lang w:val="zh-CN"/>
        </w:rPr>
      </w:pPr>
      <w:r>
        <w:rPr>
          <w:rFonts w:hint="eastAsia" w:asciiTheme="minorEastAsia" w:hAnsiTheme="minorEastAsia" w:cstheme="minorEastAsia"/>
          <w:color w:val="auto"/>
          <w:szCs w:val="21"/>
          <w:highlight w:val="none"/>
        </w:rPr>
        <w:br w:type="page"/>
      </w:r>
      <w:bookmarkStart w:id="60" w:name="_Toc382"/>
      <w:bookmarkStart w:id="61" w:name="_Toc1222"/>
      <w:bookmarkStart w:id="62" w:name="_Toc16363"/>
      <w:bookmarkStart w:id="63" w:name="_Toc9409"/>
      <w:bookmarkStart w:id="64" w:name="_Toc10873"/>
      <w:bookmarkStart w:id="65" w:name="_Toc2044"/>
      <w:bookmarkStart w:id="66" w:name="_Toc25569"/>
      <w:r>
        <w:rPr>
          <w:rFonts w:hint="eastAsia" w:ascii="Cambria" w:hAnsi="Cambria" w:eastAsia="宋体" w:cs="Times New Roman"/>
          <w:b/>
          <w:color w:val="auto"/>
          <w:kern w:val="44"/>
          <w:sz w:val="32"/>
          <w:szCs w:val="32"/>
          <w:highlight w:val="none"/>
          <w:lang w:val="zh-CN"/>
        </w:rPr>
        <w:t>第三章 供应商须知</w:t>
      </w:r>
      <w:bookmarkEnd w:id="58"/>
      <w:bookmarkEnd w:id="59"/>
      <w:bookmarkEnd w:id="60"/>
      <w:bookmarkEnd w:id="61"/>
      <w:bookmarkEnd w:id="62"/>
      <w:bookmarkEnd w:id="63"/>
      <w:bookmarkEnd w:id="64"/>
      <w:bookmarkEnd w:id="65"/>
      <w:bookmarkEnd w:id="66"/>
    </w:p>
    <w:p>
      <w:pPr>
        <w:keepNext/>
        <w:keepLines/>
        <w:pageBreakBefore w:val="0"/>
        <w:widowControl w:val="0"/>
        <w:kinsoku/>
        <w:wordWrap/>
        <w:overflowPunct/>
        <w:topLinePunct w:val="0"/>
        <w:autoSpaceDE/>
        <w:autoSpaceDN/>
        <w:bidi w:val="0"/>
        <w:adjustRightInd/>
        <w:snapToGrid/>
        <w:spacing w:before="260" w:after="260" w:line="240" w:lineRule="auto"/>
        <w:jc w:val="center"/>
        <w:textAlignment w:val="auto"/>
        <w:outlineLvl w:val="1"/>
        <w:rPr>
          <w:rFonts w:ascii="宋体" w:hAnsi="宋体" w:eastAsia="宋体" w:cs="Times New Roman"/>
          <w:bCs/>
          <w:color w:val="auto"/>
          <w:sz w:val="32"/>
          <w:szCs w:val="32"/>
          <w:highlight w:val="none"/>
          <w:lang w:val="zh-CN"/>
        </w:rPr>
      </w:pPr>
      <w:bookmarkStart w:id="67" w:name="_Toc80205923"/>
      <w:bookmarkStart w:id="68" w:name="_Toc28658"/>
      <w:bookmarkStart w:id="69" w:name="_Toc10590"/>
      <w:r>
        <w:rPr>
          <w:rFonts w:hint="eastAsia" w:ascii="宋体" w:hAnsi="宋体" w:eastAsia="宋体" w:cs="Times New Roman"/>
          <w:bCs/>
          <w:color w:val="auto"/>
          <w:sz w:val="32"/>
          <w:szCs w:val="32"/>
          <w:highlight w:val="none"/>
          <w:lang w:val="zh-CN"/>
        </w:rPr>
        <w:t>第一节 供应商须知前附表</w:t>
      </w:r>
      <w:bookmarkEnd w:id="67"/>
      <w:bookmarkEnd w:id="68"/>
      <w:bookmarkEnd w:id="69"/>
    </w:p>
    <w:tbl>
      <w:tblPr>
        <w:tblStyle w:val="30"/>
        <w:tblW w:w="99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2195"/>
        <w:gridCol w:w="67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73" w:type="dxa"/>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73" w:type="dxa"/>
          </w:tcPr>
          <w:p>
            <w:pPr>
              <w:keepNext w:val="0"/>
              <w:keepLines w:val="0"/>
              <w:pageBreakBefore w:val="0"/>
              <w:widowControl w:val="0"/>
              <w:kinsoku/>
              <w:wordWrap/>
              <w:overflowPunct/>
              <w:topLinePunct w:val="0"/>
              <w:bidi w:val="0"/>
              <w:adjustRightInd/>
              <w:spacing w:line="380" w:lineRule="exact"/>
              <w:rPr>
                <w:rFonts w:ascii="宋体" w:hAnsi="宋体" w:eastAsia="宋体" w:cs="宋体"/>
                <w:b/>
                <w:color w:val="auto"/>
                <w:szCs w:val="21"/>
                <w:highlight w:val="none"/>
              </w:rPr>
            </w:pPr>
            <w:r>
              <w:rPr>
                <w:rFonts w:hint="eastAsia" w:ascii="宋体" w:hAnsi="宋体" w:eastAsia="宋体" w:cs="Times New Roman"/>
                <w:color w:val="auto"/>
                <w:szCs w:val="21"/>
                <w:highlight w:val="none"/>
              </w:rPr>
              <w:t xml:space="preserve">供应商资格条件要求详见竞争性谈判公告。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73" w:type="dxa"/>
            <w:vAlign w:val="center"/>
          </w:tcPr>
          <w:p>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bookmarkStart w:id="70" w:name="PO_3000001871_PM007_1"/>
            <w:r>
              <w:rPr>
                <w:rFonts w:hint="eastAsia" w:ascii="宋体" w:hAnsi="宋体" w:eastAsia="宋体" w:cs="Times New Roman"/>
                <w:color w:val="auto"/>
                <w:szCs w:val="21"/>
                <w:highlight w:val="none"/>
              </w:rPr>
              <w:t>详见竞争性谈判公告</w:t>
            </w:r>
            <w:bookmarkEnd w:id="70"/>
            <w:r>
              <w:rPr>
                <w:rFonts w:hint="eastAsia" w:ascii="宋体" w:hAnsi="宋体" w:eastAsia="宋体" w:cs="Times New Roman"/>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5</w:t>
            </w:r>
            <w:r>
              <w:rPr>
                <w:rFonts w:ascii="宋体" w:hAnsi="宋体" w:eastAsia="宋体" w:cs="宋体"/>
                <w:color w:val="auto"/>
                <w:szCs w:val="21"/>
                <w:highlight w:val="none"/>
              </w:rPr>
              <w:t>.2</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Times New Roman"/>
                <w:color w:val="auto"/>
                <w:szCs w:val="21"/>
                <w:highlight w:val="none"/>
              </w:rPr>
              <w:t>联合体竞标要求</w:t>
            </w:r>
          </w:p>
        </w:tc>
        <w:tc>
          <w:tcPr>
            <w:tcW w:w="6773" w:type="dxa"/>
            <w:vAlign w:val="center"/>
          </w:tcPr>
          <w:p>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73" w:type="dxa"/>
            <w:vAlign w:val="center"/>
          </w:tcPr>
          <w:p>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rPr>
            </w:pPr>
            <w:bookmarkStart w:id="71" w:name="PO_3000001871_PM044"/>
            <w:r>
              <w:rPr>
                <w:rFonts w:hint="eastAsia"/>
                <w:color w:val="auto"/>
                <w:highlight w:val="none"/>
              </w:rPr>
              <w:t>☑</w:t>
            </w:r>
            <w:r>
              <w:rPr>
                <w:rFonts w:hint="eastAsia" w:ascii="宋体" w:hAnsi="宋体" w:eastAsia="宋体" w:cs="Times New Roman"/>
                <w:color w:val="auto"/>
                <w:szCs w:val="21"/>
                <w:highlight w:val="none"/>
              </w:rPr>
              <w:t>不允许分包</w:t>
            </w:r>
            <w:bookmarkEnd w:id="71"/>
          </w:p>
          <w:p>
            <w:pPr>
              <w:pStyle w:val="13"/>
              <w:keepNext w:val="0"/>
              <w:keepLines w:val="0"/>
              <w:pageBreakBefore w:val="0"/>
              <w:widowControl w:val="0"/>
              <w:kinsoku/>
              <w:wordWrap/>
              <w:overflowPunct/>
              <w:topLinePunct w:val="0"/>
              <w:bidi w:val="0"/>
              <w:adjustRightInd/>
              <w:spacing w:line="380" w:lineRule="exact"/>
              <w:rPr>
                <w:color w:val="auto"/>
                <w:highlight w:val="none"/>
                <w:lang w:val="en-US"/>
              </w:rPr>
            </w:pPr>
            <w:r>
              <w:rPr>
                <w:rFonts w:hint="eastAsia"/>
                <w:color w:val="auto"/>
                <w:highlight w:val="none"/>
                <w:lang w:val="en-US"/>
              </w:rPr>
              <w:t>□允许分包</w:t>
            </w:r>
          </w:p>
          <w:p>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分包内容：</w:t>
            </w:r>
            <w:r>
              <w:rPr>
                <w:rFonts w:hint="eastAsia" w:ascii="宋体" w:hAnsi="宋体" w:eastAsia="宋体" w:cs="Times New Roman"/>
                <w:color w:val="auto"/>
                <w:szCs w:val="21"/>
                <w:highlight w:val="none"/>
                <w:u w:val="single"/>
              </w:rPr>
              <w:t xml:space="preserve">                                     。</w:t>
            </w:r>
          </w:p>
          <w:p>
            <w:pPr>
              <w:keepNext w:val="0"/>
              <w:keepLines w:val="0"/>
              <w:pageBreakBefore w:val="0"/>
              <w:widowControl w:val="0"/>
              <w:kinsoku/>
              <w:wordWrap/>
              <w:overflowPunct/>
              <w:topLinePunct w:val="0"/>
              <w:bidi w:val="0"/>
              <w:adjustRightInd/>
              <w:spacing w:line="380" w:lineRule="exact"/>
              <w:jc w:val="left"/>
              <w:rPr>
                <w:rFonts w:ascii="宋体" w:hAnsi="宋体" w:eastAsia="宋体" w:cs="宋体"/>
                <w:color w:val="auto"/>
                <w:szCs w:val="21"/>
                <w:highlight w:val="none"/>
              </w:rPr>
            </w:pPr>
            <w:r>
              <w:rPr>
                <w:rFonts w:hint="eastAsia" w:ascii="宋体" w:hAnsi="宋体" w:eastAsia="宋体" w:cs="Times New Roman"/>
                <w:color w:val="auto"/>
                <w:szCs w:val="21"/>
                <w:highlight w:val="none"/>
              </w:rPr>
              <w:t>分包金额或者比例：</w:t>
            </w:r>
            <w:r>
              <w:rPr>
                <w:rFonts w:hint="eastAsia" w:ascii="宋体" w:hAnsi="宋体" w:eastAsia="宋体" w:cs="Times New Roman"/>
                <w:color w:val="auto"/>
                <w:szCs w:val="21"/>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12.1.</w:t>
            </w:r>
            <w:r>
              <w:rPr>
                <w:rFonts w:ascii="宋体" w:hAnsi="宋体" w:eastAsia="宋体" w:cs="宋体"/>
                <w:color w:val="auto"/>
                <w:szCs w:val="21"/>
                <w:highlight w:val="none"/>
              </w:rPr>
              <w:t>1</w:t>
            </w:r>
          </w:p>
        </w:tc>
        <w:tc>
          <w:tcPr>
            <w:tcW w:w="2195" w:type="dxa"/>
            <w:vAlign w:val="center"/>
          </w:tcPr>
          <w:p>
            <w:pPr>
              <w:keepNext w:val="0"/>
              <w:keepLines w:val="0"/>
              <w:pageBreakBefore w:val="0"/>
              <w:widowControl w:val="0"/>
              <w:kinsoku/>
              <w:wordWrap/>
              <w:overflowPunct/>
              <w:topLinePunct w:val="0"/>
              <w:bidi w:val="0"/>
              <w:adjustRightInd/>
              <w:snapToGrid w:val="0"/>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资格证明文件组成</w:t>
            </w:r>
          </w:p>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6773" w:type="dxa"/>
            <w:vAlign w:val="center"/>
          </w:tcPr>
          <w:p>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1.供应商为法人或者其他组织的提供其营业执照等证明文件复印件（如营业执照或者事业单位法人证书或者执业许可证等），供应商为自然人的提供其有效身份证</w:t>
            </w:r>
            <w:r>
              <w:rPr>
                <w:rFonts w:hint="eastAsia" w:cs="宋体"/>
                <w:color w:val="auto"/>
                <w:szCs w:val="21"/>
                <w:highlight w:val="none"/>
              </w:rPr>
              <w:t>正反面</w:t>
            </w:r>
            <w:r>
              <w:rPr>
                <w:rFonts w:hint="eastAsia" w:ascii="宋体" w:hAnsi="宋体" w:eastAsia="宋体" w:cs="宋体"/>
                <w:color w:val="auto"/>
                <w:szCs w:val="21"/>
                <w:highlight w:val="none"/>
              </w:rPr>
              <w:t>复印件；（</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bidi w:val="0"/>
              <w:adjustRightInd/>
              <w:snapToGrid w:val="0"/>
              <w:spacing w:line="380" w:lineRule="exact"/>
              <w:jc w:val="left"/>
              <w:rPr>
                <w:rFonts w:ascii="宋体" w:hAnsi="宋体" w:cs="宋体"/>
                <w:color w:val="auto"/>
                <w:szCs w:val="21"/>
                <w:highlight w:val="none"/>
              </w:rPr>
            </w:pPr>
            <w:bookmarkStart w:id="72" w:name="OLE_LINK8"/>
            <w:r>
              <w:rPr>
                <w:rFonts w:hint="eastAsia" w:ascii="宋体" w:hAnsi="宋体" w:cs="宋体"/>
                <w:color w:val="auto"/>
                <w:szCs w:val="21"/>
                <w:highlight w:val="none"/>
              </w:rPr>
              <w:t>2.供应商依法缴纳税收的相关材料（提供税款所属时期为</w:t>
            </w:r>
            <w:r>
              <w:rPr>
                <w:rFonts w:hint="eastAsia" w:ascii="宋体" w:hAnsi="宋体" w:eastAsia="宋体" w:cs="宋体"/>
                <w:color w:val="auto"/>
                <w:szCs w:val="21"/>
                <w:highlight w:val="none"/>
                <w:u w:val="single"/>
              </w:rPr>
              <w:t>202</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月至首次响应文件提交截止时间止</w:t>
            </w:r>
            <w:r>
              <w:rPr>
                <w:rFonts w:hint="eastAsia" w:ascii="宋体" w:hAnsi="宋体" w:cs="宋体"/>
                <w:color w:val="auto"/>
                <w:szCs w:val="21"/>
                <w:highlight w:val="none"/>
              </w:rPr>
              <w:t>的</w:t>
            </w:r>
            <w:r>
              <w:rPr>
                <w:rFonts w:hint="eastAsia" w:ascii="宋体" w:hAnsi="宋体" w:eastAsia="宋体" w:cs="宋体"/>
                <w:color w:val="auto"/>
                <w:szCs w:val="21"/>
                <w:highlight w:val="none"/>
              </w:rPr>
              <w:t>任意</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w:t>
            </w:r>
            <w:r>
              <w:rPr>
                <w:rFonts w:hint="eastAsia" w:ascii="宋体" w:hAnsi="宋体" w:cs="宋体"/>
                <w:color w:val="auto"/>
                <w:szCs w:val="21"/>
                <w:highlight w:val="none"/>
              </w:rPr>
              <w:t>的依法缴纳税收的凭据复印件；</w:t>
            </w:r>
            <w:r>
              <w:rPr>
                <w:rFonts w:hint="eastAsia"/>
                <w:color w:val="auto"/>
                <w:highlight w:val="none"/>
              </w:rPr>
              <w:t>依法免税的</w:t>
            </w:r>
            <w:r>
              <w:rPr>
                <w:rFonts w:hint="eastAsia" w:ascii="宋体" w:hAnsi="宋体"/>
                <w:color w:val="auto"/>
                <w:szCs w:val="21"/>
                <w:highlight w:val="none"/>
              </w:rPr>
              <w:t>供应商</w:t>
            </w:r>
            <w:r>
              <w:rPr>
                <w:rFonts w:hint="eastAsia"/>
                <w:color w:val="auto"/>
                <w:highlight w:val="none"/>
              </w:rPr>
              <w:t>，必须提供相应文件证明其依法免税。</w:t>
            </w:r>
            <w:r>
              <w:rPr>
                <w:rFonts w:hint="eastAsia" w:ascii="宋体" w:hAnsi="宋体" w:cs="宋体"/>
                <w:color w:val="auto"/>
                <w:szCs w:val="21"/>
                <w:highlight w:val="none"/>
              </w:rPr>
              <w:t>从取得营业执照时间起到首次响应文件提交截止时间为止不足要求月数的，只需提供从取得营业执照起的依法缴纳税收</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bookmarkEnd w:id="72"/>
          </w:p>
          <w:p>
            <w:pPr>
              <w:keepNext w:val="0"/>
              <w:keepLines w:val="0"/>
              <w:pageBreakBefore w:val="0"/>
              <w:widowControl w:val="0"/>
              <w:kinsoku/>
              <w:wordWrap/>
              <w:overflowPunct/>
              <w:topLinePunct w:val="0"/>
              <w:bidi w:val="0"/>
              <w:adjustRightInd/>
              <w:snapToGrid w:val="0"/>
              <w:spacing w:line="380" w:lineRule="exact"/>
              <w:jc w:val="left"/>
              <w:rPr>
                <w:rFonts w:ascii="宋体" w:hAnsi="宋体" w:cs="宋体"/>
                <w:color w:val="auto"/>
                <w:szCs w:val="21"/>
                <w:highlight w:val="none"/>
              </w:rPr>
            </w:pPr>
            <w:bookmarkStart w:id="73" w:name="OLE_LINK9"/>
            <w:r>
              <w:rPr>
                <w:rFonts w:hint="eastAsia" w:ascii="宋体" w:hAnsi="宋体" w:cs="宋体"/>
                <w:color w:val="auto"/>
                <w:szCs w:val="21"/>
                <w:highlight w:val="none"/>
              </w:rPr>
              <w:t>3.供应商依法缴纳社会保障资金的相关材料（提供税款所属时期或缴费起始时间为</w:t>
            </w:r>
            <w:r>
              <w:rPr>
                <w:rFonts w:hint="eastAsia" w:ascii="宋体" w:hAnsi="宋体" w:eastAsia="宋体" w:cs="宋体"/>
                <w:color w:val="auto"/>
                <w:szCs w:val="21"/>
                <w:highlight w:val="none"/>
                <w:u w:val="single"/>
              </w:rPr>
              <w:t>202</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rPr>
              <w:t>月至首次响应文件提交截止时间止</w:t>
            </w:r>
            <w:r>
              <w:rPr>
                <w:rFonts w:hint="eastAsia" w:ascii="宋体" w:hAnsi="宋体" w:cs="宋体"/>
                <w:color w:val="auto"/>
                <w:szCs w:val="21"/>
                <w:highlight w:val="none"/>
              </w:rPr>
              <w:t>的</w:t>
            </w:r>
            <w:r>
              <w:rPr>
                <w:rFonts w:hint="eastAsia" w:ascii="宋体" w:hAnsi="宋体" w:eastAsia="宋体" w:cs="宋体"/>
                <w:color w:val="auto"/>
                <w:szCs w:val="21"/>
                <w:highlight w:val="none"/>
              </w:rPr>
              <w:t>任意</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w:t>
            </w:r>
            <w:r>
              <w:rPr>
                <w:rFonts w:hint="eastAsia" w:ascii="宋体" w:hAnsi="宋体" w:cs="宋体"/>
                <w:color w:val="auto"/>
                <w:szCs w:val="21"/>
                <w:highlight w:val="none"/>
              </w:rPr>
              <w:t>的依法缴纳社会保障资金的缴费凭证复印件；</w:t>
            </w:r>
            <w:r>
              <w:rPr>
                <w:rFonts w:hint="eastAsia"/>
                <w:color w:val="auto"/>
                <w:highlight w:val="none"/>
              </w:rPr>
              <w:t>依法不需要缴纳社会保障资金的</w:t>
            </w:r>
            <w:r>
              <w:rPr>
                <w:rFonts w:hint="eastAsia" w:ascii="宋体" w:hAnsi="宋体"/>
                <w:color w:val="auto"/>
                <w:szCs w:val="21"/>
                <w:highlight w:val="none"/>
              </w:rPr>
              <w:t>供应商</w:t>
            </w:r>
            <w:r>
              <w:rPr>
                <w:rFonts w:hint="eastAsia"/>
                <w:color w:val="auto"/>
                <w:highlight w:val="none"/>
              </w:rPr>
              <w:t>，必须提供相应文件证明不需要缴纳社会保障资金。</w:t>
            </w:r>
            <w:r>
              <w:rPr>
                <w:rFonts w:hint="eastAsia" w:ascii="宋体" w:hAnsi="宋体" w:cs="宋体"/>
                <w:color w:val="auto"/>
                <w:szCs w:val="21"/>
                <w:highlight w:val="none"/>
              </w:rPr>
              <w:t>从取得营业执照时间起到首次响应文件提交截止时间为止不足要求月数的只需提供从取得营业执照起的依法缴纳社会保障资金的</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bookmarkEnd w:id="73"/>
          </w:p>
          <w:p>
            <w:pPr>
              <w:keepNext w:val="0"/>
              <w:keepLines w:val="0"/>
              <w:pageBreakBefore w:val="0"/>
              <w:widowControl w:val="0"/>
              <w:kinsoku/>
              <w:wordWrap/>
              <w:overflowPunct/>
              <w:topLinePunct w:val="0"/>
              <w:bidi w:val="0"/>
              <w:adjustRightInd/>
              <w:snapToGrid w:val="0"/>
              <w:spacing w:line="380" w:lineRule="exact"/>
              <w:jc w:val="left"/>
              <w:rPr>
                <w:rFonts w:ascii="宋体" w:hAnsi="宋体" w:cs="宋体"/>
                <w:bCs/>
                <w:color w:val="auto"/>
                <w:szCs w:val="21"/>
                <w:highlight w:val="none"/>
              </w:rPr>
            </w:pPr>
            <w:r>
              <w:rPr>
                <w:rFonts w:hint="eastAsia" w:ascii="宋体" w:hAnsi="宋体" w:cs="宋体"/>
                <w:color w:val="auto"/>
                <w:szCs w:val="21"/>
                <w:highlight w:val="none"/>
              </w:rPr>
              <w:t>4.供应商财务状况报告</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u w:val="single"/>
              </w:rPr>
              <w:t>2024</w:t>
            </w:r>
            <w:r>
              <w:rPr>
                <w:rFonts w:hint="eastAsia" w:ascii="宋体" w:hAnsi="宋体" w:eastAsia="宋体" w:cs="宋体"/>
                <w:color w:val="auto"/>
                <w:szCs w:val="21"/>
                <w:highlight w:val="none"/>
              </w:rPr>
              <w:t>年度经审计的财务报告复印件或者首次响应文件提交截止时间前半年内至少一个月能反映财务状况的报表或者供应商自拟的首次响应文件提交截止时间前半年内至少一个月的财务情况说明）</w:t>
            </w:r>
            <w:r>
              <w:rPr>
                <w:rFonts w:hint="eastAsia" w:ascii="宋体" w:hAnsi="宋体" w:cs="宋体"/>
                <w:color w:val="auto"/>
                <w:szCs w:val="21"/>
                <w:highlight w:val="none"/>
              </w:rPr>
              <w:t>；</w:t>
            </w:r>
            <w:r>
              <w:rPr>
                <w:rFonts w:hint="eastAsia" w:ascii="宋体" w:hAnsi="宋体" w:cs="宋体"/>
                <w:color w:val="auto"/>
                <w:sz w:val="21"/>
                <w:szCs w:val="20"/>
                <w:highlight w:val="none"/>
              </w:rPr>
              <w:t>供应商成立不满一年的应按提供首次响应文件提交截止时间上一个月的财务状况报告复印件。</w:t>
            </w:r>
            <w:r>
              <w:rPr>
                <w:rFonts w:hint="eastAsia" w:ascii="宋体" w:hAnsi="宋体" w:cs="宋体"/>
                <w:bCs/>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bCs/>
                <w:color w:val="auto"/>
                <w:szCs w:val="21"/>
                <w:highlight w:val="none"/>
              </w:rPr>
              <w:t>）</w:t>
            </w:r>
          </w:p>
          <w:p>
            <w:pPr>
              <w:pStyle w:val="13"/>
              <w:keepNext w:val="0"/>
              <w:keepLines w:val="0"/>
              <w:pageBreakBefore w:val="0"/>
              <w:widowControl w:val="0"/>
              <w:kinsoku/>
              <w:wordWrap/>
              <w:overflowPunct/>
              <w:topLinePunct w:val="0"/>
              <w:bidi w:val="0"/>
              <w:adjustRightInd/>
              <w:spacing w:line="380" w:lineRule="exact"/>
              <w:rPr>
                <w:rFonts w:ascii="宋体" w:hAnsi="宋体" w:cs="宋体"/>
                <w:color w:val="auto"/>
                <w:szCs w:val="21"/>
                <w:highlight w:val="none"/>
              </w:rPr>
            </w:pPr>
            <w:r>
              <w:rPr>
                <w:rFonts w:hint="eastAsia" w:ascii="宋体" w:hAnsi="宋体" w:cs="宋体"/>
                <w:color w:val="auto"/>
                <w:szCs w:val="21"/>
                <w:highlight w:val="none"/>
                <w:lang w:val="en-US"/>
              </w:rPr>
              <w:t>5.</w:t>
            </w:r>
            <w:r>
              <w:rPr>
                <w:rFonts w:hint="eastAsia" w:ascii="宋体" w:hAnsi="宋体" w:cs="宋体"/>
                <w:color w:val="auto"/>
                <w:szCs w:val="21"/>
                <w:highlight w:val="none"/>
              </w:rPr>
              <w:t>本项目的特定资格要求：</w:t>
            </w:r>
            <w:r>
              <w:rPr>
                <w:rFonts w:hint="eastAsia" w:ascii="宋体" w:hAnsi="宋体" w:cs="宋体"/>
                <w:color w:val="auto"/>
                <w:szCs w:val="21"/>
                <w:highlight w:val="none"/>
                <w:lang w:val="en-US"/>
              </w:rPr>
              <w:t>无</w:t>
            </w:r>
            <w:r>
              <w:rPr>
                <w:rFonts w:hint="eastAsia" w:ascii="宋体" w:hAnsi="宋体" w:cs="宋体"/>
                <w:color w:val="auto"/>
                <w:szCs w:val="21"/>
                <w:highlight w:val="none"/>
              </w:rPr>
              <w:t>；（如有要求，则</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p>
          <w:p>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ascii="宋体" w:hAnsi="宋体" w:eastAsia="宋体" w:cs="宋体"/>
                <w:color w:val="auto"/>
                <w:szCs w:val="21"/>
                <w:highlight w:val="none"/>
              </w:rPr>
              <w:t>6</w:t>
            </w:r>
            <w:r>
              <w:rPr>
                <w:rFonts w:hint="eastAsia" w:ascii="宋体" w:hAnsi="宋体" w:eastAsia="宋体" w:cs="宋体"/>
                <w:color w:val="auto"/>
                <w:szCs w:val="21"/>
                <w:highlight w:val="none"/>
              </w:rPr>
              <w:t>.声明函（格式后附）；（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Times New Roman"/>
                <w:color w:val="auto"/>
                <w:szCs w:val="21"/>
                <w:highlight w:val="none"/>
              </w:rPr>
              <w:t>联合体竞标协议书</w:t>
            </w:r>
            <w:r>
              <w:rPr>
                <w:rFonts w:hint="eastAsia" w:ascii="宋体" w:hAnsi="宋体" w:eastAsia="宋体" w:cs="宋体"/>
                <w:color w:val="auto"/>
                <w:szCs w:val="21"/>
                <w:highlight w:val="none"/>
              </w:rPr>
              <w:t>（格式后附）；（</w:t>
            </w:r>
            <w:r>
              <w:rPr>
                <w:rFonts w:hint="eastAsia" w:ascii="宋体" w:hAnsi="宋体" w:eastAsia="宋体" w:cs="宋体"/>
                <w:b/>
                <w:color w:val="auto"/>
                <w:szCs w:val="21"/>
                <w:highlight w:val="none"/>
              </w:rPr>
              <w:t>联合体竞标时必须提供，否则响应文件作无效响应处理</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rPr>
              <w:t>除谈判文件规定必须提供以外，供应商认为需要提供的其他证明材料（格式自拟）。</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如有，请提供</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bidi w:val="0"/>
              <w:adjustRightInd/>
              <w:snapToGrid w:val="0"/>
              <w:spacing w:line="3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widowControl w:val="0"/>
              <w:kinsoku/>
              <w:wordWrap/>
              <w:overflowPunct/>
              <w:topLinePunct w:val="0"/>
              <w:bidi w:val="0"/>
              <w:adjustRightInd/>
              <w:snapToGrid w:val="0"/>
              <w:spacing w:line="380" w:lineRule="exact"/>
              <w:jc w:val="left"/>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9.</w:t>
            </w:r>
            <w:r>
              <w:rPr>
                <w:rFonts w:hint="eastAsia" w:ascii="宋体" w:hAnsi="宋体" w:cs="宋体"/>
                <w:color w:val="auto"/>
                <w:sz w:val="21"/>
                <w:szCs w:val="21"/>
                <w:highlight w:val="none"/>
              </w:rPr>
              <w:t>供应商直接控股、管理关系信息表；（</w:t>
            </w:r>
            <w:r>
              <w:rPr>
                <w:rFonts w:hint="eastAsia" w:ascii="宋体" w:hAnsi="宋体" w:cs="宋体"/>
                <w:b/>
                <w:color w:val="auto"/>
                <w:sz w:val="21"/>
                <w:szCs w:val="21"/>
                <w:highlight w:val="none"/>
              </w:rPr>
              <w:t>必须提供，否则响应文件按无效响应处理</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bidi w:val="0"/>
              <w:adjustRightInd/>
              <w:snapToGrid w:val="0"/>
              <w:spacing w:line="380" w:lineRule="exact"/>
              <w:ind w:firstLine="413" w:firstLineChars="196"/>
              <w:jc w:val="left"/>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1.以上标明“必须提供”的材料属于复印件的扫描件的，必须加盖供应商公章，否则响应文件作无效响应处理。</w:t>
            </w:r>
          </w:p>
          <w:p>
            <w:pPr>
              <w:keepNext w:val="0"/>
              <w:keepLines w:val="0"/>
              <w:pageBreakBefore w:val="0"/>
              <w:widowControl w:val="0"/>
              <w:kinsoku/>
              <w:wordWrap/>
              <w:overflowPunct/>
              <w:topLinePunct w:val="0"/>
              <w:bidi w:val="0"/>
              <w:adjustRightInd/>
              <w:spacing w:line="380" w:lineRule="exact"/>
              <w:ind w:firstLine="422" w:firstLineChars="200"/>
              <w:jc w:val="left"/>
              <w:rPr>
                <w:rFonts w:ascii="宋体" w:hAnsi="宋体" w:eastAsia="宋体" w:cs="宋体"/>
                <w:b/>
                <w:color w:val="auto"/>
                <w:szCs w:val="21"/>
                <w:highlight w:val="none"/>
              </w:rPr>
            </w:pPr>
            <w:r>
              <w:rPr>
                <w:rFonts w:hint="eastAsia" w:ascii="宋体" w:hAnsi="宋体" w:eastAsia="宋体" w:cs="宋体"/>
                <w:b/>
                <w:color w:val="auto"/>
                <w:sz w:val="21"/>
                <w:szCs w:val="21"/>
                <w:highlight w:val="none"/>
              </w:rPr>
              <w:t>2.联合体竞标时，第1-</w:t>
            </w:r>
            <w:r>
              <w:rPr>
                <w:rFonts w:ascii="宋体" w:hAnsi="宋体" w:eastAsia="宋体" w:cs="宋体"/>
                <w:b/>
                <w:color w:val="auto"/>
                <w:sz w:val="21"/>
                <w:szCs w:val="21"/>
                <w:highlight w:val="none"/>
              </w:rPr>
              <w:t>5</w:t>
            </w:r>
            <w:r>
              <w:rPr>
                <w:rFonts w:hint="eastAsia" w:ascii="宋体" w:hAnsi="宋体" w:eastAsia="宋体" w:cs="宋体"/>
                <w:b/>
                <w:color w:val="auto"/>
                <w:sz w:val="21"/>
                <w:szCs w:val="21"/>
                <w:highlight w:val="none"/>
              </w:rPr>
              <w:t>项资格证</w:t>
            </w:r>
            <w:r>
              <w:rPr>
                <w:rFonts w:hint="eastAsia" w:ascii="宋体" w:hAnsi="宋体" w:eastAsia="宋体" w:cs="宋体"/>
                <w:b/>
                <w:color w:val="auto"/>
                <w:szCs w:val="21"/>
                <w:highlight w:val="none"/>
              </w:rPr>
              <w:t>明文件联合体各方均必须分别提供，联合体各方分别盖章，否则响应文件作无效响应处理。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.2</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773" w:type="dxa"/>
            <w:vAlign w:val="center"/>
          </w:tcPr>
          <w:p>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2.法定代表人身份证明及法定代表人有效身份证正反面复印件（格式后附）；（</w:t>
            </w:r>
            <w:r>
              <w:rPr>
                <w:rFonts w:hint="eastAsia" w:ascii="宋体" w:hAnsi="宋体" w:eastAsia="宋体" w:cs="宋体"/>
                <w:b/>
                <w:bCs/>
                <w:color w:val="auto"/>
                <w:szCs w:val="21"/>
                <w:highlight w:val="none"/>
              </w:rPr>
              <w:t>除自然人竞标外</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3.法定代表人授权委托书及委托代理人有效身份证正反面复印件（格式后附）；（</w:t>
            </w:r>
            <w:r>
              <w:rPr>
                <w:rFonts w:hint="eastAsia" w:ascii="宋体" w:hAnsi="宋体" w:eastAsia="宋体" w:cs="宋体"/>
                <w:b/>
                <w:color w:val="auto"/>
                <w:szCs w:val="21"/>
                <w:highlight w:val="none"/>
              </w:rPr>
              <w:t>委托时必须提供，否则响应文件作无效响应处理</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bidi w:val="0"/>
              <w:adjustRightInd/>
              <w:spacing w:line="380" w:lineRule="exact"/>
              <w:rPr>
                <w:color w:val="auto"/>
                <w:highlight w:val="none"/>
              </w:rPr>
            </w:pPr>
            <w:r>
              <w:rPr>
                <w:rFonts w:hint="eastAsia" w:ascii="宋体" w:hAnsi="宋体" w:cs="宋体"/>
                <w:color w:val="auto"/>
                <w:szCs w:val="21"/>
                <w:highlight w:val="none"/>
              </w:rPr>
              <w:t>4.谈判保证金提交凭证；（</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p>
          <w:p>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5.商务条款偏离表（格式后附）；（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6.供应商情况介绍（格式自拟）；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7.对应采购需求的商务条款提供的其他文件资料（格式自拟）；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8.供应商认为需要提供的其他有关资料（格式自拟）。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 xml:space="preserve">注： </w:t>
            </w:r>
          </w:p>
          <w:p>
            <w:pPr>
              <w:keepNext w:val="0"/>
              <w:keepLines w:val="0"/>
              <w:pageBreakBefore w:val="0"/>
              <w:widowControl w:val="0"/>
              <w:kinsoku/>
              <w:wordWrap/>
              <w:overflowPunct/>
              <w:topLinePunct w:val="0"/>
              <w:bidi w:val="0"/>
              <w:adjustRightInd/>
              <w:snapToGrid w:val="0"/>
              <w:spacing w:line="380" w:lineRule="exact"/>
              <w:ind w:firstLine="413" w:firstLineChars="196"/>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1.法定代表人授权委托书必须由法定代表人及委托代理人签字，并加盖供应商公章，否则响应文件作无效响应处理。</w:t>
            </w:r>
          </w:p>
          <w:p>
            <w:pPr>
              <w:keepNext w:val="0"/>
              <w:keepLines w:val="0"/>
              <w:pageBreakBefore w:val="0"/>
              <w:widowControl w:val="0"/>
              <w:kinsoku/>
              <w:wordWrap/>
              <w:overflowPunct/>
              <w:topLinePunct w:val="0"/>
              <w:bidi w:val="0"/>
              <w:adjustRightInd/>
              <w:spacing w:line="380" w:lineRule="exact"/>
              <w:ind w:firstLine="413" w:firstLineChars="196"/>
              <w:rPr>
                <w:rFonts w:ascii="宋体" w:hAnsi="宋体" w:eastAsia="宋体" w:cs="宋体"/>
                <w:b/>
                <w:color w:val="auto"/>
                <w:szCs w:val="21"/>
                <w:highlight w:val="none"/>
              </w:rPr>
            </w:pPr>
            <w:r>
              <w:rPr>
                <w:rFonts w:ascii="宋体" w:hAnsi="宋体" w:eastAsia="宋体" w:cs="宋体"/>
                <w:b/>
                <w:color w:val="auto"/>
                <w:szCs w:val="21"/>
                <w:highlight w:val="none"/>
              </w:rPr>
              <w:t>2</w:t>
            </w:r>
            <w:r>
              <w:rPr>
                <w:rFonts w:hint="eastAsia" w:ascii="宋体" w:hAnsi="宋体" w:eastAsia="宋体" w:cs="宋体"/>
                <w:b/>
                <w:color w:val="auto"/>
                <w:szCs w:val="21"/>
                <w:highlight w:val="none"/>
              </w:rPr>
              <w:t>.以上标明“必须提供”的材料属于复印件的扫描件的，必须加盖供应商公章，否则响应文件作无效响应处理。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773" w:type="dxa"/>
            <w:vAlign w:val="center"/>
          </w:tcPr>
          <w:p>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1.技术需求偏离表（格式后附）；（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bidi w:val="0"/>
              <w:adjustRightInd/>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color w:val="auto"/>
                <w:highlight w:val="none"/>
                <w:lang w:val="en-US" w:eastAsia="zh-CN"/>
              </w:rPr>
              <w:t>实施及</w:t>
            </w:r>
            <w:r>
              <w:rPr>
                <w:rFonts w:hint="eastAsia" w:ascii="宋体" w:hAnsi="宋体" w:eastAsia="宋体" w:cs="宋体"/>
                <w:color w:val="auto"/>
                <w:szCs w:val="21"/>
                <w:highlight w:val="none"/>
              </w:rPr>
              <w:t>售后服务方案（部分格式后附）；（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bidi w:val="0"/>
              <w:adjustRightInd/>
              <w:spacing w:line="380" w:lineRule="exact"/>
              <w:rPr>
                <w:rFonts w:hint="default" w:ascii="宋体" w:hAnsi="宋体" w:eastAsia="宋体" w:cs="宋体"/>
                <w:b/>
                <w:bCs/>
                <w:color w:val="auto"/>
                <w:szCs w:val="21"/>
                <w:highlight w:val="none"/>
                <w:lang w:val="en-US" w:eastAsia="zh-CN"/>
              </w:rPr>
            </w:pPr>
            <w:bookmarkStart w:id="74" w:name="OLE_LINK10"/>
            <w:r>
              <w:rPr>
                <w:rFonts w:hint="eastAsia" w:ascii="宋体" w:hAnsi="宋体" w:eastAsia="宋体" w:cs="宋体"/>
                <w:color w:val="auto"/>
                <w:szCs w:val="21"/>
                <w:highlight w:val="none"/>
                <w:lang w:val="en-US" w:eastAsia="zh-CN"/>
              </w:rPr>
              <w:t>3.培训方案（格式自拟）；</w:t>
            </w:r>
            <w:r>
              <w:rPr>
                <w:rFonts w:hint="eastAsia" w:ascii="宋体" w:hAnsi="宋体" w:eastAsia="宋体" w:cs="宋体"/>
                <w:b/>
                <w:bCs/>
                <w:color w:val="auto"/>
                <w:szCs w:val="21"/>
                <w:highlight w:val="none"/>
                <w:lang w:val="en-US" w:eastAsia="zh-CN"/>
              </w:rPr>
              <w:t>（必须提供，否则响应文件作无效响应处理）</w:t>
            </w:r>
            <w:bookmarkEnd w:id="74"/>
          </w:p>
          <w:p>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.项目实施人员一览表（格式后附）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lang w:val="en-US" w:eastAsia="zh-CN"/>
              </w:rPr>
              <w:t>必须</w:t>
            </w:r>
            <w:r>
              <w:rPr>
                <w:rFonts w:ascii="宋体" w:hAnsi="宋体" w:eastAsia="宋体" w:cs="宋体"/>
                <w:b/>
                <w:bCs/>
                <w:color w:val="auto"/>
                <w:szCs w:val="21"/>
                <w:highlight w:val="none"/>
              </w:rPr>
              <w:t>提</w:t>
            </w:r>
            <w:r>
              <w:rPr>
                <w:rFonts w:ascii="宋体" w:hAnsi="宋体" w:eastAsia="宋体" w:cs="宋体"/>
                <w:b/>
                <w:color w:val="auto"/>
                <w:szCs w:val="21"/>
                <w:highlight w:val="none"/>
              </w:rPr>
              <w:t>供</w:t>
            </w:r>
            <w:r>
              <w:rPr>
                <w:rFonts w:hint="eastAsia" w:ascii="宋体" w:hAnsi="宋体" w:eastAsia="宋体" w:cs="宋体"/>
                <w:b/>
                <w:bCs/>
                <w:color w:val="auto"/>
                <w:szCs w:val="21"/>
                <w:highlight w:val="none"/>
                <w:lang w:val="en-US" w:eastAsia="zh-CN"/>
              </w:rPr>
              <w:t>，否则响应文件作无效响应处理</w:t>
            </w:r>
            <w:r>
              <w:rPr>
                <w:rFonts w:hint="eastAsia" w:ascii="宋体" w:hAnsi="宋体" w:eastAsia="宋体" w:cs="宋体"/>
                <w:color w:val="auto"/>
                <w:szCs w:val="21"/>
                <w:highlight w:val="none"/>
              </w:rPr>
              <w:t xml:space="preserve">）； </w:t>
            </w:r>
          </w:p>
          <w:p>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.对应采购需求的技术需求提供的其他文件资料（格式自拟）；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pPr>
              <w:keepNext w:val="0"/>
              <w:keepLines w:val="0"/>
              <w:pageBreakBefore w:val="0"/>
              <w:widowControl w:val="0"/>
              <w:kinsoku/>
              <w:wordWrap/>
              <w:overflowPunct/>
              <w:topLinePunct w:val="0"/>
              <w:bidi w:val="0"/>
              <w:adjustRightInd/>
              <w:spacing w:line="38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.供应商认为需要提供的其他有关资料（格式自拟）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pPr>
              <w:spacing w:line="400" w:lineRule="exac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配置清单（均不含报价）</w:t>
            </w:r>
            <w:r>
              <w:rPr>
                <w:rFonts w:hint="eastAsia" w:ascii="宋体" w:hAnsi="宋体" w:eastAsia="宋体" w:cs="宋体"/>
                <w:color w:val="auto"/>
                <w:szCs w:val="21"/>
                <w:highlight w:val="none"/>
                <w:lang w:eastAsia="zh-CN"/>
              </w:rPr>
              <w:t>。</w:t>
            </w:r>
            <w:r>
              <w:rPr>
                <w:rFonts w:hint="eastAsia" w:ascii="宋体" w:hAnsi="宋体" w:cs="宋体"/>
                <w:color w:val="auto"/>
                <w:sz w:val="21"/>
                <w:szCs w:val="21"/>
                <w:highlight w:val="none"/>
              </w:rPr>
              <w:t>（</w:t>
            </w:r>
            <w:r>
              <w:rPr>
                <w:rFonts w:hint="eastAsia" w:ascii="宋体" w:hAnsi="宋体" w:cs="宋体"/>
                <w:b/>
                <w:color w:val="auto"/>
                <w:sz w:val="21"/>
                <w:szCs w:val="21"/>
                <w:highlight w:val="none"/>
              </w:rPr>
              <w:t>必须提供，否则响应文件作无效处理</w:t>
            </w:r>
            <w:r>
              <w:rPr>
                <w:rFonts w:hint="eastAsia" w:ascii="宋体" w:hAnsi="宋体" w:cs="宋体"/>
                <w:color w:val="auto"/>
                <w:sz w:val="21"/>
                <w:szCs w:val="21"/>
                <w:highlight w:val="none"/>
              </w:rPr>
              <w:t>）</w:t>
            </w:r>
          </w:p>
          <w:p>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注：1.以上标明“必须提供”的材料属于复印件的扫描件的，必须加盖供应商公章，否则响应文件作无效响应处理。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.3</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773" w:type="dxa"/>
            <w:vAlign w:val="center"/>
          </w:tcPr>
          <w:p>
            <w:pPr>
              <w:keepNext w:val="0"/>
              <w:keepLines w:val="0"/>
              <w:pageBreakBefore w:val="0"/>
              <w:widowControl w:val="0"/>
              <w:numPr>
                <w:ilvl w:val="0"/>
                <w:numId w:val="0"/>
              </w:numPr>
              <w:kinsoku/>
              <w:wordWrap/>
              <w:overflowPunct/>
              <w:topLinePunct w:val="0"/>
              <w:bidi w:val="0"/>
              <w:adjustRightInd/>
              <w:spacing w:line="380" w:lineRule="exact"/>
              <w:jc w:val="left"/>
              <w:rPr>
                <w:rFonts w:ascii="宋体" w:hAnsi="宋体" w:eastAsia="宋体" w:cs="Times New Roman"/>
                <w:color w:val="auto"/>
                <w:szCs w:val="21"/>
                <w:highlight w:val="none"/>
              </w:rPr>
            </w:pPr>
            <w:r>
              <w:rPr>
                <w:rFonts w:ascii="宋体" w:hAnsi="宋体" w:eastAsia="宋体" w:cs="Times New Roman"/>
                <w:color w:val="auto"/>
                <w:kern w:val="2"/>
                <w:sz w:val="21"/>
                <w:szCs w:val="21"/>
                <w:highlight w:val="none"/>
                <w:lang w:val="en-US" w:eastAsia="zh-CN" w:bidi="ar-SA"/>
              </w:rPr>
              <w:t>1.</w:t>
            </w:r>
            <w:r>
              <w:rPr>
                <w:rFonts w:hint="eastAsia" w:ascii="宋体" w:hAnsi="宋体" w:eastAsia="宋体" w:cs="Times New Roman"/>
                <w:color w:val="auto"/>
                <w:szCs w:val="21"/>
                <w:highlight w:val="none"/>
              </w:rPr>
              <w:t>响应函</w:t>
            </w:r>
            <w:r>
              <w:rPr>
                <w:rFonts w:hint="eastAsia" w:ascii="宋体" w:hAnsi="宋体" w:eastAsia="宋体" w:cs="宋体"/>
                <w:color w:val="auto"/>
                <w:szCs w:val="21"/>
                <w:highlight w:val="none"/>
              </w:rPr>
              <w:t>（格式后附）</w:t>
            </w:r>
            <w:r>
              <w:rPr>
                <w:rFonts w:hint="eastAsia" w:ascii="宋体" w:hAnsi="宋体" w:eastAsia="宋体" w:cs="Times New Roman"/>
                <w:color w:val="auto"/>
                <w:szCs w:val="21"/>
                <w:highlight w:val="none"/>
              </w:rPr>
              <w:t>；</w:t>
            </w:r>
            <w:r>
              <w:rPr>
                <w:rFonts w:hint="eastAsia" w:ascii="宋体" w:hAnsi="宋体" w:eastAsia="宋体" w:cs="Times New Roman"/>
                <w:b/>
                <w:color w:val="auto"/>
                <w:szCs w:val="21"/>
                <w:highlight w:val="none"/>
              </w:rPr>
              <w:t>（必须提供，否则</w:t>
            </w:r>
            <w:r>
              <w:rPr>
                <w:rFonts w:hint="eastAsia" w:ascii="宋体" w:hAnsi="宋体" w:eastAsia="宋体" w:cs="宋体"/>
                <w:b/>
                <w:color w:val="auto"/>
                <w:szCs w:val="21"/>
                <w:highlight w:val="none"/>
              </w:rPr>
              <w:t>响应文件作无效</w:t>
            </w:r>
            <w:r>
              <w:rPr>
                <w:rFonts w:hint="eastAsia" w:ascii="宋体" w:hAnsi="宋体" w:eastAsia="宋体" w:cs="Times New Roman"/>
                <w:b/>
                <w:color w:val="auto"/>
                <w:szCs w:val="21"/>
                <w:highlight w:val="none"/>
              </w:rPr>
              <w:t>响应处理）</w:t>
            </w:r>
          </w:p>
          <w:p>
            <w:pPr>
              <w:keepNext w:val="0"/>
              <w:keepLines w:val="0"/>
              <w:pageBreakBefore w:val="0"/>
              <w:widowControl w:val="0"/>
              <w:kinsoku/>
              <w:wordWrap/>
              <w:overflowPunct/>
              <w:topLinePunct w:val="0"/>
              <w:bidi w:val="0"/>
              <w:adjustRightInd/>
              <w:spacing w:line="380" w:lineRule="exact"/>
              <w:jc w:val="left"/>
              <w:rPr>
                <w:rFonts w:ascii="宋体" w:hAnsi="宋体" w:eastAsia="宋体" w:cs="宋体"/>
                <w:color w:val="auto"/>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Cs w:val="21"/>
                <w:highlight w:val="none"/>
              </w:rPr>
              <w:t>响应报价表（格式后附）；（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pPr>
              <w:pStyle w:val="2"/>
              <w:keepNext w:val="0"/>
              <w:keepLines w:val="0"/>
              <w:pageBreakBefore w:val="0"/>
              <w:widowControl w:val="0"/>
              <w:kinsoku/>
              <w:wordWrap/>
              <w:overflowPunct/>
              <w:topLinePunct w:val="0"/>
              <w:bidi w:val="0"/>
              <w:adjustRightInd/>
              <w:spacing w:line="380" w:lineRule="exact"/>
              <w:rPr>
                <w:rFonts w:ascii="宋体" w:hAnsi="宋体" w:cs="宋体"/>
                <w:color w:val="auto"/>
                <w:sz w:val="21"/>
                <w:szCs w:val="21"/>
                <w:highlight w:val="none"/>
                <w:lang w:val="en-US"/>
              </w:rPr>
            </w:pPr>
            <w:r>
              <w:rPr>
                <w:rFonts w:hint="eastAsia" w:ascii="宋体" w:hAnsi="宋体"/>
                <w:color w:val="auto"/>
                <w:sz w:val="21"/>
                <w:szCs w:val="24"/>
                <w:highlight w:val="none"/>
              </w:rPr>
              <w:t>3.</w:t>
            </w:r>
            <w:r>
              <w:rPr>
                <w:rFonts w:hint="eastAsia" w:ascii="宋体" w:hAnsi="宋体" w:cs="宋体"/>
                <w:color w:val="auto"/>
                <w:sz w:val="21"/>
                <w:szCs w:val="21"/>
                <w:highlight w:val="none"/>
              </w:rPr>
              <w:t>中小企业声明函或者残疾人福利性单位声明函（格式后附）或者供应商属于监狱企业的，提供由省级以上监狱管理局、戒毒管理局（含新疆生产建设兵团）出具的属于监狱企业的证明文件；</w:t>
            </w:r>
            <w:r>
              <w:rPr>
                <w:rFonts w:hint="eastAsia" w:ascii="宋体" w:hAnsi="宋体" w:cs="宋体"/>
                <w:b/>
                <w:bCs/>
                <w:color w:val="auto"/>
                <w:sz w:val="21"/>
                <w:szCs w:val="21"/>
                <w:highlight w:val="none"/>
              </w:rPr>
              <w:t>（如有</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请提供）</w:t>
            </w:r>
          </w:p>
          <w:p>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rPr>
            </w:pPr>
            <w:r>
              <w:rPr>
                <w:rFonts w:hint="eastAsia" w:ascii="宋体" w:hAnsi="宋体" w:cs="宋体"/>
                <w:color w:val="auto"/>
                <w:szCs w:val="21"/>
                <w:highlight w:val="none"/>
              </w:rPr>
              <w:t>4.供应商针对报价需要说明的其他文件和说明</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r>
              <w:rPr>
                <w:rFonts w:hint="eastAsia" w:ascii="宋体" w:hAnsi="宋体" w:cs="宋体"/>
                <w:b/>
                <w:bCs/>
                <w:color w:val="auto"/>
                <w:sz w:val="21"/>
                <w:szCs w:val="21"/>
                <w:highlight w:val="none"/>
              </w:rPr>
              <w:t>（如有</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请提供）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2</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73" w:type="dxa"/>
            <w:vAlign w:val="center"/>
          </w:tcPr>
          <w:p>
            <w:pPr>
              <w:pStyle w:val="13"/>
              <w:keepNext w:val="0"/>
              <w:keepLines w:val="0"/>
              <w:pageBreakBefore w:val="0"/>
              <w:widowControl w:val="0"/>
              <w:kinsoku/>
              <w:wordWrap/>
              <w:overflowPunct/>
              <w:topLinePunct w:val="0"/>
              <w:bidi w:val="0"/>
              <w:adjustRightInd/>
              <w:spacing w:line="380" w:lineRule="exact"/>
              <w:rPr>
                <w:rFonts w:ascii="宋体" w:hAnsi="宋体" w:cs="宋体"/>
                <w:color w:val="auto"/>
                <w:szCs w:val="21"/>
                <w:highlight w:val="none"/>
              </w:rPr>
            </w:pPr>
            <w:r>
              <w:rPr>
                <w:rFonts w:hint="eastAsia" w:ascii="宋体" w:hAnsi="宋体" w:cs="宋体"/>
                <w:color w:val="auto"/>
                <w:szCs w:val="21"/>
                <w:highlight w:val="none"/>
              </w:rPr>
              <w:t>1.响应文件电子版要求：按照本</w:t>
            </w:r>
            <w:r>
              <w:rPr>
                <w:rFonts w:hint="eastAsia" w:ascii="宋体" w:hAnsi="宋体" w:cs="宋体"/>
                <w:color w:val="auto"/>
                <w:szCs w:val="21"/>
                <w:highlight w:val="none"/>
                <w:lang w:val="en-US"/>
              </w:rPr>
              <w:t>竞争性谈判</w:t>
            </w:r>
            <w:r>
              <w:rPr>
                <w:rFonts w:hint="eastAsia" w:ascii="宋体" w:hAnsi="宋体" w:cs="宋体"/>
                <w:color w:val="auto"/>
                <w:szCs w:val="21"/>
                <w:highlight w:val="none"/>
              </w:rPr>
              <w:t>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w:t>
            </w:r>
          </w:p>
          <w:p>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Courier New"/>
                <w:color w:val="auto"/>
                <w:szCs w:val="21"/>
                <w:highlight w:val="none"/>
              </w:rPr>
              <w:t>.响应文件电子版密封方式：电子响应文件通过平台有效CA加密后在</w:t>
            </w:r>
            <w:r>
              <w:rPr>
                <w:rFonts w:hint="eastAsia" w:ascii="宋体" w:hAnsi="宋体" w:cs="宋体"/>
                <w:color w:val="auto"/>
                <w:szCs w:val="21"/>
                <w:highlight w:val="none"/>
              </w:rPr>
              <w:t>广西政府采购云平台</w:t>
            </w:r>
            <w:r>
              <w:rPr>
                <w:rFonts w:hint="eastAsia" w:ascii="宋体" w:hAnsi="宋体" w:eastAsia="宋体" w:cs="Courier New"/>
                <w:color w:val="auto"/>
                <w:szCs w:val="21"/>
                <w:highlight w:val="none"/>
              </w:rPr>
              <w:t>投送。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jc w:val="left"/>
              <w:rPr>
                <w:color w:val="auto"/>
                <w:highlight w:val="none"/>
              </w:rPr>
            </w:pPr>
            <w:r>
              <w:rPr>
                <w:rFonts w:hint="eastAsia"/>
                <w:color w:val="auto"/>
                <w:highlight w:val="none"/>
              </w:rPr>
              <w:t>响应报价必须包含</w:t>
            </w:r>
            <w:r>
              <w:rPr>
                <w:rFonts w:hint="eastAsia" w:ascii="宋体" w:hAnsi="宋体" w:eastAsia="宋体" w:cs="宋体"/>
                <w:color w:val="auto"/>
                <w:sz w:val="21"/>
                <w:szCs w:val="21"/>
                <w:highlight w:val="none"/>
              </w:rPr>
              <w:t>货物、货物标准附件、备品备件、专用工具、设备安装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费用</w:t>
            </w:r>
            <w:r>
              <w:rPr>
                <w:rFonts w:hint="eastAsia"/>
                <w:color w:val="auto"/>
                <w:highlight w:val="none"/>
              </w:rPr>
              <w:t>。</w:t>
            </w:r>
          </w:p>
          <w:p>
            <w:pPr>
              <w:pStyle w:val="15"/>
              <w:keepNext w:val="0"/>
              <w:keepLines w:val="0"/>
              <w:pageBreakBefore w:val="0"/>
              <w:widowControl w:val="0"/>
              <w:kinsoku/>
              <w:wordWrap/>
              <w:overflowPunct/>
              <w:topLinePunct w:val="0"/>
              <w:bidi w:val="0"/>
              <w:adjustRightInd/>
              <w:spacing w:line="380" w:lineRule="exact"/>
              <w:rPr>
                <w:b/>
                <w:bCs/>
                <w:color w:val="auto"/>
                <w:highlight w:val="none"/>
              </w:rPr>
            </w:pPr>
            <w:r>
              <w:rPr>
                <w:rFonts w:hint="eastAsia"/>
                <w:b/>
                <w:bCs/>
                <w:color w:val="auto"/>
                <w:highlight w:val="none"/>
              </w:rPr>
              <w:t>☑响应报价包含验收费用</w:t>
            </w:r>
          </w:p>
          <w:p>
            <w:pPr>
              <w:pStyle w:val="15"/>
              <w:keepNext w:val="0"/>
              <w:keepLines w:val="0"/>
              <w:pageBreakBefore w:val="0"/>
              <w:widowControl w:val="0"/>
              <w:kinsoku/>
              <w:wordWrap/>
              <w:overflowPunct/>
              <w:topLinePunct w:val="0"/>
              <w:bidi w:val="0"/>
              <w:adjustRightInd/>
              <w:spacing w:line="380" w:lineRule="exact"/>
              <w:rPr>
                <w:color w:val="auto"/>
                <w:highlight w:val="none"/>
              </w:rPr>
            </w:pPr>
            <w:r>
              <w:rPr>
                <w:rFonts w:hint="eastAsia"/>
                <w:b/>
                <w:bCs/>
                <w:color w:val="auto"/>
                <w:highlight w:val="none"/>
              </w:rPr>
              <w:t>□响应报价不包含验收费用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16.</w:t>
            </w:r>
            <w:r>
              <w:rPr>
                <w:rFonts w:ascii="宋体" w:hAnsi="宋体" w:eastAsia="宋体" w:cs="宋体"/>
                <w:color w:val="auto"/>
                <w:szCs w:val="21"/>
                <w:highlight w:val="none"/>
              </w:rPr>
              <w:t>2</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73" w:type="dxa"/>
            <w:vAlign w:val="center"/>
          </w:tcPr>
          <w:p>
            <w:pPr>
              <w:keepNext w:val="0"/>
              <w:keepLines w:val="0"/>
              <w:pageBreakBefore w:val="0"/>
              <w:widowControl w:val="0"/>
              <w:tabs>
                <w:tab w:val="left" w:pos="720"/>
                <w:tab w:val="left" w:pos="840"/>
              </w:tabs>
              <w:kinsoku/>
              <w:wordWrap/>
              <w:overflowPunct/>
              <w:topLinePunct w:val="0"/>
              <w:bidi w:val="0"/>
              <w:adjustRightInd/>
              <w:snapToGrid w:val="0"/>
              <w:spacing w:after="50" w:line="380" w:lineRule="exact"/>
              <w:ind w:left="283" w:hanging="283" w:hangingChars="135"/>
              <w:jc w:val="left"/>
              <w:rPr>
                <w:rFonts w:ascii="宋体" w:hAnsi="宋体" w:eastAsia="宋体" w:cs="宋体"/>
                <w:color w:val="auto"/>
                <w:szCs w:val="21"/>
                <w:highlight w:val="none"/>
              </w:rPr>
            </w:pPr>
            <w:r>
              <w:rPr>
                <w:rFonts w:hint="eastAsia" w:ascii="宋体" w:hAnsi="宋体" w:eastAsia="宋体" w:cs="宋体"/>
                <w:color w:val="auto"/>
                <w:szCs w:val="21"/>
                <w:highlight w:val="none"/>
              </w:rPr>
              <w:t>自首次响应文件提交截止之日起</w:t>
            </w:r>
            <w:r>
              <w:rPr>
                <w:rFonts w:hint="eastAsia" w:ascii="宋体" w:hAnsi="宋体" w:eastAsia="宋体" w:cs="宋体"/>
                <w:color w:val="auto"/>
                <w:szCs w:val="21"/>
                <w:highlight w:val="none"/>
                <w:u w:val="single"/>
              </w:rPr>
              <w:t>90</w:t>
            </w:r>
            <w:r>
              <w:rPr>
                <w:rFonts w:hint="eastAsia" w:ascii="宋体" w:hAnsi="宋体" w:eastAsia="宋体" w:cs="宋体"/>
                <w:color w:val="auto"/>
                <w:szCs w:val="21"/>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谈判保证金</w:t>
            </w:r>
          </w:p>
        </w:tc>
        <w:tc>
          <w:tcPr>
            <w:tcW w:w="6773" w:type="dxa"/>
            <w:vAlign w:val="center"/>
          </w:tcPr>
          <w:p>
            <w:pPr>
              <w:keepNext w:val="0"/>
              <w:keepLines w:val="0"/>
              <w:pageBreakBefore w:val="0"/>
              <w:widowControl w:val="0"/>
              <w:kinsoku/>
              <w:wordWrap/>
              <w:overflowPunct/>
              <w:topLinePunct w:val="0"/>
              <w:bidi w:val="0"/>
              <w:adjustRightInd/>
              <w:spacing w:line="380" w:lineRule="exact"/>
              <w:rPr>
                <w:rFonts w:ascii="宋体" w:hAnsi="宋体"/>
                <w:b/>
                <w:bCs/>
                <w:color w:val="auto"/>
                <w:szCs w:val="21"/>
                <w:highlight w:val="none"/>
              </w:rPr>
            </w:pPr>
            <w:r>
              <w:rPr>
                <w:rFonts w:hint="eastAsia" w:ascii="宋体" w:hAnsi="宋体"/>
                <w:b/>
                <w:bCs/>
                <w:color w:val="auto"/>
                <w:szCs w:val="21"/>
                <w:highlight w:val="none"/>
              </w:rPr>
              <w:t>本项目是否需要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纳谈判</w:t>
            </w:r>
            <w:r>
              <w:rPr>
                <w:rFonts w:hint="eastAsia" w:ascii="宋体" w:hAnsi="宋体"/>
                <w:b/>
                <w:bCs/>
                <w:color w:val="auto"/>
                <w:szCs w:val="21"/>
                <w:highlight w:val="none"/>
              </w:rPr>
              <w:t>保证金详见竞争性谈判公告。</w:t>
            </w:r>
          </w:p>
          <w:p>
            <w:pPr>
              <w:keepNext w:val="0"/>
              <w:keepLines w:val="0"/>
              <w:pageBreakBefore w:val="0"/>
              <w:widowControl w:val="0"/>
              <w:kinsoku/>
              <w:wordWrap/>
              <w:overflowPunct/>
              <w:topLinePunct w:val="0"/>
              <w:bidi w:val="0"/>
              <w:adjustRightInd/>
              <w:snapToGrid w:val="0"/>
              <w:spacing w:line="380" w:lineRule="exact"/>
              <w:rPr>
                <w:rFonts w:ascii="宋体" w:hAnsi="宋体" w:cs="宋体"/>
                <w:b/>
                <w:bCs/>
                <w:color w:val="auto"/>
                <w:szCs w:val="21"/>
                <w:highlight w:val="none"/>
              </w:rPr>
            </w:pPr>
            <w:r>
              <w:rPr>
                <w:rFonts w:hint="eastAsia" w:ascii="宋体" w:hAnsi="宋体"/>
                <w:b/>
                <w:bCs/>
                <w:color w:val="auto"/>
                <w:szCs w:val="21"/>
                <w:highlight w:val="none"/>
              </w:rPr>
              <w:t>如本项目需要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纳谈判</w:t>
            </w:r>
            <w:r>
              <w:rPr>
                <w:rFonts w:hint="eastAsia" w:ascii="宋体" w:hAnsi="宋体"/>
                <w:b/>
                <w:bCs/>
                <w:color w:val="auto"/>
                <w:szCs w:val="21"/>
                <w:highlight w:val="none"/>
              </w:rPr>
              <w:t>保证金，</w:t>
            </w:r>
            <w:r>
              <w:rPr>
                <w:rFonts w:hint="eastAsia" w:ascii="宋体" w:hAnsi="宋体" w:cs="宋体"/>
                <w:b/>
                <w:bCs/>
                <w:color w:val="auto"/>
                <w:szCs w:val="21"/>
                <w:highlight w:val="none"/>
              </w:rPr>
              <w:t>相关要求如下：</w:t>
            </w:r>
          </w:p>
          <w:p>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1.谈判保证金的缴纳方式：详见竞争性谈判公告。</w:t>
            </w:r>
          </w:p>
          <w:p>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2.谈判保证金的金额：详见竞争性谈判公告。</w:t>
            </w:r>
          </w:p>
          <w:p>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3.谈判保证金采用银行转账缴纳方式的，在首次响应文件提交截止时间前交至采购代理机构指定账户并且到账，供应商应将银行转账底单的复印件</w:t>
            </w:r>
            <w:r>
              <w:rPr>
                <w:rFonts w:hint="eastAsia" w:ascii="宋体" w:hAnsi="宋体" w:eastAsia="宋体" w:cs="宋体"/>
                <w:color w:val="auto"/>
                <w:szCs w:val="21"/>
                <w:highlight w:val="none"/>
              </w:rPr>
              <w:t>或者金融机构、担保机构出具的</w:t>
            </w:r>
            <w:r>
              <w:rPr>
                <w:rFonts w:hint="eastAsia" w:ascii="宋体" w:hAnsi="宋体" w:cs="宋体"/>
                <w:color w:val="auto"/>
                <w:kern w:val="0"/>
                <w:szCs w:val="21"/>
                <w:highlight w:val="none"/>
              </w:rPr>
              <w:t>电子保函</w:t>
            </w:r>
            <w:r>
              <w:rPr>
                <w:rFonts w:hint="eastAsia" w:ascii="宋体" w:hAnsi="宋体" w:cs="宋体"/>
                <w:color w:val="auto"/>
                <w:szCs w:val="21"/>
                <w:highlight w:val="none"/>
              </w:rPr>
              <w:t>作为谈判保证金提交凭证，放置于商务文件中，</w:t>
            </w:r>
            <w:r>
              <w:rPr>
                <w:rFonts w:hint="eastAsia" w:ascii="宋体" w:hAnsi="宋体" w:eastAsia="宋体" w:cs="宋体"/>
                <w:b/>
                <w:color w:val="auto"/>
                <w:szCs w:val="21"/>
                <w:highlight w:val="none"/>
              </w:rPr>
              <w:t>否则响应文件作无效响应处理</w:t>
            </w:r>
            <w:r>
              <w:rPr>
                <w:rFonts w:hint="eastAsia" w:ascii="宋体" w:hAnsi="宋体" w:cs="宋体"/>
                <w:color w:val="auto"/>
                <w:szCs w:val="21"/>
                <w:highlight w:val="none"/>
              </w:rPr>
              <w:t>。</w:t>
            </w:r>
          </w:p>
          <w:p>
            <w:pPr>
              <w:keepNext w:val="0"/>
              <w:keepLines w:val="0"/>
              <w:pageBreakBefore w:val="0"/>
              <w:widowControl w:val="0"/>
              <w:kinsoku/>
              <w:wordWrap/>
              <w:overflowPunct/>
              <w:topLinePunct w:val="0"/>
              <w:bidi w:val="0"/>
              <w:adjustRightInd/>
              <w:snapToGrid w:val="0"/>
              <w:spacing w:line="380" w:lineRule="exact"/>
              <w:rPr>
                <w:rFonts w:ascii="宋体" w:hAnsi="宋体"/>
                <w:color w:val="auto"/>
                <w:szCs w:val="21"/>
                <w:highlight w:val="none"/>
              </w:rPr>
            </w:pPr>
            <w:r>
              <w:rPr>
                <w:rFonts w:hint="eastAsia" w:ascii="宋体" w:hAnsi="宋体"/>
                <w:color w:val="auto"/>
                <w:szCs w:val="21"/>
                <w:highlight w:val="none"/>
              </w:rPr>
              <w:t>4.谈判保证金采用支票、汇票、本票或者金融机构、担保机构出具的保函等缴纳方式的，供应商应将支票、汇票、本票或者金融机构、担保机构出具的保函等的复印件作为谈判保证金提交凭证，放置于</w:t>
            </w:r>
            <w:r>
              <w:rPr>
                <w:rFonts w:hint="eastAsia" w:ascii="宋体" w:hAnsi="宋体" w:cs="宋体"/>
                <w:color w:val="auto"/>
                <w:szCs w:val="21"/>
                <w:highlight w:val="none"/>
              </w:rPr>
              <w:t>商务文件</w:t>
            </w:r>
            <w:r>
              <w:rPr>
                <w:rFonts w:hint="eastAsia" w:ascii="宋体" w:hAnsi="宋体"/>
                <w:color w:val="auto"/>
                <w:szCs w:val="21"/>
                <w:highlight w:val="none"/>
              </w:rPr>
              <w:t>中，</w:t>
            </w:r>
            <w:r>
              <w:rPr>
                <w:rFonts w:hint="eastAsia" w:ascii="宋体" w:hAnsi="宋体" w:eastAsia="宋体" w:cs="宋体"/>
                <w:b/>
                <w:color w:val="auto"/>
                <w:szCs w:val="21"/>
                <w:highlight w:val="none"/>
              </w:rPr>
              <w:t>否则响应文件作无效响应处理</w:t>
            </w:r>
            <w:r>
              <w:rPr>
                <w:rFonts w:hint="eastAsia" w:ascii="宋体" w:hAnsi="宋体"/>
                <w:color w:val="auto"/>
                <w:szCs w:val="21"/>
                <w:highlight w:val="none"/>
              </w:rPr>
              <w:t>。供应商必须在首次响应文件提交截止时间前将支票、汇票、本票或者金融机构、担保机构出具的保函</w:t>
            </w:r>
            <w:r>
              <w:rPr>
                <w:rFonts w:hint="eastAsia" w:ascii="宋体" w:hAnsi="宋体" w:cs="宋体"/>
                <w:color w:val="auto"/>
                <w:szCs w:val="21"/>
                <w:highlight w:val="none"/>
              </w:rPr>
              <w:t>（</w:t>
            </w:r>
            <w:r>
              <w:rPr>
                <w:rFonts w:hint="eastAsia" w:ascii="宋体" w:hAnsi="宋体" w:cs="宋体"/>
                <w:color w:val="auto"/>
                <w:kern w:val="0"/>
                <w:szCs w:val="21"/>
                <w:highlight w:val="none"/>
              </w:rPr>
              <w:t>电子保函除外</w:t>
            </w:r>
            <w:r>
              <w:rPr>
                <w:rFonts w:hint="eastAsia" w:ascii="宋体" w:hAnsi="宋体" w:cs="宋体"/>
                <w:color w:val="auto"/>
                <w:szCs w:val="21"/>
                <w:highlight w:val="none"/>
              </w:rPr>
              <w:t>）</w:t>
            </w:r>
            <w:r>
              <w:rPr>
                <w:rFonts w:hint="eastAsia" w:ascii="宋体" w:hAnsi="宋体"/>
                <w:color w:val="auto"/>
                <w:szCs w:val="21"/>
                <w:highlight w:val="none"/>
              </w:rPr>
              <w:t>等原件提交给采购代理机构，由采购代理机构向供应商出具回执，并妥善保管。</w:t>
            </w:r>
          </w:p>
          <w:p>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5.谈判保证金指定账户：详见竞争性谈判公告。</w:t>
            </w:r>
          </w:p>
          <w:p>
            <w:pPr>
              <w:pStyle w:val="13"/>
              <w:keepNext w:val="0"/>
              <w:keepLines w:val="0"/>
              <w:pageBreakBefore w:val="0"/>
              <w:widowControl w:val="0"/>
              <w:kinsoku/>
              <w:wordWrap/>
              <w:overflowPunct/>
              <w:topLinePunct w:val="0"/>
              <w:bidi w:val="0"/>
              <w:adjustRightInd/>
              <w:spacing w:line="380" w:lineRule="exact"/>
              <w:rPr>
                <w:rFonts w:ascii="宋体" w:hAnsi="宋体" w:cs="宋体"/>
                <w:b/>
                <w:color w:val="auto"/>
                <w:szCs w:val="21"/>
                <w:highlight w:val="none"/>
              </w:rPr>
            </w:pPr>
            <w:r>
              <w:rPr>
                <w:rFonts w:hint="eastAsia" w:ascii="宋体" w:hAnsi="宋体" w:cs="宋体"/>
                <w:color w:val="auto"/>
                <w:szCs w:val="21"/>
                <w:highlight w:val="none"/>
                <w:lang w:val="en-US"/>
              </w:rPr>
              <w:t>6</w:t>
            </w:r>
            <w:r>
              <w:rPr>
                <w:rFonts w:hint="eastAsia" w:ascii="宋体" w:hAnsi="宋体" w:cs="宋体"/>
                <w:color w:val="auto"/>
                <w:szCs w:val="21"/>
                <w:highlight w:val="none"/>
              </w:rPr>
              <w:t>.供应商为联合体的，可以由联合体中的一方或者多方共同缴纳</w:t>
            </w:r>
            <w:r>
              <w:rPr>
                <w:rFonts w:hint="eastAsia"/>
                <w:color w:val="auto"/>
                <w:highlight w:val="none"/>
              </w:rPr>
              <w:t>谈判保证金</w:t>
            </w:r>
            <w:r>
              <w:rPr>
                <w:rFonts w:hint="eastAsia" w:ascii="宋体" w:hAnsi="宋体" w:cs="宋体"/>
                <w:color w:val="auto"/>
                <w:szCs w:val="21"/>
                <w:highlight w:val="none"/>
              </w:rPr>
              <w:t>，其缴纳的谈判保证金对联合体各方均具有约束力。</w:t>
            </w:r>
          </w:p>
          <w:p>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 xml:space="preserve">备注： </w:t>
            </w:r>
          </w:p>
          <w:p>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1. 首次响应文件提交截止时间后提交的，或者未足额缴纳的，或者保函额度不足的，视为无效谈判保证金。</w:t>
            </w:r>
          </w:p>
          <w:p>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2.供应商采用现金方式或者从个人账户（自然人竞标除外）转出的谈判保证金，视为无效谈判保证金。</w:t>
            </w:r>
          </w:p>
          <w:p>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3.支票、汇票或者本票出现无效或者背书情形的，视为无效谈判保证金。</w:t>
            </w:r>
          </w:p>
          <w:p>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4.保函有效期低于竞标有效期的，视为无效谈判保证金。</w:t>
            </w:r>
          </w:p>
          <w:p>
            <w:pPr>
              <w:keepNext w:val="0"/>
              <w:keepLines w:val="0"/>
              <w:pageBreakBefore w:val="0"/>
              <w:widowControl w:val="0"/>
              <w:kinsoku/>
              <w:wordWrap/>
              <w:overflowPunct/>
              <w:topLinePunct w:val="0"/>
              <w:autoSpaceDE w:val="0"/>
              <w:autoSpaceDN w:val="0"/>
              <w:bidi w:val="0"/>
              <w:adjustRightInd/>
              <w:snapToGrid w:val="0"/>
              <w:spacing w:line="380" w:lineRule="exact"/>
              <w:textAlignment w:val="bottom"/>
              <w:rPr>
                <w:rFonts w:ascii="宋体" w:hAnsi="宋体" w:eastAsia="宋体" w:cs="Times New Roman"/>
                <w:color w:val="auto"/>
                <w:szCs w:val="21"/>
                <w:highlight w:val="none"/>
              </w:rPr>
            </w:pPr>
            <w:r>
              <w:rPr>
                <w:rFonts w:hint="eastAsia" w:ascii="宋体" w:hAnsi="宋体" w:cs="宋体"/>
                <w:b/>
                <w:color w:val="auto"/>
                <w:szCs w:val="21"/>
                <w:highlight w:val="none"/>
              </w:rPr>
              <w:t>5.谈判保证金采用金融、担保机构出具的保函为有条件保函的，视为无效谈判保证金</w:t>
            </w:r>
            <w:r>
              <w:rPr>
                <w:rFonts w:hint="eastAsia" w:ascii="宋体" w:hAnsi="宋体" w:eastAsia="宋体" w:cs="Times New Roman"/>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92" w:type="dxa"/>
            <w:vMerge w:val="restart"/>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首次响应文件提交截止时间</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92" w:type="dxa"/>
            <w:vMerge w:val="continue"/>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首次响应文件开启时间</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详见竞争性谈判公告。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Merge w:val="continue"/>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Times New Roman"/>
                <w:color w:val="auto"/>
                <w:szCs w:val="21"/>
                <w:highlight w:val="none"/>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1</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首次响应文件的补充、修改与撤回</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详见</w:t>
            </w:r>
            <w:r>
              <w:rPr>
                <w:rFonts w:hint="eastAsia" w:ascii="宋体" w:hAnsi="宋体"/>
                <w:bCs/>
                <w:color w:val="auto"/>
                <w:highlight w:val="none"/>
              </w:rPr>
              <w:t>供应商须知正文</w:t>
            </w:r>
            <w:r>
              <w:rPr>
                <w:rFonts w:hint="eastAsia" w:ascii="宋体" w:hAnsi="宋体" w:eastAsia="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25</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商务条款评审中允许负偏离的条款数为</w:t>
            </w:r>
            <w:r>
              <w:rPr>
                <w:rFonts w:hint="eastAsia" w:ascii="宋体" w:hAnsi="宋体" w:eastAsia="宋体" w:cs="宋体"/>
                <w:b/>
                <w:bCs/>
                <w:color w:val="auto"/>
                <w:szCs w:val="21"/>
                <w:highlight w:val="none"/>
                <w:u w:val="single"/>
              </w:rPr>
              <w:t xml:space="preserve"> </w:t>
            </w:r>
            <w:r>
              <w:rPr>
                <w:rFonts w:hint="eastAsia" w:ascii="宋体" w:hAnsi="宋体" w:eastAsia="宋体" w:cs="宋体"/>
                <w:b/>
                <w:bCs/>
                <w:color w:val="auto"/>
                <w:szCs w:val="21"/>
                <w:highlight w:val="none"/>
                <w:u w:val="single"/>
                <w:lang w:val="en-US" w:eastAsia="zh-CN"/>
              </w:rPr>
              <w:t xml:space="preserve"> 0  </w:t>
            </w:r>
            <w:r>
              <w:rPr>
                <w:rFonts w:hint="eastAsia" w:ascii="宋体" w:hAnsi="宋体" w:eastAsia="宋体" w:cs="宋体"/>
                <w:b/>
                <w:bCs/>
                <w:color w:val="auto"/>
                <w:szCs w:val="21"/>
                <w:highlight w:val="none"/>
                <w:u w:val="single"/>
              </w:rPr>
              <w:t xml:space="preserve"> </w:t>
            </w:r>
            <w:r>
              <w:rPr>
                <w:rFonts w:hint="eastAsia" w:ascii="宋体" w:hAnsi="宋体" w:eastAsia="宋体" w:cs="宋体"/>
                <w:b/>
                <w:bCs/>
                <w:color w:val="auto"/>
                <w:szCs w:val="21"/>
                <w:highlight w:val="none"/>
              </w:rPr>
              <w:t>项。</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b/>
                <w:bCs/>
                <w:color w:val="auto"/>
                <w:szCs w:val="21"/>
                <w:highlight w:val="none"/>
              </w:rPr>
              <w:t>技术需求评审中允许负偏离的条款数为</w:t>
            </w:r>
            <w:r>
              <w:rPr>
                <w:rFonts w:hint="eastAsia" w:ascii="宋体" w:hAnsi="宋体" w:eastAsia="宋体" w:cs="宋体"/>
                <w:b/>
                <w:bCs/>
                <w:color w:val="auto"/>
                <w:szCs w:val="21"/>
                <w:highlight w:val="none"/>
                <w:u w:val="single"/>
              </w:rPr>
              <w:t xml:space="preserve"> </w:t>
            </w:r>
            <w:r>
              <w:rPr>
                <w:rFonts w:hint="eastAsia" w:ascii="宋体" w:hAnsi="宋体" w:eastAsia="宋体" w:cs="宋体"/>
                <w:b/>
                <w:bCs/>
                <w:color w:val="auto"/>
                <w:szCs w:val="21"/>
                <w:highlight w:val="none"/>
                <w:u w:val="single"/>
                <w:lang w:val="en-US" w:eastAsia="zh-CN"/>
              </w:rPr>
              <w:t xml:space="preserve">  3 </w:t>
            </w:r>
            <w:r>
              <w:rPr>
                <w:rFonts w:hint="eastAsia" w:ascii="宋体" w:hAnsi="宋体" w:eastAsia="宋体" w:cs="宋体"/>
                <w:b/>
                <w:bCs/>
                <w:color w:val="auto"/>
                <w:szCs w:val="21"/>
                <w:highlight w:val="none"/>
                <w:u w:val="single"/>
              </w:rPr>
              <w:t xml:space="preserve"> </w:t>
            </w:r>
            <w:r>
              <w:rPr>
                <w:rFonts w:hint="eastAsia" w:ascii="宋体" w:hAnsi="宋体" w:eastAsia="宋体" w:cs="宋体"/>
                <w:b/>
                <w:bCs/>
                <w:color w:val="auto"/>
                <w:szCs w:val="21"/>
                <w:highlight w:val="none"/>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pPr>
              <w:keepNext w:val="0"/>
              <w:keepLines w:val="0"/>
              <w:pageBreakBefore w:val="0"/>
              <w:widowControl w:val="0"/>
              <w:kinsoku/>
              <w:wordWrap/>
              <w:overflowPunct/>
              <w:topLinePunct w:val="0"/>
              <w:bidi w:val="0"/>
              <w:adjustRightInd/>
              <w:snapToGrid w:val="0"/>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谈判的顺序</w:t>
            </w:r>
          </w:p>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系统自动提取的顺序</w:t>
            </w:r>
          </w:p>
          <w:p>
            <w:pPr>
              <w:keepNext w:val="0"/>
              <w:keepLines w:val="0"/>
              <w:pageBreakBefore w:val="0"/>
              <w:widowControl w:val="0"/>
              <w:kinsoku/>
              <w:wordWrap/>
              <w:overflowPunct/>
              <w:topLinePunct w:val="0"/>
              <w:bidi w:val="0"/>
              <w:adjustRightInd/>
              <w:spacing w:line="38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参与谈判前，谈判小组如有要求，供应商法定代表人或者委托代理人必须通过电脑摄像头向谈判小组出示本人有效证件原件</w:t>
            </w:r>
            <w:r>
              <w:rPr>
                <w:rFonts w:ascii="宋体" w:hAnsi="宋体" w:eastAsia="宋体" w:cs="宋体"/>
                <w:b/>
                <w:color w:val="auto"/>
                <w:szCs w:val="21"/>
                <w:highlight w:val="none"/>
              </w:rPr>
              <w:t>[</w:t>
            </w:r>
            <w:r>
              <w:rPr>
                <w:rFonts w:hint="eastAsia" w:ascii="宋体" w:hAnsi="宋体" w:eastAsia="宋体" w:cs="宋体"/>
                <w:b/>
                <w:color w:val="auto"/>
                <w:szCs w:val="21"/>
                <w:highlight w:val="none"/>
              </w:rPr>
              <w:t>有效证件可以是身份证（含临时身份证明）、机动车驾驶证、社会保障卡或者护照的其中一项]，若参与谈判的委托代理人不是响应文件中授权的委托代理人时，必须同时出示有效的法定代表人授权委托书原件。如无法核实谈判对象有效身份证明的，谈判小组将拒绝其谈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评审方法</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color w:val="auto"/>
                <w:highlight w:val="none"/>
              </w:rPr>
              <w:t>本项目采用最低评标价法。最低评标价法是指响应文件满足竞争性谈判文件全部实质性要求且评</w:t>
            </w:r>
            <w:r>
              <w:rPr>
                <w:rFonts w:hint="eastAsia" w:ascii="宋体" w:hAnsi="宋体" w:eastAsia="宋体" w:cs="宋体"/>
                <w:color w:val="auto"/>
                <w:szCs w:val="21"/>
                <w:highlight w:val="none"/>
              </w:rPr>
              <w:t>审价</w:t>
            </w:r>
            <w:r>
              <w:rPr>
                <w:rFonts w:hint="eastAsia"/>
                <w:color w:val="auto"/>
                <w:highlight w:val="none"/>
              </w:rPr>
              <w:t>最低的供应商为成交候选人的评审方法。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评审价相同时成交原则</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评审价相同时，按照最后报价由低到高顺序依次推荐；最后报价相同时，按以下原则确定成交候选人的顺序：</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cs="宋体"/>
                <w:color w:val="auto"/>
                <w:sz w:val="21"/>
                <w:szCs w:val="21"/>
                <w:highlight w:val="none"/>
              </w:rPr>
              <w:sym w:font="Wingdings 2" w:char="0052"/>
            </w:r>
            <w:r>
              <w:rPr>
                <w:rFonts w:hint="eastAsia" w:ascii="宋体" w:hAnsi="宋体" w:cs="宋体"/>
                <w:color w:val="auto"/>
                <w:sz w:val="21"/>
                <w:szCs w:val="21"/>
                <w:highlight w:val="none"/>
              </w:rPr>
              <w:t>依次按带“▲”的实质性要求正偏离项数多的优先、均无正偏离或者正偏离项数一致时负偏离项数少的优先、质量保证期长优先、交货期短优先、故障响应时间短优先的顺序排列</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□由谈判小组推荐代表随机抽取。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7</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73" w:type="dxa"/>
            <w:vAlign w:val="center"/>
          </w:tcPr>
          <w:p>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b/>
                <w:bCs/>
                <w:color w:val="auto"/>
                <w:szCs w:val="21"/>
                <w:highlight w:val="none"/>
              </w:rPr>
              <w:t>本项目不需要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w:t>
            </w:r>
            <w:r>
              <w:rPr>
                <w:rFonts w:hint="eastAsia" w:cs="宋体"/>
                <w:b/>
                <w:bCs/>
                <w:color w:val="auto"/>
                <w:szCs w:val="21"/>
                <w:highlight w:val="none"/>
              </w:rPr>
              <w:t>履约</w:t>
            </w:r>
            <w:r>
              <w:rPr>
                <w:rFonts w:hint="eastAsia" w:ascii="宋体" w:hAnsi="宋体"/>
                <w:b/>
                <w:bCs/>
                <w:color w:val="auto"/>
                <w:szCs w:val="21"/>
                <w:highlight w:val="none"/>
              </w:rPr>
              <w:t xml:space="preserve">保证金。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8</w:t>
            </w:r>
            <w:r>
              <w:rPr>
                <w:rFonts w:ascii="宋体" w:hAnsi="宋体" w:eastAsia="宋体" w:cs="宋体"/>
                <w:color w:val="auto"/>
                <w:szCs w:val="21"/>
                <w:highlight w:val="none"/>
              </w:rPr>
              <w:t>.</w:t>
            </w:r>
            <w:r>
              <w:rPr>
                <w:rFonts w:hint="eastAsia" w:ascii="宋体" w:hAnsi="宋体" w:eastAsia="宋体" w:cs="宋体"/>
                <w:color w:val="auto"/>
                <w:szCs w:val="21"/>
                <w:highlight w:val="none"/>
              </w:rPr>
              <w:t>5</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Times New Roman"/>
                <w:color w:val="auto"/>
                <w:szCs w:val="21"/>
                <w:highlight w:val="none"/>
              </w:rPr>
              <w:t>签订合同携带的材料</w:t>
            </w:r>
          </w:p>
        </w:tc>
        <w:tc>
          <w:tcPr>
            <w:tcW w:w="6773" w:type="dxa"/>
            <w:vAlign w:val="center"/>
          </w:tcPr>
          <w:p>
            <w:pPr>
              <w:keepNext w:val="0"/>
              <w:keepLines w:val="0"/>
              <w:pageBreakBefore w:val="0"/>
              <w:widowControl w:val="0"/>
              <w:kinsoku/>
              <w:wordWrap/>
              <w:overflowPunct/>
              <w:topLinePunct w:val="0"/>
              <w:autoSpaceDE w:val="0"/>
              <w:autoSpaceDN w:val="0"/>
              <w:bidi w:val="0"/>
              <w:adjustRightInd/>
              <w:snapToGrid w:val="0"/>
              <w:spacing w:line="38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委托代理人负责签订合同的，须携带有效的法定代表人授权委托书及其委托代理人身份证原件等其他资格证件。</w:t>
            </w:r>
          </w:p>
          <w:p>
            <w:pPr>
              <w:pStyle w:val="15"/>
              <w:keepNext w:val="0"/>
              <w:keepLines w:val="0"/>
              <w:pageBreakBefore w:val="0"/>
              <w:widowControl w:val="0"/>
              <w:kinsoku/>
              <w:wordWrap/>
              <w:overflowPunct/>
              <w:topLinePunct w:val="0"/>
              <w:bidi w:val="0"/>
              <w:adjustRightInd/>
              <w:spacing w:line="380" w:lineRule="exact"/>
              <w:rPr>
                <w:color w:val="auto"/>
                <w:highlight w:val="none"/>
              </w:rPr>
            </w:pPr>
            <w:r>
              <w:rPr>
                <w:rFonts w:hint="eastAsia" w:ascii="宋体" w:hAnsi="宋体" w:cs="宋体"/>
                <w:color w:val="auto"/>
                <w:szCs w:val="21"/>
                <w:highlight w:val="none"/>
              </w:rPr>
              <w:t>法定代表人负责签订合同的，须携带法定代表人身份证明原件及身份证原件等其他证明材料。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30</w:t>
            </w:r>
            <w:r>
              <w:rPr>
                <w:rFonts w:ascii="宋体" w:hAnsi="宋体" w:eastAsia="宋体" w:cs="宋体"/>
                <w:color w:val="auto"/>
                <w:szCs w:val="21"/>
                <w:highlight w:val="none"/>
              </w:rPr>
              <w:t>.2</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接收质疑函方式</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质疑联系部门及联系方式</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名称：</w:t>
            </w:r>
            <w:bookmarkStart w:id="75" w:name="PO_3000001867_PM031_3"/>
            <w:r>
              <w:rPr>
                <w:rFonts w:hint="eastAsia" w:ascii="宋体" w:hAnsi="宋体" w:eastAsia="宋体" w:cs="宋体"/>
                <w:color w:val="auto"/>
                <w:szCs w:val="21"/>
                <w:highlight w:val="none"/>
              </w:rPr>
              <w:t>广西科联招标中心有限公司</w:t>
            </w:r>
            <w:bookmarkEnd w:id="75"/>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联系电话：0771-3486228</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宋体"/>
                <w:color w:val="auto"/>
                <w:szCs w:val="21"/>
                <w:highlight w:val="none"/>
              </w:rPr>
              <w:t>通讯地址：广西科联招标中心有限公司103室（广西南宁市大学东路170号）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Times New Roman"/>
                <w:color w:val="auto"/>
                <w:szCs w:val="21"/>
                <w:highlight w:val="none"/>
              </w:rPr>
            </w:pPr>
            <w:r>
              <w:rPr>
                <w:rFonts w:hint="eastAsia" w:ascii="Times New Roman" w:hAnsi="宋体" w:eastAsia="宋体" w:cs="Times New Roman"/>
                <w:color w:val="auto"/>
                <w:szCs w:val="24"/>
                <w:highlight w:val="none"/>
              </w:rPr>
              <w:t>现场提交质疑办理业务时间</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Times New Roman" w:hAnsi="宋体" w:eastAsia="宋体" w:cs="Times New Roman"/>
                <w:color w:val="auto"/>
                <w:szCs w:val="24"/>
                <w:highlight w:val="none"/>
              </w:rPr>
              <w:t>质疑期内每个工作日</w:t>
            </w:r>
            <w:r>
              <w:rPr>
                <w:rFonts w:hint="eastAsia" w:ascii="宋体" w:hAnsi="宋体" w:eastAsia="宋体" w:cs="宋体"/>
                <w:color w:val="auto"/>
                <w:highlight w:val="none"/>
              </w:rPr>
              <w:t>（北京时间）上午</w:t>
            </w:r>
            <w:r>
              <w:rPr>
                <w:rFonts w:hint="eastAsia" w:ascii="宋体" w:hAnsi="宋体" w:eastAsia="宋体" w:cs="宋体"/>
                <w:color w:val="auto"/>
                <w:highlight w:val="none"/>
                <w:u w:val="single"/>
              </w:rPr>
              <w:t>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分，下午</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Calibri"/>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30.6</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1.受理方式：纸质方式受理，投诉书正、副本（经过质疑的事项才可投诉）。</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2.通讯方式</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名称：</w:t>
            </w:r>
            <w:bookmarkStart w:id="76" w:name="PO_3000001867_PM036"/>
            <w:r>
              <w:rPr>
                <w:rFonts w:hint="eastAsia" w:ascii="宋体" w:hAnsi="宋体" w:eastAsia="宋体" w:cs="Times New Roman"/>
                <w:color w:val="auto"/>
                <w:szCs w:val="21"/>
                <w:highlight w:val="none"/>
              </w:rPr>
              <w:t>广西壮族自治区财政厅政府采购监督管理</w:t>
            </w:r>
            <w:bookmarkEnd w:id="76"/>
            <w:r>
              <w:rPr>
                <w:rFonts w:hint="eastAsia" w:ascii="宋体" w:hAnsi="宋体" w:eastAsia="宋体" w:cs="Times New Roman"/>
                <w:color w:val="auto"/>
                <w:szCs w:val="21"/>
                <w:highlight w:val="none"/>
              </w:rPr>
              <w:t>处</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地址：南宁市桃源路69号广西财政大厦7楼</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Times New Roman"/>
                <w:color w:val="auto"/>
                <w:szCs w:val="21"/>
                <w:highlight w:val="none"/>
              </w:rPr>
              <w:t>联系电话：</w:t>
            </w:r>
            <w:bookmarkStart w:id="77" w:name="PO_3000001867_PM038"/>
            <w:r>
              <w:rPr>
                <w:rFonts w:hint="eastAsia" w:ascii="宋体" w:hAnsi="宋体" w:eastAsia="宋体" w:cs="Times New Roman"/>
                <w:color w:val="auto"/>
                <w:szCs w:val="21"/>
                <w:highlight w:val="none"/>
              </w:rPr>
              <w:t>0771-</w:t>
            </w:r>
            <w:bookmarkEnd w:id="77"/>
            <w:r>
              <w:rPr>
                <w:rFonts w:hint="eastAsia" w:ascii="宋体" w:hAnsi="宋体" w:eastAsia="宋体" w:cs="Times New Roman"/>
                <w:color w:val="auto"/>
                <w:szCs w:val="21"/>
                <w:highlight w:val="none"/>
              </w:rPr>
              <w:t>5331544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rPr>
              <w:t>2</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采购代理服务费</w:t>
            </w:r>
          </w:p>
        </w:tc>
        <w:tc>
          <w:tcPr>
            <w:tcW w:w="6773" w:type="dxa"/>
            <w:vAlign w:val="center"/>
          </w:tcPr>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 是否收取采购代理服务费：</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☑是    □ 否</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2.采购代理服务费支付方式：</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☑本项目采购代理服务费由</w:t>
            </w:r>
            <w:r>
              <w:rPr>
                <w:rFonts w:hint="eastAsia" w:ascii="宋体" w:hAnsi="宋体" w:eastAsia="宋体" w:cs="宋体"/>
                <w:color w:val="auto"/>
                <w:kern w:val="0"/>
                <w:szCs w:val="21"/>
                <w:highlight w:val="none"/>
                <w:u w:val="single"/>
              </w:rPr>
              <w:t>成交供应商</w:t>
            </w:r>
            <w:r>
              <w:rPr>
                <w:rFonts w:hint="eastAsia" w:ascii="宋体" w:hAnsi="宋体" w:eastAsia="宋体" w:cs="宋体"/>
                <w:color w:val="auto"/>
                <w:kern w:val="0"/>
                <w:szCs w:val="21"/>
                <w:highlight w:val="none"/>
              </w:rPr>
              <w:t>在签订合同前，</w:t>
            </w:r>
            <w:r>
              <w:rPr>
                <w:rFonts w:hint="eastAsia" w:ascii="宋体" w:hAnsi="宋体" w:eastAsia="宋体" w:cs="宋体"/>
                <w:color w:val="auto"/>
                <w:highlight w:val="none"/>
              </w:rPr>
              <w:t>以银行转账、电汇等方式</w:t>
            </w:r>
            <w:r>
              <w:rPr>
                <w:rFonts w:hint="eastAsia" w:ascii="宋体" w:hAnsi="宋体" w:eastAsia="宋体" w:cs="宋体"/>
                <w:color w:val="auto"/>
                <w:kern w:val="0"/>
                <w:szCs w:val="21"/>
                <w:highlight w:val="none"/>
              </w:rPr>
              <w:t>一次性向采购代理机构支付。</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3.采购代理费收取标准：</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bookmarkStart w:id="78" w:name="PO_3000001871_PM025"/>
            <w:r>
              <w:rPr>
                <w:rFonts w:hint="eastAsia" w:ascii="宋体" w:hAnsi="宋体" w:eastAsia="宋体" w:cs="宋体"/>
                <w:color w:val="auto"/>
                <w:kern w:val="0"/>
                <w:szCs w:val="21"/>
                <w:highlight w:val="none"/>
              </w:rPr>
              <w:t>☑以项目（☑成交总金额/□采购预算/□暂定成交金额/□其他</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）为计费额，按</w:t>
            </w:r>
            <w:r>
              <w:rPr>
                <w:rFonts w:hint="eastAsia" w:ascii="宋体" w:hAnsi="宋体" w:eastAsia="宋体" w:cs="宋体"/>
                <w:color w:val="auto"/>
                <w:highlight w:val="none"/>
              </w:rPr>
              <w:t>本须知正文第32.2条规定的收费计算标准</w:t>
            </w:r>
            <w:r>
              <w:rPr>
                <w:rFonts w:hint="eastAsia" w:ascii="宋体" w:hAnsi="宋体" w:eastAsia="宋体" w:cs="宋体"/>
                <w:color w:val="auto"/>
                <w:kern w:val="0"/>
                <w:szCs w:val="21"/>
                <w:highlight w:val="none"/>
              </w:rPr>
              <w:t>采用差额定率累进法计算出收费基准价格，采购代理机构收费以（</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收费基准价格/</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收费基准价格下浮</w:t>
            </w:r>
            <w:r>
              <w:rPr>
                <w:rFonts w:hint="eastAsia" w:ascii="宋体" w:hAnsi="宋体" w:eastAsia="宋体" w:cs="宋体"/>
                <w:color w:val="auto"/>
                <w:kern w:val="0"/>
                <w:szCs w:val="21"/>
                <w:highlight w:val="none"/>
                <w:u w:val="single"/>
                <w:lang w:val="en-US" w:eastAsia="zh-CN"/>
              </w:rPr>
              <w:t xml:space="preserve"> 10</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/□收费基准价格上浮</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）收取。</w:t>
            </w:r>
            <w:bookmarkEnd w:id="78"/>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highlight w:val="none"/>
              </w:rPr>
            </w:pPr>
            <w:r>
              <w:rPr>
                <w:rFonts w:hint="eastAsia" w:ascii="宋体" w:hAnsi="宋体" w:eastAsia="宋体" w:cs="宋体"/>
                <w:color w:val="auto"/>
                <w:kern w:val="0"/>
                <w:szCs w:val="21"/>
                <w:highlight w:val="none"/>
              </w:rPr>
              <w:t>□固定采购代理收费：</w:t>
            </w:r>
            <w:r>
              <w:rPr>
                <w:rFonts w:hint="eastAsia" w:ascii="宋体" w:hAnsi="宋体" w:eastAsia="宋体" w:cs="宋体"/>
                <w:color w:val="auto"/>
                <w:kern w:val="0"/>
                <w:szCs w:val="21"/>
                <w:highlight w:val="none"/>
                <w:u w:val="single"/>
              </w:rPr>
              <w:t xml:space="preserve">           。</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 采购代理服务费收取银行账户的信息</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开户名称：广西科联招标中心有限公司</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开户银行：中国工商银行南宁市高新科技支行</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银行账号：2102111229300032105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33</w:t>
            </w:r>
            <w:r>
              <w:rPr>
                <w:rFonts w:ascii="宋体" w:hAnsi="宋体" w:eastAsia="宋体" w:cs="宋体"/>
                <w:color w:val="auto"/>
                <w:szCs w:val="21"/>
                <w:highlight w:val="none"/>
              </w:rPr>
              <w:t>.1</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Times New Roman" w:hAnsi="宋体" w:eastAsia="宋体" w:cs="Times New Roman"/>
                <w:color w:val="auto"/>
                <w:szCs w:val="24"/>
                <w:highlight w:val="none"/>
              </w:rPr>
              <w:t>解释</w:t>
            </w:r>
          </w:p>
        </w:tc>
        <w:tc>
          <w:tcPr>
            <w:tcW w:w="6773" w:type="dxa"/>
            <w:vAlign w:val="center"/>
          </w:tcPr>
          <w:p>
            <w:pPr>
              <w:keepNext w:val="0"/>
              <w:keepLines w:val="0"/>
              <w:pageBreakBefore w:val="0"/>
              <w:widowControl w:val="0"/>
              <w:tabs>
                <w:tab w:val="left" w:pos="1080"/>
              </w:tabs>
              <w:kinsoku/>
              <w:wordWrap/>
              <w:overflowPunct/>
              <w:topLinePunct w:val="0"/>
              <w:bidi w:val="0"/>
              <w:adjustRightInd/>
              <w:spacing w:line="380" w:lineRule="exact"/>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解释：</w:t>
            </w:r>
            <w:r>
              <w:rPr>
                <w:rFonts w:ascii="宋体" w:hAnsi="宋体" w:eastAsia="宋体" w:cs="Times New Roman"/>
                <w:color w:val="auto"/>
                <w:kern w:val="0"/>
                <w:szCs w:val="21"/>
                <w:highlight w:val="none"/>
              </w:rPr>
              <w:t>构成本</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的各个组成文件应互为解释，互为说明；除</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中有特别规定外，仅适用于</w:t>
            </w:r>
            <w:r>
              <w:rPr>
                <w:rFonts w:hint="eastAsia" w:ascii="宋体" w:hAnsi="宋体" w:eastAsia="宋体" w:cs="Times New Roman"/>
                <w:color w:val="auto"/>
                <w:kern w:val="0"/>
                <w:szCs w:val="21"/>
                <w:highlight w:val="none"/>
              </w:rPr>
              <w:t>竞标</w:t>
            </w:r>
            <w:r>
              <w:rPr>
                <w:rFonts w:ascii="宋体" w:hAnsi="宋体" w:eastAsia="宋体" w:cs="Times New Roman"/>
                <w:color w:val="auto"/>
                <w:kern w:val="0"/>
                <w:szCs w:val="21"/>
                <w:highlight w:val="none"/>
              </w:rPr>
              <w:t>阶段的规定，按</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竞争性谈判</w:t>
            </w:r>
            <w:r>
              <w:rPr>
                <w:rFonts w:ascii="宋体" w:hAnsi="宋体" w:eastAsia="宋体" w:cs="Times New Roman"/>
                <w:color w:val="auto"/>
                <w:kern w:val="0"/>
                <w:szCs w:val="21"/>
                <w:highlight w:val="none"/>
              </w:rPr>
              <w:t>公告、</w:t>
            </w:r>
            <w:r>
              <w:rPr>
                <w:rFonts w:hint="eastAsia" w:ascii="宋体" w:hAnsi="宋体" w:eastAsia="宋体" w:cs="Times New Roman"/>
                <w:color w:val="auto"/>
                <w:kern w:val="0"/>
                <w:szCs w:val="21"/>
                <w:highlight w:val="none"/>
              </w:rPr>
              <w:t>采购需求</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供应商</w:t>
            </w:r>
            <w:r>
              <w:rPr>
                <w:rFonts w:ascii="宋体" w:hAnsi="宋体" w:eastAsia="宋体" w:cs="Times New Roman"/>
                <w:color w:val="auto"/>
                <w:kern w:val="0"/>
                <w:szCs w:val="21"/>
                <w:highlight w:val="none"/>
              </w:rPr>
              <w:t>须知</w:t>
            </w:r>
            <w:r>
              <w:rPr>
                <w:rFonts w:hint="eastAsia" w:ascii="宋体" w:hAnsi="宋体" w:eastAsia="宋体" w:cs="Times New Roman"/>
                <w:color w:val="auto"/>
                <w:kern w:val="0"/>
                <w:szCs w:val="21"/>
                <w:highlight w:val="none"/>
              </w:rPr>
              <w:t>、</w:t>
            </w:r>
            <w:r>
              <w:rPr>
                <w:rFonts w:hint="eastAsia" w:ascii="Times New Roman" w:hAnsi="Times New Roman" w:eastAsia="宋体" w:cs="Times New Roman"/>
                <w:bCs/>
                <w:color w:val="auto"/>
                <w:kern w:val="44"/>
                <w:szCs w:val="44"/>
                <w:highlight w:val="none"/>
                <w:lang w:val="zh-CN"/>
              </w:rPr>
              <w:t>评审程序、评审方法和成交标准</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响应</w:t>
            </w:r>
            <w:r>
              <w:rPr>
                <w:rFonts w:ascii="宋体" w:hAnsi="宋体" w:eastAsia="宋体" w:cs="Times New Roman"/>
                <w:color w:val="auto"/>
                <w:kern w:val="0"/>
                <w:szCs w:val="21"/>
                <w:highlight w:val="none"/>
              </w:rPr>
              <w:t>文件格式</w:t>
            </w:r>
            <w:r>
              <w:rPr>
                <w:rFonts w:hint="eastAsia" w:ascii="宋体" w:hAnsi="宋体" w:eastAsia="宋体" w:cs="Times New Roman"/>
                <w:color w:val="auto"/>
                <w:kern w:val="0"/>
                <w:szCs w:val="21"/>
                <w:highlight w:val="none"/>
              </w:rPr>
              <w:t>、合同文本</w:t>
            </w:r>
            <w:r>
              <w:rPr>
                <w:rFonts w:ascii="宋体" w:hAnsi="宋体" w:eastAsia="宋体" w:cs="Times New Roman"/>
                <w:color w:val="auto"/>
                <w:kern w:val="0"/>
                <w:szCs w:val="21"/>
                <w:highlight w:val="none"/>
              </w:rPr>
              <w:t>的先后顺序解释；同一组成文件中就同一事项的规定或者约定不一致的，以编排顺序在后者为准；同一组成文件不同版本之间有不一致的，以形成时间在后者为准；</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与同步更新的</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不一致时以</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为准。按本款前述规定仍不能形成结论的，</w:t>
            </w:r>
            <w:r>
              <w:rPr>
                <w:rFonts w:ascii="宋体" w:hAnsi="宋体" w:eastAsia="宋体" w:cs="Times New Roman"/>
                <w:b/>
                <w:color w:val="auto"/>
                <w:kern w:val="0"/>
                <w:szCs w:val="21"/>
                <w:highlight w:val="none"/>
              </w:rPr>
              <w:t>由</w:t>
            </w:r>
            <w:r>
              <w:rPr>
                <w:rFonts w:hint="eastAsia" w:ascii="宋体" w:hAnsi="宋体" w:eastAsia="宋体" w:cs="Times New Roman"/>
                <w:b/>
                <w:color w:val="auto"/>
                <w:kern w:val="0"/>
                <w:szCs w:val="21"/>
                <w:highlight w:val="none"/>
              </w:rPr>
              <w:t>采购</w:t>
            </w:r>
            <w:r>
              <w:rPr>
                <w:rFonts w:ascii="宋体" w:hAnsi="宋体" w:eastAsia="宋体" w:cs="Times New Roman"/>
                <w:b/>
                <w:color w:val="auto"/>
                <w:kern w:val="0"/>
                <w:szCs w:val="21"/>
                <w:highlight w:val="none"/>
              </w:rPr>
              <w:t>人</w:t>
            </w:r>
            <w:r>
              <w:rPr>
                <w:rFonts w:hint="eastAsia" w:ascii="宋体" w:hAnsi="宋体" w:eastAsia="宋体" w:cs="Times New Roman"/>
                <w:b/>
                <w:color w:val="auto"/>
                <w:kern w:val="0"/>
                <w:szCs w:val="21"/>
                <w:highlight w:val="none"/>
              </w:rPr>
              <w:t>或者采购代理机构</w:t>
            </w:r>
            <w:r>
              <w:rPr>
                <w:rFonts w:ascii="宋体" w:hAnsi="宋体" w:eastAsia="宋体" w:cs="Times New Roman"/>
                <w:b/>
                <w:color w:val="auto"/>
                <w:kern w:val="0"/>
                <w:szCs w:val="21"/>
                <w:highlight w:val="none"/>
              </w:rPr>
              <w:t>负责解释。</w:t>
            </w:r>
          </w:p>
          <w:p>
            <w:pPr>
              <w:keepNext w:val="0"/>
              <w:keepLines w:val="0"/>
              <w:pageBreakBefore w:val="0"/>
              <w:widowControl w:val="0"/>
              <w:tabs>
                <w:tab w:val="left" w:pos="1080"/>
              </w:tabs>
              <w:kinsoku/>
              <w:wordWrap/>
              <w:overflowPunct/>
              <w:topLinePunct w:val="0"/>
              <w:bidi w:val="0"/>
              <w:adjustRightInd/>
              <w:spacing w:line="380" w:lineRule="exact"/>
              <w:rPr>
                <w:rFonts w:ascii="宋体" w:hAnsi="宋体" w:eastAsia="宋体" w:cs="Times New Roman"/>
                <w:color w:val="auto"/>
                <w:kern w:val="0"/>
                <w:szCs w:val="21"/>
                <w:highlight w:val="none"/>
              </w:rPr>
            </w:pPr>
            <w:r>
              <w:rPr>
                <w:rFonts w:hint="eastAsia" w:ascii="宋体" w:hAnsi="宋体" w:eastAsia="宋体" w:cs="Times New Roman"/>
                <w:b/>
                <w:color w:val="auto"/>
                <w:kern w:val="0"/>
                <w:szCs w:val="21"/>
                <w:highlight w:val="none"/>
              </w:rPr>
              <w:t>法律责任：</w:t>
            </w:r>
          </w:p>
          <w:p>
            <w:pPr>
              <w:keepNext w:val="0"/>
              <w:keepLines w:val="0"/>
              <w:pageBreakBefore w:val="0"/>
              <w:widowControl w:val="0"/>
              <w:tabs>
                <w:tab w:val="left" w:pos="1080"/>
              </w:tabs>
              <w:kinsoku/>
              <w:wordWrap/>
              <w:overflowPunct/>
              <w:topLinePunct w:val="0"/>
              <w:bidi w:val="0"/>
              <w:adjustRightInd/>
              <w:spacing w:line="380" w:lineRule="exact"/>
              <w:rPr>
                <w:rFonts w:ascii="宋体" w:hAnsi="宋体" w:eastAsia="宋体" w:cs="宋体"/>
                <w:color w:val="auto"/>
                <w:szCs w:val="24"/>
                <w:highlight w:val="none"/>
              </w:rPr>
            </w:pPr>
            <w:r>
              <w:rPr>
                <w:rFonts w:hint="eastAsia" w:ascii="宋体" w:hAnsi="宋体" w:eastAsia="宋体" w:cs="Times New Roman"/>
                <w:color w:val="auto"/>
                <w:kern w:val="0"/>
                <w:szCs w:val="21"/>
                <w:highlight w:val="none"/>
              </w:rPr>
              <w:t>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33</w:t>
            </w:r>
            <w:r>
              <w:rPr>
                <w:rFonts w:ascii="宋体" w:hAnsi="宋体" w:eastAsia="宋体" w:cs="宋体"/>
                <w:color w:val="auto"/>
                <w:szCs w:val="21"/>
                <w:highlight w:val="none"/>
              </w:rPr>
              <w:t>.2</w:t>
            </w:r>
          </w:p>
        </w:tc>
        <w:tc>
          <w:tcPr>
            <w:tcW w:w="2195" w:type="dxa"/>
            <w:vAlign w:val="center"/>
          </w:tcPr>
          <w:p>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73" w:type="dxa"/>
            <w:vAlign w:val="center"/>
          </w:tcPr>
          <w:p>
            <w:pPr>
              <w:pStyle w:val="13"/>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竞争性谈判文件中描述供应商的“公章”是指根据我国对公章的管理规定，用供应商法定主体行为名称制作的实物印章或供应商通过指定电子化政府采购平台办理数字证书（CA认证）获得的以法定主体行为名称制作的电子印章。除本竞争性谈判文件有特殊规定外，供应商的财务章、部门章、分公司章、工会章、合同章、投标专用章、业务专用章及银行的转账章、现金收讫章、现金付讫章等其他形式印章均不能代替公章。</w:t>
            </w:r>
          </w:p>
          <w:p>
            <w:pPr>
              <w:pStyle w:val="13"/>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2.本竞争性谈判文件中描述供应商的“签字”是指供应商通过指定电子化政府采购平台办理数字证书（CA认证）获得的以供应商法定代表人或者委托代理人姓名制作的电子印章或手写签字。</w:t>
            </w:r>
          </w:p>
          <w:p>
            <w:pPr>
              <w:pStyle w:val="13"/>
              <w:keepNext w:val="0"/>
              <w:keepLines w:val="0"/>
              <w:pageBreakBefore w:val="0"/>
              <w:widowControl w:val="0"/>
              <w:tabs>
                <w:tab w:val="center" w:pos="4153"/>
                <w:tab w:val="right" w:pos="8306"/>
              </w:tabs>
              <w:kinsoku/>
              <w:wordWrap/>
              <w:overflowPunct/>
              <w:topLinePunct w:val="0"/>
              <w:bidi w:val="0"/>
              <w:adjustRightInd/>
              <w:spacing w:line="380" w:lineRule="exact"/>
              <w:ind w:firstLine="420" w:firstLineChars="200"/>
              <w:rPr>
                <w:rFonts w:ascii="宋体" w:hAnsi="宋体" w:cs="宋体"/>
                <w:color w:val="auto"/>
                <w:szCs w:val="21"/>
                <w:highlight w:val="none"/>
                <w:lang w:val="en-US"/>
              </w:rPr>
            </w:pPr>
            <w:r>
              <w:rPr>
                <w:rFonts w:hint="eastAsia" w:ascii="宋体" w:hAnsi="宋体" w:cs="宋体"/>
                <w:color w:val="auto"/>
                <w:szCs w:val="21"/>
                <w:highlight w:val="none"/>
                <w:lang w:val="en-US"/>
              </w:rPr>
              <w:t>3.本竞争性谈判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pPr>
              <w:pStyle w:val="13"/>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rPr>
              <w:t>4</w:t>
            </w:r>
            <w:r>
              <w:rPr>
                <w:rFonts w:hint="eastAsia" w:ascii="宋体" w:hAnsi="宋体" w:cs="宋体"/>
                <w:color w:val="auto"/>
                <w:szCs w:val="21"/>
                <w:highlight w:val="none"/>
              </w:rPr>
              <w:t>.供应商为其他组织或者自然人时，本竞争性谈判文件规定的法定代表人指负责人或者自然人。本竞争性谈判文件所称负责人是指参加竞标的其他组织营业执照上的负责人，本竞争性谈判文件所称自然人指参与竞标的自然人本人。</w:t>
            </w:r>
          </w:p>
          <w:p>
            <w:pPr>
              <w:pStyle w:val="13"/>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rPr>
              <w:t>5</w:t>
            </w:r>
            <w:r>
              <w:rPr>
                <w:rFonts w:hint="eastAsia" w:ascii="宋体" w:hAnsi="宋体" w:cs="宋体"/>
                <w:color w:val="auto"/>
                <w:szCs w:val="21"/>
                <w:highlight w:val="none"/>
              </w:rPr>
              <w:t>.自然人竞标的，竞争性谈判文件规定盖公章处由自然人摁手指指印。</w:t>
            </w:r>
          </w:p>
          <w:p>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szCs w:val="21"/>
                <w:highlight w:val="none"/>
              </w:rPr>
              <w:t xml:space="preserve">    6.本竞争性谈判文件所称的“以上”“以下”“以内”“届满”，包括本数；所称的“不满”“超过”“以外”，不包括本数。</w:t>
            </w:r>
          </w:p>
        </w:tc>
      </w:tr>
    </w:tbl>
    <w:p>
      <w:pPr>
        <w:keepNext/>
        <w:keepLines/>
        <w:spacing w:before="260" w:after="260" w:line="420" w:lineRule="exact"/>
        <w:jc w:val="center"/>
        <w:outlineLvl w:val="1"/>
        <w:rPr>
          <w:rFonts w:ascii="宋体" w:hAnsi="宋体" w:eastAsia="宋体" w:cs="Times New Roman"/>
          <w:bCs/>
          <w:color w:val="auto"/>
          <w:sz w:val="32"/>
          <w:szCs w:val="32"/>
          <w:highlight w:val="none"/>
          <w:lang w:val="zh-CN"/>
        </w:rPr>
      </w:pPr>
      <w:r>
        <w:rPr>
          <w:rFonts w:ascii="宋体" w:hAnsi="宋体" w:eastAsia="宋体" w:cs="Times New Roman"/>
          <w:bCs/>
          <w:color w:val="auto"/>
          <w:sz w:val="32"/>
          <w:szCs w:val="32"/>
          <w:highlight w:val="none"/>
          <w:lang w:val="zh-CN"/>
        </w:rPr>
        <w:br w:type="page"/>
      </w:r>
      <w:bookmarkStart w:id="79" w:name="_Toc80205924"/>
      <w:bookmarkStart w:id="80" w:name="_Toc20165"/>
      <w:bookmarkStart w:id="81" w:name="_Toc29286"/>
      <w:r>
        <w:rPr>
          <w:rFonts w:hint="eastAsia" w:ascii="宋体" w:hAnsi="宋体" w:eastAsia="宋体" w:cs="Times New Roman"/>
          <w:bCs/>
          <w:color w:val="auto"/>
          <w:sz w:val="32"/>
          <w:szCs w:val="32"/>
          <w:highlight w:val="none"/>
          <w:lang w:val="zh-CN"/>
        </w:rPr>
        <w:t>第二节 供应商须知正文</w:t>
      </w:r>
      <w:bookmarkEnd w:id="79"/>
      <w:bookmarkEnd w:id="80"/>
      <w:bookmarkEnd w:id="81"/>
    </w:p>
    <w:p>
      <w:pPr>
        <w:keepNext/>
        <w:keepLines/>
        <w:spacing w:line="360" w:lineRule="auto"/>
        <w:ind w:firstLine="640" w:firstLineChars="200"/>
        <w:outlineLvl w:val="2"/>
        <w:rPr>
          <w:rFonts w:ascii="宋体" w:hAnsi="宋体" w:eastAsia="宋体" w:cs="Times New Roman"/>
          <w:bCs/>
          <w:color w:val="auto"/>
          <w:sz w:val="32"/>
          <w:szCs w:val="32"/>
          <w:highlight w:val="none"/>
          <w:lang w:val="zh-CN"/>
        </w:rPr>
      </w:pPr>
      <w:bookmarkStart w:id="82" w:name="_Toc18711"/>
      <w:bookmarkStart w:id="83" w:name="_Toc27704"/>
      <w:bookmarkStart w:id="84" w:name="_Toc80205925"/>
      <w:r>
        <w:rPr>
          <w:rFonts w:hint="eastAsia" w:ascii="宋体" w:hAnsi="宋体" w:eastAsia="宋体" w:cs="Times New Roman"/>
          <w:bCs/>
          <w:color w:val="auto"/>
          <w:sz w:val="32"/>
          <w:szCs w:val="32"/>
          <w:highlight w:val="none"/>
          <w:lang w:val="zh-CN"/>
        </w:rPr>
        <w:t>一、总则</w:t>
      </w:r>
      <w:bookmarkEnd w:id="82"/>
      <w:bookmarkEnd w:id="83"/>
      <w:bookmarkEnd w:id="84"/>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1.适用范围</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1.1适用法律：本项目采购人、采购代理机构、供应商、谈判小组的相关行为均受《中华人民共和国政府采购法》 《中华人民共和国政府采购法实施条例》 《政府采购非招标采购方式管理办法》及本项目本级和上级财政部门政府采购有关规定的约束和保护。</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本竞争性谈判文件（以下简称谈判文件）适用于本项目的所有采购程序和环节（法律、法规另有规定的，从其规定）。</w:t>
      </w:r>
    </w:p>
    <w:p>
      <w:pPr>
        <w:spacing w:line="360" w:lineRule="auto"/>
        <w:ind w:firstLine="482" w:firstLineChars="200"/>
        <w:rPr>
          <w:rFonts w:ascii="宋体" w:hAnsi="宋体" w:eastAsia="宋体" w:cs="宋体"/>
          <w:color w:val="auto"/>
          <w:szCs w:val="21"/>
          <w:highlight w:val="none"/>
        </w:rPr>
      </w:pPr>
      <w:r>
        <w:rPr>
          <w:rFonts w:hint="eastAsia" w:ascii="黑体" w:hAnsi="黑体" w:eastAsia="黑体" w:cs="宋体"/>
          <w:b/>
          <w:bCs/>
          <w:color w:val="auto"/>
          <w:sz w:val="24"/>
          <w:szCs w:val="24"/>
          <w:highlight w:val="none"/>
        </w:rPr>
        <w:t>2.定义</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2.1“采购人”是指依法进行采购的国家机关、事业单位、团体组织。</w:t>
      </w:r>
    </w:p>
    <w:p>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color w:val="auto"/>
          <w:szCs w:val="21"/>
          <w:highlight w:val="none"/>
        </w:rPr>
        <w:t>2.2“采购代理机构”是指政府采购集中采购机构和集中采购机构以外的采购代理机构。</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2.4“货物”是指各种形态和种类的物品，包括原材料、燃料、设备、产品等。</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2.5“竞标”是指按照本项目竞争性谈判公告规定的方式供应商获取谈判文件、提交响应文件并希望获得标的的行为。</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2.6“售后服务” 是指包含但不限于供应商须承担的备品备件、包装、运输、装卸、保险、货到就位以及安装、调试、培训、保修和其他类似的义务。</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2.7“书面形式”是指合同书、信件和数据电文（包括电报、电传、传真、电子数据交换和电子邮件）等可以有形地表现所载内容的形式。</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2.8“响应文件”</w:t>
      </w:r>
      <w:r>
        <w:rPr>
          <w:rFonts w:hint="eastAsia" w:ascii="宋体" w:hAnsi="宋体" w:eastAsia="宋体" w:cs="宋体"/>
          <w:color w:val="auto"/>
          <w:spacing w:val="-6"/>
          <w:szCs w:val="21"/>
          <w:highlight w:val="none"/>
        </w:rPr>
        <w:t>是指：供应商根据本文件要求，编制包含报价、技术和货物等所有内容的文件。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2.9 “实质性要求”是指竞争性谈判文件中已经指明不满足则响应文件作无效响应处理的条款，或者不能负偏离的条款，或者采购需求中带“▲”的条款。</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2.10“正偏离”，是指响应文件对谈判文件“采购需求”中有关条款作出优于条款要求并有利于采购人的响应情形；</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2.11“负偏离”，是指响应文件对谈判文件“采购需求”中有关条款作出的响应不满足条款要求，导致采购人要求不能得到满足的情形。</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2.12“允许负偏离的条款”是指采购需求中的不属于“实质性要求”的条款。</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2.13“首次报价”是指供应商提交的首次响应文件中的竞标报价。</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szCs w:val="21"/>
          <w:highlight w:val="none"/>
        </w:rPr>
        <w:t>2.14“评审价”是指供应商提交的最后报价并经修正和政策功能价格扣除后的价格。</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3.供应商的资格条件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4.谈判费用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供应商应承担参与本次采购活动有关的所有费用，包括但不限于勘查现场、编制和提交响应文件、参加谈判与应答、签订合同等，不论竞标结果如何，均应自行承担。</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5.联合体竞标</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Times New Roman"/>
          <w:color w:val="auto"/>
          <w:szCs w:val="24"/>
          <w:highlight w:val="none"/>
        </w:rPr>
        <w:t>如接受联合体竞标，</w:t>
      </w:r>
      <w:r>
        <w:rPr>
          <w:rFonts w:hint="eastAsia" w:ascii="宋体" w:hAnsi="宋体" w:eastAsia="宋体" w:cs="宋体"/>
          <w:color w:val="auto"/>
          <w:szCs w:val="21"/>
          <w:highlight w:val="none"/>
        </w:rPr>
        <w:t>联合体竞标要求详见“供应商须知前附表”。</w:t>
      </w:r>
    </w:p>
    <w:p>
      <w:pPr>
        <w:spacing w:line="360" w:lineRule="auto"/>
        <w:ind w:firstLine="420" w:firstLineChars="200"/>
        <w:rPr>
          <w:rFonts w:ascii="宋体" w:hAnsi="宋体" w:eastAsia="宋体" w:cs="Times New Roman"/>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 《广西壮族自治区财政厅关于贯彻落实政府采购支持中小企业发展政策的通知》（桂财采〔2022〕31号）规定，接受大中型企业与小微企业组成联合体的采购项目，对于联合协议约定小微企业的合同份额占到合同总金额 30%以上的，采购人、采购代理机构应当对联合体的报价给予 4%-6%的扣除，用扣除后的价格参加评审。组成联合体的小微企业与联合体内其他企业、分包企业之间存在直接控股、管理关系的，不享受价格扣除优惠政策</w:t>
      </w:r>
      <w:r>
        <w:rPr>
          <w:rFonts w:ascii="宋体" w:hAnsi="宋体" w:eastAsia="宋体" w:cs="Times New Roman"/>
          <w:bCs/>
          <w:color w:val="auto"/>
          <w:szCs w:val="21"/>
          <w:highlight w:val="none"/>
        </w:rPr>
        <w:t>。</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 xml:space="preserve">6.转包与分包             </w:t>
      </w:r>
    </w:p>
    <w:p>
      <w:pPr>
        <w:spacing w:line="360" w:lineRule="auto"/>
        <w:ind w:firstLine="420" w:firstLineChars="200"/>
        <w:rPr>
          <w:rFonts w:ascii="宋体" w:hAnsi="宋体" w:eastAsia="宋体" w:cs="宋体"/>
          <w:color w:val="auto"/>
          <w:szCs w:val="21"/>
          <w:highlight w:val="none"/>
        </w:rPr>
      </w:pPr>
      <w:r>
        <w:rPr>
          <w:rFonts w:hint="eastAsia" w:ascii="宋体" w:hAnsi="宋体" w:cs="宋体"/>
          <w:color w:val="auto"/>
          <w:szCs w:val="21"/>
          <w:highlight w:val="none"/>
        </w:rPr>
        <w:t>6.1本项目不允许转包。</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6.2本项目是否允许分包详见“供应商须知前附表”，本项目不允许违法分包。</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6.3根据《政府采购促进中小企业发展管理办法》（财库[2020]46号）第九条及 《广西壮族自治区财政厅关于贯彻落实政府采购支持中小企业发展政策的通知》（桂财采〔2022〕31号）规定，允许大中型企业向一家或者多家小微企业分包的采购项目，对于分包意向协议约定小微企业的合同份额占到合同总金额 30%以上的，采购人、采购代理机构应当对大中型企业的报价给予4%-6%的扣除，用扣除后的价格参加评审。接受分包的小微企业与分包企业之间存在直接控股、管理关系的，不享受价格扣除优惠政策</w:t>
      </w:r>
      <w:r>
        <w:rPr>
          <w:rFonts w:ascii="宋体" w:hAnsi="宋体" w:eastAsia="宋体" w:cs="Times New Roman"/>
          <w:bCs/>
          <w:color w:val="auto"/>
          <w:szCs w:val="21"/>
          <w:highlight w:val="none"/>
        </w:rPr>
        <w:t>。</w:t>
      </w:r>
    </w:p>
    <w:p>
      <w:pPr>
        <w:spacing w:line="360" w:lineRule="auto"/>
        <w:ind w:firstLine="482" w:firstLineChars="200"/>
        <w:rPr>
          <w:rFonts w:ascii="黑体" w:hAnsi="黑体" w:eastAsia="黑体" w:cs="宋体"/>
          <w:b/>
          <w:bCs/>
          <w:color w:val="auto"/>
          <w:sz w:val="24"/>
          <w:szCs w:val="24"/>
          <w:highlight w:val="none"/>
        </w:rPr>
      </w:pPr>
      <w:bookmarkStart w:id="85" w:name="_Toc254970673"/>
      <w:bookmarkStart w:id="86" w:name="_Toc254970532"/>
      <w:r>
        <w:rPr>
          <w:rFonts w:hint="eastAsia" w:ascii="黑体" w:hAnsi="黑体" w:eastAsia="黑体" w:cs="宋体"/>
          <w:b/>
          <w:bCs/>
          <w:color w:val="auto"/>
          <w:sz w:val="24"/>
          <w:szCs w:val="24"/>
          <w:highlight w:val="none"/>
        </w:rPr>
        <w:t>7.特别说明</w:t>
      </w:r>
      <w:bookmarkEnd w:id="85"/>
      <w:bookmarkEnd w:id="86"/>
    </w:p>
    <w:p>
      <w:pPr>
        <w:spacing w:line="360" w:lineRule="auto"/>
        <w:ind w:firstLine="420" w:firstLineChars="200"/>
        <w:rPr>
          <w:rFonts w:ascii="宋体" w:hAnsi="宋体" w:eastAsia="宋体" w:cs="宋体"/>
          <w:color w:val="auto"/>
          <w:szCs w:val="21"/>
          <w:highlight w:val="none"/>
        </w:rPr>
      </w:pPr>
      <w:bookmarkStart w:id="87" w:name="_8.1提供相同品牌产品且通过资格审查、符合性审查的不同投标人参加同一合"/>
      <w:bookmarkEnd w:id="87"/>
      <w:r>
        <w:rPr>
          <w:rFonts w:hint="eastAsia" w:ascii="宋体" w:hAnsi="宋体" w:eastAsia="宋体" w:cs="宋体"/>
          <w:color w:val="auto"/>
          <w:szCs w:val="21"/>
          <w:highlight w:val="none"/>
        </w:rPr>
        <w:t>7.1如果本谈判文件要求提供供应商或制造商的资格、信誉、荣誉、业绩与企业认证等材料的，资格、信誉、荣誉、业绩与企业认证等必须为供应商或者制造商所拥有或自身获得 。</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7.2供应商应仔细阅读谈判文件的所有内容，按照谈判文件的要求提交响应文件，并对所提供的全部资料的真实性承担法律责任。</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虚假材料,其响应文件作无效处理，并报监管部门查处；签订合同后发现的,成交供应商须依照《中华人民共和国消费者权益保护法》规定赔偿采购人，且民事赔偿并不免除违法供应商的行政与刑事责任。</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7.4在政府采购活动中，采购人员及相关人员与供应商有下列利害关系之一的，应当回避：</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（1）参加采购活动前3年内与供应商存在劳动关系；</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（2）参加采购活动前3年内担任供应商的董事、监事；</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（3）参加采购活动前3年内是供应商的控股股东或者实际控制人；</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（4）与供应商的法定代表人或者负责人有夫妻、直系血亲、三代以内旁系血亲或者近姻亲关系；</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（5）与供应商有其他可能影响政府采购活动公平、公正进行的关系。</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7.5有下列情形之一的视为供应商相互串通竞标，响应文件将被视为无效：</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（1）不同供应商的响应文件由同一单位或者个人编制；或不同供应商报名的IP地址一致的；</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（2）不同供应商委托同一单位或者个人办理竞标事宜；</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（3）不同的供应商的响应文件载明的项目管理员为同一个人；</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（4）不同供应商的响应文件异常一致或者报价呈规律性差异；</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（5）不同供应商的响应文件相互混装；</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（6）不同供应商的谈判保证金从同一单位或者个人账户转出。</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7.6供应商有下列情形之一的，属于恶意串通行为</w:t>
      </w:r>
      <w:bookmarkStart w:id="88" w:name="_Hlk54682620"/>
      <w:r>
        <w:rPr>
          <w:rFonts w:hint="eastAsia" w:ascii="宋体" w:hAnsi="宋体" w:eastAsia="宋体" w:cs="宋体"/>
          <w:b/>
          <w:bCs/>
          <w:color w:val="auto"/>
          <w:szCs w:val="21"/>
          <w:highlight w:val="none"/>
        </w:rPr>
        <w:t>，将报同级监督管理部门</w:t>
      </w:r>
      <w:bookmarkEnd w:id="88"/>
      <w:r>
        <w:rPr>
          <w:rFonts w:hint="eastAsia" w:ascii="宋体" w:hAnsi="宋体" w:eastAsia="宋体" w:cs="宋体"/>
          <w:b/>
          <w:bCs/>
          <w:color w:val="auto"/>
          <w:szCs w:val="21"/>
          <w:highlight w:val="none"/>
        </w:rPr>
        <w:t>：</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（1）供应商直接或者间接从采购人或者采购代理机构处获得其他供应商的相关信息并修改其响应文件；</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（2）供应商按照采购人或者采购代理机构的授意撤换、修改响应文件；</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（3）供应商之间协商报价、技术方案等响应文件的实质性内容；</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（4）属于同一集团、协会、商会等组织成员的供应商按照该组织要求协同参加政府采购活动；</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（5）供应商之间事先约定一致抬高或者压低报价</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或者在政府采购活动中事先约定轮流以高价位或者低价位成交</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或者事先约定由某一特定供应商成交,然后再参加竞标；</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（6）供应商之间商定部分供应商放弃参加政府采购活动或者放弃成交；</w:t>
      </w:r>
    </w:p>
    <w:p>
      <w:pPr>
        <w:spacing w:line="360" w:lineRule="auto"/>
        <w:ind w:firstLine="422" w:firstLineChars="200"/>
        <w:rPr>
          <w:rFonts w:ascii="宋体" w:hAnsi="宋体" w:eastAsia="宋体" w:cs="宋体"/>
          <w:b/>
          <w:bCs/>
          <w:color w:val="auto"/>
          <w:szCs w:val="24"/>
          <w:highlight w:val="none"/>
        </w:rPr>
      </w:pPr>
      <w:r>
        <w:rPr>
          <w:rFonts w:hint="eastAsia" w:ascii="宋体" w:hAnsi="宋体" w:eastAsia="宋体" w:cs="宋体"/>
          <w:b/>
          <w:bCs/>
          <w:color w:val="auto"/>
          <w:szCs w:val="24"/>
          <w:highlight w:val="none"/>
        </w:rPr>
        <w:t>（7）供应商与采购人或者采购代理机构之间、供应商相互之间，为谋求特定供应商成交或者排斥其他供应商的其他串通行为。</w:t>
      </w:r>
      <w:bookmarkStart w:id="89" w:name="_Toc254970534"/>
      <w:bookmarkStart w:id="90" w:name="_Toc254970675"/>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4"/>
          <w:highlight w:val="none"/>
        </w:rPr>
        <w:t>7.7</w:t>
      </w:r>
      <w:r>
        <w:rPr>
          <w:rFonts w:hint="eastAsia" w:ascii="宋体" w:hAnsi="宋体" w:eastAsia="宋体" w:cs="宋体"/>
          <w:b/>
          <w:bCs/>
          <w:color w:val="auto"/>
          <w:szCs w:val="21"/>
          <w:highlight w:val="none"/>
        </w:rPr>
        <w:t>单一产品采购项目，提供相同品牌产品的不同供应商参加同一合同项下竞标的，以其中通过资格审查、符合性审查、谈判且最后报价最低的参加评审；最后报价相同的，由采购人或者采购人委托谈判小组按照竞争性谈判文件规定的方式确定一个参加评审的供应商，竞争性谈判文件未规定的采取随机抽取方式确定，</w:t>
      </w:r>
      <w:r>
        <w:rPr>
          <w:rFonts w:hint="eastAsia" w:ascii="宋体" w:hAnsi="宋体" w:eastAsia="宋体" w:cs="宋体"/>
          <w:b/>
          <w:bCs/>
          <w:color w:val="auto"/>
          <w:kern w:val="0"/>
          <w:szCs w:val="21"/>
          <w:highlight w:val="none"/>
        </w:rPr>
        <w:t>其他竞标无效</w:t>
      </w:r>
      <w:r>
        <w:rPr>
          <w:rFonts w:hint="eastAsia" w:ascii="宋体" w:hAnsi="宋体" w:eastAsia="宋体" w:cs="宋体"/>
          <w:b/>
          <w:bCs/>
          <w:color w:val="auto"/>
          <w:szCs w:val="21"/>
          <w:highlight w:val="none"/>
        </w:rPr>
        <w:t>。</w:t>
      </w:r>
    </w:p>
    <w:p>
      <w:pPr>
        <w:spacing w:line="360" w:lineRule="auto"/>
        <w:ind w:firstLine="42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szCs w:val="21"/>
          <w:highlight w:val="none"/>
        </w:rPr>
        <w:t>非单一产品采购项目，多家供应商提供的核心产品品牌相同的，按前款规定处理。</w:t>
      </w:r>
    </w:p>
    <w:p>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91" w:name="_Toc10931"/>
      <w:bookmarkStart w:id="92" w:name="_Toc80205926"/>
      <w:bookmarkStart w:id="93" w:name="_Toc30516"/>
      <w:r>
        <w:rPr>
          <w:rFonts w:hint="eastAsia" w:ascii="宋体" w:hAnsi="宋体" w:eastAsia="宋体" w:cs="Times New Roman"/>
          <w:color w:val="auto"/>
          <w:sz w:val="32"/>
          <w:szCs w:val="32"/>
          <w:highlight w:val="none"/>
          <w:lang w:val="zh-CN"/>
        </w:rPr>
        <w:t>二、谈判文件</w:t>
      </w:r>
      <w:bookmarkEnd w:id="89"/>
      <w:bookmarkEnd w:id="90"/>
      <w:bookmarkEnd w:id="91"/>
      <w:bookmarkEnd w:id="92"/>
      <w:bookmarkEnd w:id="93"/>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8.谈判文件的构成</w:t>
      </w:r>
    </w:p>
    <w:p>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第一章 竞争性谈判公告；</w:t>
      </w:r>
    </w:p>
    <w:p>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第二章 采购需求；</w:t>
      </w:r>
    </w:p>
    <w:p>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第三章 供应商须知； </w:t>
      </w:r>
    </w:p>
    <w:p>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第四章 评审程序、评审方法和成交标准；</w:t>
      </w:r>
    </w:p>
    <w:p>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第五章 响应文件格式；</w:t>
      </w:r>
    </w:p>
    <w:p>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第六章 合同文本；</w:t>
      </w:r>
    </w:p>
    <w:p>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第七章 质疑、投诉材料格式。</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9.供应商的询问</w:t>
      </w:r>
    </w:p>
    <w:p>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供应商应认真阅读谈判文件的采购需求，如供应商对谈判文件有疑问的，如要求采购人作出澄清或者修改的，供应商尽应在</w:t>
      </w:r>
      <w:r>
        <w:rPr>
          <w:rFonts w:ascii="宋体" w:hAnsi="宋体" w:eastAsia="宋体" w:cs="Times New Roman"/>
          <w:color w:val="auto"/>
          <w:szCs w:val="21"/>
          <w:highlight w:val="none"/>
        </w:rPr>
        <w:t>提交首次响应文件截止之日前</w:t>
      </w:r>
      <w:r>
        <w:rPr>
          <w:rFonts w:hint="eastAsia" w:ascii="宋体" w:hAnsi="宋体" w:eastAsia="宋体" w:cs="Times New Roman"/>
          <w:color w:val="auto"/>
          <w:szCs w:val="21"/>
          <w:highlight w:val="none"/>
        </w:rPr>
        <w:t>，以书面形式向</w:t>
      </w:r>
      <w:r>
        <w:rPr>
          <w:rFonts w:ascii="宋体" w:hAnsi="宋体" w:eastAsia="宋体" w:cs="Times New Roman"/>
          <w:color w:val="auto"/>
          <w:szCs w:val="21"/>
          <w:highlight w:val="none"/>
        </w:rPr>
        <w:t>采购人、采购代理机构</w:t>
      </w:r>
      <w:r>
        <w:rPr>
          <w:rFonts w:hint="eastAsia" w:ascii="宋体" w:hAnsi="宋体" w:eastAsia="宋体" w:cs="Times New Roman"/>
          <w:color w:val="auto"/>
          <w:szCs w:val="21"/>
          <w:highlight w:val="none"/>
        </w:rPr>
        <w:t>提出。</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10.谈判文件的澄清和修改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10.1已获取谈判文件的潜在供应商，若有问题需要澄清，应于应标截止时间前，以书面形式向采购代理机构提出，采购代理机构与采购人研究后，对认为有必要回答的问题，按照本章10.3的内容处理。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目前为网上公告和系统短信等形式）通知所有接收谈判文件的供应商，不足3个工作日的，应当顺延提交首次响应文件截止之日。澄清或者更正公告在竞争性谈判公告发布媒体上发布，一经发布，视作已以书面形式通知所有接收谈判文件的潜在供应商，不再另行通知，所有潜在供应商应密切关注竞争性谈判公告发布媒体，因未能及时获知，由此产生的后果均应自行承担。</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szCs w:val="24"/>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10.5采购人和采购代理机构可以视采购具体情况，变更提交首次响应文件截止时间和竞谈时间，将变更时间将在“竞争性谈判公告”中“七、其他补充事宜</w:t>
      </w:r>
      <w:r>
        <w:rPr>
          <w:rFonts w:hint="eastAsia" w:ascii="宋体" w:hAnsi="宋体" w:eastAsia="宋体" w:cs="宋体"/>
          <w:color w:val="auto"/>
          <w:kern w:val="0"/>
          <w:szCs w:val="21"/>
          <w:highlight w:val="none"/>
        </w:rPr>
        <w:t>（二）</w:t>
      </w:r>
      <w:r>
        <w:rPr>
          <w:rFonts w:hint="eastAsia" w:ascii="宋体" w:hAnsi="宋体" w:eastAsia="宋体" w:cs="宋体"/>
          <w:color w:val="auto"/>
          <w:szCs w:val="24"/>
          <w:highlight w:val="none"/>
        </w:rPr>
        <w:t>网上查询地址”规定的政府采购信息发布媒体上发布更正公告。</w:t>
      </w:r>
    </w:p>
    <w:p>
      <w:pPr>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响应文件未按谈判文件的澄清、修改的内容编制，又不符合实质性要求的，其响应文件作无效处理。</w:t>
      </w:r>
    </w:p>
    <w:p>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94" w:name="_Toc12627"/>
      <w:bookmarkStart w:id="95" w:name="_Toc80205927"/>
      <w:bookmarkStart w:id="96" w:name="_Toc11107"/>
      <w:r>
        <w:rPr>
          <w:rFonts w:hint="eastAsia" w:ascii="宋体" w:hAnsi="宋体" w:eastAsia="宋体" w:cs="Times New Roman"/>
          <w:color w:val="auto"/>
          <w:sz w:val="32"/>
          <w:szCs w:val="32"/>
          <w:highlight w:val="none"/>
          <w:lang w:val="zh-CN"/>
        </w:rPr>
        <w:t>三、响应文件的编制</w:t>
      </w:r>
      <w:bookmarkEnd w:id="94"/>
      <w:bookmarkEnd w:id="95"/>
      <w:bookmarkEnd w:id="96"/>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11.响应文件的编制原则</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供应商必须按照谈判文件的要求编制响应文件，并对其提交的响应文件的真实性、合法性承担法律责任。响应文件必须对谈判文件作出实质性响应。</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12.响应文件的组成</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2.1.1</w:t>
      </w:r>
      <w:r>
        <w:rPr>
          <w:rFonts w:hint="eastAsia" w:ascii="宋体" w:hAnsi="宋体" w:eastAsia="宋体" w:cs="宋体"/>
          <w:color w:val="auto"/>
          <w:szCs w:val="21"/>
          <w:highlight w:val="none"/>
        </w:rPr>
        <w:t>资格证明文件：详见供应商须知前附表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12.1.2商务技术文件：详见供应商须知前附表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w:t>
      </w:r>
      <w:r>
        <w:rPr>
          <w:rFonts w:hint="eastAsia" w:ascii="宋体" w:hAnsi="宋体" w:eastAsia="宋体" w:cs="宋体"/>
          <w:color w:val="auto"/>
          <w:szCs w:val="21"/>
          <w:highlight w:val="none"/>
        </w:rPr>
        <w:t>3报价文件：详见供应商须知前附表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2</w:t>
      </w:r>
      <w:r>
        <w:rPr>
          <w:rFonts w:hint="eastAsia" w:ascii="宋体" w:hAnsi="宋体" w:eastAsia="宋体" w:cs="宋体"/>
          <w:color w:val="auto"/>
          <w:szCs w:val="21"/>
          <w:highlight w:val="none"/>
        </w:rPr>
        <w:t>响应文件电子版：详见供应商须知前附表</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13.计量单位</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谈判文件已有明确规定的，使用谈判文件规定的计量单位；谈判文件没有规定的，应采用中华人民共和国法定计量单位，货币种类为人民币，否则视同未响应。</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14.竞标的风险</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供应商没有按照谈判文件要求提供全部资料，或者供应商没有对谈判文件在各方面作出实质性响应可能导致其响应无效，是供应商应当考虑的风险。</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15.响应报价要求和构成</w:t>
      </w:r>
    </w:p>
    <w:p>
      <w:pPr>
        <w:tabs>
          <w:tab w:val="left" w:pos="2492"/>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pPr>
        <w:tabs>
          <w:tab w:val="left" w:pos="2492"/>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15.3.1供应商的响应报价应符合以下要求，否则响应文件作无效响应处理：</w:t>
      </w:r>
    </w:p>
    <w:p>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（1）供应商必须就“采购需求”中所竞标的项目/每个分标的全部内容分别作完整唯一总价报价，不得存在漏项报价；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（2）供应商必须就所竞标的项目/分标的单项内容作唯一报价。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15.3.2响应报价（包含首次报价、最后报价）超过所竞标项目/分标规定的采购预算金额或者最高限价的（如本项目公布了最高限价），其响应文件将作无效处理。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15.3.3</w:t>
      </w:r>
      <w:bookmarkStart w:id="97" w:name="_Hlk42592874"/>
      <w:r>
        <w:rPr>
          <w:rFonts w:hint="eastAsia" w:ascii="宋体" w:hAnsi="宋体" w:eastAsia="宋体" w:cs="宋体"/>
          <w:color w:val="auto"/>
          <w:szCs w:val="21"/>
          <w:highlight w:val="none"/>
        </w:rPr>
        <w:t>响应报价（包含首次报价、最后报价）超过分项采购预算金额或者最高限价的（如本项目公布了最高限价），其响应文件将作无效处理。</w:t>
      </w:r>
    </w:p>
    <w:bookmarkEnd w:id="97"/>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16.竞标有效期</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17.谈判保证金</w:t>
      </w:r>
    </w:p>
    <w:p>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17.1供应商须按“供应商须知前附表”的规定提交谈判保证金。</w:t>
      </w:r>
    </w:p>
    <w:p>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17.2谈判保证金的退还</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17.2.1未</w:t>
      </w:r>
      <w:r>
        <w:rPr>
          <w:rFonts w:hint="eastAsia" w:ascii="宋体" w:hAnsi="宋体" w:eastAsia="宋体" w:cs="宋体"/>
          <w:color w:val="auto"/>
          <w:spacing w:val="-6"/>
          <w:szCs w:val="21"/>
          <w:highlight w:val="none"/>
        </w:rPr>
        <w:t>成交供应商的谈判保证金自成交通知书发出之日起5个工作日内退还，退还方式如下：</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（1）采用银行转账方式的，以转账方式退回到供应商银行账户。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（2）采用支票、汇票、本票或者金融机构、担保机构出具的保函等方式的，由供应商代表持相关授权证明材料至采购代理机构办理支票、汇票、本票或者金融机构、担保机构出具的保函等原件退还手续。</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17.2.2成交供应商的谈判保证金自签订合同之日起5个工作日内退还，退还方式同未成交供应商的谈判保证金的退还方式；或者转为成交供应商的履约保证金。 </w:t>
      </w:r>
    </w:p>
    <w:p>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17.3谈判保证金不计息。</w:t>
      </w:r>
    </w:p>
    <w:p>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17.4供应商有下列情形之一的，谈判保证金将不予退还： </w:t>
      </w:r>
    </w:p>
    <w:p>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（1）供应商在提交响应文件截止时间后撤回响应文件的；</w:t>
      </w:r>
    </w:p>
    <w:p>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（2）供应商在响应文件中提供虚假材料的；</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（3）除因不可抗力或者竞争性谈判文件认可的情形以外，成交供应商不与采购人签订合同的；</w:t>
      </w:r>
    </w:p>
    <w:p>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（4）供应商与采购人、其他供应商或者采购代理机构恶意串通的；</w:t>
      </w:r>
    </w:p>
    <w:p>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（5）竞争性谈判文件规定的其他情形。</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18.响应文件编制的要求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Pr>
          <w:rFonts w:hint="eastAsia" w:ascii="宋体" w:hAnsi="宋体" w:eastAsia="宋体" w:cs="宋体"/>
          <w:color w:val="auto"/>
          <w:szCs w:val="24"/>
          <w:highlight w:val="none"/>
        </w:rPr>
        <w:t>由此引发的</w:t>
      </w:r>
      <w:r>
        <w:rPr>
          <w:rFonts w:hint="eastAsia" w:ascii="宋体" w:hAnsi="宋体" w:eastAsia="宋体" w:cs="宋体"/>
          <w:color w:val="auto"/>
          <w:szCs w:val="21"/>
          <w:highlight w:val="none"/>
        </w:rPr>
        <w:t>后果由供应商承担。</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18.2响应文件应按资格证明、报价分别编制，商务技术文件合并编制，本谈判只接收电子版响应文件，要求见本章“12.2响应文件电子版要求”。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w:t>
      </w:r>
      <w:bookmarkStart w:id="98" w:name="_Hlk65832699"/>
      <w:r>
        <w:rPr>
          <w:rFonts w:hint="eastAsia" w:ascii="宋体" w:hAnsi="宋体" w:eastAsia="宋体" w:cs="宋体"/>
          <w:color w:val="auto"/>
          <w:szCs w:val="21"/>
          <w:highlight w:val="none"/>
        </w:rPr>
        <w:t>3</w:t>
      </w:r>
      <w:r>
        <w:rPr>
          <w:rFonts w:hint="eastAsia" w:ascii="宋体" w:hAnsi="宋体" w:eastAsia="宋体" w:cs="Times New Roman"/>
          <w:color w:val="auto"/>
          <w:szCs w:val="21"/>
          <w:highlight w:val="none"/>
        </w:rPr>
        <w:t>响应文件须由供应商按</w:t>
      </w:r>
      <w:r>
        <w:rPr>
          <w:rFonts w:hint="eastAsia" w:ascii="宋体" w:hAnsi="宋体" w:eastAsia="宋体" w:cs="仿宋_GB2312"/>
          <w:color w:val="auto"/>
          <w:kern w:val="0"/>
          <w:szCs w:val="21"/>
          <w:highlight w:val="none"/>
          <w:lang w:val="zh-CN"/>
        </w:rPr>
        <w:t>“</w:t>
      </w:r>
      <w:r>
        <w:rPr>
          <w:rFonts w:hint="eastAsia" w:ascii="宋体" w:hAnsi="宋体" w:eastAsia="宋体" w:cs="Times New Roman"/>
          <w:color w:val="auto"/>
          <w:szCs w:val="21"/>
          <w:highlight w:val="none"/>
        </w:rPr>
        <w:t>第五章 响应文件格式</w:t>
      </w:r>
      <w:r>
        <w:rPr>
          <w:rFonts w:hint="eastAsia" w:ascii="宋体" w:hAnsi="宋体" w:eastAsia="宋体" w:cs="仿宋_GB2312"/>
          <w:color w:val="auto"/>
          <w:kern w:val="0"/>
          <w:szCs w:val="21"/>
          <w:highlight w:val="none"/>
          <w:lang w:val="zh-CN"/>
        </w:rPr>
        <w:t>”</w:t>
      </w:r>
      <w:r>
        <w:rPr>
          <w:rFonts w:hint="eastAsia" w:ascii="宋体" w:hAnsi="宋体" w:eastAsia="宋体" w:cs="Times New Roman"/>
          <w:color w:val="auto"/>
          <w:szCs w:val="21"/>
          <w:highlight w:val="none"/>
        </w:rPr>
        <w:t>要求</w:t>
      </w:r>
      <w:r>
        <w:rPr>
          <w:rFonts w:hint="eastAsia" w:ascii="宋体" w:hAnsi="宋体" w:eastAsia="宋体" w:cs="仿宋_GB2312"/>
          <w:color w:val="auto"/>
          <w:szCs w:val="21"/>
          <w:highlight w:val="none"/>
        </w:rPr>
        <w:t>进行签署、盖章</w:t>
      </w:r>
      <w:bookmarkEnd w:id="98"/>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否则其响应文件作无效响应处理。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18.4响应文件中标注的供应商名称应与营业执照（事业单位法人证书、执业许可证、自然人身份证）及公章一致，</w:t>
      </w:r>
      <w:r>
        <w:rPr>
          <w:rFonts w:hint="eastAsia" w:ascii="宋体" w:hAnsi="宋体" w:eastAsia="宋体" w:cs="宋体"/>
          <w:b/>
          <w:bCs/>
          <w:color w:val="auto"/>
          <w:szCs w:val="21"/>
          <w:highlight w:val="none"/>
        </w:rPr>
        <w:t>否则其响应文件作无效响应处理</w:t>
      </w:r>
      <w:r>
        <w:rPr>
          <w:rFonts w:hint="eastAsia" w:ascii="宋体" w:hAnsi="宋体" w:eastAsia="宋体" w:cs="宋体"/>
          <w:color w:val="auto"/>
          <w:szCs w:val="21"/>
          <w:highlight w:val="none"/>
        </w:rPr>
        <w:t>。</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19.响应文件的密封和标记</w:t>
      </w:r>
    </w:p>
    <w:p>
      <w:pPr>
        <w:spacing w:line="360" w:lineRule="auto"/>
        <w:ind w:firstLine="420" w:firstLineChars="200"/>
        <w:rPr>
          <w:rFonts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19.1供应商进行电子交易应安装客户端软件—“</w:t>
      </w:r>
      <w:r>
        <w:rPr>
          <w:rFonts w:hint="eastAsia" w:ascii="宋体" w:hAnsi="宋体" w:cs="宋体"/>
          <w:color w:val="auto"/>
          <w:szCs w:val="21"/>
          <w:highlight w:val="none"/>
        </w:rPr>
        <w:t>广西政府采购云平台新版客户端</w:t>
      </w:r>
      <w:r>
        <w:rPr>
          <w:rFonts w:hint="eastAsia" w:ascii="宋体" w:hAnsi="宋体" w:eastAsia="宋体" w:cs="仿宋_GB2312"/>
          <w:color w:val="auto"/>
          <w:kern w:val="0"/>
          <w:szCs w:val="21"/>
          <w:highlight w:val="none"/>
          <w:lang w:val="zh-CN"/>
        </w:rPr>
        <w:t>”，并按照谈判文件和电子交易平台的要求编制并加密响应文件。供应商未按规定加密的响应文件，电子交易平台将拒收并提示。</w:t>
      </w:r>
    </w:p>
    <w:p>
      <w:pPr>
        <w:spacing w:line="360" w:lineRule="auto"/>
        <w:ind w:firstLine="420" w:firstLineChars="200"/>
        <w:rPr>
          <w:rFonts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19.2使用“</w:t>
      </w:r>
      <w:r>
        <w:rPr>
          <w:rFonts w:hint="eastAsia" w:ascii="宋体" w:hAnsi="宋体" w:cs="宋体"/>
          <w:color w:val="auto"/>
          <w:szCs w:val="21"/>
          <w:highlight w:val="none"/>
        </w:rPr>
        <w:t>广西政府采购云平台</w:t>
      </w:r>
      <w:r>
        <w:rPr>
          <w:rFonts w:hint="eastAsia" w:ascii="宋体" w:hAnsi="宋体" w:eastAsia="宋体" w:cs="仿宋_GB2312"/>
          <w:color w:val="auto"/>
          <w:kern w:val="0"/>
          <w:szCs w:val="21"/>
          <w:highlight w:val="none"/>
          <w:lang w:val="zh-CN"/>
        </w:rPr>
        <w:t>电子交易客户端”需要提前申领CA数字证书。</w:t>
      </w:r>
    </w:p>
    <w:p>
      <w:pPr>
        <w:spacing w:line="360" w:lineRule="auto"/>
        <w:ind w:firstLine="420" w:firstLineChars="200"/>
        <w:rPr>
          <w:rFonts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19.3为确保网上操作合法、有效和安全，供应商应当在响应文件提交截止时间前完成在“</w:t>
      </w:r>
      <w:r>
        <w:rPr>
          <w:rFonts w:hint="eastAsia" w:ascii="宋体" w:hAnsi="宋体" w:cs="宋体"/>
          <w:color w:val="auto"/>
          <w:szCs w:val="21"/>
          <w:highlight w:val="none"/>
        </w:rPr>
        <w:t>广西政府采购云平台</w:t>
      </w:r>
      <w:r>
        <w:rPr>
          <w:rFonts w:hint="eastAsia" w:ascii="宋体" w:hAnsi="宋体" w:eastAsia="宋体" w:cs="仿宋_GB2312"/>
          <w:color w:val="auto"/>
          <w:kern w:val="0"/>
          <w:szCs w:val="21"/>
          <w:highlight w:val="none"/>
          <w:lang w:val="zh-CN"/>
        </w:rPr>
        <w:t>”的身份认证，确保在电子交易过程中能够对相关数据电文进行加密和使用电子签名。</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20.响应文件的提交</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20</w:t>
      </w:r>
      <w:r>
        <w:rPr>
          <w:rFonts w:hint="eastAsia" w:ascii="宋体" w:hAnsi="宋体" w:eastAsia="宋体" w:cs="Times New Roman"/>
          <w:color w:val="auto"/>
          <w:szCs w:val="21"/>
          <w:highlight w:val="none"/>
        </w:rPr>
        <w:t>.2 在响应文件提交截止时间以后，不能补充、修改响应文件。</w:t>
      </w:r>
    </w:p>
    <w:p>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20.3 在提交“最后报价”后，供应商不能退出谈判。</w:t>
      </w:r>
    </w:p>
    <w:p>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20.5 采购机构不可视情况延长提交响应文件的截止时间。</w:t>
      </w:r>
    </w:p>
    <w:p>
      <w:pPr>
        <w:spacing w:line="360" w:lineRule="auto"/>
        <w:ind w:firstLine="420" w:firstLineChars="200"/>
        <w:rPr>
          <w:rFonts w:ascii="黑体" w:hAnsi="黑体" w:eastAsia="黑体" w:cs="Times New Roman"/>
          <w:color w:val="auto"/>
          <w:sz w:val="24"/>
          <w:szCs w:val="24"/>
          <w:highlight w:val="none"/>
        </w:rPr>
      </w:pPr>
      <w:r>
        <w:rPr>
          <w:rFonts w:hint="eastAsia" w:ascii="宋体" w:hAnsi="宋体" w:eastAsia="宋体" w:cs="Times New Roman"/>
          <w:color w:val="auto"/>
          <w:szCs w:val="21"/>
          <w:highlight w:val="none"/>
        </w:rPr>
        <w:t>20.6备份响应文件。</w:t>
      </w:r>
      <w:r>
        <w:rPr>
          <w:rFonts w:hint="eastAsia" w:ascii="Times New Roman" w:hAnsi="宋体" w:eastAsia="宋体" w:cs="Times New Roman"/>
          <w:bCs/>
          <w:color w:val="auto"/>
          <w:szCs w:val="21"/>
          <w:highlight w:val="none"/>
        </w:rPr>
        <w:t>详见“供应商须知前附表”。</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21.首次响应文件的补充、修改与撤回</w:t>
      </w:r>
    </w:p>
    <w:p>
      <w:pPr>
        <w:adjustRightInd w:val="0"/>
        <w:spacing w:line="360" w:lineRule="auto"/>
        <w:ind w:firstLine="420" w:firstLineChars="200"/>
        <w:rPr>
          <w:rFonts w:ascii="宋体" w:hAnsi="宋体" w:eastAsia="宋体" w:cs="仿宋_GB2312"/>
          <w:color w:val="auto"/>
          <w:kern w:val="0"/>
          <w:szCs w:val="21"/>
          <w:highlight w:val="none"/>
        </w:rPr>
      </w:pPr>
      <w:r>
        <w:rPr>
          <w:rFonts w:hint="eastAsia" w:ascii="宋体" w:hAnsi="宋体" w:eastAsia="宋体" w:cs="仿宋_GB2312"/>
          <w:color w:val="auto"/>
          <w:kern w:val="0"/>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pPr>
        <w:spacing w:line="360" w:lineRule="auto"/>
        <w:ind w:firstLine="482" w:firstLineChars="200"/>
        <w:rPr>
          <w:rFonts w:ascii="黑体" w:hAnsi="黑体" w:eastAsia="黑体" w:cs="宋体"/>
          <w:b/>
          <w:bCs/>
          <w:color w:val="auto"/>
          <w:sz w:val="24"/>
          <w:szCs w:val="24"/>
          <w:highlight w:val="none"/>
        </w:rPr>
      </w:pPr>
      <w:bookmarkStart w:id="99" w:name="_Hlk45702405"/>
      <w:r>
        <w:rPr>
          <w:rFonts w:hint="eastAsia" w:ascii="黑体" w:hAnsi="黑体" w:eastAsia="黑体" w:cs="宋体"/>
          <w:b/>
          <w:bCs/>
          <w:color w:val="auto"/>
          <w:sz w:val="24"/>
          <w:szCs w:val="24"/>
          <w:highlight w:val="none"/>
        </w:rPr>
        <w:t>22.截止时间后的撤回</w:t>
      </w:r>
    </w:p>
    <w:bookmarkEnd w:id="99"/>
    <w:p>
      <w:pPr>
        <w:pStyle w:val="15"/>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供应商在首次响应文件提交截止时间后向采购人、采购代理机构书面申请撤回响应文件的，将根据本须知正文第17.4条的规定不予退还其谈判保证金（</w:t>
      </w:r>
      <w:r>
        <w:rPr>
          <w:rFonts w:hint="eastAsia" w:ascii="宋体" w:hAnsi="宋体" w:cs="宋体"/>
          <w:color w:val="auto"/>
          <w:szCs w:val="21"/>
          <w:highlight w:val="none"/>
          <w:lang w:val="en-US"/>
        </w:rPr>
        <w:t>如有</w:t>
      </w:r>
      <w:r>
        <w:rPr>
          <w:rFonts w:hint="eastAsia" w:ascii="宋体" w:hAnsi="宋体" w:cs="宋体"/>
          <w:color w:val="auto"/>
          <w:szCs w:val="21"/>
          <w:highlight w:val="none"/>
        </w:rPr>
        <w:t>）。</w:t>
      </w:r>
    </w:p>
    <w:p>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100" w:name="_Toc80205928"/>
      <w:bookmarkStart w:id="101" w:name="_Toc29978"/>
      <w:bookmarkStart w:id="102" w:name="_Toc8836"/>
      <w:r>
        <w:rPr>
          <w:rFonts w:hint="eastAsia" w:ascii="宋体" w:hAnsi="宋体" w:eastAsia="宋体" w:cs="Times New Roman"/>
          <w:color w:val="auto"/>
          <w:sz w:val="32"/>
          <w:szCs w:val="32"/>
          <w:highlight w:val="none"/>
          <w:lang w:val="zh-CN"/>
        </w:rPr>
        <w:t>四、评审及谈判</w:t>
      </w:r>
      <w:bookmarkEnd w:id="100"/>
      <w:bookmarkEnd w:id="101"/>
      <w:bookmarkEnd w:id="102"/>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23.谈判小组成立</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23.2评审专家应当从政府采购评审专家库内相关专业的专家名单中随机抽取。</w:t>
      </w:r>
    </w:p>
    <w:p>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4</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首次响应文件的开启</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24.1首次响应文件由谈判小组或者采购代理机构在“供应商须知前附表”规定的时间开启。</w:t>
      </w:r>
    </w:p>
    <w:p>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.2 响应文件解密</w:t>
      </w:r>
    </w:p>
    <w:p>
      <w:pPr>
        <w:snapToGrid w:val="0"/>
        <w:spacing w:line="360" w:lineRule="auto"/>
        <w:ind w:firstLine="420" w:firstLineChars="200"/>
        <w:rPr>
          <w:rFonts w:ascii="宋体" w:hAnsi="宋体" w:eastAsia="宋体" w:cs="宋体"/>
          <w:color w:val="auto"/>
          <w:kern w:val="0"/>
          <w:szCs w:val="21"/>
          <w:highlight w:val="none"/>
          <w:lang w:val="zh-CN"/>
        </w:rPr>
      </w:pPr>
      <w:r>
        <w:rPr>
          <w:rFonts w:hint="eastAsia" w:ascii="宋体" w:hAnsi="宋体" w:eastAsia="宋体" w:cs="宋体"/>
          <w:bCs/>
          <w:color w:val="auto"/>
          <w:kern w:val="0"/>
          <w:szCs w:val="21"/>
          <w:highlight w:val="none"/>
          <w:lang w:val="zh-CN"/>
        </w:rPr>
        <w:t>采购代理机构将在“供应商须知前附表”规定的时</w:t>
      </w:r>
      <w:r>
        <w:rPr>
          <w:rFonts w:hint="eastAsia" w:ascii="宋体" w:hAnsi="宋体" w:eastAsia="宋体" w:cs="宋体"/>
          <w:color w:val="auto"/>
          <w:kern w:val="0"/>
          <w:szCs w:val="21"/>
          <w:highlight w:val="none"/>
          <w:lang w:val="zh-CN"/>
        </w:rPr>
        <w:t>间通过电子交易平台组织响应文件开启，采购机构依托电子交易平台发起开始解密指令，供应商的法定代表人或其委托代理人</w:t>
      </w:r>
      <w:r>
        <w:rPr>
          <w:rFonts w:hint="eastAsia" w:ascii="宋体" w:hAnsi="宋体" w:eastAsia="宋体" w:cs="宋体"/>
          <w:b/>
          <w:color w:val="auto"/>
          <w:kern w:val="0"/>
          <w:szCs w:val="21"/>
          <w:highlight w:val="none"/>
          <w:lang w:val="zh-CN"/>
        </w:rPr>
        <w:t>须携带加密时所用的CA锁按平台提示和采购文件的规定登录到广西政府采购云平台电子开标大厅签到并在发起解密指令之时起在</w:t>
      </w:r>
      <w:r>
        <w:rPr>
          <w:rFonts w:hint="eastAsia" w:ascii="宋体" w:hAnsi="宋体" w:eastAsia="宋体" w:cs="宋体"/>
          <w:b/>
          <w:color w:val="auto"/>
          <w:kern w:val="0"/>
          <w:szCs w:val="21"/>
          <w:highlight w:val="none"/>
        </w:rPr>
        <w:t>规定的时间内</w:t>
      </w:r>
      <w:r>
        <w:rPr>
          <w:rFonts w:hint="eastAsia" w:ascii="宋体" w:hAnsi="宋体" w:eastAsia="宋体" w:cs="宋体"/>
          <w:b/>
          <w:color w:val="auto"/>
          <w:kern w:val="0"/>
          <w:szCs w:val="21"/>
          <w:highlight w:val="none"/>
          <w:lang w:val="zh-CN"/>
        </w:rPr>
        <w:t>完成对电子响应文件在线解密</w:t>
      </w: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1"/>
          <w:szCs w:val="21"/>
          <w:highlight w:val="none"/>
        </w:rPr>
        <w:t>响应文件未按时</w:t>
      </w:r>
      <w:r>
        <w:rPr>
          <w:rFonts w:hint="eastAsia" w:ascii="宋体" w:hAnsi="宋体" w:eastAsia="宋体" w:cs="宋体"/>
          <w:color w:val="auto"/>
          <w:kern w:val="0"/>
          <w:szCs w:val="21"/>
          <w:highlight w:val="none"/>
          <w:lang w:val="zh-CN"/>
        </w:rPr>
        <w:t>解密的，</w:t>
      </w:r>
      <w:r>
        <w:rPr>
          <w:rFonts w:hint="eastAsia" w:ascii="宋体" w:hAnsi="宋体" w:eastAsia="宋体" w:cs="宋体"/>
          <w:b/>
          <w:color w:val="auto"/>
          <w:kern w:val="0"/>
          <w:szCs w:val="21"/>
          <w:highlight w:val="none"/>
          <w:lang w:val="zh-CN"/>
        </w:rPr>
        <w:t>视为响应文件无效。</w:t>
      </w:r>
      <w:r>
        <w:rPr>
          <w:rFonts w:hint="eastAsia" w:ascii="宋体" w:hAnsi="宋体" w:eastAsia="宋体" w:cs="宋体"/>
          <w:color w:val="auto"/>
          <w:kern w:val="0"/>
          <w:szCs w:val="21"/>
          <w:highlight w:val="none"/>
          <w:lang w:val="zh-CN"/>
        </w:rPr>
        <w:t>（解密</w:t>
      </w:r>
      <w:r>
        <w:rPr>
          <w:rFonts w:hint="eastAsia" w:ascii="宋体" w:hAnsi="宋体" w:eastAsia="宋体" w:cs="宋体"/>
          <w:bCs/>
          <w:color w:val="auto"/>
          <w:kern w:val="0"/>
          <w:szCs w:val="21"/>
          <w:highlight w:val="none"/>
          <w:lang w:val="zh-CN"/>
        </w:rPr>
        <w:t>异常情况处理：详见本章</w:t>
      </w:r>
      <w:r>
        <w:rPr>
          <w:rFonts w:hint="eastAsia" w:ascii="宋体" w:hAnsi="宋体" w:eastAsia="宋体" w:cs="宋体"/>
          <w:color w:val="auto"/>
          <w:kern w:val="0"/>
          <w:szCs w:val="21"/>
          <w:highlight w:val="none"/>
          <w:lang w:val="zh-CN"/>
        </w:rPr>
        <w:t>2</w:t>
      </w:r>
      <w:r>
        <w:rPr>
          <w:rFonts w:hint="eastAsia" w:ascii="宋体" w:hAnsi="宋体" w:eastAsia="宋体" w:cs="宋体"/>
          <w:color w:val="auto"/>
          <w:kern w:val="0"/>
          <w:szCs w:val="21"/>
          <w:highlight w:val="none"/>
        </w:rPr>
        <w:t>5</w:t>
      </w:r>
      <w:r>
        <w:rPr>
          <w:rFonts w:hint="eastAsia" w:ascii="宋体" w:hAnsi="宋体" w:eastAsia="宋体" w:cs="宋体"/>
          <w:color w:val="auto"/>
          <w:kern w:val="0"/>
          <w:szCs w:val="21"/>
          <w:highlight w:val="none"/>
          <w:lang w:val="zh-CN"/>
        </w:rPr>
        <w:t>.3 电子交易活动的中止。）</w:t>
      </w:r>
    </w:p>
    <w:p>
      <w:pPr>
        <w:spacing w:line="360" w:lineRule="auto"/>
        <w:ind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如</w:t>
      </w:r>
      <w:r>
        <w:rPr>
          <w:rFonts w:hint="eastAsia" w:ascii="宋体" w:hAnsi="宋体" w:eastAsia="宋体" w:cs="宋体"/>
          <w:bCs/>
          <w:color w:val="auto"/>
          <w:kern w:val="0"/>
          <w:szCs w:val="21"/>
          <w:highlight w:val="none"/>
          <w:lang w:val="zh-CN"/>
        </w:rPr>
        <w:t>供应商成功解密响应文件，但未在“</w:t>
      </w:r>
      <w:r>
        <w:rPr>
          <w:rFonts w:hint="eastAsia" w:ascii="宋体" w:hAnsi="宋体" w:cs="宋体"/>
          <w:color w:val="auto"/>
          <w:szCs w:val="21"/>
          <w:highlight w:val="none"/>
        </w:rPr>
        <w:t>广西政府采购云平台</w:t>
      </w:r>
      <w:r>
        <w:rPr>
          <w:rFonts w:hint="eastAsia" w:ascii="宋体" w:hAnsi="宋体" w:eastAsia="宋体" w:cs="宋体"/>
          <w:bCs/>
          <w:color w:val="auto"/>
          <w:kern w:val="0"/>
          <w:szCs w:val="21"/>
          <w:highlight w:val="none"/>
          <w:lang w:val="zh-CN"/>
        </w:rPr>
        <w:t>”电子开标大厅参加谈判的，视同认可谈判过程和结果，</w:t>
      </w:r>
      <w:r>
        <w:rPr>
          <w:rFonts w:hint="eastAsia" w:ascii="宋体" w:hAnsi="宋体" w:eastAsia="宋体" w:cs="宋体"/>
          <w:color w:val="auto"/>
          <w:kern w:val="0"/>
          <w:szCs w:val="21"/>
          <w:highlight w:val="none"/>
          <w:lang w:val="zh-CN"/>
        </w:rPr>
        <w:t>由此产生的后果由供应商自行负责。 参与谈判的供应商不足3家的，不得谈判。</w:t>
      </w:r>
    </w:p>
    <w:p>
      <w:pPr>
        <w:spacing w:line="360" w:lineRule="auto"/>
        <w:ind w:firstLine="482" w:firstLineChars="200"/>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25.评审程序、评审方法和成交标准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25.1</w:t>
      </w:r>
      <w:r>
        <w:rPr>
          <w:rFonts w:hint="eastAsia" w:ascii="宋体" w:hAnsi="宋体" w:eastAsia="宋体" w:cs="宋体"/>
          <w:color w:val="auto"/>
          <w:highlight w:val="none"/>
        </w:rPr>
        <w:t>本项目的评审方法详见“供应商须知前附表”。</w:t>
      </w:r>
      <w:r>
        <w:rPr>
          <w:rFonts w:hint="eastAsia" w:ascii="宋体" w:hAnsi="宋体" w:eastAsia="宋体" w:cs="宋体"/>
          <w:color w:val="auto"/>
          <w:szCs w:val="21"/>
          <w:highlight w:val="none"/>
        </w:rPr>
        <w:t>谈判小组按照“第四章 评审程序、评审方法和成交标准”规定的方法、评审因素、标准和程序对响应文件进行评审。</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25.2 采购需求负偏离要求及谈判顺序详见 “供应商须知前附表”。</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25.3电子交易活动的中止。采购过程中出现以下情形，导致电子交易平台无法正常运行，或者无法保证电子交易的公平、公正和安全时，采购机构可中止电子交易活动：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（1）电子交易平台发生故障而无法登录访问的； </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（2）电子交易平台应用或数据库出现错误，不能进行正常操作的；</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（3）电子交易平台发现严重安全漏洞，有潜在泄密危险的；</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（4）病毒发作导致不能进行正常操作的； </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（5）其他无法保证电子交易的公平、公正和安全的情况。</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25.4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103" w:name="_Toc27003"/>
      <w:bookmarkStart w:id="104" w:name="_Toc29707"/>
      <w:bookmarkStart w:id="105" w:name="_Toc80205929"/>
      <w:r>
        <w:rPr>
          <w:rFonts w:hint="eastAsia" w:ascii="宋体" w:hAnsi="宋体" w:eastAsia="宋体" w:cs="Times New Roman"/>
          <w:color w:val="auto"/>
          <w:sz w:val="32"/>
          <w:szCs w:val="32"/>
          <w:highlight w:val="none"/>
          <w:lang w:val="zh-CN"/>
        </w:rPr>
        <w:t>五、成交及合同</w:t>
      </w:r>
      <w:bookmarkEnd w:id="103"/>
      <w:bookmarkEnd w:id="104"/>
      <w:bookmarkEnd w:id="105"/>
    </w:p>
    <w:p>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6.确定成交供应商及结果公告</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u w:val="single"/>
        </w:rPr>
        <w:t>26.1确定成交供应商。</w:t>
      </w:r>
      <w:r>
        <w:rPr>
          <w:rFonts w:hint="eastAsia" w:ascii="宋体" w:hAnsi="宋体" w:eastAsia="宋体" w:cs="宋体"/>
          <w:color w:val="auto"/>
          <w:szCs w:val="21"/>
          <w:highlight w:val="none"/>
        </w:rPr>
        <w:t>采购代理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26.2成交通知及成交结果公告。采购代理机构应当在</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排名第二的成交候选人因上述规定的同样原因被取消成交资格的，采购人可以依法确定排名第三的成交候选人为成交供应商，以此类推。以上信息查询记录及相关证据与谈判文件一并保存。</w:t>
      </w:r>
      <w:bookmarkStart w:id="106" w:name="_Hlk66782294"/>
      <w:r>
        <w:rPr>
          <w:rFonts w:hint="eastAsia" w:ascii="宋体" w:hAnsi="宋体" w:eastAsia="宋体" w:cs="宋体"/>
          <w:color w:val="auto"/>
          <w:szCs w:val="21"/>
          <w:highlight w:val="none"/>
        </w:rPr>
        <w:t>成交供应商享受《政府采购促进中小企业发展管理办法》（财库〔2020〕46号）规定的中小企业扶持政策的，采购人、采购代理机构应当随成交结果公开成交供应商的《中小企业声明函》。</w:t>
      </w:r>
      <w:bookmarkEnd w:id="106"/>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bCs/>
          <w:color w:val="auto"/>
          <w:szCs w:val="21"/>
          <w:highlight w:val="none"/>
        </w:rPr>
        <w:t>26.5排名第一的成交候选人放弃成交，采购人可以按照评审报告推荐的成交候选人名单排序，依法确定下一候选人为成交</w:t>
      </w:r>
      <w:r>
        <w:rPr>
          <w:rFonts w:hint="eastAsia" w:ascii="宋体" w:hAnsi="宋体" w:eastAsia="宋体" w:cs="宋体"/>
          <w:color w:val="auto"/>
          <w:szCs w:val="21"/>
          <w:highlight w:val="none"/>
        </w:rPr>
        <w:t>供应商</w:t>
      </w:r>
      <w:r>
        <w:rPr>
          <w:rFonts w:hint="eastAsia" w:ascii="宋体" w:hAnsi="宋体" w:eastAsia="宋体" w:cs="宋体"/>
          <w:bCs/>
          <w:color w:val="auto"/>
          <w:szCs w:val="21"/>
          <w:highlight w:val="none"/>
        </w:rPr>
        <w:t>，也可以重新开展政府采购活动。</w:t>
      </w:r>
    </w:p>
    <w:p>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7.履约保证金</w:t>
      </w:r>
    </w:p>
    <w:p>
      <w:pPr>
        <w:pStyle w:val="13"/>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rPr>
        <w:t>7</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rFonts w:hint="eastAsia" w:ascii="宋体" w:hAnsi="宋体" w:cs="宋体"/>
          <w:color w:val="auto"/>
          <w:highlight w:val="none"/>
        </w:rPr>
        <w:t>与采购人</w:t>
      </w:r>
      <w:r>
        <w:rPr>
          <w:rFonts w:hint="eastAsia" w:ascii="宋体" w:hAnsi="宋体" w:cs="宋体"/>
          <w:color w:val="auto"/>
          <w:szCs w:val="21"/>
          <w:highlight w:val="none"/>
        </w:rPr>
        <w:t>签订合同，采购人可以按照评审报告推荐的成交候选人名单排序，</w:t>
      </w:r>
      <w:r>
        <w:rPr>
          <w:rFonts w:hint="eastAsia" w:ascii="宋体" w:hAnsi="宋体" w:cs="宋体"/>
          <w:color w:val="auto"/>
          <w:szCs w:val="21"/>
          <w:highlight w:val="none"/>
          <w:lang w:val="en-US"/>
        </w:rPr>
        <w:t>依法</w:t>
      </w:r>
      <w:r>
        <w:rPr>
          <w:rFonts w:hint="eastAsia" w:ascii="宋体" w:hAnsi="宋体" w:cs="宋体"/>
          <w:color w:val="auto"/>
          <w:szCs w:val="21"/>
          <w:highlight w:val="none"/>
        </w:rPr>
        <w:t>确定下一候选人为成交供应商，也可以重新开展政府采购活动。</w:t>
      </w:r>
    </w:p>
    <w:p>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27.2签订合同后，如成交供应商不按双方签订的合同规定履约，则没收其全部履约保证金，履约保证金不足以赔偿损失的，按实际损失赔偿。</w:t>
      </w:r>
    </w:p>
    <w:p>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27.3在履约保证金退还日期前，若成交供应商的开户名称、开户银行、账号有变动的，请以书面形式通知履约保证金收取单位，否则由此产生的后果由成交供应商自负。</w:t>
      </w:r>
    </w:p>
    <w:p>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8.签订合同</w:t>
      </w:r>
    </w:p>
    <w:p>
      <w:pPr>
        <w:adjustRightInd w:val="0"/>
        <w:snapToGrid w:val="0"/>
        <w:spacing w:line="360" w:lineRule="auto"/>
        <w:ind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28.1采购人与成交供应商应当在成交通知书规定的时间内，按照谈判文件确定的合同文本以及采购标的、货物技术、采购金额、采购数量、技术和货物要求等事项签订政府采购合同。</w:t>
      </w:r>
      <w:r>
        <w:rPr>
          <w:rFonts w:hint="eastAsia" w:ascii="宋体" w:hAnsi="宋体" w:eastAsia="宋体" w:cs="宋体"/>
          <w:color w:val="auto"/>
          <w:kern w:val="0"/>
          <w:szCs w:val="21"/>
          <w:highlight w:val="none"/>
          <w:lang w:val="zh-CN"/>
        </w:rPr>
        <w:t>如成交供应商为联合体的，由联合体成员各方法定代表人或其授权代表与采购人代表签订合同。</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28.3成交供应商拒绝签订政府采购合同的，采购人可以按照评审报告推荐的成交候选人名单排序，依法确定下一候选人为成交供应商，也可以重新开展采购活动。拒绝签订政府采购合同的成交供应商不得参加对该项目重新开展的采购活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28.4如签订合同并生效后，供应商无故拒绝或延期，除按照合同条款处理外，列入不良行为记录，并给予通报。</w:t>
      </w:r>
    </w:p>
    <w:p>
      <w:pPr>
        <w:spacing w:line="360" w:lineRule="auto"/>
        <w:ind w:firstLine="42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Cs w:val="21"/>
          <w:highlight w:val="none"/>
        </w:rPr>
        <w:t>28.5采购合同由采购人与成交供应商根据谈判文件、响应文件等内容签订，</w:t>
      </w:r>
      <w:r>
        <w:rPr>
          <w:rFonts w:hint="eastAsia" w:ascii="宋体" w:hAnsi="宋体" w:eastAsia="宋体" w:cs="宋体"/>
          <w:color w:val="auto"/>
          <w:szCs w:val="21"/>
          <w:highlight w:val="none"/>
        </w:rPr>
        <w:t>成交供应商应当在签订合同时按供应商须知前附表规定向采购人出示相关证明材料，经采购人核验合格后方可签订合同。</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29.政府采购合同公告</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3</w:t>
      </w:r>
      <w:r>
        <w:rPr>
          <w:rFonts w:hint="eastAsia" w:ascii="黑体" w:hAnsi="黑体" w:eastAsia="黑体" w:cs="宋体"/>
          <w:b/>
          <w:bCs/>
          <w:color w:val="auto"/>
          <w:sz w:val="24"/>
          <w:szCs w:val="24"/>
          <w:highlight w:val="none"/>
        </w:rPr>
        <w:t>0.询问、质疑和投诉</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30.1供应商对政府采购活动事项有疑问的，可以向采购人或者采购代理机构提出询问，采购人或者采购代理机构应当在3个工作日内对供应商依法提出的询问作出答复。</w:t>
      </w:r>
    </w:p>
    <w:p>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color w:val="auto"/>
          <w:szCs w:val="24"/>
          <w:highlight w:val="none"/>
        </w:rPr>
        <w:t>30.2供应商认为谈判文件、采购过程或者成交结果使自己的合法权益受到损害的，应当在知道或者应知其权益受到损害之日起7个工作日内，以书面形式向采购人或者采购代理机构提出质疑，</w:t>
      </w:r>
      <w:r>
        <w:rPr>
          <w:rFonts w:hint="eastAsia" w:ascii="宋体" w:hAnsi="宋体" w:eastAsia="宋体" w:cs="宋体"/>
          <w:color w:val="auto"/>
          <w:szCs w:val="24"/>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szCs w:val="24"/>
          <w:highlight w:val="none"/>
        </w:rPr>
        <w:t>。</w:t>
      </w:r>
      <w:r>
        <w:rPr>
          <w:rFonts w:hint="eastAsia" w:ascii="宋体" w:hAnsi="宋体" w:eastAsia="宋体" w:cs="宋体"/>
          <w:b/>
          <w:color w:val="auto"/>
          <w:szCs w:val="21"/>
          <w:highlight w:val="none"/>
        </w:rPr>
        <w:t xml:space="preserve">具体质疑起算时间及处理方式如下： </w:t>
      </w:r>
    </w:p>
    <w:p>
      <w:pPr>
        <w:spacing w:line="360" w:lineRule="auto"/>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（1）潜在供应商依法获取采购文件后，认为采购文件使自己的权益受到损害的，应当在竞争性谈判文件公告期限届满之日起7个工作日内提出质疑。</w:t>
      </w:r>
      <w:r>
        <w:rPr>
          <w:rFonts w:hint="eastAsia" w:ascii="宋体" w:hAnsi="宋体" w:eastAsia="宋体" w:cs="宋体"/>
          <w:color w:val="auto"/>
          <w:szCs w:val="24"/>
          <w:highlight w:val="none"/>
        </w:rPr>
        <w:t>委托代理协议无特殊约定的，</w:t>
      </w:r>
      <w:r>
        <w:rPr>
          <w:rFonts w:hint="eastAsia" w:ascii="宋体" w:hAnsi="宋体" w:eastAsia="宋体" w:cs="宋体"/>
          <w:bCs/>
          <w:color w:val="auto"/>
          <w:szCs w:val="24"/>
          <w:highlight w:val="none"/>
        </w:rPr>
        <w:t>对竞争性谈判文件中采购需求（含资格要求、采购预算、</w:t>
      </w:r>
      <w:r>
        <w:rPr>
          <w:rFonts w:hint="eastAsia"/>
          <w:color w:val="auto"/>
          <w:highlight w:val="none"/>
          <w:lang w:val="zh-CN"/>
        </w:rPr>
        <w:t>评审方法和成交标准</w:t>
      </w:r>
      <w:r>
        <w:rPr>
          <w:rFonts w:hint="eastAsia" w:ascii="宋体" w:hAnsi="宋体" w:eastAsia="宋体" w:cs="宋体"/>
          <w:bCs/>
          <w:color w:val="auto"/>
          <w:szCs w:val="24"/>
          <w:highlight w:val="none"/>
        </w:rPr>
        <w:t>）的质疑由采购人受理并负责答复；对竞争性谈判文件中的采购执行程序的质疑由采购代理机构受理并负责答复。</w:t>
      </w:r>
    </w:p>
    <w:p>
      <w:pPr>
        <w:spacing w:line="360" w:lineRule="auto"/>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pPr>
        <w:spacing w:line="360" w:lineRule="auto"/>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（3）供应商认为成交结果使自己的权益受到损害的，应当在成交结果公告期限届满之日起7个工作日内提出质疑，由采购人受理并负责答复。</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30.3供应商提出的询问或者质疑超出采购人对采购代理机构委托授权范围的，采购代理机构应当告知供应商向采购人提出。政府采购评审专家应当配合采购人或者采购代理机构答复供应商的询问和质疑。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2" w:firstLineChars="200"/>
        <w:rPr>
          <w:rFonts w:ascii="宋体" w:hAnsi="宋体" w:eastAsia="宋体" w:cs="宋体"/>
          <w:color w:val="auto"/>
          <w:szCs w:val="24"/>
          <w:highlight w:val="none"/>
        </w:rPr>
      </w:pPr>
      <w:r>
        <w:rPr>
          <w:rFonts w:hint="eastAsia" w:ascii="宋体" w:hAnsi="宋体" w:eastAsia="宋体" w:cs="宋体"/>
          <w:b/>
          <w:bCs/>
          <w:color w:val="auto"/>
          <w:szCs w:val="24"/>
          <w:highlight w:val="none"/>
        </w:rPr>
        <w:t>30.4 供应商提出质疑应当提交质疑函和必要的证明材料，针对同一采购程序环节的质疑必须在法定质疑期内一次性提出。质疑函应当包括下列内容（质疑函格式后附）：</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（1）供应商的姓名或者名称、地址、邮编、联系人及联系电话；</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（2）质疑项目的名称、编号；</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（3）具体、明确的质疑事项和与质疑事项相关的请求；</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（4）事实依据；</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（5）必要的法律依据；</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（6）提出质疑的日期。</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30.5采购人、采购代理机构认为供应商质疑不成立，或者成立但未对成交结果构成影响的，继续开展采购活动；认为供应商质疑成立且影响或者可能影响成交结果的，按照下列情况处理：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质疑答复导致成交结果改变的，采购人或者采购代理机构应当将有关情况书面报告本级财政部门。</w:t>
      </w:r>
    </w:p>
    <w:p>
      <w:pPr>
        <w:spacing w:line="360" w:lineRule="auto"/>
        <w:ind w:firstLine="422" w:firstLineChars="200"/>
        <w:rPr>
          <w:rFonts w:ascii="宋体" w:hAnsi="宋体" w:eastAsia="宋体" w:cs="宋体"/>
          <w:b/>
          <w:bCs/>
          <w:color w:val="auto"/>
          <w:szCs w:val="24"/>
          <w:highlight w:val="none"/>
        </w:rPr>
      </w:pPr>
      <w:r>
        <w:rPr>
          <w:rFonts w:hint="eastAsia" w:ascii="宋体" w:hAnsi="宋体" w:eastAsia="宋体" w:cs="宋体"/>
          <w:b/>
          <w:bCs/>
          <w:color w:val="auto"/>
          <w:szCs w:val="24"/>
          <w:highlight w:val="none"/>
        </w:rPr>
        <w:t>30.6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见“供应商须知前附表”。</w:t>
      </w:r>
    </w:p>
    <w:p>
      <w:pPr>
        <w:keepNext/>
        <w:keepLines/>
        <w:spacing w:line="360" w:lineRule="auto"/>
        <w:ind w:firstLine="640" w:firstLineChars="200"/>
        <w:outlineLvl w:val="2"/>
        <w:rPr>
          <w:rFonts w:ascii="宋体" w:hAnsi="宋体" w:eastAsia="宋体" w:cs="Times New Roman"/>
          <w:bCs/>
          <w:color w:val="auto"/>
          <w:sz w:val="32"/>
          <w:szCs w:val="32"/>
          <w:highlight w:val="none"/>
          <w:lang w:val="zh-CN"/>
        </w:rPr>
      </w:pPr>
      <w:bookmarkStart w:id="107" w:name="_Toc25772"/>
      <w:bookmarkStart w:id="108" w:name="_Toc80205930"/>
      <w:bookmarkStart w:id="109" w:name="_Toc6502"/>
      <w:r>
        <w:rPr>
          <w:rFonts w:hint="eastAsia" w:ascii="宋体" w:hAnsi="宋体" w:eastAsia="宋体" w:cs="Times New Roman"/>
          <w:b w:val="0"/>
          <w:bCs w:val="0"/>
          <w:color w:val="auto"/>
          <w:sz w:val="32"/>
          <w:szCs w:val="32"/>
          <w:highlight w:val="none"/>
          <w:lang w:val="zh-CN"/>
        </w:rPr>
        <w:t>六</w:t>
      </w:r>
      <w:r>
        <w:rPr>
          <w:rFonts w:hint="eastAsia" w:ascii="宋体" w:hAnsi="宋体" w:eastAsia="宋体" w:cs="Times New Roman"/>
          <w:bCs/>
          <w:color w:val="auto"/>
          <w:sz w:val="32"/>
          <w:szCs w:val="32"/>
          <w:highlight w:val="none"/>
          <w:lang w:val="zh-CN"/>
        </w:rPr>
        <w:t>、验收</w:t>
      </w:r>
      <w:bookmarkEnd w:id="107"/>
      <w:bookmarkEnd w:id="108"/>
      <w:bookmarkEnd w:id="109"/>
    </w:p>
    <w:p>
      <w:pPr>
        <w:tabs>
          <w:tab w:val="left" w:pos="0"/>
        </w:tabs>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31.验收</w:t>
      </w:r>
    </w:p>
    <w:p>
      <w:pPr>
        <w:tabs>
          <w:tab w:val="left" w:pos="0"/>
        </w:tabs>
        <w:spacing w:line="360" w:lineRule="auto"/>
        <w:ind w:firstLine="420" w:firstLineChars="200"/>
        <w:rPr>
          <w:rFonts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20" w:firstLineChars="200"/>
        <w:rPr>
          <w:rFonts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20" w:firstLineChars="200"/>
        <w:rPr>
          <w:rFonts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w:t>
      </w:r>
      <w:r>
        <w:rPr>
          <w:rFonts w:hint="eastAsia" w:ascii="宋体" w:hAnsi="宋体" w:eastAsia="宋体" w:cs="宋体"/>
          <w:color w:val="auto"/>
          <w:kern w:val="0"/>
          <w:szCs w:val="21"/>
          <w:highlight w:val="none"/>
        </w:rPr>
        <w:t>（如有）</w:t>
      </w:r>
      <w:r>
        <w:rPr>
          <w:rFonts w:hint="eastAsia" w:ascii="宋体" w:hAnsi="宋体" w:eastAsia="宋体" w:cs="Helvetica"/>
          <w:color w:val="auto"/>
          <w:kern w:val="0"/>
          <w:szCs w:val="21"/>
          <w:highlight w:val="none"/>
        </w:rPr>
        <w:t>返还条件挂钩。履约验收的各项资料应当存档备查。</w:t>
      </w:r>
    </w:p>
    <w:p>
      <w:pPr>
        <w:tabs>
          <w:tab w:val="left" w:pos="0"/>
        </w:tabs>
        <w:spacing w:line="360" w:lineRule="auto"/>
        <w:ind w:firstLine="420" w:firstLineChars="200"/>
        <w:rPr>
          <w:rFonts w:ascii="宋体" w:hAnsi="宋体" w:eastAsia="宋体" w:cs="宋体"/>
          <w:color w:val="auto"/>
          <w:szCs w:val="21"/>
          <w:highlight w:val="none"/>
        </w:rPr>
      </w:pPr>
      <w:r>
        <w:rPr>
          <w:rFonts w:hint="eastAsia" w:ascii="宋体" w:hAnsi="宋体" w:eastAsia="宋体" w:cs="Helvetica"/>
          <w:color w:val="auto"/>
          <w:kern w:val="0"/>
          <w:szCs w:val="21"/>
          <w:highlight w:val="none"/>
        </w:rPr>
        <w:t>31.4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110" w:name="_Toc1379"/>
      <w:bookmarkStart w:id="111" w:name="_Toc80205931"/>
      <w:bookmarkStart w:id="112" w:name="_Toc15842"/>
      <w:r>
        <w:rPr>
          <w:rFonts w:hint="eastAsia" w:ascii="宋体" w:hAnsi="宋体" w:eastAsia="宋体" w:cs="Times New Roman"/>
          <w:color w:val="auto"/>
          <w:sz w:val="32"/>
          <w:szCs w:val="32"/>
          <w:highlight w:val="none"/>
          <w:lang w:val="zh-CN"/>
        </w:rPr>
        <w:t>七、其他事项</w:t>
      </w:r>
      <w:bookmarkEnd w:id="110"/>
      <w:bookmarkEnd w:id="111"/>
      <w:bookmarkEnd w:id="112"/>
    </w:p>
    <w:p>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3</w:t>
      </w:r>
      <w:r>
        <w:rPr>
          <w:rFonts w:hint="eastAsia" w:ascii="黑体" w:hAnsi="黑体" w:eastAsia="黑体" w:cs="宋体"/>
          <w:b/>
          <w:bCs/>
          <w:color w:val="auto"/>
          <w:sz w:val="24"/>
          <w:szCs w:val="24"/>
          <w:highlight w:val="none"/>
        </w:rPr>
        <w:t>2.采购代理服务费</w:t>
      </w:r>
    </w:p>
    <w:p>
      <w:pPr>
        <w:tabs>
          <w:tab w:val="left" w:pos="2835"/>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32.1采购代理服务费收费标准及缴费账户详见“供应商须知前附表”，供应商为联合体的，可以由联合体中的一方或者多方共同缴纳采购代理服务费。</w:t>
      </w:r>
    </w:p>
    <w:p>
      <w:pPr>
        <w:pStyle w:val="15"/>
        <w:ind w:firstLine="420" w:firstLineChars="200"/>
        <w:rPr>
          <w:rFonts w:ascii="宋体" w:hAnsi="宋体" w:cs="宋体"/>
          <w:color w:val="auto"/>
          <w:highlight w:val="none"/>
          <w:lang w:val="en-US"/>
        </w:rPr>
      </w:pPr>
      <w:r>
        <w:rPr>
          <w:rFonts w:hint="eastAsia" w:ascii="宋体" w:hAnsi="宋体" w:cs="宋体"/>
          <w:color w:val="auto"/>
          <w:highlight w:val="none"/>
          <w:lang w:val="en-US"/>
        </w:rPr>
        <w:t>32.2采购代理服务费收费计算标准：</w:t>
      </w:r>
    </w:p>
    <w:tbl>
      <w:tblPr>
        <w:tblStyle w:val="30"/>
        <w:tblpPr w:leftFromText="180" w:rightFromText="180" w:vertAnchor="text" w:horzAnchor="page" w:tblpX="1734" w:tblpY="411"/>
        <w:tblOverlap w:val="never"/>
        <w:tblW w:w="5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ind w:leftChars="1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金额</w:t>
            </w:r>
          </w:p>
        </w:tc>
        <w:tc>
          <w:tcPr>
            <w:tcW w:w="1659" w:type="dxa"/>
          </w:tcPr>
          <w:p>
            <w:pPr>
              <w:spacing w:line="360" w:lineRule="auto"/>
              <w:ind w:leftChars="100"/>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659"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659" w:type="dxa"/>
          </w:tcPr>
          <w:p>
            <w:pPr>
              <w:spacing w:line="360" w:lineRule="auto"/>
              <w:ind w:leftChars="100" w:firstLine="210" w:firstLine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659"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659" w:type="dxa"/>
          </w:tcPr>
          <w:p>
            <w:pPr>
              <w:spacing w:line="360" w:lineRule="auto"/>
              <w:ind w:leftChars="100" w:firstLine="210" w:firstLine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659" w:type="dxa"/>
          </w:tcPr>
          <w:p>
            <w:pPr>
              <w:spacing w:line="360" w:lineRule="auto"/>
              <w:ind w:leftChars="100" w:firstLine="210" w:firstLine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659" w:type="dxa"/>
          </w:tcPr>
          <w:p>
            <w:pPr>
              <w:spacing w:line="360" w:lineRule="auto"/>
              <w:ind w:leftChars="100" w:firstLine="210" w:firstLineChars="100"/>
              <w:rPr>
                <w:rFonts w:ascii="宋体" w:hAnsi="宋体" w:eastAsia="宋体" w:cs="宋体"/>
                <w:color w:val="auto"/>
                <w:szCs w:val="21"/>
                <w:highlight w:val="none"/>
              </w:rPr>
            </w:pPr>
            <w:r>
              <w:rPr>
                <w:rFonts w:hint="eastAsia" w:ascii="宋体" w:hAnsi="宋体" w:eastAsia="宋体" w:cs="宋体"/>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659" w:type="dxa"/>
          </w:tcPr>
          <w:p>
            <w:pPr>
              <w:spacing w:line="360" w:lineRule="auto"/>
              <w:ind w:leftChars="100" w:firstLine="105" w:firstLineChars="50"/>
              <w:rPr>
                <w:rFonts w:ascii="宋体" w:hAnsi="宋体" w:eastAsia="宋体" w:cs="宋体"/>
                <w:color w:val="auto"/>
                <w:szCs w:val="21"/>
                <w:highlight w:val="none"/>
              </w:rPr>
            </w:pPr>
            <w:r>
              <w:rPr>
                <w:rFonts w:hint="eastAsia" w:ascii="宋体" w:hAnsi="宋体" w:eastAsia="宋体" w:cs="宋体"/>
                <w:color w:val="auto"/>
                <w:szCs w:val="21"/>
                <w:highlight w:val="none"/>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659" w:type="dxa"/>
          </w:tcPr>
          <w:p>
            <w:pPr>
              <w:spacing w:line="360" w:lineRule="auto"/>
              <w:ind w:leftChars="100" w:firstLine="105" w:firstLineChars="50"/>
              <w:rPr>
                <w:rFonts w:ascii="宋体" w:hAnsi="宋体" w:eastAsia="宋体" w:cs="宋体"/>
                <w:color w:val="auto"/>
                <w:szCs w:val="21"/>
                <w:highlight w:val="none"/>
              </w:rPr>
            </w:pPr>
            <w:r>
              <w:rPr>
                <w:rFonts w:hint="eastAsia" w:ascii="宋体" w:hAnsi="宋体" w:eastAsia="宋体" w:cs="宋体"/>
                <w:color w:val="auto"/>
                <w:szCs w:val="21"/>
                <w:highlight w:val="none"/>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659"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100亿元以上</w:t>
            </w:r>
          </w:p>
        </w:tc>
        <w:tc>
          <w:tcPr>
            <w:tcW w:w="1659" w:type="dxa"/>
          </w:tcPr>
          <w:p>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0.004%</w:t>
            </w:r>
          </w:p>
        </w:tc>
      </w:tr>
    </w:tbl>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 xml:space="preserve">注： </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（1）按本表费率计算的收费为采购代理的收费基准价格；</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（2）采购代理收费按差额定率累进法计算。</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例如：某货物采购代理业务成交金额或者暂定价为150万元，计算采购代理收费额如下：</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100 万元 ×l.5 ％＝ 1.5 万元</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 150 － 100 ）万元 ×1.1％＝ 0.55 万元</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合计收费＝ 1.5 ＋ 0.55＝ 2.05 （万元）</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33</w:t>
      </w:r>
      <w:r>
        <w:rPr>
          <w:rFonts w:ascii="黑体" w:hAnsi="黑体" w:eastAsia="黑体" w:cs="宋体"/>
          <w:b/>
          <w:bCs/>
          <w:color w:val="auto"/>
          <w:sz w:val="24"/>
          <w:szCs w:val="24"/>
          <w:highlight w:val="none"/>
        </w:rPr>
        <w:t>.需要补充的其他内容</w:t>
      </w:r>
    </w:p>
    <w:p>
      <w:pPr>
        <w:spacing w:line="360" w:lineRule="auto"/>
        <w:ind w:firstLine="420" w:firstLineChars="200"/>
        <w:contextualSpacing/>
        <w:rPr>
          <w:rFonts w:ascii="宋体" w:hAnsi="宋体" w:eastAsia="宋体" w:cs="Times New Roman"/>
          <w:color w:val="auto"/>
          <w:kern w:val="0"/>
          <w:szCs w:val="21"/>
          <w:highlight w:val="none"/>
          <w:lang w:val="zh-CN"/>
        </w:rPr>
      </w:pPr>
      <w:r>
        <w:rPr>
          <w:rFonts w:ascii="宋体" w:hAnsi="宋体" w:eastAsia="宋体" w:cs="Times New Roman"/>
          <w:color w:val="auto"/>
          <w:kern w:val="0"/>
          <w:szCs w:val="21"/>
          <w:highlight w:val="none"/>
          <w:lang w:val="zh-CN"/>
        </w:rPr>
        <w:t>3</w:t>
      </w:r>
      <w:r>
        <w:rPr>
          <w:rFonts w:hint="eastAsia" w:ascii="宋体" w:hAnsi="宋体" w:eastAsia="宋体" w:cs="Times New Roman"/>
          <w:color w:val="auto"/>
          <w:kern w:val="0"/>
          <w:szCs w:val="21"/>
          <w:highlight w:val="none"/>
        </w:rPr>
        <w:t>3</w:t>
      </w:r>
      <w:r>
        <w:rPr>
          <w:rFonts w:ascii="宋体" w:hAnsi="宋体" w:eastAsia="宋体" w:cs="Times New Roman"/>
          <w:color w:val="auto"/>
          <w:kern w:val="0"/>
          <w:szCs w:val="21"/>
          <w:highlight w:val="none"/>
          <w:lang w:val="zh-CN"/>
        </w:rPr>
        <w:t>.1</w:t>
      </w:r>
      <w:r>
        <w:rPr>
          <w:rFonts w:hint="eastAsia" w:ascii="宋体" w:hAnsi="宋体" w:eastAsia="宋体" w:cs="宋体"/>
          <w:color w:val="auto"/>
          <w:kern w:val="0"/>
          <w:szCs w:val="21"/>
          <w:highlight w:val="none"/>
          <w:lang w:val="zh-CN"/>
        </w:rPr>
        <w:t>本谈判文件解释规则详见</w:t>
      </w:r>
      <w:r>
        <w:rPr>
          <w:rFonts w:hint="eastAsia" w:ascii="宋体" w:hAnsi="宋体" w:eastAsia="宋体" w:cs="Times New Roman"/>
          <w:color w:val="auto"/>
          <w:kern w:val="0"/>
          <w:szCs w:val="21"/>
          <w:highlight w:val="none"/>
          <w:lang w:val="zh-CN"/>
        </w:rPr>
        <w:t>“供应商须知前附表”。</w:t>
      </w:r>
    </w:p>
    <w:p>
      <w:pPr>
        <w:spacing w:line="360" w:lineRule="auto"/>
        <w:ind w:firstLine="420" w:firstLineChars="200"/>
        <w:contextualSpacing/>
        <w:rPr>
          <w:rFonts w:ascii="Times New Roman" w:hAnsi="宋体" w:eastAsia="宋体" w:cs="Times New Roman"/>
          <w:color w:val="auto"/>
          <w:szCs w:val="24"/>
          <w:highlight w:val="none"/>
        </w:rPr>
      </w:pPr>
      <w:r>
        <w:rPr>
          <w:rFonts w:ascii="宋体" w:hAnsi="宋体" w:eastAsia="宋体" w:cs="宋体"/>
          <w:color w:val="auto"/>
          <w:kern w:val="0"/>
          <w:szCs w:val="21"/>
          <w:highlight w:val="none"/>
        </w:rPr>
        <w:t>3</w:t>
      </w:r>
      <w:r>
        <w:rPr>
          <w:rFonts w:hint="eastAsia" w:ascii="宋体" w:hAnsi="宋体" w:eastAsia="宋体" w:cs="宋体"/>
          <w:color w:val="auto"/>
          <w:kern w:val="0"/>
          <w:szCs w:val="21"/>
          <w:highlight w:val="none"/>
        </w:rPr>
        <w:t>3</w:t>
      </w:r>
      <w:r>
        <w:rPr>
          <w:rFonts w:ascii="宋体" w:hAnsi="宋体" w:eastAsia="宋体" w:cs="宋体"/>
          <w:color w:val="auto"/>
          <w:kern w:val="0"/>
          <w:szCs w:val="21"/>
          <w:highlight w:val="none"/>
        </w:rPr>
        <w:t>.2</w:t>
      </w:r>
      <w:r>
        <w:rPr>
          <w:rFonts w:hint="eastAsia" w:ascii="宋体" w:hAnsi="宋体" w:eastAsia="宋体" w:cs="宋体"/>
          <w:color w:val="auto"/>
          <w:kern w:val="0"/>
          <w:szCs w:val="21"/>
          <w:highlight w:val="none"/>
        </w:rPr>
        <w:t xml:space="preserve"> 其他事</w:t>
      </w:r>
      <w:r>
        <w:rPr>
          <w:rFonts w:hint="eastAsia" w:ascii="Times New Roman" w:hAnsi="宋体" w:eastAsia="宋体" w:cs="Times New Roman"/>
          <w:color w:val="auto"/>
          <w:szCs w:val="24"/>
          <w:highlight w:val="none"/>
        </w:rPr>
        <w:t>项详见“供应商须知前附表”。</w:t>
      </w:r>
    </w:p>
    <w:p>
      <w:pPr>
        <w:spacing w:line="360" w:lineRule="auto"/>
        <w:ind w:firstLine="420" w:firstLineChars="200"/>
        <w:contextualSpacing/>
        <w:rPr>
          <w:rFonts w:hAnsi="宋体" w:cs="宋体"/>
          <w:color w:val="auto"/>
          <w:highlight w:val="none"/>
        </w:rPr>
      </w:pPr>
      <w:r>
        <w:rPr>
          <w:rFonts w:hint="eastAsia" w:ascii="宋体" w:hAnsi="宋体" w:eastAsia="宋体" w:cs="Times New Roman"/>
          <w:color w:val="auto"/>
          <w:kern w:val="0"/>
          <w:szCs w:val="21"/>
          <w:highlight w:val="none"/>
          <w:lang w:val="zh-CN"/>
        </w:rPr>
        <w:t>3</w:t>
      </w:r>
      <w:r>
        <w:rPr>
          <w:rFonts w:hint="eastAsia" w:ascii="宋体" w:hAnsi="宋体" w:eastAsia="宋体" w:cs="Times New Roman"/>
          <w:color w:val="auto"/>
          <w:kern w:val="0"/>
          <w:szCs w:val="21"/>
          <w:highlight w:val="none"/>
        </w:rPr>
        <w:t>3</w:t>
      </w:r>
      <w:r>
        <w:rPr>
          <w:rFonts w:ascii="宋体" w:hAnsi="宋体" w:eastAsia="宋体" w:cs="Times New Roman"/>
          <w:color w:val="auto"/>
          <w:kern w:val="0"/>
          <w:szCs w:val="21"/>
          <w:highlight w:val="none"/>
          <w:lang w:val="zh-CN"/>
        </w:rPr>
        <w:t>.3</w:t>
      </w:r>
      <w:bookmarkStart w:id="113" w:name="_Hlk65857140"/>
      <w:r>
        <w:rPr>
          <w:rFonts w:hint="eastAsia" w:ascii="宋体" w:hAnsi="宋体" w:eastAsia="宋体" w:cs="Times New Roman"/>
          <w:color w:val="auto"/>
          <w:kern w:val="0"/>
          <w:szCs w:val="21"/>
          <w:highlight w:val="none"/>
          <w:lang w:val="zh-CN"/>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hAnsi="宋体" w:cs="宋体"/>
          <w:color w:val="auto"/>
          <w:highlight w:val="none"/>
        </w:rPr>
        <w:t>在政府采购活动中，供应商提供的货物由中小企业制造，即货物由中小企业生产且使用该中小企业商号或者注册商标，不对其中涉及的工程承建商和服务的承接商作出要求，享受本文件规定的中小企业扶持政策。</w:t>
      </w:r>
    </w:p>
    <w:p>
      <w:pPr>
        <w:pStyle w:val="19"/>
        <w:spacing w:line="360" w:lineRule="auto"/>
        <w:ind w:firstLine="420" w:firstLineChars="200"/>
        <w:rPr>
          <w:rFonts w:hAnsi="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pPr>
        <w:spacing w:line="360" w:lineRule="auto"/>
        <w:ind w:firstLine="420" w:firstLineChars="200"/>
        <w:textAlignment w:val="center"/>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依据本文件规定享受扶持政策获得政府采购合同的，小微企业不得将合同分包给大中型企业，中型企业不得将合同分包给大型企业。</w:t>
      </w:r>
      <w:bookmarkEnd w:id="113"/>
    </w:p>
    <w:p>
      <w:pPr>
        <w:spacing w:line="360" w:lineRule="auto"/>
        <w:ind w:firstLine="482" w:firstLineChars="200"/>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34.</w:t>
      </w:r>
      <w:r>
        <w:rPr>
          <w:rFonts w:hint="eastAsia" w:ascii="黑体" w:hAnsi="黑体" w:eastAsia="黑体" w:cs="黑体"/>
          <w:b/>
          <w:bCs/>
          <w:color w:val="auto"/>
          <w:sz w:val="24"/>
          <w:highlight w:val="none"/>
        </w:rPr>
        <w:t>广西线上“政采贷”</w:t>
      </w:r>
      <w:r>
        <w:rPr>
          <w:rFonts w:hint="eastAsia" w:ascii="黑体" w:hAnsi="黑体" w:eastAsia="黑体" w:cs="黑体"/>
          <w:b/>
          <w:bCs/>
          <w:color w:val="auto"/>
          <w:sz w:val="24"/>
          <w:szCs w:val="24"/>
          <w:highlight w:val="none"/>
        </w:rPr>
        <w:t>政策告知函</w:t>
      </w:r>
    </w:p>
    <w:p>
      <w:pPr>
        <w:spacing w:line="580" w:lineRule="exact"/>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广西线上“政采贷”政策告知函</w:t>
      </w:r>
    </w:p>
    <w:p>
      <w:pPr>
        <w:spacing w:line="580" w:lineRule="exact"/>
        <w:rPr>
          <w:rFonts w:ascii="宋体" w:hAnsi="宋体" w:cs="宋体"/>
          <w:color w:val="auto"/>
          <w:szCs w:val="21"/>
          <w:highlight w:val="none"/>
        </w:rPr>
      </w:pPr>
      <w:r>
        <w:rPr>
          <w:rFonts w:hint="eastAsia" w:ascii="宋体" w:hAnsi="宋体" w:cs="宋体"/>
          <w:color w:val="auto"/>
          <w:szCs w:val="21"/>
          <w:highlight w:val="none"/>
        </w:rPr>
        <w:t>各供应商：</w:t>
      </w:r>
    </w:p>
    <w:p>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欢迎贵公司参与广西政府采购活动！</w:t>
      </w:r>
    </w:p>
    <w:p>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宋体" w:hAnsi="宋体" w:eastAsia="宋体" w:cs="宋体"/>
          <w:color w:val="auto"/>
          <w:szCs w:val="21"/>
          <w:highlight w:val="none"/>
        </w:rPr>
        <w:t>银行业金融机构</w:t>
      </w:r>
      <w:r>
        <w:rPr>
          <w:rFonts w:hint="eastAsia" w:ascii="宋体" w:hAnsi="宋体" w:cs="宋体"/>
          <w:color w:val="auto"/>
          <w:szCs w:val="21"/>
          <w:highlight w:val="none"/>
        </w:rPr>
        <w:t>申请贷款，融资机构将根据《中国人民银行南宁中心支行 广西壮族自治区财政厅关于推广线上“政采贷”融资模式的通知》（南宁银发〔2021〕258号），按照双方自愿的原则提供便捷、优惠的贷款服务。</w:t>
      </w:r>
    </w:p>
    <w:p>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相关金融产品和</w:t>
      </w:r>
      <w:r>
        <w:rPr>
          <w:rFonts w:hint="eastAsia" w:ascii="宋体" w:hAnsi="宋体" w:eastAsia="宋体" w:cs="宋体"/>
          <w:color w:val="auto"/>
          <w:szCs w:val="21"/>
          <w:highlight w:val="none"/>
        </w:rPr>
        <w:t>银行业金融机构</w:t>
      </w:r>
      <w:r>
        <w:rPr>
          <w:rFonts w:hint="eastAsia" w:ascii="宋体" w:hAnsi="宋体" w:cs="宋体"/>
          <w:color w:val="auto"/>
          <w:szCs w:val="21"/>
          <w:highlight w:val="none"/>
        </w:rPr>
        <w:t>联系方式，可在中征应收账款融资服务平台查询（网址：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Style w:val="36"/>
          <w:rFonts w:hint="eastAsia" w:ascii="宋体" w:hAnsi="宋体" w:eastAsia="宋体" w:cs="宋体"/>
          <w:color w:val="auto"/>
          <w:szCs w:val="21"/>
          <w:highlight w:val="none"/>
        </w:rPr>
        <w:t>https://www.crcrfsp.com/</w:t>
      </w:r>
      <w:r>
        <w:rPr>
          <w:rStyle w:val="36"/>
          <w:rFonts w:hint="eastAsia" w:ascii="宋体" w:hAnsi="宋体" w:eastAsia="宋体" w:cs="宋体"/>
          <w:color w:val="auto"/>
          <w:szCs w:val="21"/>
          <w:highlight w:val="none"/>
        </w:rPr>
        <w:fldChar w:fldCharType="end"/>
      </w:r>
      <w:r>
        <w:rPr>
          <w:rFonts w:hint="eastAsia" w:ascii="宋体" w:hAnsi="宋体" w:cs="宋体"/>
          <w:color w:val="auto"/>
          <w:szCs w:val="21"/>
          <w:highlight w:val="none"/>
        </w:rPr>
        <w:t>，客服电话：400-009-0001）。</w:t>
      </w:r>
    </w:p>
    <w:p>
      <w:pPr>
        <w:spacing w:line="360" w:lineRule="auto"/>
        <w:ind w:firstLine="402" w:firstLineChars="200"/>
        <w:contextualSpacing/>
        <w:rPr>
          <w:rFonts w:ascii="宋体" w:hAnsi="宋体" w:eastAsia="宋体" w:cs="Times New Roman"/>
          <w:b/>
          <w:color w:val="auto"/>
          <w:kern w:val="0"/>
          <w:sz w:val="20"/>
          <w:szCs w:val="21"/>
          <w:highlight w:val="none"/>
        </w:rPr>
      </w:pPr>
    </w:p>
    <w:p>
      <w:pPr>
        <w:rPr>
          <w:rFonts w:ascii="宋体" w:hAnsi="宋体" w:eastAsia="宋体" w:cs="Times New Roman"/>
          <w:b/>
          <w:color w:val="auto"/>
          <w:kern w:val="0"/>
          <w:sz w:val="20"/>
          <w:szCs w:val="21"/>
          <w:highlight w:val="none"/>
        </w:rPr>
      </w:pPr>
      <w:r>
        <w:rPr>
          <w:rFonts w:ascii="宋体" w:hAnsi="宋体" w:eastAsia="宋体" w:cs="Times New Roman"/>
          <w:b/>
          <w:color w:val="auto"/>
          <w:kern w:val="0"/>
          <w:sz w:val="20"/>
          <w:szCs w:val="21"/>
          <w:highlight w:val="none"/>
        </w:rPr>
        <w:br w:type="page"/>
      </w:r>
    </w:p>
    <w:p>
      <w:pPr>
        <w:pStyle w:val="3"/>
        <w:spacing w:line="360" w:lineRule="auto"/>
        <w:ind w:firstLine="1325" w:firstLineChars="300"/>
        <w:rPr>
          <w:color w:val="auto"/>
          <w:highlight w:val="none"/>
        </w:rPr>
      </w:pPr>
      <w:bookmarkStart w:id="114" w:name="_Toc11174"/>
      <w:bookmarkStart w:id="115" w:name="_Toc23199"/>
      <w:bookmarkStart w:id="116" w:name="_Toc80205932"/>
      <w:bookmarkStart w:id="117" w:name="_Toc17139"/>
      <w:r>
        <w:rPr>
          <w:rFonts w:hint="eastAsia"/>
          <w:color w:val="auto"/>
          <w:highlight w:val="none"/>
        </w:rPr>
        <w:t>第四章 评审程序、评审方法和成交标准</w:t>
      </w:r>
      <w:bookmarkEnd w:id="114"/>
      <w:bookmarkEnd w:id="115"/>
      <w:bookmarkEnd w:id="116"/>
      <w:bookmarkEnd w:id="117"/>
    </w:p>
    <w:p>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bookmarkStart w:id="118" w:name="_Toc10464"/>
      <w:bookmarkStart w:id="119" w:name="_Toc18230"/>
      <w:bookmarkStart w:id="120" w:name="_Toc80205933"/>
      <w:r>
        <w:rPr>
          <w:rFonts w:hint="eastAsia" w:ascii="宋体" w:hAnsi="宋体" w:eastAsia="宋体" w:cs="Times New Roman"/>
          <w:bCs/>
          <w:color w:val="auto"/>
          <w:sz w:val="32"/>
          <w:szCs w:val="32"/>
          <w:highlight w:val="none"/>
          <w:lang w:val="zh-CN"/>
        </w:rPr>
        <w:t>第一节 评审程序和评审方法</w:t>
      </w:r>
      <w:bookmarkEnd w:id="118"/>
      <w:bookmarkEnd w:id="119"/>
      <w:bookmarkEnd w:id="120"/>
    </w:p>
    <w:p>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1</w:t>
      </w:r>
      <w:r>
        <w:rPr>
          <w:rFonts w:hint="eastAsia" w:ascii="黑体" w:hAnsi="黑体" w:eastAsia="黑体" w:cs="宋体"/>
          <w:b/>
          <w:bCs/>
          <w:color w:val="auto"/>
          <w:sz w:val="24"/>
          <w:szCs w:val="24"/>
          <w:highlight w:val="none"/>
        </w:rPr>
        <w:t>.确认谈判文件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由谈判小组确认谈判文件。</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2.资格审查</w:t>
      </w:r>
    </w:p>
    <w:p>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2.1响应文件开启后，谈判小组依法对供应商的资格证明文件进行审查。</w:t>
      </w:r>
    </w:p>
    <w:p>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pPr>
        <w:snapToGri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eastAsia="宋体" w:cs="宋体"/>
          <w:color w:val="auto"/>
          <w:szCs w:val="21"/>
          <w:highlight w:val="none"/>
          <w:u w:val="single"/>
        </w:rPr>
        <w:t>www.creditchina.gov.cn</w:t>
      </w:r>
      <w:r>
        <w:rPr>
          <w:rFonts w:hint="eastAsia" w:ascii="宋体" w:hAnsi="宋体" w:eastAsia="宋体" w:cs="宋体"/>
          <w:color w:val="auto"/>
          <w:szCs w:val="21"/>
          <w:highlight w:val="none"/>
          <w:u w:val="single"/>
        </w:rPr>
        <w:fldChar w:fldCharType="end"/>
      </w:r>
      <w:r>
        <w:rPr>
          <w:rFonts w:hint="eastAsia" w:ascii="宋体" w:hAnsi="宋体" w:eastAsia="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eastAsia="宋体" w:cs="宋体"/>
          <w:color w:val="auto"/>
          <w:szCs w:val="21"/>
          <w:highlight w:val="none"/>
          <w:u w:val="single"/>
        </w:rPr>
        <w:t>www.ccgp.gov.cn</w:t>
      </w:r>
      <w:r>
        <w:rPr>
          <w:rFonts w:hint="eastAsia" w:ascii="宋体" w:hAnsi="宋体" w:eastAsia="宋体" w:cs="宋体"/>
          <w:color w:val="auto"/>
          <w:szCs w:val="21"/>
          <w:highlight w:val="none"/>
          <w:u w:val="single"/>
        </w:rPr>
        <w:fldChar w:fldCharType="end"/>
      </w:r>
      <w:r>
        <w:rPr>
          <w:rFonts w:hint="eastAsia" w:ascii="宋体" w:hAnsi="宋体" w:eastAsia="宋体" w:cs="宋体"/>
          <w:color w:val="auto"/>
          <w:szCs w:val="21"/>
          <w:highlight w:val="none"/>
        </w:rPr>
        <w:t>)链接入口。</w:t>
      </w:r>
    </w:p>
    <w:p>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查询记录和证据留存方式：在查询网站中直接查询记录，截图另存为电子文档作为评审资料保存。</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2.2资格审查标准为本谈判文件中载明对供应商资格要求的条件。资格审查采用合格制，凡符合谈判文件规定的供应商资格要求的响应文件均通过资格审查。</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2.3供应商有下列情形之一的，资格审查不通过，其响应文件作无效响应处理：</w:t>
      </w:r>
    </w:p>
    <w:p>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（1）不具备谈判文件中规定的资格要求的；</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pPr>
        <w:spacing w:line="360" w:lineRule="auto"/>
        <w:ind w:firstLine="420" w:firstLineChars="200"/>
        <w:rPr>
          <w:rFonts w:ascii="宋体" w:hAnsi="宋体" w:eastAsia="宋体" w:cs="宋体"/>
          <w:color w:val="auto"/>
          <w:szCs w:val="21"/>
          <w:highlight w:val="none"/>
        </w:rPr>
      </w:pPr>
      <w:bookmarkStart w:id="121"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121"/>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3.符合性审查</w:t>
      </w:r>
    </w:p>
    <w:p>
      <w:pPr>
        <w:spacing w:line="360" w:lineRule="auto"/>
        <w:ind w:firstLine="420" w:firstLineChars="200"/>
        <w:rPr>
          <w:rFonts w:ascii="宋体" w:hAnsi="宋体" w:eastAsia="宋体" w:cs="宋体"/>
          <w:color w:val="auto"/>
          <w:szCs w:val="21"/>
          <w:highlight w:val="none"/>
        </w:rPr>
      </w:pPr>
      <w:bookmarkStart w:id="122" w:name="_Hlk42528882"/>
      <w:r>
        <w:rPr>
          <w:rFonts w:hint="eastAsia" w:ascii="宋体" w:hAnsi="宋体" w:eastAsia="宋体" w:cs="宋体"/>
          <w:color w:val="auto"/>
          <w:szCs w:val="21"/>
          <w:highlight w:val="none"/>
        </w:rPr>
        <w:t>3.1由谈判小组对通过资格审查的合格供应商的响应文件的响应报价、商务、技术等实质性要求进行符合性审查，以确定其是否满足谈判文件的实质性要求。</w:t>
      </w:r>
    </w:p>
    <w:bookmarkEnd w:id="122"/>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ascii="宋体" w:hAnsi="宋体" w:eastAsia="宋体" w:cs="宋体"/>
          <w:color w:val="auto"/>
          <w:spacing w:val="-6"/>
          <w:szCs w:val="21"/>
          <w:highlight w:val="none"/>
        </w:rPr>
      </w:pPr>
      <w:r>
        <w:rPr>
          <w:rFonts w:hint="eastAsia" w:ascii="宋体" w:hAnsi="宋体" w:eastAsia="宋体" w:cs="宋体"/>
          <w:color w:val="auto"/>
          <w:szCs w:val="21"/>
          <w:highlight w:val="none"/>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公章</w:t>
      </w:r>
      <w:r>
        <w:rPr>
          <w:rFonts w:hint="eastAsia" w:ascii="宋体" w:hAnsi="宋体" w:eastAsia="宋体" w:cs="宋体"/>
          <w:color w:val="auto"/>
          <w:spacing w:val="-6"/>
          <w:szCs w:val="21"/>
          <w:highlight w:val="none"/>
        </w:rPr>
        <w:t>。供应商为自然人的，必须由本人签字并附身份证明。</w:t>
      </w:r>
    </w:p>
    <w:p>
      <w:pPr>
        <w:spacing w:line="360" w:lineRule="auto"/>
        <w:ind w:firstLine="396" w:firstLineChars="200"/>
        <w:rPr>
          <w:rFonts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（1）响应文件中响应报价表内容与响应文件中相应内容不一致的，以响应报价表为准；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（3）单价金额小数点或者百分比有明显错位的，以响应报价表的总价为准，并修改单价；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同时出现两种以上不一致的，按照以上（1）-（4）规定的顺序逐条进行修正。修正后的报价经供应商确认后产生约束力，供应商不确认的，其响应文件作无效响应处理。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在评审时，如发现下列情形之一的，将被视为响应文件无效处理：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1）响应文件未按谈判文件要求签署、盖章；</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5）未对竞标有效期作出响应或者响应文件承诺的竞标有效期不满足谈判文件要求；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6）响应文件的实质性内容未使用中文表述、使用计量单位不符合谈判文件要求；</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7）响应文件中的文件资料因填写不齐全或者内容虚假或者出现其他情形而导致被谈判小组认定无效；</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10）技术需求允许负偏离的条款数超过“供应商须知前附表”规定项数；</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11）虚假竞标，或者出现其他情形而导致被谈判小组认定无效；</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12）竞标技术方案不明确，谈判文件未允许但响应文件中存在一个或者一个以上备选（替代）竞标方案；</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13）响应文件标注的项目名称或者项目编号与竞争性谈判文件标注的项目名称或者项目编号不一致的；</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14）未响应谈判文件实质性要求；</w:t>
      </w:r>
    </w:p>
    <w:p>
      <w:pPr>
        <w:pStyle w:val="15"/>
        <w:ind w:firstLine="420" w:firstLineChars="200"/>
        <w:rPr>
          <w:rFonts w:ascii="宋体" w:hAnsi="宋体" w:cs="宋体"/>
          <w:color w:val="auto"/>
          <w:highlight w:val="none"/>
        </w:rPr>
      </w:pPr>
      <w:r>
        <w:rPr>
          <w:rFonts w:hint="eastAsia" w:ascii="宋体" w:hAnsi="宋体" w:cs="宋体"/>
          <w:color w:val="auto"/>
          <w:szCs w:val="21"/>
          <w:highlight w:val="none"/>
        </w:rPr>
        <w:t>15）提交的谈判保证金无效的或者未按照竞争性谈判文件的规定提交谈判保证金；</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16）法律、法规和谈判文件规定的其他无效情形。</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（2）报价评审</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2）未采用人民币报价或者未按照谈判文件标明的币种报价；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供应商未就所竞标项目/分标进行报价或者存在漏项报价；供应商未就所竞标项目/分标的单项内容作唯一报价；供应商未就所竞标项目/分标的全部内容作唯一总价报价；供应商响应文件中存在有选择、有条件报价的（谈判文件允许有备选方案或者其他约定的除外）；</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4）响应报价（包含首次报价、最后报价）超过所竞标项目/分标规定的采购预算金额或者最高限价的（如本项目公布了最高限价）；</w:t>
      </w:r>
      <w:bookmarkStart w:id="123" w:name="_Hlk42596405"/>
      <w:r>
        <w:rPr>
          <w:rFonts w:hint="eastAsia" w:ascii="宋体" w:hAnsi="宋体" w:eastAsia="宋体" w:cs="宋体"/>
          <w:color w:val="auto"/>
          <w:szCs w:val="21"/>
          <w:highlight w:val="none"/>
        </w:rPr>
        <w:t>响应报价（包含首次报价、最后报价）</w:t>
      </w:r>
      <w:bookmarkEnd w:id="123"/>
      <w:bookmarkStart w:id="124" w:name="_Hlk42596276"/>
      <w:r>
        <w:rPr>
          <w:rFonts w:hint="eastAsia" w:ascii="宋体" w:hAnsi="宋体" w:eastAsia="宋体" w:cs="宋体"/>
          <w:color w:val="auto"/>
          <w:szCs w:val="21"/>
          <w:highlight w:val="none"/>
        </w:rPr>
        <w:t>超过谈判文件分项采购预算金额或者最高限价的</w:t>
      </w:r>
      <w:bookmarkEnd w:id="124"/>
      <w:r>
        <w:rPr>
          <w:rFonts w:hint="eastAsia" w:ascii="宋体" w:hAnsi="宋体" w:eastAsia="宋体" w:cs="宋体"/>
          <w:color w:val="auto"/>
          <w:szCs w:val="21"/>
          <w:highlight w:val="none"/>
        </w:rPr>
        <w:t>（如本项目公布了最高限价）；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项目/分标规定的采购预算金额或者最高限价（如本项目公布了最高限价）；或者经供应商确认修正后响应报价（包含首次报价、最后报价）超过谈判文件分项采购预算金额或者最高限价的（如本项目公布了最高限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6）响应文件响应的标的数量及单位与竞争性谈判文件要求实质性不一致的。</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3.6谈判小组对响应文件进行评审，未实质性响应谈判文件的响应文件作无效处理。谈判小组应当将资格和符合性不通过的情况告知有关供应商。谈判小组从符合谈判文件规定的相应资格条件的供应商名单中确定不少于3家的供应商参加谈判。</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3.7通过符合性审查的合格供应商不足3家的，不得进入谈判环节，应当重新开展采购活动。</w:t>
      </w:r>
    </w:p>
    <w:p>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4.谈判程序</w:t>
      </w:r>
    </w:p>
    <w:p>
      <w:pPr>
        <w:spacing w:line="360" w:lineRule="auto"/>
        <w:ind w:firstLine="420" w:firstLineChars="200"/>
        <w:rPr>
          <w:rFonts w:ascii="宋体" w:hAnsi="宋体" w:eastAsia="宋体" w:cs="宋体"/>
          <w:b/>
          <w:color w:val="auto"/>
          <w:kern w:val="0"/>
          <w:szCs w:val="21"/>
          <w:highlight w:val="none"/>
        </w:rPr>
      </w:pPr>
      <w:r>
        <w:rPr>
          <w:rFonts w:hint="eastAsia" w:ascii="宋体" w:hAnsi="宋体" w:eastAsia="宋体" w:cs="宋体"/>
          <w:color w:val="auto"/>
          <w:kern w:val="0"/>
          <w:szCs w:val="21"/>
          <w:highlight w:val="none"/>
        </w:rPr>
        <w:t>4.1谈判小组按照“供应商须知前附表”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宋体" w:hAnsi="宋体" w:eastAsia="宋体" w:cs="宋体"/>
          <w:b/>
          <w:color w:val="auto"/>
          <w:szCs w:val="21"/>
          <w:highlight w:val="none"/>
        </w:rPr>
        <w:t>其响应文件作无效响应处理。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4.2在谈判过程中，谈判小组可以根据谈判文件和谈判情况实质性变动采购需求中的技术、货物要求以及合同草案条款，但不得变动谈判文件中的其他内容。实质性变动的内容，须经采购人代表确认。可能实质性变动的内容为采购需求中的技术、货物要求以及合同草案条款。</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4.3对谈判文件作出的实质性变动是谈判文件的有效组成部分，由谈判小组及时以电子澄清函形式同时通知所有参加谈判的供应商。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4.4供应商必须按照谈判文件的变动情况和谈判小组的要求以回函的形式重新提交响应文件，并加盖供应商公章。供应商为自然人的，必须由本人签字并附身份证明。参加谈判的供应商未在规定时间内重新提交响应文件的，视同退出谈判。</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4.5谈判中，</w:t>
      </w:r>
      <w:r>
        <w:rPr>
          <w:rFonts w:hint="eastAsia" w:ascii="宋体" w:hAnsi="宋体" w:eastAsia="宋体" w:cs="宋体"/>
          <w:color w:val="auto"/>
          <w:spacing w:val="-6"/>
          <w:szCs w:val="21"/>
          <w:highlight w:val="none"/>
        </w:rPr>
        <w:t>谈判的任何一方不得透露与谈判有关的其他供应商的技术资料、价格和其他信息。</w:t>
      </w:r>
    </w:p>
    <w:p>
      <w:pPr>
        <w:widowControl/>
        <w:tabs>
          <w:tab w:val="left" w:pos="540"/>
        </w:tabs>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4.6谈判小组应对谈判过程和重要谈判内容进行记录，作为评审报告一部分，谈判小组在记录上签字确认。</w:t>
      </w:r>
      <w:r>
        <w:rPr>
          <w:rFonts w:hint="eastAsia" w:ascii="宋体" w:hAnsi="宋体" w:eastAsia="宋体" w:cs="宋体"/>
          <w:b/>
          <w:color w:val="auto"/>
          <w:szCs w:val="24"/>
          <w:highlight w:val="none"/>
        </w:rPr>
        <w:t>主要内容包括：</w:t>
      </w:r>
    </w:p>
    <w:p>
      <w:pPr>
        <w:adjustRightInd w:val="0"/>
        <w:spacing w:line="360"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（1）按照相关规定进行公示的，公示情况说明；</w:t>
      </w:r>
    </w:p>
    <w:p>
      <w:pPr>
        <w:adjustRightInd w:val="0"/>
        <w:spacing w:line="360"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（2）谈判日期和地点，谈判人员名单；</w:t>
      </w:r>
    </w:p>
    <w:p>
      <w:pPr>
        <w:adjustRightInd w:val="0"/>
        <w:spacing w:line="360"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（3）合同主要条款及价格商定情况。</w:t>
      </w:r>
    </w:p>
    <w:p>
      <w:pPr>
        <w:widowControl/>
        <w:tabs>
          <w:tab w:val="left" w:pos="540"/>
        </w:tabs>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4.7谈判过程中重新提交的响应文件，供应商可以在开启前补充、修改。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4.8对谈判过程提交的响应文件进行有效性、完整性和响应程度审查，通过审查的合格供应商不足3家的，采购人或者采购代理机构应当重新开展采购活动。</w:t>
      </w:r>
    </w:p>
    <w:p>
      <w:pPr>
        <w:spacing w:line="360" w:lineRule="auto"/>
        <w:ind w:firstLine="482" w:firstLineChars="200"/>
        <w:rPr>
          <w:rFonts w:ascii="宋体" w:hAnsi="宋体" w:eastAsia="宋体" w:cs="宋体"/>
          <w:color w:val="auto"/>
          <w:szCs w:val="21"/>
          <w:highlight w:val="none"/>
        </w:rPr>
      </w:pPr>
      <w:r>
        <w:rPr>
          <w:rFonts w:hint="eastAsia" w:ascii="黑体" w:hAnsi="黑体" w:eastAsia="黑体" w:cs="宋体"/>
          <w:b/>
          <w:bCs/>
          <w:color w:val="auto"/>
          <w:sz w:val="24"/>
          <w:szCs w:val="24"/>
          <w:highlight w:val="none"/>
        </w:rPr>
        <w:t>5</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最后报价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5.1谈判文件能够详细列明采购标的的技术、货物要求的，谈判结束后，由谈判小组要求所有继续参加谈判的供应商在规定时间内密封提交最后报价，提交最后报价的供应商不得少于3家，否则必须重新采购。</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5.2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远程不见面开标大厅响应最后报价。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5.4已经提交响应文件的供应商，在提交最后报价之前，可以根据谈判情况退出谈判，退出谈判的供应商的响应文件作无效响应处理。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w:t>
      </w:r>
      <w:r>
        <w:rPr>
          <w:rFonts w:hint="eastAsia" w:ascii="宋体" w:hAnsi="宋体" w:eastAsia="宋体" w:cs="宋体"/>
          <w:b/>
          <w:color w:val="auto"/>
          <w:szCs w:val="21"/>
          <w:highlight w:val="none"/>
        </w:rPr>
        <w:t>，视同放弃报价权利退出谈判。</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5.6最终响应文件的报价出现前后不一致的，按照本章第3.4条的规定修正。 </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5.7修正后的最后报价出现下列情形的，作无效响应处理：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项目/分标规定的采购预算金额或者最高限价的（如本项目公布了最高限价）（全流程电子化评标多轮报价设置了上限控制价，即预算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5.8经供应商确认修正后的最后报价作为评审及签订合同的依据。</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5.9供应商出现最后报价作无效响应处理或者响应文件作无效处理时</w:t>
      </w:r>
      <w:r>
        <w:rPr>
          <w:rFonts w:hint="eastAsia" w:ascii="宋体" w:hAnsi="宋体" w:eastAsia="宋体" w:cs="宋体"/>
          <w:color w:val="auto"/>
          <w:sz w:val="22"/>
          <w:highlight w:val="none"/>
        </w:rPr>
        <w:t>，</w:t>
      </w:r>
      <w:r>
        <w:rPr>
          <w:rFonts w:hint="eastAsia" w:ascii="宋体" w:hAnsi="宋体" w:eastAsia="宋体" w:cs="宋体"/>
          <w:b/>
          <w:bCs/>
          <w:color w:val="auto"/>
          <w:sz w:val="22"/>
          <w:highlight w:val="none"/>
        </w:rPr>
        <w:t>谈判小组应当告知有关供应商</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5.10最后报价结束后，谈判小组不得再与供应商进行任何形式的商谈。</w:t>
      </w:r>
    </w:p>
    <w:p>
      <w:pPr>
        <w:spacing w:line="360" w:lineRule="auto"/>
        <w:ind w:firstLine="422" w:firstLineChars="200"/>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rPr>
        <w:t>注：</w:t>
      </w:r>
      <w:r>
        <w:rPr>
          <w:rFonts w:hint="eastAsia" w:ascii="宋体" w:hAnsi="宋体" w:eastAsia="宋体" w:cs="宋体"/>
          <w:b/>
          <w:bCs/>
          <w:color w:val="auto"/>
          <w:highlight w:val="none"/>
        </w:rPr>
        <w:t>如谈判小组要求提供最后报价附件的，需按规定的时间提供。最后报价有时间限制，供应商可参照竞争性谈判文件“第五章 响应文件格式”的最后报价表</w:t>
      </w:r>
      <w:r>
        <w:rPr>
          <w:rFonts w:hint="eastAsia" w:ascii="宋体" w:hAnsi="宋体" w:eastAsia="宋体" w:cs="宋体"/>
          <w:b/>
          <w:bCs/>
          <w:color w:val="auto"/>
          <w:highlight w:val="none"/>
          <w:lang w:val="en-US" w:eastAsia="zh-CN"/>
        </w:rPr>
        <w:t>的格式</w:t>
      </w:r>
      <w:r>
        <w:rPr>
          <w:rFonts w:hint="eastAsia" w:ascii="宋体" w:hAnsi="宋体" w:eastAsia="宋体" w:cs="宋体"/>
          <w:b/>
          <w:bCs/>
          <w:color w:val="auto"/>
          <w:highlight w:val="none"/>
        </w:rPr>
        <w:t>提前准备，以免耽误最后报价</w:t>
      </w:r>
      <w:r>
        <w:rPr>
          <w:rFonts w:hint="eastAsia" w:ascii="宋体" w:hAnsi="宋体" w:eastAsia="宋体" w:cs="宋体"/>
          <w:b/>
          <w:bCs/>
          <w:color w:val="auto"/>
          <w:szCs w:val="21"/>
          <w:highlight w:val="none"/>
          <w:lang w:val="zh-CN"/>
        </w:rPr>
        <w:t>。</w:t>
      </w:r>
    </w:p>
    <w:p>
      <w:pPr>
        <w:numPr>
          <w:ilvl w:val="0"/>
          <w:numId w:val="0"/>
        </w:num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kern w:val="2"/>
          <w:sz w:val="24"/>
          <w:szCs w:val="24"/>
          <w:highlight w:val="none"/>
          <w:lang w:val="en-US" w:eastAsia="zh-CN" w:bidi="ar-SA"/>
        </w:rPr>
        <w:t>6.</w:t>
      </w:r>
      <w:r>
        <w:rPr>
          <w:rFonts w:hint="eastAsia" w:ascii="黑体" w:hAnsi="黑体" w:eastAsia="黑体" w:cs="宋体"/>
          <w:b/>
          <w:bCs/>
          <w:color w:val="auto"/>
          <w:sz w:val="24"/>
          <w:szCs w:val="24"/>
          <w:highlight w:val="none"/>
        </w:rPr>
        <w:t>最后报价政府采购政策性扣除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6.2按照《政府采购促进中小企业发展管理办法》（财库〔2020〕46号）及《广西壮族自治区财政厅关于贯彻落实政府采购支持中小企业发展政策的通知》（桂财采〔2022〕31号）的规定，</w:t>
      </w:r>
      <w:r>
        <w:rPr>
          <w:rFonts w:hint="eastAsia" w:ascii="宋体" w:hAnsi="宋体" w:eastAsia="宋体" w:cs="宋体"/>
          <w:color w:val="auto"/>
          <w:highlight w:val="none"/>
          <w:lang w:eastAsia="zh-CN"/>
        </w:rPr>
        <w:t>供应商在其</w:t>
      </w:r>
      <w:r>
        <w:rPr>
          <w:rFonts w:hint="eastAsia" w:ascii="宋体" w:hAnsi="宋体" w:eastAsia="宋体" w:cs="宋体"/>
          <w:color w:val="auto"/>
          <w:szCs w:val="21"/>
          <w:highlight w:val="none"/>
        </w:rPr>
        <w:t>响应文件中提供《中小企业声明函》，且</w:t>
      </w:r>
      <w:r>
        <w:rPr>
          <w:rFonts w:hint="eastAsia" w:ascii="宋体" w:hAnsi="宋体" w:eastAsia="宋体" w:cs="宋体"/>
          <w:color w:val="auto"/>
          <w:szCs w:val="21"/>
          <w:highlight w:val="none"/>
          <w:lang w:eastAsia="zh-CN"/>
        </w:rPr>
        <w:t>其</w:t>
      </w:r>
      <w:r>
        <w:rPr>
          <w:rFonts w:hint="eastAsia" w:ascii="宋体" w:hAnsi="宋体" w:eastAsia="宋体" w:cs="宋体"/>
          <w:color w:val="auto"/>
          <w:szCs w:val="21"/>
          <w:highlight w:val="none"/>
        </w:rPr>
        <w:t>提供的货物全部由符合政策要求的小</w:t>
      </w:r>
      <w:r>
        <w:rPr>
          <w:rFonts w:hint="eastAsia" w:ascii="宋体" w:hAnsi="宋体" w:eastAsia="宋体" w:cs="宋体"/>
          <w:color w:val="auto"/>
          <w:szCs w:val="21"/>
          <w:highlight w:val="none"/>
          <w:lang w:eastAsia="zh-CN"/>
        </w:rPr>
        <w:t>型、微型</w:t>
      </w:r>
      <w:r>
        <w:rPr>
          <w:rFonts w:hint="eastAsia" w:ascii="宋体" w:hAnsi="宋体" w:eastAsia="宋体" w:cs="宋体"/>
          <w:color w:val="auto"/>
          <w:szCs w:val="21"/>
          <w:highlight w:val="none"/>
        </w:rPr>
        <w:t>企业制造</w:t>
      </w:r>
      <w:r>
        <w:rPr>
          <w:rFonts w:hint="eastAsia" w:ascii="宋体" w:hAnsi="宋体" w:eastAsia="宋体" w:cs="宋体"/>
          <w:color w:val="auto"/>
          <w:szCs w:val="21"/>
          <w:highlight w:val="none"/>
          <w:lang w:eastAsia="zh-CN"/>
        </w:rPr>
        <w:t>，即货物由小型、微型企业生产且使用该</w:t>
      </w:r>
      <w:r>
        <w:rPr>
          <w:rFonts w:hint="eastAsia" w:ascii="宋体" w:hAnsi="宋体" w:eastAsia="宋体" w:cs="宋体"/>
          <w:color w:val="auto"/>
          <w:szCs w:val="21"/>
          <w:highlight w:val="none"/>
        </w:rPr>
        <w:t>小</w:t>
      </w:r>
      <w:r>
        <w:rPr>
          <w:rFonts w:hint="eastAsia" w:ascii="宋体" w:hAnsi="宋体" w:eastAsia="宋体" w:cs="宋体"/>
          <w:color w:val="auto"/>
          <w:szCs w:val="21"/>
          <w:highlight w:val="none"/>
          <w:lang w:eastAsia="zh-CN"/>
        </w:rPr>
        <w:t>型、微型企业商号或者注册商标</w:t>
      </w:r>
      <w:r>
        <w:rPr>
          <w:rFonts w:hint="eastAsia" w:ascii="宋体" w:hAnsi="宋体" w:eastAsia="宋体" w:cs="宋体"/>
          <w:color w:val="auto"/>
          <w:szCs w:val="21"/>
          <w:highlight w:val="none"/>
        </w:rPr>
        <w:t>，对其最后报价给予</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0%的扣除。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6.4按照《关于促进残疾人就业政府采购政策的通知》（财库〔2017〕141号）的规定，残疾人福利性单位视同小型、微型企业，享受预留份额、评审中价格扣除等</w:t>
      </w:r>
      <w:r>
        <w:rPr>
          <w:rFonts w:hint="eastAsia" w:ascii="宋体" w:hAnsi="宋体" w:eastAsia="宋体" w:cs="宋体"/>
          <w:color w:val="auto"/>
          <w:highlight w:val="none"/>
        </w:rPr>
        <w:t>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6.5政策性扣除计算方法。</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供应商被评定为监狱企业或者残疾人福利性单位或者</w:t>
      </w:r>
      <w:r>
        <w:rPr>
          <w:rFonts w:hint="eastAsia" w:ascii="宋体" w:hAnsi="宋体" w:eastAsia="宋体" w:cs="宋体"/>
          <w:color w:val="auto"/>
          <w:highlight w:val="none"/>
          <w:lang w:eastAsia="zh-CN"/>
        </w:rPr>
        <w:t>其</w:t>
      </w:r>
      <w:r>
        <w:rPr>
          <w:rFonts w:hint="eastAsia" w:ascii="宋体" w:hAnsi="宋体" w:eastAsia="宋体" w:cs="宋体"/>
          <w:color w:val="auto"/>
          <w:szCs w:val="21"/>
          <w:highlight w:val="none"/>
        </w:rPr>
        <w:t>提供的货物全部由符合政策要求的小</w:t>
      </w:r>
      <w:r>
        <w:rPr>
          <w:rFonts w:hint="eastAsia" w:ascii="宋体" w:hAnsi="宋体" w:eastAsia="宋体" w:cs="宋体"/>
          <w:color w:val="auto"/>
          <w:szCs w:val="21"/>
          <w:highlight w:val="none"/>
          <w:lang w:eastAsia="zh-CN"/>
        </w:rPr>
        <w:t>型、微型</w:t>
      </w:r>
      <w:r>
        <w:rPr>
          <w:rFonts w:hint="eastAsia" w:ascii="宋体" w:hAnsi="宋体" w:eastAsia="宋体" w:cs="宋体"/>
          <w:color w:val="auto"/>
          <w:szCs w:val="21"/>
          <w:highlight w:val="none"/>
        </w:rPr>
        <w:t>企业制造</w:t>
      </w:r>
      <w:r>
        <w:rPr>
          <w:rFonts w:hint="eastAsia" w:ascii="宋体" w:hAnsi="宋体" w:eastAsia="宋体" w:cs="宋体"/>
          <w:color w:val="auto"/>
          <w:szCs w:val="21"/>
          <w:highlight w:val="none"/>
          <w:lang w:eastAsia="zh-CN"/>
        </w:rPr>
        <w:t>，即货物由小型、微型企业生产且使用该</w:t>
      </w:r>
      <w:r>
        <w:rPr>
          <w:rFonts w:hint="eastAsia" w:ascii="宋体" w:hAnsi="宋体" w:eastAsia="宋体" w:cs="宋体"/>
          <w:color w:val="auto"/>
          <w:szCs w:val="21"/>
          <w:highlight w:val="none"/>
        </w:rPr>
        <w:t>小</w:t>
      </w:r>
      <w:r>
        <w:rPr>
          <w:rFonts w:hint="eastAsia" w:ascii="宋体" w:hAnsi="宋体" w:eastAsia="宋体" w:cs="宋体"/>
          <w:color w:val="auto"/>
          <w:szCs w:val="21"/>
          <w:highlight w:val="none"/>
          <w:lang w:eastAsia="zh-CN"/>
        </w:rPr>
        <w:t>型、微型企业商号或者注册商标的</w:t>
      </w:r>
      <w:r>
        <w:rPr>
          <w:rFonts w:hint="eastAsia" w:ascii="宋体" w:hAnsi="宋体" w:eastAsia="宋体" w:cs="宋体"/>
          <w:color w:val="auto"/>
          <w:highlight w:val="none"/>
        </w:rPr>
        <w:t>，该供应商的最后报价给予</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0%的扣除，扣除后的价格为评审价，即评审价=最后报价×（1-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0%）；</w:t>
      </w:r>
      <w:r>
        <w:rPr>
          <w:rFonts w:hint="eastAsia" w:ascii="宋体" w:hAnsi="宋体" w:eastAsia="宋体" w:cs="宋体"/>
          <w:color w:val="auto"/>
          <w:sz w:val="21"/>
          <w:szCs w:val="21"/>
          <w:highlight w:val="none"/>
        </w:rPr>
        <w:t>接受大中型企业与小微企业组成联合体或者允许大中型企业向一家或者多家小微企业分包的采购项目</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rPr>
        <w:t>对于联合协议或者分包意向协议约定小微企业的合同份额占到合同总金额 30%以上的，对联合体或者大中型企业的报价给予</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%的扣除，用扣除后的价格参加评审</w:t>
      </w:r>
      <w:r>
        <w:rPr>
          <w:rFonts w:hint="eastAsia" w:ascii="宋体" w:hAnsi="宋体" w:eastAsia="宋体" w:cs="宋体"/>
          <w:color w:val="auto"/>
          <w:szCs w:val="21"/>
          <w:highlight w:val="none"/>
        </w:rPr>
        <w:t>，</w:t>
      </w:r>
      <w:r>
        <w:rPr>
          <w:rFonts w:hint="eastAsia" w:ascii="宋体" w:hAnsi="宋体" w:eastAsia="宋体" w:cs="宋体"/>
          <w:color w:val="auto"/>
          <w:highlight w:val="none"/>
        </w:rPr>
        <w:t>扣除后的价格为评审价，即评审价=最后报价×（1-</w:t>
      </w:r>
      <w:r>
        <w:rPr>
          <w:rFonts w:hint="eastAsia" w:ascii="宋体" w:hAnsi="宋体" w:eastAsia="宋体" w:cs="宋体"/>
          <w:color w:val="auto"/>
          <w:szCs w:val="21"/>
          <w:highlight w:val="none"/>
          <w:u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color w:val="auto"/>
          <w:highlight w:val="none"/>
        </w:rPr>
        <w:t>）。</w:t>
      </w:r>
    </w:p>
    <w:p>
      <w:pPr>
        <w:numPr>
          <w:ilvl w:val="0"/>
          <w:numId w:val="0"/>
        </w:num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6.</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除上述情况外，评审价＝最后报价。</w:t>
      </w:r>
    </w:p>
    <w:p>
      <w:pPr>
        <w:pStyle w:val="15"/>
        <w:rPr>
          <w:rFonts w:ascii="宋体" w:hAnsi="宋体" w:cs="宋体"/>
          <w:color w:val="auto"/>
          <w:highlight w:val="none"/>
        </w:rPr>
      </w:pPr>
    </w:p>
    <w:p>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bookmarkStart w:id="125" w:name="_Toc17730"/>
      <w:bookmarkStart w:id="126" w:name="_Toc80205934"/>
      <w:bookmarkStart w:id="127" w:name="_Toc5389"/>
      <w:r>
        <w:rPr>
          <w:rFonts w:hint="eastAsia" w:ascii="宋体" w:hAnsi="宋体" w:eastAsia="宋体" w:cs="Times New Roman"/>
          <w:bCs/>
          <w:color w:val="auto"/>
          <w:sz w:val="32"/>
          <w:szCs w:val="32"/>
          <w:highlight w:val="none"/>
          <w:lang w:val="zh-CN"/>
        </w:rPr>
        <w:t>第二节 评审原则</w:t>
      </w:r>
      <w:bookmarkEnd w:id="125"/>
      <w:bookmarkEnd w:id="126"/>
      <w:bookmarkEnd w:id="127"/>
    </w:p>
    <w:p>
      <w:pPr>
        <w:spacing w:line="360" w:lineRule="auto"/>
        <w:ind w:firstLine="482" w:firstLineChars="200"/>
        <w:jc w:val="left"/>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1.评审原则</w:t>
      </w:r>
    </w:p>
    <w:p>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1.2根据《政府采购非招标采购方式管理办法》（财政部令第74号）第二十一条规定，</w:t>
      </w:r>
      <w:r>
        <w:rPr>
          <w:rFonts w:hint="eastAsia" w:ascii="宋体" w:hAnsi="宋体" w:eastAsia="宋体" w:cs="宋体"/>
          <w:color w:val="auto"/>
          <w:kern w:val="0"/>
          <w:szCs w:val="21"/>
          <w:highlight w:val="none"/>
        </w:rPr>
        <w:t>除资格性审查认定错误和价格计算错误外，采购人或者采购代理机构不得以任何理由组织重新评审。采购人、采购代理机构发现谈判小组未按照竞争性谈判文件规定的评定成交的标准进行评审的，应当重新开展采购活动，并同时书面报告本级财政部门</w:t>
      </w:r>
      <w:r>
        <w:rPr>
          <w:rFonts w:hint="eastAsia" w:ascii="宋体" w:hAnsi="宋体" w:eastAsia="宋体" w:cs="宋体"/>
          <w:color w:val="auto"/>
          <w:szCs w:val="24"/>
          <w:highlight w:val="none"/>
        </w:rPr>
        <w:t>。</w:t>
      </w:r>
      <w:bookmarkStart w:id="128" w:name="_Toc321836413"/>
      <w:bookmarkStart w:id="129" w:name="_Toc432106535"/>
      <w:bookmarkStart w:id="130" w:name="_Toc432194885"/>
    </w:p>
    <w:bookmarkEnd w:id="128"/>
    <w:bookmarkEnd w:id="129"/>
    <w:bookmarkEnd w:id="130"/>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2.终止竞争性谈判采购活动</w:t>
      </w:r>
    </w:p>
    <w:p>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出现下列情形之一的，采购人或者采购代理机构应当终止竞争性谈判采购活动，发布项目终止公告并说明原因，重新开展采购活动：</w:t>
      </w:r>
    </w:p>
    <w:p>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（1）因情况变化，不再符合规定的竞争性谈判采购方式适用情形的； </w:t>
      </w:r>
    </w:p>
    <w:p>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（2）出现影响采购公正的违法、违规行为的；</w:t>
      </w:r>
    </w:p>
    <w:p>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（3）在采购过程中符合竞争要求的供应商或者报价未超过采购预算的供应商不足3家的，但《政府采购非招标采购方式管理办法》第二十七条第二款规定的情形除外。</w:t>
      </w:r>
    </w:p>
    <w:p>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31" w:name="_Toc9627"/>
      <w:bookmarkStart w:id="132" w:name="_Toc16039"/>
      <w:bookmarkStart w:id="133" w:name="_Toc80205935"/>
    </w:p>
    <w:p>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r>
        <w:rPr>
          <w:rFonts w:hint="eastAsia" w:ascii="宋体" w:hAnsi="宋体" w:eastAsia="宋体" w:cs="Times New Roman"/>
          <w:bCs/>
          <w:color w:val="auto"/>
          <w:sz w:val="32"/>
          <w:szCs w:val="32"/>
          <w:highlight w:val="none"/>
          <w:lang w:val="zh-CN"/>
        </w:rPr>
        <w:t>第三节 评审报告</w:t>
      </w:r>
      <w:bookmarkEnd w:id="131"/>
      <w:bookmarkEnd w:id="132"/>
      <w:bookmarkEnd w:id="133"/>
    </w:p>
    <w:p>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1.成交标准</w:t>
      </w:r>
    </w:p>
    <w:p>
      <w:pPr>
        <w:spacing w:line="360" w:lineRule="auto"/>
        <w:ind w:firstLine="420" w:firstLineChars="200"/>
        <w:rPr>
          <w:rFonts w:ascii="宋体" w:hAnsi="宋体" w:eastAsia="宋体" w:cs="宋体"/>
          <w:color w:val="auto"/>
          <w:sz w:val="24"/>
          <w:szCs w:val="24"/>
          <w:highlight w:val="none"/>
        </w:rPr>
      </w:pPr>
      <w:r>
        <w:rPr>
          <w:rFonts w:hint="eastAsia" w:ascii="宋体" w:hAnsi="宋体" w:eastAsia="宋体" w:cs="宋体"/>
          <w:color w:val="auto"/>
          <w:szCs w:val="24"/>
          <w:highlight w:val="none"/>
        </w:rPr>
        <w:t>谈判小组应当从质量和货物均能满足谈判文件实质性响应要求的供应商中，按照评审价由低到高的顺序提出3名以上成交候选人（评审价相同时，按照最后报价由低到高顺序依次推荐；最后报价相同时，由谈判小组按“供应商须知前附表”第25条规定的顺序推荐）,并在线编写电子评审报告。</w:t>
      </w:r>
    </w:p>
    <w:p>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2.评标争议</w:t>
      </w:r>
      <w:r>
        <w:rPr>
          <w:rFonts w:ascii="黑体" w:hAnsi="黑体" w:eastAsia="黑体" w:cs="宋体"/>
          <w:b/>
          <w:bCs/>
          <w:color w:val="auto"/>
          <w:sz w:val="24"/>
          <w:szCs w:val="32"/>
          <w:highlight w:val="none"/>
        </w:rPr>
        <w:t>事项</w:t>
      </w:r>
      <w:r>
        <w:rPr>
          <w:rFonts w:hint="eastAsia" w:ascii="黑体" w:hAnsi="黑体" w:eastAsia="黑体" w:cs="宋体"/>
          <w:b/>
          <w:bCs/>
          <w:color w:val="auto"/>
          <w:sz w:val="24"/>
          <w:szCs w:val="32"/>
          <w:highlight w:val="none"/>
        </w:rPr>
        <w:t>处理</w:t>
      </w:r>
    </w:p>
    <w:p>
      <w:pPr>
        <w:adjustRightInd w:val="0"/>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成员对需要共同认定的事项存在争议的，应当按照少数服从多数的原则作出结论。持不同意见的</w:t>
      </w: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成员应当在评</w:t>
      </w:r>
      <w:r>
        <w:rPr>
          <w:rFonts w:hint="eastAsia" w:ascii="宋体" w:hAnsi="宋体" w:eastAsia="宋体" w:cs="宋体"/>
          <w:color w:val="auto"/>
          <w:szCs w:val="24"/>
          <w:highlight w:val="none"/>
        </w:rPr>
        <w:t>审</w:t>
      </w:r>
      <w:r>
        <w:rPr>
          <w:rFonts w:ascii="宋体" w:hAnsi="宋体" w:eastAsia="宋体" w:cs="宋体"/>
          <w:color w:val="auto"/>
          <w:szCs w:val="24"/>
          <w:highlight w:val="none"/>
        </w:rPr>
        <w:t>报告上签署不同意见及理由，否则视为同意评</w:t>
      </w:r>
      <w:r>
        <w:rPr>
          <w:rFonts w:hint="eastAsia" w:ascii="宋体" w:hAnsi="宋体" w:eastAsia="宋体" w:cs="宋体"/>
          <w:color w:val="auto"/>
          <w:szCs w:val="24"/>
          <w:highlight w:val="none"/>
        </w:rPr>
        <w:t>审</w:t>
      </w:r>
      <w:r>
        <w:rPr>
          <w:rFonts w:ascii="宋体" w:hAnsi="宋体" w:eastAsia="宋体" w:cs="宋体"/>
          <w:color w:val="auto"/>
          <w:szCs w:val="24"/>
          <w:highlight w:val="none"/>
        </w:rPr>
        <w:t>报告。</w:t>
      </w:r>
    </w:p>
    <w:p>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34" w:name="_Toc17221"/>
      <w:bookmarkStart w:id="135" w:name="_Toc80205936"/>
      <w:bookmarkStart w:id="136" w:name="_Toc27241"/>
    </w:p>
    <w:p>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r>
        <w:rPr>
          <w:rFonts w:hint="eastAsia" w:ascii="宋体" w:hAnsi="宋体" w:eastAsia="宋体" w:cs="Times New Roman"/>
          <w:bCs/>
          <w:color w:val="auto"/>
          <w:sz w:val="32"/>
          <w:szCs w:val="32"/>
          <w:highlight w:val="none"/>
          <w:lang w:val="zh-CN"/>
        </w:rPr>
        <w:t>第四节 评审过程的保密与录像</w:t>
      </w:r>
      <w:bookmarkEnd w:id="134"/>
      <w:bookmarkEnd w:id="135"/>
      <w:bookmarkEnd w:id="136"/>
    </w:p>
    <w:p>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1.保密。</w:t>
      </w:r>
    </w:p>
    <w:p>
      <w:pPr>
        <w:widowControl/>
        <w:spacing w:line="360" w:lineRule="auto"/>
        <w:ind w:firstLine="420" w:firstLineChars="200"/>
        <w:rPr>
          <w:rFonts w:ascii="宋体" w:hAnsi="宋体" w:eastAsia="宋体" w:cs="宋体"/>
          <w:color w:val="auto"/>
          <w:szCs w:val="24"/>
          <w:highlight w:val="none"/>
        </w:rPr>
      </w:pPr>
      <w:r>
        <w:rPr>
          <w:rFonts w:ascii="宋体" w:hAnsi="宋体" w:eastAsia="宋体" w:cs="宋体"/>
          <w:color w:val="auto"/>
          <w:szCs w:val="24"/>
          <w:highlight w:val="none"/>
        </w:rPr>
        <w:t>评审活动在严格保密的情况下进行。评审过程中凡是与采购响应文件评审和比较、中标成交供应商推荐等评审有关的情况，以及涉及国家秘密和商业秘密等信息，</w:t>
      </w: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成员、采购人和采购机构工作人员、相关监督人员等与评审有关的人员应当予以保密。</w:t>
      </w:r>
    </w:p>
    <w:p>
      <w:pPr>
        <w:widowControl/>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2.录音录像。</w:t>
      </w:r>
    </w:p>
    <w:p>
      <w:pPr>
        <w:spacing w:line="360" w:lineRule="auto"/>
        <w:ind w:firstLine="420" w:firstLineChars="200"/>
        <w:rPr>
          <w:rFonts w:ascii="Times New Roman" w:hAnsi="Times New Roman" w:eastAsia="宋体" w:cs="Times New Roman"/>
          <w:color w:val="auto"/>
          <w:szCs w:val="24"/>
          <w:highlight w:val="none"/>
        </w:rPr>
      </w:pPr>
      <w:r>
        <w:rPr>
          <w:rFonts w:hint="eastAsia" w:ascii="宋体" w:hAnsi="宋体" w:eastAsia="宋体" w:cs="宋体"/>
          <w:color w:val="auto"/>
          <w:szCs w:val="24"/>
          <w:highlight w:val="none"/>
        </w:rPr>
        <w:t>采购代理机构对评审工作现场及操作屏幕进行全过程录音录像，录音录像资料作为采购项目文件随其他文件一并存档。</w:t>
      </w:r>
      <w:r>
        <w:rPr>
          <w:rFonts w:ascii="Times New Roman" w:hAnsi="Times New Roman" w:eastAsia="宋体" w:cs="Times New Roman"/>
          <w:color w:val="auto"/>
          <w:szCs w:val="24"/>
          <w:highlight w:val="none"/>
        </w:rPr>
        <w:br w:type="page"/>
      </w:r>
    </w:p>
    <w:p>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pPr>
        <w:keepNext/>
        <w:keepLines/>
        <w:spacing w:before="340" w:after="330" w:line="578" w:lineRule="auto"/>
        <w:jc w:val="center"/>
        <w:outlineLvl w:val="0"/>
        <w:rPr>
          <w:rFonts w:ascii="Times New Roman" w:hAnsi="Times New Roman" w:eastAsia="宋体" w:cs="Times New Roman"/>
          <w:b/>
          <w:bCs/>
          <w:color w:val="auto"/>
          <w:kern w:val="44"/>
          <w:sz w:val="44"/>
          <w:szCs w:val="44"/>
          <w:highlight w:val="none"/>
          <w:lang w:val="zh-CN"/>
        </w:rPr>
      </w:pPr>
      <w:bookmarkStart w:id="137" w:name="_Toc80205937"/>
      <w:bookmarkStart w:id="138" w:name="_Toc9300"/>
      <w:bookmarkStart w:id="139" w:name="_Toc21666"/>
      <w:bookmarkStart w:id="140" w:name="_Toc28917"/>
      <w:bookmarkStart w:id="141" w:name="_Toc30615"/>
      <w:bookmarkStart w:id="142" w:name="_Toc916"/>
      <w:bookmarkStart w:id="143" w:name="_Toc71"/>
      <w:bookmarkStart w:id="144" w:name="_Toc25678"/>
      <w:bookmarkStart w:id="145" w:name="_Toc4187"/>
      <w:r>
        <w:rPr>
          <w:rFonts w:hint="eastAsia" w:ascii="Times New Roman" w:hAnsi="Times New Roman" w:eastAsia="宋体" w:cs="Times New Roman"/>
          <w:b/>
          <w:bCs/>
          <w:color w:val="auto"/>
          <w:kern w:val="44"/>
          <w:sz w:val="44"/>
          <w:szCs w:val="44"/>
          <w:highlight w:val="none"/>
          <w:lang w:val="zh-CN"/>
        </w:rPr>
        <w:t>第五章 响应文件格式</w:t>
      </w:r>
      <w:bookmarkEnd w:id="137"/>
      <w:r>
        <w:rPr>
          <w:rFonts w:ascii="Times New Roman" w:hAnsi="Times New Roman" w:eastAsia="宋体" w:cs="Times New Roman"/>
          <w:b/>
          <w:bCs/>
          <w:color w:val="auto"/>
          <w:kern w:val="44"/>
          <w:sz w:val="44"/>
          <w:szCs w:val="44"/>
          <w:highlight w:val="none"/>
          <w:lang w:val="zh-CN"/>
        </w:rPr>
        <w:br w:type="page"/>
      </w:r>
      <w:bookmarkEnd w:id="138"/>
      <w:bookmarkEnd w:id="139"/>
      <w:bookmarkEnd w:id="140"/>
      <w:bookmarkEnd w:id="141"/>
      <w:bookmarkEnd w:id="142"/>
      <w:bookmarkEnd w:id="143"/>
      <w:bookmarkEnd w:id="144"/>
      <w:bookmarkEnd w:id="145"/>
    </w:p>
    <w:p>
      <w:pPr>
        <w:spacing w:line="240" w:lineRule="atLeast"/>
        <w:rPr>
          <w:rFonts w:ascii="宋体" w:hAnsi="宋体" w:eastAsia="宋体" w:cs="Times New Roman"/>
          <w:b/>
          <w:bCs/>
          <w:color w:val="auto"/>
          <w:szCs w:val="24"/>
          <w:highlight w:val="none"/>
        </w:rPr>
      </w:pPr>
    </w:p>
    <w:p>
      <w:pPr>
        <w:snapToGrid w:val="0"/>
        <w:spacing w:before="120" w:beforeLines="50" w:after="50" w:line="360" w:lineRule="auto"/>
        <w:jc w:val="center"/>
        <w:outlineLvl w:val="1"/>
        <w:rPr>
          <w:rFonts w:ascii="宋体" w:hAnsi="宋体" w:eastAsia="宋体" w:cs="Times New Roman"/>
          <w:bCs/>
          <w:color w:val="auto"/>
          <w:sz w:val="32"/>
          <w:szCs w:val="32"/>
          <w:highlight w:val="none"/>
        </w:rPr>
      </w:pPr>
      <w:bookmarkStart w:id="146" w:name="_Toc10486"/>
      <w:bookmarkStart w:id="147" w:name="_Toc17254"/>
      <w:bookmarkStart w:id="148" w:name="_Toc80205939"/>
      <w:r>
        <w:rPr>
          <w:rFonts w:hint="eastAsia" w:ascii="宋体" w:hAnsi="宋体" w:eastAsia="宋体" w:cs="Times New Roman"/>
          <w:bCs/>
          <w:color w:val="auto"/>
          <w:sz w:val="32"/>
          <w:szCs w:val="32"/>
          <w:highlight w:val="none"/>
        </w:rPr>
        <w:t>第一节 资格证明文件格式</w:t>
      </w:r>
      <w:bookmarkEnd w:id="146"/>
      <w:bookmarkEnd w:id="147"/>
      <w:bookmarkEnd w:id="148"/>
    </w:p>
    <w:p>
      <w:pPr>
        <w:pStyle w:val="2"/>
        <w:rPr>
          <w:rFonts w:ascii="宋体" w:hAnsi="宋体" w:cs="宋体"/>
          <w:b/>
          <w:bCs/>
          <w:color w:val="auto"/>
          <w:sz w:val="28"/>
          <w:szCs w:val="28"/>
          <w:highlight w:val="none"/>
        </w:rPr>
      </w:pPr>
    </w:p>
    <w:p>
      <w:pPr>
        <w:pStyle w:val="2"/>
        <w:rPr>
          <w:rFonts w:ascii="宋体" w:hAnsi="宋体" w:cs="宋体"/>
          <w:b/>
          <w:bCs/>
          <w:color w:val="auto"/>
          <w:sz w:val="28"/>
          <w:szCs w:val="28"/>
          <w:highlight w:val="none"/>
        </w:rPr>
      </w:pPr>
      <w:r>
        <w:rPr>
          <w:rFonts w:hint="eastAsia" w:ascii="宋体" w:hAnsi="宋体" w:cs="宋体"/>
          <w:b/>
          <w:bCs/>
          <w:color w:val="auto"/>
          <w:sz w:val="28"/>
          <w:szCs w:val="28"/>
          <w:highlight w:val="none"/>
        </w:rPr>
        <w:t>1.资格证明文件封面的格式（参照此格式自拟）：</w:t>
      </w:r>
    </w:p>
    <w:p>
      <w:pPr>
        <w:snapToGrid w:val="0"/>
        <w:spacing w:before="120" w:beforeLines="50" w:after="5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p>
    <w:p>
      <w:pPr>
        <w:snapToGrid w:val="0"/>
        <w:spacing w:before="120" w:beforeLines="50" w:after="50"/>
        <w:ind w:firstLine="5760" w:firstLineChars="240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pPr>
        <w:snapToGrid w:val="0"/>
        <w:spacing w:before="120" w:beforeLines="50" w:after="50"/>
        <w:rPr>
          <w:rFonts w:ascii="宋体" w:hAnsi="宋体" w:eastAsia="宋体" w:cs="Times New Roman"/>
          <w:color w:val="auto"/>
          <w:sz w:val="24"/>
          <w:szCs w:val="20"/>
          <w:highlight w:val="none"/>
        </w:rPr>
      </w:pPr>
    </w:p>
    <w:p>
      <w:pPr>
        <w:snapToGrid w:val="0"/>
        <w:spacing w:before="120" w:beforeLines="50" w:after="50"/>
        <w:rPr>
          <w:rFonts w:ascii="宋体" w:hAnsi="宋体" w:eastAsia="宋体" w:cs="Times New Roman"/>
          <w:color w:val="auto"/>
          <w:sz w:val="24"/>
          <w:szCs w:val="20"/>
          <w:highlight w:val="none"/>
        </w:rPr>
      </w:pPr>
    </w:p>
    <w:p>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pPr>
        <w:snapToGrid w:val="0"/>
        <w:spacing w:before="120" w:beforeLines="50" w:after="50"/>
        <w:rPr>
          <w:rFonts w:ascii="宋体" w:hAnsi="宋体" w:eastAsia="宋体" w:cs="Times New Roman"/>
          <w:bCs/>
          <w:color w:val="auto"/>
          <w:sz w:val="24"/>
          <w:szCs w:val="20"/>
          <w:highlight w:val="none"/>
        </w:rPr>
      </w:pPr>
    </w:p>
    <w:p>
      <w:pPr>
        <w:snapToGrid w:val="0"/>
        <w:spacing w:before="120" w:beforeLines="50" w:after="50"/>
        <w:rPr>
          <w:rFonts w:ascii="宋体" w:hAnsi="宋体" w:eastAsia="宋体" w:cs="Times New Roman"/>
          <w:bCs/>
          <w:color w:val="auto"/>
          <w:sz w:val="24"/>
          <w:szCs w:val="20"/>
          <w:highlight w:val="none"/>
        </w:rPr>
      </w:pPr>
    </w:p>
    <w:p>
      <w:pPr>
        <w:snapToGrid w:val="0"/>
        <w:spacing w:before="120" w:beforeLines="50" w:after="50"/>
        <w:rPr>
          <w:rFonts w:ascii="宋体" w:hAnsi="宋体" w:eastAsia="宋体" w:cs="Times New Roman"/>
          <w:bCs/>
          <w:color w:val="auto"/>
          <w:sz w:val="24"/>
          <w:szCs w:val="20"/>
          <w:highlight w:val="none"/>
        </w:rPr>
      </w:pPr>
    </w:p>
    <w:p>
      <w:pPr>
        <w:snapToGrid w:val="0"/>
        <w:spacing w:before="120" w:beforeLines="50" w:after="50"/>
        <w:rPr>
          <w:rFonts w:ascii="宋体" w:hAnsi="宋体" w:eastAsia="宋体" w:cs="Times New Roman"/>
          <w:bCs/>
          <w:color w:val="auto"/>
          <w:sz w:val="24"/>
          <w:szCs w:val="20"/>
          <w:highlight w:val="none"/>
        </w:rPr>
      </w:pPr>
    </w:p>
    <w:p>
      <w:pPr>
        <w:snapToGrid w:val="0"/>
        <w:spacing w:before="120" w:beforeLines="50" w:after="50"/>
        <w:rPr>
          <w:rFonts w:ascii="宋体" w:hAnsi="宋体" w:eastAsia="宋体" w:cs="Times New Roman"/>
          <w:bCs/>
          <w:color w:val="auto"/>
          <w:sz w:val="24"/>
          <w:szCs w:val="20"/>
          <w:highlight w:val="none"/>
        </w:rPr>
      </w:pPr>
    </w:p>
    <w:p>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项目名称： </w:t>
      </w:r>
    </w:p>
    <w:p>
      <w:pPr>
        <w:snapToGrid w:val="0"/>
        <w:spacing w:before="120" w:beforeLines="50" w:after="50"/>
        <w:ind w:firstLine="720" w:firstLineChars="225"/>
        <w:rPr>
          <w:rFonts w:ascii="宋体" w:hAnsi="宋体" w:eastAsia="宋体" w:cs="仿宋_GB2312"/>
          <w:bCs/>
          <w:color w:val="auto"/>
          <w:sz w:val="32"/>
          <w:szCs w:val="32"/>
          <w:highlight w:val="none"/>
        </w:rPr>
      </w:pPr>
    </w:p>
    <w:p>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项目编号： </w:t>
      </w:r>
    </w:p>
    <w:p>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pPr>
        <w:snapToGrid w:val="0"/>
        <w:spacing w:before="120" w:beforeLines="50" w:after="50"/>
        <w:ind w:firstLine="720" w:firstLineChars="225"/>
        <w:rPr>
          <w:rFonts w:ascii="宋体" w:hAnsi="宋体" w:eastAsia="宋体" w:cs="仿宋_GB2312"/>
          <w:bCs/>
          <w:color w:val="auto"/>
          <w:sz w:val="32"/>
          <w:szCs w:val="32"/>
          <w:highlight w:val="none"/>
        </w:rPr>
      </w:pPr>
    </w:p>
    <w:p>
      <w:pPr>
        <w:snapToGrid w:val="0"/>
        <w:spacing w:before="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pPr>
        <w:snapToGrid w:val="0"/>
        <w:spacing w:before="50" w:after="50"/>
        <w:ind w:firstLine="720" w:firstLineChars="225"/>
        <w:rPr>
          <w:rFonts w:ascii="宋体" w:hAnsi="宋体" w:eastAsia="宋体" w:cs="仿宋_GB2312"/>
          <w:bCs/>
          <w:color w:val="auto"/>
          <w:sz w:val="32"/>
          <w:szCs w:val="32"/>
          <w:highlight w:val="none"/>
        </w:rPr>
      </w:pPr>
    </w:p>
    <w:p>
      <w:pPr>
        <w:snapToGrid w:val="0"/>
        <w:spacing w:before="50" w:after="50"/>
        <w:ind w:firstLine="720" w:firstLineChars="225"/>
        <w:rPr>
          <w:rFonts w:ascii="宋体" w:hAnsi="宋体" w:eastAsia="宋体" w:cs="仿宋_GB2312"/>
          <w:bCs/>
          <w:color w:val="auto"/>
          <w:sz w:val="32"/>
          <w:szCs w:val="32"/>
          <w:highlight w:val="none"/>
        </w:rPr>
      </w:pPr>
    </w:p>
    <w:p>
      <w:pPr>
        <w:snapToGrid w:val="0"/>
        <w:spacing w:before="50" w:after="50"/>
        <w:ind w:firstLine="720" w:firstLineChars="225"/>
        <w:rPr>
          <w:rFonts w:ascii="宋体" w:hAnsi="宋体" w:eastAsia="宋体" w:cs="仿宋_GB2312"/>
          <w:bCs/>
          <w:color w:val="auto"/>
          <w:sz w:val="32"/>
          <w:szCs w:val="32"/>
          <w:highlight w:val="none"/>
        </w:rPr>
      </w:pPr>
    </w:p>
    <w:p>
      <w:pPr>
        <w:snapToGrid w:val="0"/>
        <w:spacing w:before="50" w:after="50"/>
        <w:ind w:firstLine="1280" w:firstLineChars="400"/>
        <w:rPr>
          <w:rFonts w:ascii="宋体" w:hAnsi="宋体" w:eastAsia="宋体" w:cs="仿宋_GB2312"/>
          <w:bCs/>
          <w:color w:val="auto"/>
          <w:sz w:val="32"/>
          <w:szCs w:val="32"/>
          <w:highlight w:val="none"/>
        </w:rPr>
      </w:pPr>
    </w:p>
    <w:p>
      <w:pPr>
        <w:snapToGrid w:val="0"/>
        <w:spacing w:before="120"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pPr>
        <w:snapToGrid w:val="0"/>
        <w:spacing w:before="120" w:beforeLines="50" w:after="50" w:line="360" w:lineRule="auto"/>
        <w:ind w:left="142"/>
        <w:jc w:val="left"/>
        <w:rPr>
          <w:rFonts w:ascii="宋体" w:hAnsi="宋体" w:eastAsia="宋体" w:cs="宋体"/>
          <w:b/>
          <w:bCs/>
          <w:color w:val="auto"/>
          <w:sz w:val="28"/>
          <w:szCs w:val="28"/>
          <w:highlight w:val="none"/>
        </w:rPr>
      </w:pPr>
      <w:r>
        <w:rPr>
          <w:rFonts w:ascii="宋体" w:hAnsi="宋体" w:eastAsia="宋体" w:cs="Times New Roman"/>
          <w:color w:val="auto"/>
          <w:sz w:val="24"/>
          <w:szCs w:val="24"/>
          <w:highlight w:val="none"/>
        </w:rPr>
        <w:br w:type="page"/>
      </w:r>
      <w:r>
        <w:rPr>
          <w:rFonts w:hint="eastAsia" w:ascii="宋体" w:hAnsi="宋体" w:eastAsia="宋体" w:cs="宋体"/>
          <w:b/>
          <w:bCs/>
          <w:color w:val="auto"/>
          <w:sz w:val="28"/>
          <w:szCs w:val="28"/>
          <w:highlight w:val="none"/>
        </w:rPr>
        <w:t>2.资格证明文件目录</w:t>
      </w:r>
    </w:p>
    <w:p>
      <w:pPr>
        <w:spacing w:line="360" w:lineRule="auto"/>
        <w:ind w:firstLine="560" w:firstLineChars="200"/>
        <w:contextualSpacing/>
        <w:jc w:val="left"/>
        <w:rPr>
          <w:rFonts w:ascii="仿宋_GB2312" w:hAnsi="仿宋" w:eastAsia="仿宋_GB2312" w:cs="仿宋_GB2312"/>
          <w:color w:val="auto"/>
          <w:kern w:val="0"/>
          <w:sz w:val="24"/>
          <w:szCs w:val="24"/>
          <w:highlight w:val="none"/>
        </w:rPr>
      </w:pPr>
      <w:r>
        <w:rPr>
          <w:rFonts w:hint="eastAsia" w:ascii="宋体" w:hAnsi="宋体" w:eastAsia="宋体" w:cs="宋体"/>
          <w:color w:val="auto"/>
          <w:sz w:val="28"/>
          <w:szCs w:val="28"/>
          <w:highlight w:val="none"/>
        </w:rPr>
        <w:t>根据竞争性谈判文件规定及供应商提供的材料自行编写目录（部分格式后附）。</w:t>
      </w:r>
      <w:r>
        <w:rPr>
          <w:rFonts w:hint="eastAsia" w:ascii="仿宋_GB2312" w:hAnsi="仿宋" w:eastAsia="仿宋_GB2312" w:cs="仿宋_GB2312"/>
          <w:color w:val="auto"/>
          <w:kern w:val="0"/>
          <w:sz w:val="24"/>
          <w:szCs w:val="24"/>
          <w:highlight w:val="none"/>
        </w:rPr>
        <w:br w:type="page"/>
      </w:r>
    </w:p>
    <w:p>
      <w:pPr>
        <w:spacing w:line="320" w:lineRule="exact"/>
        <w:jc w:val="left"/>
        <w:rPr>
          <w:rFonts w:ascii="宋体" w:hAnsi="宋体" w:eastAsia="宋体" w:cs="宋体"/>
          <w:color w:val="auto"/>
          <w:sz w:val="28"/>
          <w:szCs w:val="28"/>
          <w:highlight w:val="none"/>
        </w:rPr>
      </w:pPr>
      <w:r>
        <w:rPr>
          <w:rFonts w:hint="eastAsia" w:ascii="宋体" w:hAnsi="宋体" w:eastAsia="宋体" w:cs="宋体"/>
          <w:b/>
          <w:bCs/>
          <w:color w:val="auto"/>
          <w:kern w:val="0"/>
          <w:sz w:val="28"/>
          <w:szCs w:val="28"/>
          <w:highlight w:val="none"/>
        </w:rPr>
        <w:t>3</w:t>
      </w:r>
      <w:r>
        <w:rPr>
          <w:rFonts w:hint="eastAsia" w:ascii="宋体" w:hAnsi="宋体" w:eastAsia="宋体" w:cs="宋体"/>
          <w:b/>
          <w:color w:val="auto"/>
          <w:kern w:val="0"/>
          <w:sz w:val="28"/>
          <w:szCs w:val="28"/>
          <w:highlight w:val="none"/>
        </w:rPr>
        <w:t>.声明函的格式：</w:t>
      </w:r>
    </w:p>
    <w:p>
      <w:pPr>
        <w:spacing w:line="320" w:lineRule="exact"/>
        <w:jc w:val="center"/>
        <w:rPr>
          <w:rFonts w:ascii="宋体" w:hAnsi="宋体" w:eastAsia="宋体" w:cs="Times New Roman"/>
          <w:b/>
          <w:color w:val="auto"/>
          <w:sz w:val="32"/>
          <w:szCs w:val="32"/>
          <w:highlight w:val="none"/>
        </w:rPr>
      </w:pPr>
    </w:p>
    <w:p>
      <w:pPr>
        <w:spacing w:line="320" w:lineRule="exact"/>
        <w:jc w:val="center"/>
        <w:rPr>
          <w:rFonts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声明函</w:t>
      </w:r>
    </w:p>
    <w:p>
      <w:pPr>
        <w:spacing w:line="320" w:lineRule="exact"/>
        <w:jc w:val="center"/>
        <w:rPr>
          <w:rFonts w:ascii="宋体" w:hAnsi="宋体" w:eastAsia="宋体" w:cs="Times New Roman"/>
          <w:color w:val="auto"/>
          <w:sz w:val="24"/>
          <w:szCs w:val="20"/>
          <w:highlight w:val="none"/>
        </w:rPr>
      </w:pPr>
    </w:p>
    <w:p>
      <w:pPr>
        <w:spacing w:line="360" w:lineRule="exact"/>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bookmarkStart w:id="149" w:name="PO_3000001871_PM031"/>
      <w:r>
        <w:rPr>
          <w:rFonts w:hint="eastAsia" w:ascii="宋体" w:hAnsi="宋体" w:eastAsia="宋体" w:cs="宋体"/>
          <w:color w:val="auto"/>
          <w:sz w:val="24"/>
          <w:szCs w:val="24"/>
          <w:highlight w:val="none"/>
          <w:u w:val="single"/>
        </w:rPr>
        <w:t>广西科联招标中心有限公司</w:t>
      </w:r>
      <w:bookmarkEnd w:id="149"/>
      <w:r>
        <w:rPr>
          <w:rFonts w:hint="eastAsia" w:ascii="宋体" w:hAnsi="宋体" w:eastAsia="宋体" w:cs="宋体"/>
          <w:color w:val="auto"/>
          <w:sz w:val="24"/>
          <w:szCs w:val="24"/>
          <w:highlight w:val="none"/>
        </w:rPr>
        <w:t>：</w:t>
      </w:r>
    </w:p>
    <w:p>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rPr>
        <w:t>系中华人民共和国合法供应商，经营地址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我方愿意参加贵方组织的</w:t>
      </w:r>
      <w:bookmarkStart w:id="150" w:name="PO_3000001871_PM002_4"/>
      <w:r>
        <w:rPr>
          <w:rFonts w:hint="eastAsia" w:ascii="宋体" w:hAnsi="宋体" w:eastAsia="宋体" w:cs="宋体"/>
          <w:i/>
          <w:iCs/>
          <w:color w:val="auto"/>
          <w:sz w:val="24"/>
          <w:szCs w:val="24"/>
          <w:highlight w:val="none"/>
        </w:rPr>
        <w:t>（</w:t>
      </w:r>
      <w:bookmarkEnd w:id="150"/>
      <w:r>
        <w:rPr>
          <w:rFonts w:hint="eastAsia" w:ascii="宋体" w:hAnsi="宋体" w:eastAsia="宋体" w:cs="宋体"/>
          <w:i/>
          <w:iCs/>
          <w:color w:val="auto"/>
          <w:sz w:val="24"/>
          <w:szCs w:val="24"/>
          <w:highlight w:val="none"/>
          <w:u w:val="single"/>
        </w:rPr>
        <w:t>项目名称</w:t>
      </w:r>
      <w:r>
        <w:rPr>
          <w:rFonts w:hint="eastAsia" w:ascii="宋体" w:hAnsi="宋体" w:eastAsia="宋体" w:cs="宋体"/>
          <w:i/>
          <w:iCs/>
          <w:color w:val="auto"/>
          <w:sz w:val="24"/>
          <w:szCs w:val="24"/>
          <w:highlight w:val="none"/>
        </w:rPr>
        <w:t>）</w:t>
      </w:r>
      <w:r>
        <w:rPr>
          <w:rFonts w:hint="eastAsia" w:ascii="宋体" w:hAnsi="宋体" w:eastAsia="宋体" w:cs="宋体"/>
          <w:color w:val="auto"/>
          <w:sz w:val="24"/>
          <w:szCs w:val="24"/>
          <w:highlight w:val="none"/>
        </w:rPr>
        <w:t>项目的竞标，为便于贵方公正、择优地确定成交供应商及其竞标产品和服务，我方就本次竞标有关事项郑重声明如下：</w:t>
      </w:r>
    </w:p>
    <w:p>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1.我方向贵方提交的所有响应文件、资料都是准确的和真实的。</w:t>
      </w:r>
    </w:p>
    <w:p>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3.在此，我方宣布同意如下：</w:t>
      </w:r>
    </w:p>
    <w:p>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（1）将按谈判文件的约定履行合同责任和义务；</w:t>
      </w:r>
    </w:p>
    <w:p>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（2）已详细审查谈判文件的全部内容，包括澄清或者更正公告（如有）；</w:t>
      </w:r>
    </w:p>
    <w:p>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（3）同意提供按照贵方可能要求的与谈判有关的一切数据或者资料。</w:t>
      </w:r>
    </w:p>
    <w:p>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w:t>
      </w:r>
    </w:p>
    <w:p>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内容中</w:t>
      </w:r>
      <w:r>
        <w:rPr>
          <w:rFonts w:hint="eastAsia" w:ascii="宋体" w:hAnsi="宋体" w:eastAsia="宋体" w:cs="宋体"/>
          <w:color w:val="auto"/>
          <w:sz w:val="24"/>
          <w:szCs w:val="24"/>
          <w:highlight w:val="none"/>
        </w:rPr>
        <w:t>未</w:t>
      </w:r>
      <w:r>
        <w:rPr>
          <w:rFonts w:hint="eastAsia" w:ascii="宋体" w:hAnsi="宋体" w:eastAsia="宋体" w:cs="宋体"/>
          <w:color w:val="auto"/>
          <w:kern w:val="0"/>
          <w:sz w:val="24"/>
          <w:szCs w:val="24"/>
          <w:highlight w:val="none"/>
        </w:rPr>
        <w:t>涉及商业秘密；</w:t>
      </w:r>
    </w:p>
    <w:p>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涉及商业秘密的内容有：</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pPr>
        <w:tabs>
          <w:tab w:val="left" w:pos="939"/>
        </w:tabs>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6.以上事项如有虚假或者隐瞒，我方愿意承担一切后果，并不再寻求任何旨在减轻或者免除法律责任的辩解。</w:t>
      </w:r>
    </w:p>
    <w:p>
      <w:pPr>
        <w:tabs>
          <w:tab w:val="left" w:pos="939"/>
        </w:tabs>
        <w:spacing w:line="360" w:lineRule="exact"/>
        <w:ind w:left="141" w:leftChars="67" w:firstLine="360" w:firstLineChars="15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tabs>
          <w:tab w:val="left" w:pos="939"/>
        </w:tabs>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注：如为联合体竞标，盖章处须加盖联合体各方公章，否则其响应文件作无效响应处理。</w:t>
      </w:r>
    </w:p>
    <w:p>
      <w:pPr>
        <w:tabs>
          <w:tab w:val="left" w:pos="939"/>
        </w:tabs>
        <w:spacing w:line="360" w:lineRule="exact"/>
        <w:ind w:firstLine="480" w:firstLineChars="200"/>
        <w:contextualSpacing/>
        <w:rPr>
          <w:rFonts w:ascii="宋体" w:hAnsi="宋体" w:eastAsia="宋体" w:cs="宋体"/>
          <w:color w:val="auto"/>
          <w:sz w:val="24"/>
          <w:szCs w:val="24"/>
          <w:highlight w:val="none"/>
        </w:rPr>
      </w:pPr>
    </w:p>
    <w:p>
      <w:pPr>
        <w:autoSpaceDE w:val="0"/>
        <w:autoSpaceDN w:val="0"/>
        <w:spacing w:line="360" w:lineRule="exact"/>
        <w:ind w:left="4365" w:leftChars="1850" w:hanging="480" w:hanging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autoSpaceDE w:val="0"/>
        <w:autoSpaceDN w:val="0"/>
        <w:spacing w:line="360" w:lineRule="exact"/>
        <w:ind w:firstLine="6120" w:firstLineChars="2550"/>
        <w:rPr>
          <w:rFonts w:ascii="宋体" w:hAnsi="宋体" w:eastAsia="宋体" w:cs="宋体"/>
          <w:color w:val="auto"/>
          <w:kern w:val="0"/>
          <w:sz w:val="24"/>
          <w:szCs w:val="24"/>
          <w:highlight w:val="none"/>
          <w:lang w:val="zh-CN"/>
        </w:rPr>
        <w:sectPr>
          <w:footerReference r:id="rId9" w:type="default"/>
          <w:pgSz w:w="11910" w:h="16840"/>
          <w:pgMar w:top="1134" w:right="1134" w:bottom="1134" w:left="1134" w:header="720" w:footer="720" w:gutter="0"/>
          <w:cols w:space="720" w:num="1"/>
        </w:sectPr>
      </w:pPr>
      <w:r>
        <w:rPr>
          <w:rFonts w:hint="eastAsia" w:ascii="宋体" w:hAnsi="宋体" w:eastAsia="宋体" w:cs="宋体"/>
          <w:color w:val="auto"/>
          <w:kern w:val="0"/>
          <w:sz w:val="24"/>
          <w:szCs w:val="24"/>
          <w:highlight w:val="none"/>
          <w:lang w:val="zh-CN"/>
        </w:rPr>
        <w:t>日期：  年  月   日</w:t>
      </w:r>
    </w:p>
    <w:p>
      <w:pPr>
        <w:overflowPunct w:val="0"/>
        <w:spacing w:line="520" w:lineRule="exact"/>
        <w:rPr>
          <w:rFonts w:ascii="宋体" w:hAnsi="宋体" w:eastAsia="宋体" w:cs="Times New Roman"/>
          <w:b/>
          <w:bCs/>
          <w:color w:val="auto"/>
          <w:sz w:val="32"/>
          <w:szCs w:val="32"/>
          <w:highlight w:val="none"/>
        </w:rPr>
      </w:pPr>
      <w:r>
        <w:rPr>
          <w:rFonts w:hint="eastAsia" w:ascii="宋体" w:hAnsi="宋体" w:eastAsia="宋体" w:cs="宋体"/>
          <w:b/>
          <w:color w:val="auto"/>
          <w:kern w:val="0"/>
          <w:sz w:val="28"/>
          <w:szCs w:val="28"/>
          <w:highlight w:val="none"/>
        </w:rPr>
        <w:t>4.联合体竞标协议书的格式：</w:t>
      </w:r>
    </w:p>
    <w:p>
      <w:pPr>
        <w:spacing w:line="600" w:lineRule="exact"/>
        <w:jc w:val="center"/>
        <w:rPr>
          <w:rFonts w:ascii="方正小标宋简体" w:hAnsi="方正小标宋简体" w:eastAsia="方正小标宋简体" w:cs="方正小标宋简体"/>
          <w:color w:val="auto"/>
          <w:sz w:val="44"/>
          <w:szCs w:val="44"/>
          <w:highlight w:val="none"/>
          <w:lang w:val="zh-CN"/>
        </w:rPr>
      </w:pPr>
    </w:p>
    <w:p>
      <w:pPr>
        <w:spacing w:line="600" w:lineRule="exact"/>
        <w:jc w:val="center"/>
        <w:rPr>
          <w:rFonts w:ascii="宋体" w:hAnsi="宋体" w:eastAsia="宋体" w:cs="宋体"/>
          <w:color w:val="auto"/>
          <w:sz w:val="44"/>
          <w:szCs w:val="44"/>
          <w:highlight w:val="none"/>
          <w:lang w:val="zh-CN"/>
        </w:rPr>
      </w:pPr>
      <w:r>
        <w:rPr>
          <w:rFonts w:hint="eastAsia" w:ascii="宋体" w:hAnsi="宋体" w:eastAsia="宋体" w:cs="宋体"/>
          <w:b/>
          <w:bCs/>
          <w:color w:val="auto"/>
          <w:sz w:val="32"/>
          <w:szCs w:val="32"/>
          <w:highlight w:val="none"/>
          <w:lang w:val="zh-CN"/>
        </w:rPr>
        <w:t>联合体竞标协议书</w:t>
      </w:r>
    </w:p>
    <w:p>
      <w:pPr>
        <w:autoSpaceDE w:val="0"/>
        <w:autoSpaceDN w:val="0"/>
        <w:adjustRightInd w:val="0"/>
        <w:spacing w:line="360" w:lineRule="auto"/>
        <w:jc w:val="left"/>
        <w:rPr>
          <w:rFonts w:ascii="宋体" w:hAnsi="宋体" w:eastAsia="宋体" w:cs="宋体"/>
          <w:color w:val="auto"/>
          <w:kern w:val="0"/>
          <w:szCs w:val="21"/>
          <w:highlight w:val="none"/>
          <w:u w:val="single"/>
        </w:rPr>
      </w:pPr>
    </w:p>
    <w:p>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（所有成员单位名称）自愿组成联合体，共同参加</w:t>
      </w:r>
      <w:r>
        <w:rPr>
          <w:rFonts w:hint="eastAsia" w:ascii="宋体" w:hAnsi="宋体" w:eastAsia="宋体" w:cs="宋体"/>
          <w:color w:val="auto"/>
          <w:kern w:val="0"/>
          <w:sz w:val="24"/>
          <w:szCs w:val="24"/>
          <w:highlight w:val="none"/>
          <w:u w:val="single"/>
        </w:rPr>
        <w:t xml:space="preserve"> </w:t>
      </w:r>
      <w:bookmarkStart w:id="151" w:name="PO_3000001871_PM031_4"/>
      <w:r>
        <w:rPr>
          <w:rFonts w:hint="eastAsia" w:ascii="宋体" w:hAnsi="宋体" w:eastAsia="宋体" w:cs="宋体"/>
          <w:color w:val="auto"/>
          <w:kern w:val="0"/>
          <w:sz w:val="24"/>
          <w:szCs w:val="24"/>
          <w:highlight w:val="none"/>
          <w:u w:val="single"/>
        </w:rPr>
        <w:t>广西科联招标中心有限公司</w:t>
      </w:r>
      <w:bookmarkEnd w:id="151"/>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组织的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i/>
          <w:iCs/>
          <w:color w:val="auto"/>
          <w:kern w:val="0"/>
          <w:sz w:val="24"/>
          <w:szCs w:val="24"/>
          <w:highlight w:val="none"/>
          <w:u w:val="single"/>
        </w:rPr>
        <w:t xml:space="preserve"> （项目名称）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（项目编号：</w:t>
      </w:r>
      <w:bookmarkStart w:id="152" w:name="PO_3000001871_PM001_4"/>
      <w:r>
        <w:rPr>
          <w:rFonts w:hint="eastAsia" w:ascii="宋体" w:hAnsi="宋体" w:eastAsia="宋体" w:cs="宋体"/>
          <w:i/>
          <w:iCs/>
          <w:color w:val="auto"/>
          <w:kern w:val="0"/>
          <w:sz w:val="24"/>
          <w:szCs w:val="24"/>
          <w:highlight w:val="none"/>
        </w:rPr>
        <w:t>（</w:t>
      </w:r>
      <w:bookmarkEnd w:id="152"/>
      <w:r>
        <w:rPr>
          <w:rFonts w:hint="eastAsia" w:ascii="宋体" w:hAnsi="宋体" w:eastAsia="宋体" w:cs="宋体"/>
          <w:i/>
          <w:iCs/>
          <w:color w:val="auto"/>
          <w:kern w:val="0"/>
          <w:sz w:val="24"/>
          <w:szCs w:val="24"/>
          <w:highlight w:val="none"/>
          <w:u w:val="single"/>
        </w:rPr>
        <w:t>项目编号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）竞争性谈判采购。现就联合体竞标事宜订立如下协议：</w:t>
      </w:r>
    </w:p>
    <w:p>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（某成员单位名称）为联合体名称牵头人。</w:t>
      </w:r>
    </w:p>
    <w:p>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联合体牵头人合法代表联合体各成员负责本谈判项目响应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3.联合体牵头人在本项目中签署和盖章的一切文件和处理的一切事宜，联合体各成员均予以承认。 联合体各成员将严格按照谈判文件、响应文件和合同的要求全面履行义务，并向采购人承担连带责任。</w:t>
      </w:r>
    </w:p>
    <w:p>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4.联合体各成员单位内部的职责分工如下：</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pPr>
        <w:spacing w:line="360" w:lineRule="exact"/>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5</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本联合体中，</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（某成员单位名称）为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（请填写：中型、小型、微型）企业，其协议合同金额占联合体协议合同总金额的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%。【如联合体成员中有小型、微型企业的，请填写此条，否则无需填写；如联合体成员中有多个小型、微型企业的，请逐一列出。】</w:t>
      </w:r>
    </w:p>
    <w:p>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6.本协议书自签署之日起生效，合同履行完毕后自动失效。</w:t>
      </w:r>
    </w:p>
    <w:p>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7.本协议书一式</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份，联合体成员和采购代理机构各执一份。</w:t>
      </w:r>
    </w:p>
    <w:p>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注：本协议书由法定代表人签字的，应附法定代表人身份证明；本协议书由委托代理人签字的，应附法定代表人授权委托书。</w:t>
      </w:r>
    </w:p>
    <w:p>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牵头人名称：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w:t>
      </w:r>
    </w:p>
    <w:p>
      <w:pPr>
        <w:autoSpaceDE w:val="0"/>
        <w:autoSpaceDN w:val="0"/>
        <w:adjustRightInd w:val="0"/>
        <w:spacing w:line="360" w:lineRule="exact"/>
        <w:jc w:val="left"/>
        <w:rPr>
          <w:rFonts w:ascii="宋体" w:hAnsi="宋体" w:eastAsia="宋体" w:cs="宋体"/>
          <w:color w:val="auto"/>
          <w:kern w:val="0"/>
          <w:sz w:val="24"/>
          <w:szCs w:val="24"/>
          <w:highlight w:val="none"/>
        </w:rPr>
      </w:pPr>
    </w:p>
    <w:p>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成员一名称：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w:t>
      </w:r>
    </w:p>
    <w:p>
      <w:pPr>
        <w:autoSpaceDE w:val="0"/>
        <w:autoSpaceDN w:val="0"/>
        <w:adjustRightInd w:val="0"/>
        <w:spacing w:line="360" w:lineRule="exact"/>
        <w:jc w:val="left"/>
        <w:rPr>
          <w:rFonts w:ascii="宋体" w:hAnsi="宋体" w:eastAsia="宋体" w:cs="宋体"/>
          <w:color w:val="auto"/>
          <w:kern w:val="0"/>
          <w:szCs w:val="21"/>
          <w:highlight w:val="none"/>
        </w:rPr>
      </w:pPr>
    </w:p>
    <w:p>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成员二名称：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                         （签字）</w:t>
      </w:r>
    </w:p>
    <w:p>
      <w:pPr>
        <w:pStyle w:val="8"/>
        <w:overflowPunct w:val="0"/>
        <w:spacing w:line="360" w:lineRule="exact"/>
        <w:ind w:firstLineChars="175"/>
        <w:rPr>
          <w:rFonts w:ascii="宋体" w:hAnsi="宋体" w:cs="宋体"/>
          <w:color w:val="auto"/>
          <w:sz w:val="24"/>
          <w:highlight w:val="none"/>
        </w:rPr>
      </w:pPr>
      <w:r>
        <w:rPr>
          <w:rFonts w:hint="eastAsia" w:ascii="宋体" w:hAnsi="宋体" w:cs="宋体"/>
          <w:color w:val="auto"/>
          <w:sz w:val="24"/>
          <w:highlight w:val="none"/>
        </w:rPr>
        <w:t>……</w:t>
      </w:r>
    </w:p>
    <w:p>
      <w:pPr>
        <w:autoSpaceDE w:val="0"/>
        <w:autoSpaceDN w:val="0"/>
        <w:adjustRightInd w:val="0"/>
        <w:spacing w:line="360" w:lineRule="exact"/>
        <w:jc w:val="left"/>
        <w:rPr>
          <w:rFonts w:ascii="宋体" w:hAnsi="宋体" w:eastAsia="宋体" w:cs="宋体"/>
          <w:color w:val="auto"/>
          <w:kern w:val="0"/>
          <w:sz w:val="24"/>
          <w:szCs w:val="24"/>
          <w:highlight w:val="none"/>
        </w:rPr>
      </w:pPr>
    </w:p>
    <w:p>
      <w:pPr>
        <w:autoSpaceDE w:val="0"/>
        <w:autoSpaceDN w:val="0"/>
        <w:adjustRightInd w:val="0"/>
        <w:spacing w:line="360" w:lineRule="exact"/>
        <w:jc w:val="left"/>
        <w:rPr>
          <w:rFonts w:ascii="宋体" w:hAnsi="宋体" w:eastAsia="宋体" w:cs="宋体"/>
          <w:color w:val="auto"/>
          <w:kern w:val="0"/>
          <w:sz w:val="24"/>
          <w:szCs w:val="24"/>
          <w:highlight w:val="none"/>
        </w:rPr>
      </w:pPr>
    </w:p>
    <w:p>
      <w:pPr>
        <w:autoSpaceDE w:val="0"/>
        <w:autoSpaceDN w:val="0"/>
        <w:spacing w:line="360" w:lineRule="exact"/>
        <w:ind w:left="4365" w:leftChars="1850" w:hanging="480" w:hangingChars="200"/>
        <w:rPr>
          <w:rFonts w:ascii="宋体" w:hAnsi="宋体" w:eastAsia="宋体" w:cs="宋体"/>
          <w:color w:val="auto"/>
          <w:kern w:val="0"/>
          <w:sz w:val="24"/>
          <w:szCs w:val="24"/>
          <w:highlight w:val="none"/>
        </w:rPr>
      </w:pPr>
    </w:p>
    <w:p>
      <w:pPr>
        <w:autoSpaceDE w:val="0"/>
        <w:autoSpaceDN w:val="0"/>
        <w:spacing w:line="360" w:lineRule="exact"/>
        <w:ind w:firstLine="6120" w:firstLineChars="255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pPr>
        <w:autoSpaceDE w:val="0"/>
        <w:autoSpaceDN w:val="0"/>
        <w:spacing w:line="360" w:lineRule="exact"/>
        <w:ind w:firstLine="6120" w:firstLineChars="2550"/>
        <w:rPr>
          <w:rFonts w:ascii="仿宋_GB2312" w:hAnsi="仿宋" w:eastAsia="仿宋_GB2312" w:cs="仿宋_GB2312"/>
          <w:color w:val="auto"/>
          <w:kern w:val="0"/>
          <w:sz w:val="24"/>
          <w:szCs w:val="24"/>
          <w:highlight w:val="none"/>
          <w:lang w:val="zh-CN"/>
        </w:rPr>
      </w:pPr>
    </w:p>
    <w:p>
      <w:pPr>
        <w:autoSpaceDE w:val="0"/>
        <w:autoSpaceDN w:val="0"/>
        <w:spacing w:line="360" w:lineRule="auto"/>
        <w:ind w:firstLine="6120" w:firstLineChars="2550"/>
        <w:rPr>
          <w:rFonts w:ascii="仿宋_GB2312" w:hAnsi="仿宋" w:eastAsia="仿宋_GB2312" w:cs="仿宋_GB2312"/>
          <w:color w:val="auto"/>
          <w:kern w:val="0"/>
          <w:sz w:val="24"/>
          <w:szCs w:val="24"/>
          <w:highlight w:val="none"/>
          <w:lang w:val="zh-CN"/>
        </w:rPr>
      </w:pPr>
    </w:p>
    <w:p>
      <w:pPr>
        <w:keepNext/>
        <w:keepLines/>
        <w:spacing w:before="260" w:after="260" w:line="416" w:lineRule="auto"/>
        <w:jc w:val="center"/>
        <w:outlineLvl w:val="1"/>
        <w:rPr>
          <w:rFonts w:ascii="宋体" w:hAnsi="宋体" w:eastAsia="宋体" w:cs="Times New Roman"/>
          <w:bCs/>
          <w:color w:val="auto"/>
          <w:sz w:val="32"/>
          <w:szCs w:val="32"/>
          <w:highlight w:val="none"/>
          <w:lang w:val="zh-CN"/>
        </w:rPr>
      </w:pPr>
      <w:bookmarkStart w:id="153" w:name="_Toc798"/>
      <w:bookmarkStart w:id="154" w:name="_Toc80205940"/>
      <w:bookmarkStart w:id="155" w:name="_Toc26899"/>
      <w:r>
        <w:rPr>
          <w:rFonts w:hint="eastAsia" w:ascii="宋体" w:hAnsi="宋体" w:eastAsia="宋体" w:cs="Times New Roman"/>
          <w:color w:val="auto"/>
          <w:sz w:val="32"/>
          <w:szCs w:val="32"/>
          <w:highlight w:val="none"/>
          <w:lang w:val="zh-CN"/>
        </w:rPr>
        <w:t xml:space="preserve">第二节 </w:t>
      </w:r>
      <w:r>
        <w:rPr>
          <w:rFonts w:hint="eastAsia" w:ascii="宋体" w:hAnsi="宋体" w:eastAsia="宋体" w:cs="Times New Roman"/>
          <w:bCs/>
          <w:color w:val="auto"/>
          <w:sz w:val="32"/>
          <w:szCs w:val="32"/>
          <w:highlight w:val="none"/>
          <w:lang w:val="zh-CN"/>
        </w:rPr>
        <w:t>商务技术文件格式</w:t>
      </w:r>
      <w:bookmarkEnd w:id="153"/>
      <w:bookmarkEnd w:id="154"/>
      <w:bookmarkEnd w:id="155"/>
    </w:p>
    <w:p>
      <w:pPr>
        <w:snapToGrid w:val="0"/>
        <w:spacing w:before="120" w:beforeLines="50" w:after="50"/>
        <w:rPr>
          <w:rFonts w:ascii="宋体" w:hAnsi="宋体" w:eastAsia="宋体" w:cs="Times New Roman"/>
          <w:color w:val="auto"/>
          <w:sz w:val="24"/>
          <w:szCs w:val="24"/>
          <w:highlight w:val="none"/>
        </w:rPr>
      </w:pPr>
      <w:r>
        <w:rPr>
          <w:rFonts w:hint="eastAsia" w:ascii="宋体" w:hAnsi="宋体" w:cs="宋体"/>
          <w:b/>
          <w:color w:val="auto"/>
          <w:sz w:val="28"/>
          <w:szCs w:val="28"/>
          <w:highlight w:val="none"/>
        </w:rPr>
        <w:t>1.</w:t>
      </w:r>
      <w:r>
        <w:rPr>
          <w:rFonts w:hint="eastAsia" w:ascii="宋体" w:hAnsi="宋体" w:eastAsia="宋体" w:cs="宋体"/>
          <w:b/>
          <w:color w:val="auto"/>
          <w:sz w:val="28"/>
          <w:szCs w:val="28"/>
          <w:highlight w:val="none"/>
        </w:rPr>
        <w:t>商务技术文件封面</w:t>
      </w:r>
      <w:r>
        <w:rPr>
          <w:rFonts w:hint="eastAsia" w:ascii="宋体" w:hAnsi="宋体" w:cs="宋体"/>
          <w:b/>
          <w:color w:val="auto"/>
          <w:sz w:val="28"/>
          <w:szCs w:val="28"/>
          <w:highlight w:val="none"/>
        </w:rPr>
        <w:t>的</w:t>
      </w:r>
      <w:r>
        <w:rPr>
          <w:rFonts w:hint="eastAsia" w:ascii="宋体" w:hAnsi="宋体" w:eastAsia="宋体" w:cs="宋体"/>
          <w:b/>
          <w:color w:val="auto"/>
          <w:sz w:val="28"/>
          <w:szCs w:val="28"/>
          <w:highlight w:val="none"/>
        </w:rPr>
        <w:t>格式</w:t>
      </w:r>
      <w:r>
        <w:rPr>
          <w:rFonts w:hint="eastAsia" w:ascii="宋体" w:hAnsi="宋体" w:eastAsia="宋体" w:cs="宋体"/>
          <w:b/>
          <w:bCs/>
          <w:color w:val="auto"/>
          <w:sz w:val="28"/>
          <w:szCs w:val="28"/>
          <w:highlight w:val="none"/>
        </w:rPr>
        <w:t>（参照此格式自拟）</w:t>
      </w:r>
      <w:r>
        <w:rPr>
          <w:rFonts w:hint="eastAsia" w:ascii="宋体" w:hAnsi="宋体" w:eastAsia="宋体" w:cs="宋体"/>
          <w:b/>
          <w:color w:val="auto"/>
          <w:sz w:val="28"/>
          <w:szCs w:val="28"/>
          <w:highlight w:val="none"/>
        </w:rPr>
        <w:t>：</w:t>
      </w:r>
      <w:r>
        <w:rPr>
          <w:rFonts w:hint="eastAsia" w:ascii="宋体" w:hAnsi="宋体" w:eastAsia="宋体" w:cs="Times New Roman"/>
          <w:color w:val="auto"/>
          <w:sz w:val="24"/>
          <w:szCs w:val="24"/>
          <w:highlight w:val="none"/>
        </w:rPr>
        <w:t xml:space="preserve">                                                   </w:t>
      </w:r>
    </w:p>
    <w:p>
      <w:pPr>
        <w:snapToGrid w:val="0"/>
        <w:spacing w:before="120" w:beforeLines="50" w:after="50"/>
        <w:ind w:firstLine="6480" w:firstLineChars="270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pPr>
        <w:snapToGrid w:val="0"/>
        <w:spacing w:before="120" w:beforeLines="50" w:after="50"/>
        <w:rPr>
          <w:rFonts w:ascii="宋体" w:hAnsi="宋体" w:eastAsia="宋体" w:cs="Times New Roman"/>
          <w:color w:val="auto"/>
          <w:sz w:val="24"/>
          <w:szCs w:val="20"/>
          <w:highlight w:val="none"/>
        </w:rPr>
      </w:pPr>
    </w:p>
    <w:p>
      <w:pPr>
        <w:snapToGrid w:val="0"/>
        <w:spacing w:before="120" w:beforeLines="50" w:after="50"/>
        <w:rPr>
          <w:rFonts w:ascii="宋体" w:hAnsi="宋体" w:eastAsia="宋体" w:cs="Times New Roman"/>
          <w:color w:val="auto"/>
          <w:sz w:val="24"/>
          <w:szCs w:val="20"/>
          <w:highlight w:val="none"/>
        </w:rPr>
      </w:pPr>
    </w:p>
    <w:p>
      <w:pPr>
        <w:snapToGrid w:val="0"/>
        <w:spacing w:before="120" w:beforeLines="50" w:after="50"/>
        <w:rPr>
          <w:rFonts w:ascii="宋体" w:hAnsi="宋体" w:eastAsia="宋体" w:cs="Times New Roman"/>
          <w:color w:val="auto"/>
          <w:sz w:val="24"/>
          <w:szCs w:val="20"/>
          <w:highlight w:val="none"/>
        </w:rPr>
      </w:pPr>
    </w:p>
    <w:p>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pPr>
        <w:snapToGrid w:val="0"/>
        <w:spacing w:before="120" w:beforeLines="50" w:after="50"/>
        <w:rPr>
          <w:rFonts w:ascii="宋体" w:hAnsi="宋体" w:eastAsia="宋体" w:cs="Times New Roman"/>
          <w:bCs/>
          <w:color w:val="auto"/>
          <w:sz w:val="24"/>
          <w:szCs w:val="20"/>
          <w:highlight w:val="none"/>
        </w:rPr>
      </w:pPr>
    </w:p>
    <w:p>
      <w:pPr>
        <w:snapToGrid w:val="0"/>
        <w:spacing w:before="120" w:beforeLines="50" w:after="50"/>
        <w:rPr>
          <w:rFonts w:ascii="宋体" w:hAnsi="宋体" w:eastAsia="宋体" w:cs="Times New Roman"/>
          <w:bCs/>
          <w:color w:val="auto"/>
          <w:sz w:val="24"/>
          <w:szCs w:val="20"/>
          <w:highlight w:val="none"/>
        </w:rPr>
      </w:pPr>
    </w:p>
    <w:p>
      <w:pPr>
        <w:snapToGrid w:val="0"/>
        <w:spacing w:before="120" w:beforeLines="50" w:after="50"/>
        <w:rPr>
          <w:rFonts w:ascii="宋体" w:hAnsi="宋体" w:eastAsia="宋体" w:cs="Times New Roman"/>
          <w:bCs/>
          <w:color w:val="auto"/>
          <w:sz w:val="24"/>
          <w:szCs w:val="20"/>
          <w:highlight w:val="none"/>
        </w:rPr>
      </w:pPr>
    </w:p>
    <w:p>
      <w:pPr>
        <w:snapToGrid w:val="0"/>
        <w:spacing w:before="120" w:beforeLines="50" w:after="50"/>
        <w:rPr>
          <w:rFonts w:ascii="宋体" w:hAnsi="宋体" w:eastAsia="宋体" w:cs="Times New Roman"/>
          <w:bCs/>
          <w:color w:val="auto"/>
          <w:sz w:val="24"/>
          <w:szCs w:val="20"/>
          <w:highlight w:val="none"/>
        </w:rPr>
      </w:pPr>
    </w:p>
    <w:p>
      <w:pPr>
        <w:snapToGrid w:val="0"/>
        <w:spacing w:before="120" w:beforeLines="50" w:after="50"/>
        <w:rPr>
          <w:rFonts w:ascii="宋体" w:hAnsi="宋体" w:eastAsia="宋体" w:cs="Times New Roman"/>
          <w:bCs/>
          <w:color w:val="auto"/>
          <w:sz w:val="24"/>
          <w:szCs w:val="20"/>
          <w:highlight w:val="none"/>
        </w:rPr>
      </w:pPr>
    </w:p>
    <w:p>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项目名称： </w:t>
      </w:r>
    </w:p>
    <w:p>
      <w:pPr>
        <w:snapToGrid w:val="0"/>
        <w:spacing w:before="120" w:beforeLines="50" w:after="50"/>
        <w:ind w:firstLine="720" w:firstLineChars="225"/>
        <w:rPr>
          <w:rFonts w:ascii="宋体" w:hAnsi="宋体" w:eastAsia="宋体" w:cs="仿宋_GB2312"/>
          <w:bCs/>
          <w:color w:val="auto"/>
          <w:sz w:val="32"/>
          <w:szCs w:val="32"/>
          <w:highlight w:val="none"/>
        </w:rPr>
      </w:pPr>
    </w:p>
    <w:p>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项目编号： </w:t>
      </w:r>
    </w:p>
    <w:p>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pPr>
        <w:snapToGrid w:val="0"/>
        <w:spacing w:before="120" w:beforeLines="50" w:after="50"/>
        <w:ind w:firstLine="720" w:firstLineChars="225"/>
        <w:rPr>
          <w:rFonts w:ascii="宋体" w:hAnsi="宋体" w:eastAsia="宋体" w:cs="仿宋_GB2312"/>
          <w:bCs/>
          <w:color w:val="auto"/>
          <w:sz w:val="32"/>
          <w:szCs w:val="32"/>
          <w:highlight w:val="none"/>
        </w:rPr>
      </w:pPr>
    </w:p>
    <w:p>
      <w:pPr>
        <w:snapToGrid w:val="0"/>
        <w:spacing w:before="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pPr>
        <w:snapToGrid w:val="0"/>
        <w:spacing w:before="50" w:after="50"/>
        <w:ind w:firstLine="720" w:firstLineChars="225"/>
        <w:rPr>
          <w:rFonts w:ascii="宋体" w:hAnsi="宋体" w:eastAsia="宋体" w:cs="仿宋_GB2312"/>
          <w:bCs/>
          <w:color w:val="auto"/>
          <w:sz w:val="32"/>
          <w:szCs w:val="32"/>
          <w:highlight w:val="none"/>
        </w:rPr>
      </w:pPr>
    </w:p>
    <w:p>
      <w:pPr>
        <w:snapToGrid w:val="0"/>
        <w:spacing w:before="50" w:after="50"/>
        <w:ind w:firstLine="720" w:firstLineChars="225"/>
        <w:rPr>
          <w:rFonts w:ascii="宋体" w:hAnsi="宋体" w:eastAsia="宋体" w:cs="仿宋_GB2312"/>
          <w:bCs/>
          <w:color w:val="auto"/>
          <w:sz w:val="32"/>
          <w:szCs w:val="32"/>
          <w:highlight w:val="none"/>
        </w:rPr>
      </w:pPr>
    </w:p>
    <w:p>
      <w:pPr>
        <w:snapToGrid w:val="0"/>
        <w:spacing w:before="50" w:after="50"/>
        <w:ind w:firstLine="1280" w:firstLineChars="400"/>
        <w:rPr>
          <w:rFonts w:ascii="宋体" w:hAnsi="宋体" w:eastAsia="宋体" w:cs="仿宋_GB2312"/>
          <w:bCs/>
          <w:color w:val="auto"/>
          <w:sz w:val="32"/>
          <w:szCs w:val="32"/>
          <w:highlight w:val="none"/>
        </w:rPr>
      </w:pPr>
    </w:p>
    <w:p>
      <w:pPr>
        <w:snapToGrid w:val="0"/>
        <w:spacing w:before="120"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pPr>
        <w:spacing w:line="360" w:lineRule="auto"/>
        <w:ind w:right="420"/>
        <w:rPr>
          <w:rFonts w:ascii="宋体" w:hAnsi="宋体" w:cs="宋体"/>
          <w:color w:val="auto"/>
          <w:sz w:val="24"/>
          <w:szCs w:val="20"/>
          <w:highlight w:val="none"/>
        </w:rPr>
      </w:pPr>
      <w:r>
        <w:rPr>
          <w:rFonts w:ascii="宋体" w:hAnsi="宋体" w:eastAsia="宋体" w:cs="Times New Roman"/>
          <w:color w:val="auto"/>
          <w:sz w:val="24"/>
          <w:szCs w:val="24"/>
          <w:highlight w:val="none"/>
        </w:rPr>
        <w:br w:type="page"/>
      </w:r>
      <w:r>
        <w:rPr>
          <w:rFonts w:hint="eastAsia" w:ascii="宋体" w:hAnsi="宋体" w:eastAsia="宋体" w:cs="宋体"/>
          <w:b/>
          <w:bCs/>
          <w:color w:val="auto"/>
          <w:sz w:val="28"/>
          <w:szCs w:val="28"/>
          <w:highlight w:val="none"/>
        </w:rPr>
        <w:t>2.商务技术文件目录</w:t>
      </w:r>
    </w:p>
    <w:p>
      <w:pPr>
        <w:spacing w:line="360" w:lineRule="auto"/>
        <w:rPr>
          <w:rFonts w:ascii="仿宋_GB2312" w:hAnsi="仿宋" w:eastAsia="仿宋_GB2312" w:cs="仿宋_GB2312"/>
          <w:b/>
          <w:bCs/>
          <w:color w:val="auto"/>
          <w:sz w:val="24"/>
          <w:szCs w:val="24"/>
          <w:highlight w:val="none"/>
        </w:rPr>
      </w:pPr>
      <w:r>
        <w:rPr>
          <w:rFonts w:hint="eastAsia" w:ascii="宋体" w:hAnsi="宋体" w:eastAsia="宋体" w:cs="宋体"/>
          <w:color w:val="auto"/>
          <w:kern w:val="0"/>
          <w:sz w:val="24"/>
          <w:szCs w:val="24"/>
          <w:highlight w:val="none"/>
        </w:rPr>
        <w:t>根据竞争性谈判文件规定及供应商提供的材料自行编写目录（部分格式后附）。</w:t>
      </w:r>
    </w:p>
    <w:p>
      <w:pPr>
        <w:snapToGrid w:val="0"/>
        <w:spacing w:before="120" w:beforeLines="50" w:after="50" w:line="360" w:lineRule="auto"/>
        <w:ind w:left="142" w:firstLine="640" w:firstLineChars="200"/>
        <w:jc w:val="left"/>
        <w:rPr>
          <w:rFonts w:ascii="仿宋_GB2312" w:hAnsi="仿宋_GB2312" w:eastAsia="仿宋_GB2312" w:cs="仿宋_GB2312"/>
          <w:color w:val="auto"/>
          <w:sz w:val="32"/>
          <w:szCs w:val="32"/>
          <w:highlight w:val="none"/>
        </w:rPr>
      </w:pPr>
    </w:p>
    <w:p>
      <w:pPr>
        <w:spacing w:line="520" w:lineRule="exact"/>
        <w:ind w:firstLine="220" w:firstLineChars="50"/>
        <w:jc w:val="left"/>
        <w:rPr>
          <w:rFonts w:ascii="宋体" w:hAnsi="宋体" w:eastAsia="宋体" w:cs="宋体"/>
          <w:color w:val="auto"/>
          <w:sz w:val="28"/>
          <w:szCs w:val="28"/>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eastAsia="宋体" w:cs="宋体"/>
          <w:b/>
          <w:color w:val="auto"/>
          <w:sz w:val="28"/>
          <w:szCs w:val="28"/>
          <w:highlight w:val="none"/>
        </w:rPr>
        <w:t>3.无串通竞标行为的承诺函的格式：</w:t>
      </w:r>
    </w:p>
    <w:p>
      <w:pPr>
        <w:spacing w:line="520" w:lineRule="exact"/>
        <w:jc w:val="center"/>
        <w:rPr>
          <w:rFonts w:ascii="方正小标宋简体" w:hAnsi="方正小标宋简体" w:eastAsia="方正小标宋简体" w:cs="方正小标宋简体"/>
          <w:color w:val="auto"/>
          <w:sz w:val="44"/>
          <w:szCs w:val="44"/>
          <w:highlight w:val="none"/>
        </w:rPr>
      </w:pPr>
    </w:p>
    <w:p>
      <w:pPr>
        <w:spacing w:line="520" w:lineRule="exact"/>
        <w:jc w:val="center"/>
        <w:rPr>
          <w:rFonts w:ascii="宋体" w:hAnsi="宋体" w:eastAsia="宋体" w:cs="宋体"/>
          <w:color w:val="auto"/>
          <w:sz w:val="36"/>
          <w:szCs w:val="36"/>
          <w:highlight w:val="none"/>
        </w:rPr>
      </w:pPr>
      <w:r>
        <w:rPr>
          <w:rFonts w:hint="eastAsia" w:ascii="宋体" w:hAnsi="宋体" w:eastAsia="宋体" w:cs="宋体"/>
          <w:b/>
          <w:bCs/>
          <w:color w:val="auto"/>
          <w:sz w:val="32"/>
          <w:szCs w:val="32"/>
          <w:highlight w:val="none"/>
        </w:rPr>
        <w:t>无串通竞标行为的承诺函</w:t>
      </w:r>
    </w:p>
    <w:p>
      <w:pPr>
        <w:spacing w:line="400" w:lineRule="exact"/>
        <w:contextualSpacing/>
        <w:rPr>
          <w:rFonts w:ascii="仿宋_GB2312" w:hAnsi="仿宋_GB2312" w:eastAsia="仿宋_GB2312" w:cs="仿宋_GB2312"/>
          <w:color w:val="auto"/>
          <w:sz w:val="32"/>
          <w:szCs w:val="32"/>
          <w:highlight w:val="none"/>
        </w:rPr>
      </w:pPr>
    </w:p>
    <w:p>
      <w:pPr>
        <w:spacing w:line="400" w:lineRule="exact"/>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一、我方承诺无下列相互串通竞标的情形：</w:t>
      </w:r>
    </w:p>
    <w:p>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1.不同供应商的响应文件由同一单位或者个人编制；或不同供应商报名的IP地址一致的；</w:t>
      </w:r>
    </w:p>
    <w:p>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2.不同供应商委托同一单位或者个人办理竞标事宜；</w:t>
      </w:r>
    </w:p>
    <w:p>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3.不同的供应商的响应文件载明的项目管理员为同一个人；</w:t>
      </w:r>
    </w:p>
    <w:p>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4.不</w:t>
      </w:r>
      <w:r>
        <w:rPr>
          <w:rFonts w:hint="eastAsia" w:ascii="宋体" w:hAnsi="宋体" w:eastAsia="宋体" w:cs="仿宋_GB2312"/>
          <w:color w:val="auto"/>
          <w:spacing w:val="-6"/>
          <w:sz w:val="24"/>
          <w:szCs w:val="24"/>
          <w:highlight w:val="none"/>
        </w:rPr>
        <w:t>同供应商的响应文件异常一致或者竞标报价呈规律性差异；</w:t>
      </w:r>
    </w:p>
    <w:p>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5.不同供应商的响应文件相互混装；</w:t>
      </w:r>
    </w:p>
    <w:p>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6.不同供应商的谈判保证金从同一单位或者个人账户转出。</w:t>
      </w:r>
    </w:p>
    <w:p>
      <w:pPr>
        <w:spacing w:line="400" w:lineRule="exact"/>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二、我方承诺无下列恶意串通的情形：</w:t>
      </w:r>
    </w:p>
    <w:p>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1.供应商直接或者间接从采购人或者采购代理机构处获得其他供应商的相关信息并修改其响应文件；</w:t>
      </w:r>
    </w:p>
    <w:p>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2.供应商按照采购人或者采购代理机构的授意撤换、修改响应文件；</w:t>
      </w:r>
    </w:p>
    <w:p>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3.供</w:t>
      </w:r>
      <w:r>
        <w:rPr>
          <w:rFonts w:hint="eastAsia" w:ascii="宋体" w:hAnsi="宋体" w:eastAsia="宋体" w:cs="仿宋_GB2312"/>
          <w:color w:val="auto"/>
          <w:spacing w:val="-6"/>
          <w:sz w:val="24"/>
          <w:szCs w:val="24"/>
          <w:highlight w:val="none"/>
        </w:rPr>
        <w:t>应商之间协商报价、技术方案等响应文件的实质性内容；</w:t>
      </w:r>
    </w:p>
    <w:p>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4.属于同一集团、协会、商会等组织成员的供应商按照该组织要求协同参加政府采购活动；</w:t>
      </w:r>
    </w:p>
    <w:p>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5.供应商之间事先约定一致抬高或者压低竞标报价,或者在竞争性谈判项目中事先约定轮流以高价位或者低价位成交,或者事先约定由某一特定供应商成交,然后再参加竞标；</w:t>
      </w:r>
    </w:p>
    <w:p>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6.供应商之间商定部分供应商放弃参加政府采购活动或者放弃成交；</w:t>
      </w:r>
    </w:p>
    <w:p>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7.供应商与采购人或者采购代理机构之间、供应商相互之间，为</w:t>
      </w:r>
      <w:r>
        <w:rPr>
          <w:rFonts w:hint="eastAsia" w:ascii="宋体" w:hAnsi="宋体" w:eastAsia="宋体" w:cs="仿宋_GB2312"/>
          <w:color w:val="auto"/>
          <w:spacing w:val="-6"/>
          <w:sz w:val="24"/>
          <w:szCs w:val="24"/>
          <w:highlight w:val="none"/>
        </w:rPr>
        <w:t>谋求特定供应商成交或者排斥其他供应商的其他串通行为。</w:t>
      </w:r>
    </w:p>
    <w:p>
      <w:pPr>
        <w:spacing w:line="400" w:lineRule="exact"/>
        <w:ind w:firstLine="480" w:firstLineChars="200"/>
        <w:contextualSpacing/>
        <w:rPr>
          <w:rFonts w:ascii="宋体" w:hAnsi="宋体" w:eastAsia="宋体" w:cs="仿宋_GB2312"/>
          <w:color w:val="auto"/>
          <w:sz w:val="24"/>
          <w:szCs w:val="24"/>
          <w:highlight w:val="none"/>
        </w:rPr>
      </w:pPr>
    </w:p>
    <w:p>
      <w:pPr>
        <w:spacing w:line="400" w:lineRule="exact"/>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b/>
          <w:bCs/>
          <w:color w:val="auto"/>
          <w:sz w:val="24"/>
          <w:szCs w:val="24"/>
          <w:highlight w:val="none"/>
        </w:rPr>
        <w:t>以上情形一经核查属实，接受政府采购监管部门对我方认定存在围标串标行为，我方愿意承担一切后果，并不再寻求任何旨在减轻或者免除法律责任的辩解</w:t>
      </w:r>
      <w:r>
        <w:rPr>
          <w:rFonts w:hint="eastAsia" w:ascii="宋体" w:hAnsi="宋体" w:eastAsia="宋体" w:cs="仿宋_GB2312"/>
          <w:b/>
          <w:bCs/>
          <w:color w:val="auto"/>
          <w:sz w:val="24"/>
          <w:szCs w:val="24"/>
          <w:highlight w:val="none"/>
        </w:rPr>
        <w:t>。</w:t>
      </w:r>
    </w:p>
    <w:p>
      <w:pPr>
        <w:pStyle w:val="2"/>
        <w:rPr>
          <w:rFonts w:ascii="宋体" w:hAnsi="宋体" w:cs="仿宋_GB2312"/>
          <w:b/>
          <w:bCs/>
          <w:color w:val="auto"/>
          <w:sz w:val="24"/>
          <w:szCs w:val="24"/>
          <w:highlight w:val="none"/>
        </w:rPr>
      </w:pPr>
    </w:p>
    <w:p>
      <w:pPr>
        <w:pStyle w:val="2"/>
        <w:rPr>
          <w:rFonts w:ascii="宋体" w:hAnsi="宋体" w:cs="仿宋_GB2312"/>
          <w:b/>
          <w:bCs/>
          <w:color w:val="auto"/>
          <w:sz w:val="24"/>
          <w:szCs w:val="24"/>
          <w:highlight w:val="none"/>
        </w:rPr>
      </w:pPr>
    </w:p>
    <w:p>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spacing w:line="520" w:lineRule="exact"/>
        <w:ind w:firstLine="6360" w:firstLineChars="2650"/>
        <w:jc w:val="left"/>
        <w:rPr>
          <w:rFonts w:ascii="仿宋" w:hAnsi="仿宋" w:eastAsia="仿宋" w:cs="仿宋_GB2312"/>
          <w:b/>
          <w:color w:val="auto"/>
          <w:sz w:val="28"/>
          <w:szCs w:val="28"/>
          <w:highlight w:val="none"/>
        </w:rPr>
      </w:pPr>
      <w:r>
        <w:rPr>
          <w:rFonts w:hint="eastAsia" w:ascii="宋体" w:hAnsi="宋体" w:eastAsia="宋体" w:cs="宋体"/>
          <w:color w:val="auto"/>
          <w:kern w:val="0"/>
          <w:sz w:val="24"/>
          <w:szCs w:val="24"/>
          <w:highlight w:val="none"/>
          <w:lang w:val="zh-CN"/>
        </w:rPr>
        <w:t xml:space="preserve">日期：  年  月   日 </w:t>
      </w:r>
      <w:r>
        <w:rPr>
          <w:rFonts w:hint="eastAsia" w:ascii="仿宋_GB2312" w:hAnsi="仿宋" w:eastAsia="仿宋_GB2312" w:cs="仿宋_GB2312"/>
          <w:color w:val="auto"/>
          <w:kern w:val="0"/>
          <w:sz w:val="24"/>
          <w:szCs w:val="24"/>
          <w:highlight w:val="none"/>
          <w:lang w:val="zh-CN"/>
        </w:rPr>
        <w:t xml:space="preserve">       </w:t>
      </w:r>
      <w:r>
        <w:rPr>
          <w:rFonts w:ascii="宋体" w:hAnsi="宋体" w:eastAsia="宋体" w:cs="Times New Roman"/>
          <w:b/>
          <w:bCs/>
          <w:color w:val="auto"/>
          <w:sz w:val="32"/>
          <w:szCs w:val="32"/>
          <w:highlight w:val="none"/>
        </w:rPr>
        <w:br w:type="page"/>
      </w:r>
      <w:r>
        <w:rPr>
          <w:rFonts w:hint="eastAsia" w:ascii="宋体" w:hAnsi="宋体" w:eastAsia="宋体" w:cs="宋体"/>
          <w:b/>
          <w:color w:val="auto"/>
          <w:sz w:val="28"/>
          <w:szCs w:val="28"/>
          <w:highlight w:val="none"/>
        </w:rPr>
        <w:t>4.法定代表人身份证明的格式：</w:t>
      </w:r>
    </w:p>
    <w:p>
      <w:pPr>
        <w:pStyle w:val="2"/>
        <w:rPr>
          <w:color w:val="auto"/>
          <w:highlight w:val="none"/>
        </w:rPr>
      </w:pPr>
    </w:p>
    <w:p>
      <w:pPr>
        <w:spacing w:line="520" w:lineRule="exact"/>
        <w:jc w:val="center"/>
        <w:rPr>
          <w:rFonts w:ascii="仿宋_GB2312" w:hAnsi="仿宋_GB2312" w:eastAsia="仿宋_GB2312" w:cs="仿宋_GB2312"/>
          <w:color w:val="auto"/>
          <w:sz w:val="32"/>
          <w:szCs w:val="32"/>
          <w:highlight w:val="none"/>
        </w:rPr>
      </w:pPr>
      <w:r>
        <w:rPr>
          <w:rFonts w:hint="eastAsia" w:ascii="宋体" w:hAnsi="宋体" w:eastAsia="宋体" w:cs="宋体"/>
          <w:b/>
          <w:color w:val="auto"/>
          <w:sz w:val="32"/>
          <w:szCs w:val="32"/>
          <w:highlight w:val="none"/>
        </w:rPr>
        <w:t>法定代表人身份证明</w:t>
      </w:r>
    </w:p>
    <w:p>
      <w:pPr>
        <w:spacing w:line="360" w:lineRule="auto"/>
        <w:ind w:left="540"/>
        <w:contextualSpacing/>
        <w:rPr>
          <w:rFonts w:ascii="仿宋_GB2312" w:hAnsi="仿宋_GB2312" w:eastAsia="仿宋_GB2312" w:cs="仿宋_GB2312"/>
          <w:color w:val="auto"/>
          <w:sz w:val="32"/>
          <w:szCs w:val="32"/>
          <w:highlight w:val="none"/>
        </w:rPr>
      </w:pPr>
    </w:p>
    <w:p>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p>
    <w:p>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     别：</w:t>
      </w:r>
      <w:r>
        <w:rPr>
          <w:rFonts w:hint="eastAsia" w:ascii="宋体" w:hAnsi="宋体" w:eastAsia="宋体" w:cs="宋体"/>
          <w:color w:val="auto"/>
          <w:sz w:val="24"/>
          <w:szCs w:val="24"/>
          <w:highlight w:val="none"/>
          <w:u w:val="single"/>
        </w:rPr>
        <w:t xml:space="preserve">                </w:t>
      </w:r>
    </w:p>
    <w:p>
      <w:pPr>
        <w:spacing w:line="360" w:lineRule="auto"/>
        <w:ind w:left="540"/>
        <w:contextualSpacing/>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年    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xml:space="preserve">                </w:t>
      </w:r>
    </w:p>
    <w:p>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系</w:t>
      </w: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rPr>
        <w:t>的法定代表人。</w:t>
      </w:r>
    </w:p>
    <w:p>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pPr>
        <w:spacing w:line="360" w:lineRule="auto"/>
        <w:ind w:left="540"/>
        <w:contextualSpacing/>
        <w:rPr>
          <w:rFonts w:ascii="宋体" w:hAnsi="宋体" w:eastAsia="宋体" w:cs="宋体"/>
          <w:color w:val="auto"/>
          <w:sz w:val="24"/>
          <w:szCs w:val="24"/>
          <w:highlight w:val="none"/>
        </w:rPr>
      </w:pPr>
    </w:p>
    <w:p>
      <w:pPr>
        <w:spacing w:line="360" w:lineRule="auto"/>
        <w:ind w:left="540"/>
        <w:contextualSpacing/>
        <w:rPr>
          <w:rFonts w:ascii="宋体" w:hAnsi="宋体" w:eastAsia="宋体" w:cs="宋体"/>
          <w:color w:val="auto"/>
          <w:sz w:val="24"/>
          <w:szCs w:val="24"/>
          <w:highlight w:val="none"/>
        </w:rPr>
      </w:pPr>
    </w:p>
    <w:p>
      <w:pPr>
        <w:spacing w:line="360" w:lineRule="auto"/>
        <w:ind w:left="540"/>
        <w:contextualSpacing/>
        <w:rPr>
          <w:rFonts w:ascii="宋体" w:hAnsi="宋体" w:eastAsia="宋体" w:cs="宋体"/>
          <w:color w:val="auto"/>
          <w:sz w:val="24"/>
          <w:szCs w:val="24"/>
          <w:highlight w:val="none"/>
        </w:rPr>
      </w:pPr>
    </w:p>
    <w:p>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附件：法定代表人有效身份证正反面复印件</w:t>
      </w:r>
    </w:p>
    <w:p>
      <w:pPr>
        <w:spacing w:line="360" w:lineRule="auto"/>
        <w:ind w:left="540"/>
        <w:contextualSpacing/>
        <w:rPr>
          <w:rFonts w:ascii="宋体" w:hAnsi="宋体" w:eastAsia="宋体" w:cs="宋体"/>
          <w:color w:val="auto"/>
          <w:sz w:val="24"/>
          <w:szCs w:val="24"/>
          <w:highlight w:val="none"/>
        </w:rPr>
      </w:pPr>
    </w:p>
    <w:p>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spacing w:line="360" w:lineRule="auto"/>
        <w:contextualSpacing/>
        <w:jc w:val="center"/>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pPr>
        <w:spacing w:line="360" w:lineRule="auto"/>
        <w:contextualSpacing/>
        <w:jc w:val="left"/>
        <w:rPr>
          <w:rFonts w:ascii="宋体" w:hAnsi="宋体" w:eastAsia="宋体" w:cs="宋体"/>
          <w:color w:val="auto"/>
          <w:sz w:val="24"/>
          <w:szCs w:val="24"/>
          <w:highlight w:val="none"/>
        </w:rPr>
      </w:pPr>
    </w:p>
    <w:p>
      <w:pPr>
        <w:spacing w:line="360" w:lineRule="auto"/>
        <w:contextualSpacing/>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注：1.自然人竞标的无需提供，联合体竞标的只需牵头人出具。</w:t>
      </w:r>
    </w:p>
    <w:p>
      <w:pPr>
        <w:spacing w:line="360" w:lineRule="auto"/>
        <w:ind w:firstLine="480" w:firstLineChars="200"/>
        <w:contextualSpacing/>
        <w:jc w:val="left"/>
        <w:rPr>
          <w:rFonts w:ascii="宋体" w:hAnsi="宋体" w:eastAsia="宋体" w:cs="仿宋_GB2312"/>
          <w:color w:val="auto"/>
          <w:sz w:val="24"/>
          <w:szCs w:val="24"/>
          <w:highlight w:val="none"/>
        </w:rPr>
        <w:sectPr>
          <w:pgSz w:w="11910" w:h="16840"/>
          <w:pgMar w:top="1340" w:right="1500" w:bottom="280" w:left="1680" w:header="720" w:footer="720" w:gutter="0"/>
          <w:cols w:space="720" w:num="1"/>
        </w:sectPr>
      </w:pPr>
      <w:r>
        <w:rPr>
          <w:rFonts w:hint="eastAsia" w:ascii="宋体" w:hAnsi="宋体"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tbl>
      <w:tblPr>
        <w:tblStyle w:val="30"/>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Pr>
          <w:p>
            <w:pPr>
              <w:spacing w:line="360" w:lineRule="auto"/>
              <w:rPr>
                <w:rFonts w:ascii="宋体" w:hAnsi="Times New Roman" w:eastAsia="宋体" w:cs="Times New Roman"/>
                <w:b/>
                <w:color w:val="auto"/>
                <w:sz w:val="24"/>
                <w:szCs w:val="24"/>
                <w:highlight w:val="none"/>
              </w:rPr>
            </w:pPr>
          </w:p>
          <w:p>
            <w:pPr>
              <w:spacing w:line="360" w:lineRule="auto"/>
              <w:rPr>
                <w:rFonts w:ascii="宋体" w:hAnsi="Times New Roman" w:eastAsia="宋体" w:cs="Times New Roman"/>
                <w:b/>
                <w:color w:val="auto"/>
                <w:sz w:val="24"/>
                <w:szCs w:val="24"/>
                <w:highlight w:val="none"/>
              </w:rPr>
            </w:pPr>
            <w:r>
              <w:rPr>
                <w:rFonts w:hint="eastAsia" w:ascii="宋体" w:hAnsi="Times New Roman" w:eastAsia="宋体" w:cs="Times New Roman"/>
                <w:b/>
                <w:color w:val="auto"/>
                <w:sz w:val="24"/>
                <w:szCs w:val="24"/>
                <w:highlight w:val="none"/>
              </w:rPr>
              <w:t>法定代表人身份证复印件粘贴处（正、反面）</w:t>
            </w:r>
          </w:p>
        </w:tc>
      </w:tr>
    </w:tbl>
    <w:p>
      <w:pPr>
        <w:spacing w:line="360" w:lineRule="auto"/>
        <w:ind w:firstLine="482" w:firstLineChars="200"/>
        <w:contextualSpacing/>
        <w:jc w:val="left"/>
        <w:rPr>
          <w:rFonts w:ascii="仿宋_GB2312" w:hAnsi="仿宋_GB2312" w:eastAsia="仿宋_GB2312" w:cs="仿宋_GB2312"/>
          <w:b/>
          <w:color w:val="auto"/>
          <w:sz w:val="32"/>
          <w:szCs w:val="32"/>
          <w:highlight w:val="none"/>
        </w:rPr>
      </w:pPr>
      <w:r>
        <w:rPr>
          <w:rFonts w:hint="eastAsia" w:ascii="Times New Roman" w:hAnsi="宋体" w:eastAsia="宋体" w:cs="Times New Roman"/>
          <w:b/>
          <w:color w:val="auto"/>
          <w:sz w:val="24"/>
          <w:szCs w:val="24"/>
          <w:highlight w:val="none"/>
        </w:rPr>
        <w:t>附件：</w:t>
      </w:r>
    </w:p>
    <w:p>
      <w:pPr>
        <w:adjustRightInd w:val="0"/>
        <w:snapToGrid w:val="0"/>
        <w:spacing w:line="300" w:lineRule="auto"/>
        <w:jc w:val="left"/>
        <w:rPr>
          <w:rFonts w:ascii="宋体" w:hAnsi="宋体" w:eastAsia="宋体" w:cs="Times New Roman"/>
          <w:b/>
          <w:color w:val="auto"/>
          <w:szCs w:val="21"/>
          <w:highlight w:val="none"/>
        </w:rPr>
      </w:pPr>
    </w:p>
    <w:p>
      <w:pPr>
        <w:snapToGrid w:val="0"/>
        <w:spacing w:line="360" w:lineRule="auto"/>
        <w:jc w:val="left"/>
        <w:rPr>
          <w:rFonts w:ascii="宋体" w:hAnsi="宋体" w:eastAsia="宋体" w:cs="宋体"/>
          <w:b/>
          <w:color w:val="auto"/>
          <w:sz w:val="28"/>
          <w:szCs w:val="28"/>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eastAsia="宋体" w:cs="宋体"/>
          <w:b/>
          <w:color w:val="auto"/>
          <w:sz w:val="28"/>
          <w:szCs w:val="28"/>
          <w:highlight w:val="none"/>
        </w:rPr>
        <w:t>5.法定代表人授权委托书的格式：</w:t>
      </w:r>
    </w:p>
    <w:p>
      <w:pPr>
        <w:spacing w:line="500" w:lineRule="exact"/>
        <w:jc w:val="center"/>
        <w:rPr>
          <w:rFonts w:ascii="方正小标宋简体" w:hAnsi="方正小标宋简体" w:eastAsia="方正小标宋简体" w:cs="方正小标宋简体"/>
          <w:color w:val="auto"/>
          <w:sz w:val="44"/>
          <w:szCs w:val="44"/>
          <w:highlight w:val="none"/>
        </w:rPr>
      </w:pPr>
    </w:p>
    <w:p>
      <w:pPr>
        <w:spacing w:line="520" w:lineRule="exact"/>
        <w:jc w:val="center"/>
        <w:rPr>
          <w:rFonts w:ascii="方正小标宋简体" w:hAnsi="方正小标宋简体" w:eastAsia="方正小标宋简体" w:cs="方正小标宋简体"/>
          <w:b/>
          <w:bCs/>
          <w:color w:val="auto"/>
          <w:sz w:val="32"/>
          <w:szCs w:val="32"/>
          <w:highlight w:val="none"/>
        </w:rPr>
      </w:pPr>
      <w:r>
        <w:rPr>
          <w:rFonts w:hint="eastAsia" w:ascii="方正小标宋简体" w:hAnsi="方正小标宋简体" w:eastAsia="方正小标宋简体" w:cs="方正小标宋简体"/>
          <w:b/>
          <w:bCs/>
          <w:color w:val="auto"/>
          <w:sz w:val="32"/>
          <w:szCs w:val="32"/>
          <w:highlight w:val="none"/>
        </w:rPr>
        <w:t>授权委托书（非联合体竞标格式）</w:t>
      </w:r>
    </w:p>
    <w:p>
      <w:pPr>
        <w:spacing w:line="520" w:lineRule="exact"/>
        <w:jc w:val="center"/>
        <w:rPr>
          <w:rFonts w:ascii="方正小标宋简体" w:hAnsi="方正小标宋简体" w:eastAsia="方正小标宋简体" w:cs="方正小标宋简体"/>
          <w:b/>
          <w:bCs/>
          <w:color w:val="auto"/>
          <w:sz w:val="32"/>
          <w:szCs w:val="32"/>
          <w:highlight w:val="none"/>
        </w:rPr>
      </w:pPr>
      <w:r>
        <w:rPr>
          <w:rFonts w:hint="eastAsia" w:ascii="方正小标宋简体" w:hAnsi="方正小标宋简体" w:eastAsia="方正小标宋简体" w:cs="方正小标宋简体"/>
          <w:b/>
          <w:bCs/>
          <w:color w:val="auto"/>
          <w:sz w:val="32"/>
          <w:szCs w:val="32"/>
          <w:highlight w:val="none"/>
        </w:rPr>
        <w:t>（如有委托时）</w:t>
      </w:r>
    </w:p>
    <w:p>
      <w:pPr>
        <w:spacing w:line="520" w:lineRule="exact"/>
        <w:rPr>
          <w:rFonts w:ascii="仿宋_GB2312" w:hAnsi="仿宋_GB2312" w:eastAsia="仿宋_GB2312" w:cs="仿宋_GB2312"/>
          <w:color w:val="auto"/>
          <w:sz w:val="32"/>
          <w:szCs w:val="32"/>
          <w:highlight w:val="none"/>
        </w:rPr>
      </w:pPr>
    </w:p>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bookmarkStart w:id="156" w:name="PO_3000001923_PM031_1"/>
      <w:r>
        <w:rPr>
          <w:rFonts w:hint="eastAsia" w:ascii="宋体" w:hAnsi="宋体" w:eastAsia="宋体" w:cs="宋体"/>
          <w:color w:val="auto"/>
          <w:sz w:val="24"/>
          <w:szCs w:val="24"/>
          <w:highlight w:val="none"/>
          <w:u w:val="single"/>
        </w:rPr>
        <w:t>广西科联招标中心有限公司</w:t>
      </w:r>
      <w:bookmarkEnd w:id="156"/>
      <w:r>
        <w:rPr>
          <w:rFonts w:hint="eastAsia" w:ascii="宋体" w:hAnsi="宋体" w:eastAsia="宋体" w:cs="宋体"/>
          <w:color w:val="auto"/>
          <w:sz w:val="24"/>
          <w:szCs w:val="24"/>
          <w:highlight w:val="none"/>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□法定代表人/□负责人/□自然人本人</w:t>
      </w:r>
      <w:r>
        <w:rPr>
          <w:rFonts w:hint="eastAsia" w:ascii="宋体" w:hAnsi="宋体" w:eastAsia="宋体" w:cs="宋体"/>
          <w:color w:val="auto"/>
          <w:sz w:val="24"/>
          <w:szCs w:val="24"/>
          <w:highlight w:val="none"/>
        </w:rPr>
        <w:t>），现授权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以我方的名义参加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（项目名称）</w:t>
      </w:r>
      <w:r>
        <w:rPr>
          <w:rFonts w:hint="eastAsia" w:ascii="宋体" w:hAnsi="宋体" w:eastAsia="宋体" w:cs="宋体"/>
          <w:color w:val="auto"/>
          <w:sz w:val="24"/>
          <w:szCs w:val="24"/>
          <w:highlight w:val="none"/>
        </w:rPr>
        <w:t>项目的竞标活动，并代表我方全权办理针对上述项目的所有采购程序和环节的具体事务和签署相关文件。</w:t>
      </w:r>
    </w:p>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我方对委托代理人的签字事项负全部责任。</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委托代理人无转委托权，特此委托。</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附：委托代理人有效身份证正反面复印件</w:t>
      </w:r>
    </w:p>
    <w:p>
      <w:pPr>
        <w:spacing w:line="360" w:lineRule="auto"/>
        <w:rPr>
          <w:rFonts w:ascii="宋体" w:hAnsi="宋体" w:eastAsia="宋体" w:cs="宋体"/>
          <w:color w:val="auto"/>
          <w:sz w:val="24"/>
          <w:szCs w:val="24"/>
          <w:highlight w:val="none"/>
        </w:rPr>
      </w:pPr>
    </w:p>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委托代理人（签字）：                 法定代表人（签字）：                    </w:t>
      </w:r>
    </w:p>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委托代理人身份证号码：                              </w:t>
      </w:r>
    </w:p>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pacing w:line="360" w:lineRule="auto"/>
        <w:ind w:firstLine="3840" w:firstLineChars="16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供应商名称（盖公章）：</w:t>
      </w:r>
    </w:p>
    <w:p>
      <w:pPr>
        <w:spacing w:line="360" w:lineRule="auto"/>
        <w:contextualSpacing/>
        <w:jc w:val="center"/>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pPr>
        <w:spacing w:line="360" w:lineRule="auto"/>
        <w:rPr>
          <w:rFonts w:ascii="宋体" w:hAnsi="宋体" w:eastAsia="宋体" w:cs="宋体"/>
          <w:color w:val="auto"/>
          <w:sz w:val="24"/>
          <w:szCs w:val="24"/>
          <w:highlight w:val="none"/>
        </w:rPr>
      </w:pPr>
    </w:p>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注：1. 法定代表人和委托代理人必须在授权委托书上签字，</w:t>
      </w:r>
      <w:r>
        <w:rPr>
          <w:rFonts w:hint="eastAsia" w:ascii="宋体" w:hAnsi="宋体" w:eastAsia="宋体" w:cs="宋体"/>
          <w:b/>
          <w:color w:val="auto"/>
          <w:sz w:val="24"/>
          <w:szCs w:val="24"/>
          <w:highlight w:val="none"/>
        </w:rPr>
        <w:t>否则其响应文件作无效响应处理。</w:t>
      </w:r>
    </w:p>
    <w:p>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 法人、其他组织竞标时“我方”是指“我单位”，自然人竞标时“我方”是指“本人”。</w:t>
      </w:r>
    </w:p>
    <w:p>
      <w:pPr>
        <w:spacing w:line="500" w:lineRule="exact"/>
        <w:jc w:val="center"/>
        <w:rPr>
          <w:rFonts w:ascii="宋体" w:hAnsi="宋体" w:eastAsia="宋体" w:cs="宋体"/>
          <w:b/>
          <w:bCs/>
          <w:color w:val="auto"/>
          <w:sz w:val="32"/>
          <w:szCs w:val="32"/>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 w:val="32"/>
          <w:szCs w:val="32"/>
          <w:highlight w:val="none"/>
        </w:rPr>
        <w:t>授权委托书（联合体竞标格式）</w:t>
      </w:r>
    </w:p>
    <w:p>
      <w:pPr>
        <w:spacing w:line="500" w:lineRule="exact"/>
        <w:jc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（如有委托时）</w:t>
      </w:r>
    </w:p>
    <w:p>
      <w:pPr>
        <w:spacing w:line="500" w:lineRule="exact"/>
        <w:jc w:val="center"/>
        <w:rPr>
          <w:rFonts w:ascii="方正小标宋简体" w:hAnsi="方正小标宋简体" w:eastAsia="方正小标宋简体" w:cs="方正小标宋简体"/>
          <w:color w:val="auto"/>
          <w:sz w:val="44"/>
          <w:szCs w:val="44"/>
          <w:highlight w:val="none"/>
        </w:rPr>
      </w:pPr>
    </w:p>
    <w:p>
      <w:pPr>
        <w:spacing w:line="500" w:lineRule="exact"/>
        <w:jc w:val="center"/>
        <w:rPr>
          <w:rFonts w:ascii="仿宋_GB2312" w:hAnsi="仿宋_GB2312" w:eastAsia="仿宋_GB2312" w:cs="仿宋_GB2312"/>
          <w:color w:val="auto"/>
          <w:sz w:val="32"/>
          <w:szCs w:val="32"/>
          <w:highlight w:val="none"/>
        </w:rPr>
      </w:pPr>
    </w:p>
    <w:p>
      <w:pPr>
        <w:spacing w:line="360" w:lineRule="auto"/>
        <w:ind w:firstLine="480" w:firstLineChars="200"/>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本授权委托书声明：根据</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（牵头人名称）与</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（联合体其他成员名称）签订的《联合体竞标协议书》的内容，</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（牵头人名称）的法定代表人</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i/>
          <w:iCs/>
          <w:color w:val="auto"/>
          <w:sz w:val="24"/>
          <w:szCs w:val="24"/>
          <w:highlight w:val="none"/>
          <w:u w:val="single"/>
        </w:rPr>
        <w:t>（姓名）</w:t>
      </w:r>
      <w:r>
        <w:rPr>
          <w:rFonts w:hint="eastAsia" w:ascii="宋体" w:hAnsi="宋体" w:eastAsia="宋体" w:cs="仿宋_GB2312"/>
          <w:color w:val="auto"/>
          <w:sz w:val="24"/>
          <w:szCs w:val="24"/>
          <w:highlight w:val="none"/>
        </w:rPr>
        <w:t>现授权</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i/>
          <w:iCs/>
          <w:color w:val="auto"/>
          <w:sz w:val="24"/>
          <w:szCs w:val="24"/>
          <w:highlight w:val="none"/>
          <w:u w:val="single"/>
        </w:rPr>
        <w:t>（姓名）</w:t>
      </w:r>
      <w:r>
        <w:rPr>
          <w:rFonts w:hint="eastAsia" w:ascii="宋体" w:hAnsi="宋体" w:eastAsia="宋体" w:cs="仿宋_GB2312"/>
          <w:color w:val="auto"/>
          <w:sz w:val="24"/>
          <w:szCs w:val="24"/>
          <w:highlight w:val="none"/>
        </w:rPr>
        <w:t>为联合委托代理人，并代表我方全权办理针对上述项目的所有采购程序和环节的具体事务和签署相关文件。</w:t>
      </w:r>
    </w:p>
    <w:p>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我方对委托代理人的签字事项负全部责任。</w:t>
      </w:r>
    </w:p>
    <w:p>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委托代理人无转委托权，特此委托。</w:t>
      </w:r>
    </w:p>
    <w:p>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    </w:t>
      </w:r>
    </w:p>
    <w:p>
      <w:pPr>
        <w:spacing w:line="360" w:lineRule="auto"/>
        <w:ind w:firstLine="1560" w:firstLineChars="65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牵头人法定代表人（签字）：</w:t>
      </w:r>
    </w:p>
    <w:p>
      <w:pPr>
        <w:spacing w:line="360" w:lineRule="auto"/>
        <w:ind w:firstLine="3000" w:firstLineChars="125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牵头人名称（盖公章）：</w:t>
      </w:r>
    </w:p>
    <w:p>
      <w:pPr>
        <w:spacing w:line="360" w:lineRule="auto"/>
        <w:ind w:firstLine="3840" w:firstLineChars="16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日期：    年   月   日</w:t>
      </w:r>
    </w:p>
    <w:p>
      <w:pPr>
        <w:spacing w:line="360" w:lineRule="auto"/>
        <w:rPr>
          <w:rFonts w:ascii="宋体" w:hAnsi="宋体" w:eastAsia="宋体" w:cs="仿宋_GB2312"/>
          <w:color w:val="auto"/>
          <w:sz w:val="24"/>
          <w:szCs w:val="24"/>
          <w:highlight w:val="none"/>
        </w:rPr>
      </w:pPr>
    </w:p>
    <w:p>
      <w:pPr>
        <w:spacing w:line="360" w:lineRule="auto"/>
        <w:ind w:firstLine="3120" w:firstLineChars="13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委托代理人（签字）：</w:t>
      </w:r>
    </w:p>
    <w:p>
      <w:pPr>
        <w:spacing w:line="360" w:lineRule="auto"/>
        <w:ind w:firstLine="3840" w:firstLineChars="16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日期：    年   月   日</w:t>
      </w:r>
    </w:p>
    <w:p>
      <w:pPr>
        <w:spacing w:line="360" w:lineRule="auto"/>
        <w:rPr>
          <w:rFonts w:ascii="宋体" w:hAnsi="宋体" w:eastAsia="宋体" w:cs="仿宋_GB2312"/>
          <w:color w:val="auto"/>
          <w:sz w:val="24"/>
          <w:szCs w:val="24"/>
          <w:highlight w:val="none"/>
        </w:rPr>
      </w:pPr>
    </w:p>
    <w:p>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注：1. 法定代表人和委托代理人必须在授权委托书上签字，</w:t>
      </w:r>
      <w:r>
        <w:rPr>
          <w:rFonts w:hint="eastAsia" w:ascii="宋体" w:hAnsi="宋体" w:eastAsia="宋体" w:cs="仿宋_GB2312"/>
          <w:b/>
          <w:color w:val="auto"/>
          <w:sz w:val="24"/>
          <w:szCs w:val="24"/>
          <w:highlight w:val="none"/>
        </w:rPr>
        <w:t>否则其响应文件作无效响应处理。</w:t>
      </w:r>
    </w:p>
    <w:p>
      <w:pPr>
        <w:spacing w:line="360" w:lineRule="auto"/>
        <w:ind w:firstLine="480" w:firstLineChars="200"/>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2.本授权委托书应由联合体牵头人的法定代表人按上述规定签署。</w:t>
      </w:r>
    </w:p>
    <w:p>
      <w:pPr>
        <w:spacing w:line="360" w:lineRule="auto"/>
        <w:ind w:firstLine="480" w:firstLineChars="200"/>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w:t>
      </w:r>
      <w:r>
        <w:rPr>
          <w:rFonts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rPr>
        <w:t>供应商为其他组织或者自然人时，本谈判文件规定的法定代表人指负责人或者自然人。本谈判文件所称负责人是指参加竞标的其他组织营业执照上的负责人，本谈判文件所称自然人指参与竞标的自然人本人。</w:t>
      </w:r>
    </w:p>
    <w:p>
      <w:pPr>
        <w:spacing w:line="360" w:lineRule="auto"/>
        <w:ind w:firstLine="480" w:firstLineChars="200"/>
        <w:jc w:val="left"/>
        <w:rPr>
          <w:rFonts w:ascii="仿宋_GB2312" w:hAnsi="仿宋_GB2312" w:eastAsia="仿宋_GB2312" w:cs="仿宋_GB2312"/>
          <w:color w:val="auto"/>
          <w:szCs w:val="21"/>
          <w:highlight w:val="none"/>
        </w:rPr>
      </w:pPr>
      <w:r>
        <w:rPr>
          <w:rFonts w:hint="eastAsia" w:ascii="宋体" w:hAnsi="宋体" w:eastAsia="宋体" w:cs="仿宋_GB2312"/>
          <w:color w:val="auto"/>
          <w:sz w:val="24"/>
          <w:szCs w:val="24"/>
          <w:highlight w:val="none"/>
        </w:rPr>
        <w:t>4</w:t>
      </w:r>
      <w:r>
        <w:rPr>
          <w:rFonts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rPr>
        <w:t>法人、其他组织竞标时“我方”是指“我单位”，自然人竞标时“我方”是指“本人”。</w:t>
      </w:r>
    </w:p>
    <w:p>
      <w:pPr>
        <w:snapToGrid w:val="0"/>
        <w:spacing w:line="360" w:lineRule="auto"/>
        <w:rPr>
          <w:rFonts w:ascii="宋体" w:hAnsi="宋体" w:eastAsia="宋体" w:cs="Times New Roman"/>
          <w:b/>
          <w:bCs/>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宋体" w:hAnsi="宋体" w:eastAsia="宋体" w:cs="宋体"/>
          <w:b/>
          <w:color w:val="auto"/>
          <w:sz w:val="28"/>
          <w:szCs w:val="28"/>
          <w:highlight w:val="none"/>
        </w:rPr>
        <w:t>6.商务条款偏离表的格式：</w:t>
      </w:r>
    </w:p>
    <w:p>
      <w:pPr>
        <w:spacing w:line="500" w:lineRule="exact"/>
        <w:jc w:val="center"/>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商务条款偏离表</w:t>
      </w:r>
    </w:p>
    <w:p>
      <w:pPr>
        <w:spacing w:line="360" w:lineRule="auto"/>
        <w:contextualSpacing/>
        <w:rPr>
          <w:rFonts w:cs="仿宋_GB2312"/>
          <w:color w:val="auto"/>
          <w:sz w:val="24"/>
          <w:highlight w:val="none"/>
        </w:rPr>
      </w:pPr>
    </w:p>
    <w:p>
      <w:pPr>
        <w:spacing w:line="360" w:lineRule="auto"/>
        <w:contextualSpacing/>
        <w:rPr>
          <w:rFonts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pPr>
        <w:spacing w:line="360" w:lineRule="auto"/>
        <w:contextualSpacing/>
        <w:rPr>
          <w:rFonts w:ascii="宋体" w:hAnsi="宋体" w:eastAsia="宋体" w:cs="宋体"/>
          <w:color w:val="auto"/>
          <w:sz w:val="24"/>
          <w:szCs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p>
    <w:p>
      <w:pPr>
        <w:spacing w:line="360" w:lineRule="auto"/>
        <w:contextualSpacing/>
        <w:rPr>
          <w:rFonts w:ascii="宋体" w:hAnsi="宋体" w:eastAsia="宋体" w:cs="宋体"/>
          <w:color w:val="auto"/>
          <w:sz w:val="24"/>
          <w:szCs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tbl>
      <w:tblPr>
        <w:tblStyle w:val="30"/>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竞争性谈判文件的商务条款</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响应文件响应的商务条款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eastAsia="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eastAsia="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ascii="宋体" w:hAnsi="宋体" w:eastAsia="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ascii="宋体" w:hAnsi="宋体" w:eastAsia="宋体" w:cs="宋体"/>
                <w:color w:val="auto"/>
                <w:szCs w:val="21"/>
                <w:highlight w:val="none"/>
              </w:rPr>
            </w:pPr>
          </w:p>
        </w:tc>
      </w:tr>
    </w:tbl>
    <w:p>
      <w:pPr>
        <w:spacing w:line="400" w:lineRule="exact"/>
        <w:ind w:left="420"/>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注：</w:t>
      </w:r>
    </w:p>
    <w:p>
      <w:pPr>
        <w:spacing w:line="400" w:lineRule="exact"/>
        <w:ind w:firstLine="420" w:firstLineChars="175"/>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1.说明：应对照谈判文件“第二章 采购需求”中的商务条款逐条作出明确响应，并作出偏离说明。</w:t>
      </w:r>
    </w:p>
    <w:p>
      <w:pPr>
        <w:spacing w:line="400" w:lineRule="exact"/>
        <w:ind w:firstLine="480" w:firstLineChars="200"/>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2.供应商应根据自身的承诺，对照谈判文件要求，在“偏离说明”中注明“正偏离”或者“负偏离”或者“无偏离”。既不属于“正偏离”也不属于“负偏离”即为“无偏离”。 当响应文件的商务内容低于竞争性谈判文件要求时，供应商应当如实写明“负偏离”。</w:t>
      </w:r>
    </w:p>
    <w:p>
      <w:pPr>
        <w:spacing w:line="400" w:lineRule="exact"/>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3.表格内容均需按要求填写并盖公章，不得留空，</w:t>
      </w:r>
      <w:r>
        <w:rPr>
          <w:rFonts w:hint="eastAsia" w:ascii="宋体" w:hAnsi="宋体" w:eastAsia="宋体" w:cs="宋体"/>
          <w:b/>
          <w:bCs/>
          <w:color w:val="auto"/>
          <w:kern w:val="0"/>
          <w:sz w:val="24"/>
          <w:szCs w:val="24"/>
          <w:highlight w:val="none"/>
        </w:rPr>
        <w:t>否则按竞标无效处理</w:t>
      </w:r>
      <w:r>
        <w:rPr>
          <w:rFonts w:hint="eastAsia" w:ascii="宋体" w:hAnsi="宋体" w:eastAsia="宋体" w:cs="宋体"/>
          <w:color w:val="auto"/>
          <w:kern w:val="0"/>
          <w:sz w:val="24"/>
          <w:szCs w:val="24"/>
          <w:highlight w:val="none"/>
        </w:rPr>
        <w:t>。</w:t>
      </w:r>
    </w:p>
    <w:p>
      <w:pPr>
        <w:spacing w:line="400" w:lineRule="exact"/>
        <w:ind w:firstLine="480" w:firstLineChars="200"/>
        <w:contextualSpacing/>
        <w:rPr>
          <w:rFonts w:ascii="宋体" w:hAnsi="宋体" w:eastAsia="宋体" w:cs="宋体"/>
          <w:color w:val="auto"/>
          <w:kern w:val="0"/>
          <w:sz w:val="24"/>
          <w:szCs w:val="24"/>
          <w:highlight w:val="none"/>
          <w:lang w:val="zh-CN"/>
        </w:rPr>
      </w:pPr>
    </w:p>
    <w:p>
      <w:pPr>
        <w:spacing w:line="400" w:lineRule="exact"/>
        <w:ind w:firstLine="480" w:firstLineChars="200"/>
        <w:contextualSpacing/>
        <w:rPr>
          <w:rFonts w:ascii="宋体" w:hAnsi="宋体" w:eastAsia="宋体" w:cs="宋体"/>
          <w:color w:val="auto"/>
          <w:kern w:val="0"/>
          <w:sz w:val="24"/>
          <w:szCs w:val="24"/>
          <w:highlight w:val="none"/>
          <w:lang w:val="zh-CN"/>
        </w:rPr>
      </w:pPr>
    </w:p>
    <w:p>
      <w:pPr>
        <w:spacing w:line="360" w:lineRule="auto"/>
        <w:ind w:right="-817" w:rightChars="-389"/>
        <w:contextualSpacing/>
        <w:rPr>
          <w:rFonts w:ascii="宋体" w:hAnsi="宋体" w:eastAsia="宋体" w:cs="宋体"/>
          <w:color w:val="auto"/>
          <w:sz w:val="24"/>
          <w:szCs w:val="24"/>
          <w:highlight w:val="none"/>
        </w:rPr>
      </w:pPr>
    </w:p>
    <w:p>
      <w:pPr>
        <w:spacing w:line="360" w:lineRule="auto"/>
        <w:ind w:firstLine="3840" w:firstLineChars="1600"/>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供应商名称（盖公章）：</w:t>
      </w:r>
    </w:p>
    <w:p>
      <w:pPr>
        <w:spacing w:line="360" w:lineRule="auto"/>
        <w:contextualSpacing/>
        <w:jc w:val="center"/>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pPr>
        <w:snapToGrid w:val="0"/>
        <w:spacing w:line="360" w:lineRule="auto"/>
        <w:ind w:firstLine="602" w:firstLineChars="200"/>
        <w:rPr>
          <w:rFonts w:ascii="仿宋" w:hAnsi="仿宋" w:eastAsia="仿宋" w:cs="仿宋_GB2312"/>
          <w:b/>
          <w:color w:val="auto"/>
          <w:sz w:val="30"/>
          <w:szCs w:val="30"/>
          <w:highlight w:val="none"/>
        </w:rPr>
      </w:pPr>
    </w:p>
    <w:p>
      <w:pPr>
        <w:snapToGrid w:val="0"/>
        <w:spacing w:line="360" w:lineRule="auto"/>
        <w:ind w:firstLine="602" w:firstLineChars="200"/>
        <w:rPr>
          <w:rFonts w:ascii="仿宋" w:hAnsi="仿宋" w:eastAsia="仿宋" w:cs="仿宋_GB2312"/>
          <w:b/>
          <w:color w:val="auto"/>
          <w:sz w:val="30"/>
          <w:szCs w:val="30"/>
          <w:highlight w:val="none"/>
        </w:rPr>
      </w:pPr>
    </w:p>
    <w:p>
      <w:pPr>
        <w:snapToGrid w:val="0"/>
        <w:spacing w:before="120" w:beforeLines="50" w:after="50"/>
        <w:rPr>
          <w:rFonts w:ascii="宋体" w:hAnsi="宋体" w:eastAsia="宋体" w:cs="宋体"/>
          <w:b/>
          <w:color w:val="auto"/>
          <w:sz w:val="24"/>
          <w:szCs w:val="24"/>
          <w:highlight w:val="none"/>
        </w:rPr>
      </w:pPr>
      <w:r>
        <w:rPr>
          <w:rFonts w:hint="eastAsia" w:ascii="宋体" w:hAnsi="宋体" w:eastAsia="宋体" w:cs="宋体"/>
          <w:b/>
          <w:color w:val="auto"/>
          <w:sz w:val="28"/>
          <w:szCs w:val="28"/>
          <w:highlight w:val="none"/>
        </w:rPr>
        <w:t>7.供应商类似的业绩证明文件</w:t>
      </w:r>
      <w:r>
        <w:rPr>
          <w:rFonts w:hint="eastAsia" w:ascii="宋体" w:hAnsi="宋体" w:eastAsia="宋体" w:cs="宋体"/>
          <w:b/>
          <w:bCs/>
          <w:color w:val="auto"/>
          <w:sz w:val="30"/>
          <w:szCs w:val="30"/>
          <w:highlight w:val="none"/>
        </w:rPr>
        <w:t>（如有要求）：</w:t>
      </w:r>
    </w:p>
    <w:p>
      <w:pPr>
        <w:snapToGrid w:val="0"/>
        <w:ind w:left="480" w:hanging="480" w:hangingChars="200"/>
        <w:contextualSpacing/>
        <w:rPr>
          <w:rFonts w:ascii="宋体" w:hAnsi="宋体" w:eastAsia="宋体" w:cs="Times New Roman"/>
          <w:color w:val="auto"/>
          <w:sz w:val="24"/>
          <w:szCs w:val="24"/>
          <w:highlight w:val="none"/>
        </w:rPr>
      </w:pPr>
    </w:p>
    <w:tbl>
      <w:tblPr>
        <w:tblStyle w:val="30"/>
        <w:tblpPr w:leftFromText="180" w:rightFromText="180" w:vertAnchor="page" w:horzAnchor="margin" w:tblpXSpec="center" w:tblpY="4783"/>
        <w:tblW w:w="95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8"/>
        <w:gridCol w:w="1915"/>
        <w:gridCol w:w="1044"/>
        <w:gridCol w:w="1045"/>
        <w:gridCol w:w="1567"/>
        <w:gridCol w:w="1058"/>
        <w:gridCol w:w="18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05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采购人名称</w:t>
            </w:r>
          </w:p>
        </w:tc>
        <w:tc>
          <w:tcPr>
            <w:tcW w:w="19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w:t>
            </w:r>
          </w:p>
          <w:p>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金额</w:t>
            </w:r>
          </w:p>
          <w:p>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（万元）</w:t>
            </w:r>
          </w:p>
        </w:tc>
        <w:tc>
          <w:tcPr>
            <w:tcW w:w="367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附件在响应文件中页码</w:t>
            </w:r>
          </w:p>
        </w:tc>
        <w:tc>
          <w:tcPr>
            <w:tcW w:w="18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采购人联系人及联系电话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2" w:hRule="atLeast"/>
        </w:trPr>
        <w:tc>
          <w:tcPr>
            <w:tcW w:w="10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Times New Roman"/>
                <w:color w:val="auto"/>
                <w:sz w:val="24"/>
                <w:szCs w:val="24"/>
                <w:highlight w:val="none"/>
              </w:rPr>
            </w:pPr>
          </w:p>
        </w:tc>
        <w:tc>
          <w:tcPr>
            <w:tcW w:w="1915"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Times New Roman"/>
                <w:color w:val="auto"/>
                <w:sz w:val="24"/>
                <w:szCs w:val="24"/>
                <w:highlight w:val="none"/>
              </w:rPr>
            </w:pPr>
          </w:p>
        </w:tc>
        <w:tc>
          <w:tcPr>
            <w:tcW w:w="104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w:t>
            </w:r>
          </w:p>
        </w:tc>
        <w:tc>
          <w:tcPr>
            <w:tcW w:w="1567"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验收报告</w:t>
            </w:r>
          </w:p>
        </w:tc>
        <w:tc>
          <w:tcPr>
            <w:tcW w:w="105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用户</w:t>
            </w:r>
          </w:p>
          <w:p>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评价</w:t>
            </w:r>
          </w:p>
        </w:tc>
        <w:tc>
          <w:tcPr>
            <w:tcW w:w="1813"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05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eastAsia="宋体" w:cs="Times New Roman"/>
                <w:color w:val="auto"/>
                <w:sz w:val="24"/>
                <w:szCs w:val="24"/>
                <w:highlight w:val="none"/>
              </w:rPr>
            </w:pPr>
          </w:p>
        </w:tc>
      </w:tr>
    </w:tbl>
    <w:p>
      <w:pPr>
        <w:snapToGrid w:val="0"/>
        <w:ind w:left="480" w:hanging="480" w:hangingChars="200"/>
        <w:contextualSpacing/>
        <w:rPr>
          <w:rFonts w:ascii="宋体" w:hAnsi="宋体" w:eastAsia="宋体" w:cs="Times New Roman"/>
          <w:color w:val="auto"/>
          <w:sz w:val="24"/>
          <w:szCs w:val="24"/>
          <w:highlight w:val="none"/>
        </w:rPr>
      </w:pPr>
    </w:p>
    <w:p>
      <w:pPr>
        <w:snapToGrid w:val="0"/>
        <w:ind w:left="480" w:hanging="480" w:hangingChars="200"/>
        <w:contextualSpacing/>
        <w:rPr>
          <w:rFonts w:ascii="宋体" w:hAnsi="宋体" w:eastAsia="宋体" w:cs="Times New Roman"/>
          <w:color w:val="auto"/>
          <w:sz w:val="24"/>
          <w:szCs w:val="24"/>
          <w:highlight w:val="none"/>
        </w:rPr>
      </w:pPr>
    </w:p>
    <w:p>
      <w:pPr>
        <w:autoSpaceDE w:val="0"/>
        <w:autoSpaceDN w:val="0"/>
        <w:spacing w:line="360" w:lineRule="auto"/>
        <w:ind w:left="-420" w:leftChars="-200" w:firstLine="2416" w:firstLineChars="755"/>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类似项目的业绩一览表</w:t>
      </w:r>
    </w:p>
    <w:p>
      <w:pPr>
        <w:autoSpaceDE w:val="0"/>
        <w:autoSpaceDN w:val="0"/>
        <w:spacing w:line="360" w:lineRule="auto"/>
        <w:rPr>
          <w:rFonts w:ascii="宋体" w:hAnsi="宋体" w:eastAsia="宋体" w:cs="宋体"/>
          <w:color w:val="auto"/>
          <w:sz w:val="32"/>
          <w:szCs w:val="32"/>
          <w:highlight w:val="none"/>
        </w:rPr>
      </w:pPr>
    </w:p>
    <w:p>
      <w:pPr>
        <w:spacing w:line="360" w:lineRule="auto"/>
        <w:ind w:left="-218" w:leftChars="-104" w:firstLine="480" w:firstLineChars="200"/>
        <w:rPr>
          <w:rFonts w:ascii="宋体" w:hAnsi="宋体" w:eastAsia="宋体" w:cs="宋体"/>
          <w:color w:val="auto"/>
          <w:kern w:val="0"/>
          <w:sz w:val="20"/>
          <w:szCs w:val="21"/>
          <w:highlight w:val="none"/>
          <w:lang w:val="zh-CN"/>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p>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注：在填写时，如本表格不适合供应商的实际情况，可参照本表格式自行制表填写，并附上相关证明材料。 </w:t>
      </w:r>
    </w:p>
    <w:p>
      <w:pPr>
        <w:snapToGrid w:val="0"/>
        <w:spacing w:line="360" w:lineRule="auto"/>
        <w:ind w:firstLine="4935" w:firstLineChars="2350"/>
        <w:rPr>
          <w:rFonts w:ascii="宋体" w:hAnsi="宋体" w:eastAsia="宋体" w:cs="宋体"/>
          <w:color w:val="auto"/>
          <w:szCs w:val="21"/>
          <w:highlight w:val="none"/>
        </w:rPr>
      </w:pPr>
    </w:p>
    <w:p>
      <w:pPr>
        <w:snapToGrid w:val="0"/>
        <w:spacing w:line="360" w:lineRule="auto"/>
        <w:ind w:left="4410" w:leftChars="2100" w:firstLine="5670" w:firstLineChars="2700"/>
        <w:rPr>
          <w:rFonts w:ascii="宋体" w:hAnsi="宋体" w:eastAsia="宋体" w:cs="宋体"/>
          <w:color w:val="auto"/>
          <w:kern w:val="0"/>
          <w:sz w:val="24"/>
          <w:szCs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szCs w:val="24"/>
          <w:highlight w:val="none"/>
          <w:lang w:val="zh-CN"/>
        </w:rPr>
        <w:t>供应商名称(盖公章)：</w:t>
      </w:r>
    </w:p>
    <w:p>
      <w:pPr>
        <w:spacing w:line="500" w:lineRule="exact"/>
        <w:jc w:val="center"/>
        <w:rPr>
          <w:rFonts w:ascii="仿宋_GB2312" w:hAnsi="仿宋_GB2312" w:eastAsia="仿宋_GB2312" w:cs="仿宋_GB2312"/>
          <w:color w:val="auto"/>
          <w:sz w:val="32"/>
          <w:szCs w:val="32"/>
          <w:highlight w:val="none"/>
        </w:rPr>
        <w:sectPr>
          <w:pgSz w:w="11910" w:h="16840"/>
          <w:pgMar w:top="1340" w:right="1500" w:bottom="280" w:left="1680" w:header="720" w:footer="720" w:gutter="0"/>
          <w:cols w:space="720" w:num="1"/>
        </w:sectPr>
      </w:pPr>
      <w:r>
        <w:rPr>
          <w:rFonts w:hint="eastAsia" w:ascii="宋体" w:hAnsi="宋体" w:eastAsia="宋体" w:cs="宋体"/>
          <w:color w:val="auto"/>
          <w:kern w:val="0"/>
          <w:sz w:val="24"/>
          <w:szCs w:val="24"/>
          <w:highlight w:val="none"/>
          <w:lang w:val="zh-CN"/>
        </w:rPr>
        <w:t xml:space="preserve">                                                     日期</w:t>
      </w:r>
      <w:r>
        <w:rPr>
          <w:rFonts w:hint="eastAsia" w:ascii="宋体" w:hAnsi="宋体" w:eastAsia="宋体" w:cs="宋体"/>
          <w:color w:val="auto"/>
          <w:kern w:val="0"/>
          <w:sz w:val="24"/>
          <w:szCs w:val="24"/>
          <w:highlight w:val="none"/>
        </w:rPr>
        <w:t xml:space="preserve">：  年  </w:t>
      </w:r>
      <w:r>
        <w:rPr>
          <w:rFonts w:hint="eastAsia" w:ascii="宋体" w:hAnsi="宋体" w:eastAsia="宋体" w:cs="宋体"/>
          <w:color w:val="auto"/>
          <w:kern w:val="0"/>
          <w:sz w:val="24"/>
          <w:szCs w:val="24"/>
          <w:highlight w:val="none"/>
          <w:lang w:val="zh-CN"/>
        </w:rPr>
        <w:t>月</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日</w:t>
      </w:r>
    </w:p>
    <w:p>
      <w:pPr>
        <w:snapToGrid w:val="0"/>
        <w:spacing w:line="360" w:lineRule="auto"/>
        <w:jc w:val="left"/>
        <w:rPr>
          <w:rFonts w:ascii="仿宋" w:hAnsi="仿宋" w:eastAsia="仿宋" w:cs="仿宋_GB2312"/>
          <w:b/>
          <w:color w:val="auto"/>
          <w:sz w:val="30"/>
          <w:szCs w:val="30"/>
          <w:highlight w:val="none"/>
        </w:rPr>
      </w:pPr>
      <w:r>
        <w:rPr>
          <w:rFonts w:hint="eastAsia" w:ascii="宋体" w:hAnsi="宋体" w:eastAsia="宋体" w:cs="宋体"/>
          <w:b/>
          <w:color w:val="auto"/>
          <w:sz w:val="30"/>
          <w:szCs w:val="30"/>
          <w:highlight w:val="none"/>
        </w:rPr>
        <w:t>8.技术需求偏离表的格式：</w:t>
      </w:r>
    </w:p>
    <w:p>
      <w:pPr>
        <w:spacing w:line="500" w:lineRule="exact"/>
        <w:jc w:val="center"/>
        <w:rPr>
          <w:rFonts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技术需求偏离表</w:t>
      </w:r>
    </w:p>
    <w:p>
      <w:pPr>
        <w:spacing w:line="500" w:lineRule="exact"/>
        <w:jc w:val="center"/>
        <w:rPr>
          <w:rFonts w:ascii="宋体" w:hAnsi="宋体" w:eastAsia="宋体" w:cs="宋体"/>
          <w:b/>
          <w:color w:val="auto"/>
          <w:sz w:val="32"/>
          <w:szCs w:val="32"/>
          <w:highlight w:val="none"/>
        </w:rPr>
      </w:pPr>
    </w:p>
    <w:p>
      <w:pPr>
        <w:spacing w:line="360" w:lineRule="auto"/>
        <w:ind w:firstLine="240" w:firstLineChars="100"/>
        <w:contextualSpacing/>
        <w:rPr>
          <w:rFonts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pPr>
        <w:spacing w:line="360" w:lineRule="auto"/>
        <w:ind w:firstLine="240" w:firstLineChars="100"/>
        <w:contextualSpacing/>
        <w:rPr>
          <w:rFonts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p>
    <w:p>
      <w:pPr>
        <w:spacing w:line="360" w:lineRule="auto"/>
        <w:ind w:firstLine="240" w:firstLineChars="100"/>
        <w:contextualSpacing/>
        <w:rPr>
          <w:rFonts w:ascii="宋体" w:hAnsi="宋体" w:eastAsia="宋体" w:cs="宋体"/>
          <w:color w:val="auto"/>
          <w:kern w:val="0"/>
          <w:sz w:val="24"/>
          <w:szCs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tbl>
      <w:tblPr>
        <w:tblStyle w:val="30"/>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44"/>
        <w:gridCol w:w="2288"/>
        <w:gridCol w:w="2786"/>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项号</w:t>
            </w:r>
          </w:p>
        </w:tc>
        <w:tc>
          <w:tcPr>
            <w:tcW w:w="154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标的名称</w:t>
            </w:r>
          </w:p>
        </w:tc>
        <w:tc>
          <w:tcPr>
            <w:tcW w:w="228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竞争性谈判文件</w:t>
            </w:r>
            <w:r>
              <w:rPr>
                <w:rFonts w:hint="eastAsia" w:ascii="宋体" w:hAnsi="宋体" w:cs="Times New Roman"/>
                <w:color w:val="auto"/>
                <w:sz w:val="24"/>
                <w:szCs w:val="24"/>
                <w:highlight w:val="none"/>
              </w:rPr>
              <w:t>采购需求中的</w:t>
            </w:r>
            <w:r>
              <w:rPr>
                <w:rFonts w:hint="eastAsia" w:ascii="宋体" w:hAnsi="宋体" w:cs="宋体"/>
                <w:color w:val="auto"/>
                <w:sz w:val="24"/>
                <w:szCs w:val="24"/>
                <w:highlight w:val="none"/>
              </w:rPr>
              <w:t>技术参数及配置</w:t>
            </w:r>
          </w:p>
        </w:tc>
        <w:tc>
          <w:tcPr>
            <w:tcW w:w="27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响应文件响应的</w:t>
            </w:r>
            <w:r>
              <w:rPr>
                <w:rFonts w:hint="eastAsia" w:ascii="宋体" w:hAnsi="宋体" w:cs="宋体"/>
                <w:color w:val="auto"/>
                <w:sz w:val="24"/>
                <w:szCs w:val="24"/>
                <w:highlight w:val="none"/>
              </w:rPr>
              <w:t>技术参数及配置</w:t>
            </w:r>
          </w:p>
        </w:tc>
        <w:tc>
          <w:tcPr>
            <w:tcW w:w="15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54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228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54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228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44"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228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843"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竞标货物中，属于优先采购节能产品</w:t>
            </w:r>
            <w:r>
              <w:rPr>
                <w:rFonts w:hint="eastAsia" w:ascii="宋体" w:hAnsi="宋体" w:cs="宋体"/>
                <w:color w:val="auto"/>
                <w:sz w:val="24"/>
                <w:szCs w:val="24"/>
                <w:highlight w:val="none"/>
              </w:rPr>
              <w:t>为</w:t>
            </w:r>
            <w:r>
              <w:rPr>
                <w:rFonts w:hint="eastAsia" w:ascii="宋体" w:hAnsi="宋体" w:eastAsia="宋体" w:cs="宋体"/>
                <w:color w:val="auto"/>
                <w:sz w:val="24"/>
                <w:szCs w:val="24"/>
                <w:highlight w:val="none"/>
              </w:rPr>
              <w:t>本项目竞争性谈判文件“第二章 采购需求”中</w:t>
            </w:r>
            <w:r>
              <w:rPr>
                <w:rFonts w:hint="eastAsia" w:ascii="宋体" w:hAnsi="宋体" w:cs="宋体"/>
                <w:color w:val="auto"/>
                <w:sz w:val="24"/>
                <w:szCs w:val="24"/>
                <w:highlight w:val="none"/>
              </w:rPr>
              <w:t>“需求一览表”的第   项产品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，合计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项；属于优先采购环境标志产品为本项目竞争性谈判文件“第二章 采购需求”中</w:t>
            </w:r>
            <w:r>
              <w:rPr>
                <w:rFonts w:hint="eastAsia" w:ascii="宋体" w:hAnsi="宋体" w:cs="宋体"/>
                <w:color w:val="auto"/>
                <w:sz w:val="24"/>
                <w:szCs w:val="24"/>
                <w:highlight w:val="none"/>
              </w:rPr>
              <w:t>“需求一览表”的第   项产品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，合计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项。 </w:t>
            </w:r>
            <w:r>
              <w:rPr>
                <w:rFonts w:hint="eastAsia" w:ascii="宋体" w:hAnsi="宋体" w:eastAsia="宋体" w:cs="宋体"/>
                <w:b/>
                <w:bCs/>
                <w:color w:val="auto"/>
                <w:sz w:val="24"/>
                <w:szCs w:val="24"/>
                <w:highlight w:val="none"/>
              </w:rPr>
              <w:t>（注：如有，请逐项列出，如无填写“无”或者留空。）</w:t>
            </w:r>
          </w:p>
        </w:tc>
      </w:tr>
    </w:tbl>
    <w:p>
      <w:pPr>
        <w:spacing w:line="360" w:lineRule="auto"/>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注：</w:t>
      </w:r>
    </w:p>
    <w:p>
      <w:pPr>
        <w:spacing w:line="360" w:lineRule="auto"/>
        <w:ind w:firstLine="480" w:firstLineChars="200"/>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1.说明：应对照谈判文件“第二章</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采购需求”中“需求一览表”的技术参数及配置条款逐条作出明确响应，并作出偏离说明。</w:t>
      </w:r>
    </w:p>
    <w:p>
      <w:pPr>
        <w:spacing w:line="360" w:lineRule="auto"/>
        <w:ind w:firstLine="480" w:firstLineChars="200"/>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2.供应商应根据自身的承诺，对照谈判文件要求，在“偏离说明”中注明“正偏离”或者“负偏离”或者“无偏离”。既不属于“正偏离”也不属于“负偏离”即为“无偏离”。 当响应文件的技术参数及配置内容低于竞争性谈判文件要求时，供应商应当如实写明“负偏离”。</w:t>
      </w:r>
    </w:p>
    <w:p>
      <w:pPr>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3.表格内容均需按要求填写并盖公章，不得留空（有说明可以留空的除外），</w:t>
      </w:r>
      <w:r>
        <w:rPr>
          <w:rFonts w:hint="eastAsia" w:ascii="宋体" w:hAnsi="宋体" w:eastAsia="宋体" w:cs="宋体"/>
          <w:b/>
          <w:bCs/>
          <w:color w:val="auto"/>
          <w:kern w:val="0"/>
          <w:sz w:val="24"/>
          <w:szCs w:val="24"/>
          <w:highlight w:val="none"/>
        </w:rPr>
        <w:t>否则按竞标无效处理。</w:t>
      </w:r>
    </w:p>
    <w:p>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p>
    <w:p>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autoSpaceDE w:val="0"/>
        <w:autoSpaceDN w:val="0"/>
        <w:spacing w:line="360" w:lineRule="auto"/>
        <w:ind w:firstLine="6480" w:firstLineChars="2700"/>
        <w:rPr>
          <w:rFonts w:ascii="仿宋_GB2312" w:hAnsi="仿宋" w:eastAsia="仿宋_GB2312" w:cs="仿宋_GB2312"/>
          <w:b/>
          <w:bCs/>
          <w:color w:val="auto"/>
          <w:sz w:val="24"/>
          <w:szCs w:val="24"/>
          <w:highlight w:val="none"/>
        </w:rPr>
      </w:pPr>
      <w:r>
        <w:rPr>
          <w:rFonts w:hint="eastAsia" w:ascii="宋体" w:hAnsi="宋体" w:eastAsia="宋体" w:cs="宋体"/>
          <w:color w:val="auto"/>
          <w:kern w:val="0"/>
          <w:sz w:val="24"/>
          <w:szCs w:val="24"/>
          <w:highlight w:val="none"/>
          <w:lang w:val="zh-CN"/>
        </w:rPr>
        <w:t>日期：  年  月   日</w:t>
      </w:r>
    </w:p>
    <w:p>
      <w:pPr>
        <w:spacing w:line="500" w:lineRule="exact"/>
        <w:jc w:val="center"/>
        <w:rPr>
          <w:rFonts w:ascii="仿宋_GB2312" w:hAnsi="仿宋_GB2312" w:eastAsia="仿宋_GB2312" w:cs="仿宋_GB2312"/>
          <w:color w:val="auto"/>
          <w:sz w:val="32"/>
          <w:szCs w:val="32"/>
          <w:highlight w:val="none"/>
        </w:rPr>
        <w:sectPr>
          <w:pgSz w:w="11910" w:h="16840"/>
          <w:pgMar w:top="1340" w:right="1500" w:bottom="280" w:left="1680" w:header="720" w:footer="720" w:gutter="0"/>
          <w:cols w:space="720" w:num="1"/>
        </w:sectPr>
      </w:pPr>
    </w:p>
    <w:p>
      <w:pPr>
        <w:snapToGrid w:val="0"/>
        <w:spacing w:before="165" w:beforeLines="50" w:after="5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9.</w:t>
      </w:r>
      <w:r>
        <w:rPr>
          <w:rFonts w:hint="eastAsia" w:ascii="宋体" w:hAnsi="宋体" w:eastAsia="宋体" w:cs="宋体"/>
          <w:b/>
          <w:color w:val="auto"/>
          <w:sz w:val="28"/>
          <w:szCs w:val="28"/>
          <w:highlight w:val="none"/>
          <w:lang w:val="en-US" w:eastAsia="zh-CN"/>
        </w:rPr>
        <w:t>实施及</w:t>
      </w:r>
      <w:r>
        <w:rPr>
          <w:rFonts w:hint="eastAsia" w:ascii="宋体" w:hAnsi="宋体" w:eastAsia="宋体" w:cs="宋体"/>
          <w:b/>
          <w:color w:val="auto"/>
          <w:sz w:val="28"/>
          <w:szCs w:val="28"/>
          <w:highlight w:val="none"/>
        </w:rPr>
        <w:t>售后服务方案</w:t>
      </w:r>
    </w:p>
    <w:p>
      <w:pPr>
        <w:snapToGrid w:val="0"/>
        <w:spacing w:before="165" w:beforeLines="50" w:after="50"/>
        <w:ind w:left="143" w:leftChars="68"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由供应商按本项目竞争性谈判文件“第二章  采购需求”中商务条款部分的</w:t>
      </w:r>
      <w:r>
        <w:rPr>
          <w:rFonts w:hint="eastAsia" w:ascii="宋体" w:hAnsi="宋体" w:eastAsia="宋体" w:cs="宋体"/>
          <w:color w:val="auto"/>
          <w:sz w:val="24"/>
          <w:szCs w:val="28"/>
          <w:highlight w:val="none"/>
          <w:lang w:val="en-US" w:eastAsia="zh-CN"/>
        </w:rPr>
        <w:t>实施及</w:t>
      </w:r>
      <w:r>
        <w:rPr>
          <w:rFonts w:hint="eastAsia" w:ascii="宋体" w:hAnsi="宋体" w:eastAsia="宋体" w:cs="宋体"/>
          <w:color w:val="auto"/>
          <w:sz w:val="24"/>
          <w:szCs w:val="32"/>
          <w:highlight w:val="none"/>
        </w:rPr>
        <w:t>售后服务要求自行填写，其中要包含售后服务承诺。</w:t>
      </w:r>
    </w:p>
    <w:p>
      <w:pPr>
        <w:snapToGrid w:val="0"/>
        <w:spacing w:before="165" w:beforeLines="50" w:after="50"/>
        <w:ind w:left="142"/>
        <w:jc w:val="center"/>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1.</w:t>
      </w:r>
      <w:r>
        <w:rPr>
          <w:rFonts w:hint="eastAsia" w:ascii="宋体" w:hAnsi="宋体" w:eastAsia="宋体" w:cs="宋体"/>
          <w:b/>
          <w:color w:val="auto"/>
          <w:sz w:val="32"/>
          <w:szCs w:val="32"/>
          <w:highlight w:val="none"/>
          <w:lang w:val="en-US" w:eastAsia="zh-CN"/>
        </w:rPr>
        <w:t>实施及</w:t>
      </w:r>
      <w:r>
        <w:rPr>
          <w:rFonts w:hint="eastAsia" w:ascii="宋体" w:hAnsi="宋体" w:eastAsia="宋体" w:cs="宋体"/>
          <w:b/>
          <w:color w:val="auto"/>
          <w:sz w:val="32"/>
          <w:szCs w:val="32"/>
          <w:highlight w:val="none"/>
        </w:rPr>
        <w:t>售后服务承诺</w:t>
      </w:r>
    </w:p>
    <w:p>
      <w:pPr>
        <w:autoSpaceDE w:val="0"/>
        <w:autoSpaceDN w:val="0"/>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附表A:</w:t>
      </w:r>
      <w:r>
        <w:rPr>
          <w:rFonts w:hint="eastAsia" w:ascii="宋体" w:hAnsi="宋体" w:eastAsia="宋体" w:cs="宋体"/>
          <w:b/>
          <w:color w:val="auto"/>
          <w:sz w:val="24"/>
          <w:szCs w:val="24"/>
          <w:highlight w:val="none"/>
          <w:lang w:val="en-US" w:eastAsia="zh-CN"/>
        </w:rPr>
        <w:t>实施及</w:t>
      </w:r>
      <w:r>
        <w:rPr>
          <w:rFonts w:hint="eastAsia" w:ascii="宋体" w:hAnsi="宋体" w:eastAsia="宋体" w:cs="宋体"/>
          <w:b/>
          <w:color w:val="auto"/>
          <w:sz w:val="24"/>
          <w:szCs w:val="24"/>
          <w:highlight w:val="none"/>
        </w:rPr>
        <w:t>售后服务机构情况表</w:t>
      </w:r>
      <w:r>
        <w:rPr>
          <w:rFonts w:hint="eastAsia" w:ascii="宋体" w:hAnsi="宋体" w:eastAsia="宋体" w:cs="宋体"/>
          <w:color w:val="auto"/>
          <w:sz w:val="24"/>
          <w:szCs w:val="24"/>
          <w:highlight w:val="none"/>
        </w:rPr>
        <w:t>（参照此格式自制）</w:t>
      </w:r>
    </w:p>
    <w:tbl>
      <w:tblPr>
        <w:tblStyle w:val="30"/>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650"/>
        <w:gridCol w:w="1523"/>
        <w:gridCol w:w="1390"/>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autoSpaceDE w:val="0"/>
              <w:autoSpaceDN w:val="0"/>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2340" w:type="dxa"/>
            <w:vAlign w:val="center"/>
          </w:tcPr>
          <w:p>
            <w:pPr>
              <w:autoSpaceDE w:val="0"/>
              <w:autoSpaceDN w:val="0"/>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机构名称</w:t>
            </w:r>
          </w:p>
        </w:tc>
        <w:tc>
          <w:tcPr>
            <w:tcW w:w="1650" w:type="dxa"/>
            <w:vAlign w:val="center"/>
          </w:tcPr>
          <w:p>
            <w:pPr>
              <w:autoSpaceDE w:val="0"/>
              <w:autoSpaceDN w:val="0"/>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机构性质</w:t>
            </w:r>
          </w:p>
        </w:tc>
        <w:tc>
          <w:tcPr>
            <w:tcW w:w="1523" w:type="dxa"/>
            <w:vAlign w:val="center"/>
          </w:tcPr>
          <w:p>
            <w:pPr>
              <w:autoSpaceDE w:val="0"/>
              <w:autoSpaceDN w:val="0"/>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注册地址</w:t>
            </w:r>
          </w:p>
        </w:tc>
        <w:tc>
          <w:tcPr>
            <w:tcW w:w="1390" w:type="dxa"/>
            <w:vAlign w:val="center"/>
          </w:tcPr>
          <w:p>
            <w:pPr>
              <w:autoSpaceDE w:val="0"/>
              <w:autoSpaceDN w:val="0"/>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技术人员数量</w:t>
            </w:r>
          </w:p>
        </w:tc>
        <w:tc>
          <w:tcPr>
            <w:tcW w:w="1533" w:type="dxa"/>
            <w:vAlign w:val="center"/>
          </w:tcPr>
          <w:p>
            <w:pPr>
              <w:autoSpaceDE w:val="0"/>
              <w:autoSpaceDN w:val="0"/>
              <w:spacing w:line="360" w:lineRule="auto"/>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宋体" w:hAnsi="宋体" w:eastAsia="宋体" w:cs="宋体"/>
                <w:color w:val="auto"/>
                <w:sz w:val="24"/>
                <w:szCs w:val="24"/>
                <w:highlight w:val="none"/>
              </w:rPr>
            </w:pPr>
          </w:p>
        </w:tc>
        <w:tc>
          <w:tcPr>
            <w:tcW w:w="2340" w:type="dxa"/>
          </w:tcPr>
          <w:p>
            <w:pPr>
              <w:autoSpaceDE w:val="0"/>
              <w:autoSpaceDN w:val="0"/>
              <w:spacing w:line="360" w:lineRule="auto"/>
              <w:jc w:val="center"/>
              <w:rPr>
                <w:rFonts w:ascii="宋体" w:hAnsi="宋体" w:eastAsia="宋体" w:cs="宋体"/>
                <w:color w:val="auto"/>
                <w:sz w:val="24"/>
                <w:szCs w:val="24"/>
                <w:highlight w:val="none"/>
              </w:rPr>
            </w:pPr>
          </w:p>
        </w:tc>
        <w:tc>
          <w:tcPr>
            <w:tcW w:w="1650" w:type="dxa"/>
          </w:tcPr>
          <w:p>
            <w:pPr>
              <w:autoSpaceDE w:val="0"/>
              <w:autoSpaceDN w:val="0"/>
              <w:spacing w:line="360" w:lineRule="auto"/>
              <w:jc w:val="center"/>
              <w:rPr>
                <w:rFonts w:ascii="宋体" w:hAnsi="宋体" w:eastAsia="宋体" w:cs="宋体"/>
                <w:color w:val="auto"/>
                <w:sz w:val="24"/>
                <w:szCs w:val="24"/>
                <w:highlight w:val="none"/>
              </w:rPr>
            </w:pPr>
          </w:p>
        </w:tc>
        <w:tc>
          <w:tcPr>
            <w:tcW w:w="1523" w:type="dxa"/>
          </w:tcPr>
          <w:p>
            <w:pPr>
              <w:autoSpaceDE w:val="0"/>
              <w:autoSpaceDN w:val="0"/>
              <w:spacing w:line="360" w:lineRule="auto"/>
              <w:jc w:val="center"/>
              <w:rPr>
                <w:rFonts w:ascii="宋体" w:hAnsi="宋体" w:eastAsia="宋体" w:cs="宋体"/>
                <w:color w:val="auto"/>
                <w:sz w:val="24"/>
                <w:szCs w:val="24"/>
                <w:highlight w:val="none"/>
              </w:rPr>
            </w:pPr>
          </w:p>
        </w:tc>
        <w:tc>
          <w:tcPr>
            <w:tcW w:w="1390" w:type="dxa"/>
          </w:tcPr>
          <w:p>
            <w:pPr>
              <w:autoSpaceDE w:val="0"/>
              <w:autoSpaceDN w:val="0"/>
              <w:spacing w:line="360" w:lineRule="auto"/>
              <w:jc w:val="center"/>
              <w:rPr>
                <w:rFonts w:ascii="宋体" w:hAnsi="宋体" w:eastAsia="宋体" w:cs="宋体"/>
                <w:color w:val="auto"/>
                <w:sz w:val="24"/>
                <w:szCs w:val="24"/>
                <w:highlight w:val="none"/>
              </w:rPr>
            </w:pPr>
          </w:p>
        </w:tc>
        <w:tc>
          <w:tcPr>
            <w:tcW w:w="1533" w:type="dxa"/>
          </w:tcPr>
          <w:p>
            <w:pPr>
              <w:autoSpaceDE w:val="0"/>
              <w:autoSpaceDN w:val="0"/>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宋体" w:hAnsi="宋体" w:eastAsia="宋体" w:cs="宋体"/>
                <w:color w:val="auto"/>
                <w:sz w:val="24"/>
                <w:szCs w:val="24"/>
                <w:highlight w:val="none"/>
              </w:rPr>
            </w:pPr>
          </w:p>
        </w:tc>
        <w:tc>
          <w:tcPr>
            <w:tcW w:w="2340" w:type="dxa"/>
          </w:tcPr>
          <w:p>
            <w:pPr>
              <w:autoSpaceDE w:val="0"/>
              <w:autoSpaceDN w:val="0"/>
              <w:spacing w:line="360" w:lineRule="auto"/>
              <w:jc w:val="center"/>
              <w:rPr>
                <w:rFonts w:ascii="宋体" w:hAnsi="宋体" w:eastAsia="宋体" w:cs="宋体"/>
                <w:color w:val="auto"/>
                <w:sz w:val="24"/>
                <w:szCs w:val="24"/>
                <w:highlight w:val="none"/>
              </w:rPr>
            </w:pPr>
          </w:p>
        </w:tc>
        <w:tc>
          <w:tcPr>
            <w:tcW w:w="1650" w:type="dxa"/>
          </w:tcPr>
          <w:p>
            <w:pPr>
              <w:autoSpaceDE w:val="0"/>
              <w:autoSpaceDN w:val="0"/>
              <w:spacing w:line="360" w:lineRule="auto"/>
              <w:jc w:val="center"/>
              <w:rPr>
                <w:rFonts w:ascii="宋体" w:hAnsi="宋体" w:eastAsia="宋体" w:cs="宋体"/>
                <w:color w:val="auto"/>
                <w:sz w:val="24"/>
                <w:szCs w:val="24"/>
                <w:highlight w:val="none"/>
              </w:rPr>
            </w:pPr>
          </w:p>
        </w:tc>
        <w:tc>
          <w:tcPr>
            <w:tcW w:w="1523" w:type="dxa"/>
          </w:tcPr>
          <w:p>
            <w:pPr>
              <w:autoSpaceDE w:val="0"/>
              <w:autoSpaceDN w:val="0"/>
              <w:spacing w:line="360" w:lineRule="auto"/>
              <w:jc w:val="center"/>
              <w:rPr>
                <w:rFonts w:ascii="宋体" w:hAnsi="宋体" w:eastAsia="宋体" w:cs="宋体"/>
                <w:color w:val="auto"/>
                <w:sz w:val="24"/>
                <w:szCs w:val="24"/>
                <w:highlight w:val="none"/>
              </w:rPr>
            </w:pPr>
          </w:p>
        </w:tc>
        <w:tc>
          <w:tcPr>
            <w:tcW w:w="1390" w:type="dxa"/>
          </w:tcPr>
          <w:p>
            <w:pPr>
              <w:autoSpaceDE w:val="0"/>
              <w:autoSpaceDN w:val="0"/>
              <w:spacing w:line="360" w:lineRule="auto"/>
              <w:jc w:val="center"/>
              <w:rPr>
                <w:rFonts w:ascii="宋体" w:hAnsi="宋体" w:eastAsia="宋体" w:cs="宋体"/>
                <w:color w:val="auto"/>
                <w:sz w:val="24"/>
                <w:szCs w:val="24"/>
                <w:highlight w:val="none"/>
              </w:rPr>
            </w:pPr>
          </w:p>
        </w:tc>
        <w:tc>
          <w:tcPr>
            <w:tcW w:w="1533" w:type="dxa"/>
          </w:tcPr>
          <w:p>
            <w:pPr>
              <w:autoSpaceDE w:val="0"/>
              <w:autoSpaceDN w:val="0"/>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宋体" w:hAnsi="宋体" w:eastAsia="宋体" w:cs="宋体"/>
                <w:color w:val="auto"/>
                <w:sz w:val="24"/>
                <w:szCs w:val="24"/>
                <w:highlight w:val="none"/>
              </w:rPr>
            </w:pPr>
          </w:p>
        </w:tc>
        <w:tc>
          <w:tcPr>
            <w:tcW w:w="2340" w:type="dxa"/>
          </w:tcPr>
          <w:p>
            <w:pPr>
              <w:autoSpaceDE w:val="0"/>
              <w:autoSpaceDN w:val="0"/>
              <w:spacing w:line="360" w:lineRule="auto"/>
              <w:jc w:val="center"/>
              <w:rPr>
                <w:rFonts w:ascii="宋体" w:hAnsi="宋体" w:eastAsia="宋体" w:cs="宋体"/>
                <w:color w:val="auto"/>
                <w:sz w:val="24"/>
                <w:szCs w:val="24"/>
                <w:highlight w:val="none"/>
              </w:rPr>
            </w:pPr>
          </w:p>
        </w:tc>
        <w:tc>
          <w:tcPr>
            <w:tcW w:w="1650" w:type="dxa"/>
          </w:tcPr>
          <w:p>
            <w:pPr>
              <w:autoSpaceDE w:val="0"/>
              <w:autoSpaceDN w:val="0"/>
              <w:spacing w:line="360" w:lineRule="auto"/>
              <w:jc w:val="center"/>
              <w:rPr>
                <w:rFonts w:ascii="宋体" w:hAnsi="宋体" w:eastAsia="宋体" w:cs="宋体"/>
                <w:color w:val="auto"/>
                <w:sz w:val="24"/>
                <w:szCs w:val="24"/>
                <w:highlight w:val="none"/>
              </w:rPr>
            </w:pPr>
          </w:p>
        </w:tc>
        <w:tc>
          <w:tcPr>
            <w:tcW w:w="1523" w:type="dxa"/>
          </w:tcPr>
          <w:p>
            <w:pPr>
              <w:autoSpaceDE w:val="0"/>
              <w:autoSpaceDN w:val="0"/>
              <w:spacing w:line="360" w:lineRule="auto"/>
              <w:jc w:val="center"/>
              <w:rPr>
                <w:rFonts w:ascii="宋体" w:hAnsi="宋体" w:eastAsia="宋体" w:cs="宋体"/>
                <w:color w:val="auto"/>
                <w:sz w:val="24"/>
                <w:szCs w:val="24"/>
                <w:highlight w:val="none"/>
              </w:rPr>
            </w:pPr>
          </w:p>
        </w:tc>
        <w:tc>
          <w:tcPr>
            <w:tcW w:w="1390" w:type="dxa"/>
          </w:tcPr>
          <w:p>
            <w:pPr>
              <w:autoSpaceDE w:val="0"/>
              <w:autoSpaceDN w:val="0"/>
              <w:spacing w:line="360" w:lineRule="auto"/>
              <w:jc w:val="center"/>
              <w:rPr>
                <w:rFonts w:ascii="宋体" w:hAnsi="宋体" w:eastAsia="宋体" w:cs="宋体"/>
                <w:color w:val="auto"/>
                <w:sz w:val="24"/>
                <w:szCs w:val="24"/>
                <w:highlight w:val="none"/>
              </w:rPr>
            </w:pPr>
          </w:p>
        </w:tc>
        <w:tc>
          <w:tcPr>
            <w:tcW w:w="1533" w:type="dxa"/>
          </w:tcPr>
          <w:p>
            <w:pPr>
              <w:autoSpaceDE w:val="0"/>
              <w:autoSpaceDN w:val="0"/>
              <w:spacing w:line="360" w:lineRule="auto"/>
              <w:jc w:val="center"/>
              <w:rPr>
                <w:rFonts w:ascii="宋体" w:hAnsi="宋体" w:eastAsia="宋体" w:cs="宋体"/>
                <w:color w:val="auto"/>
                <w:sz w:val="24"/>
                <w:szCs w:val="24"/>
                <w:highlight w:val="none"/>
              </w:rPr>
            </w:pPr>
          </w:p>
        </w:tc>
      </w:tr>
    </w:tbl>
    <w:p>
      <w:pPr>
        <w:autoSpaceDE w:val="0"/>
        <w:autoSpaceDN w:val="0"/>
        <w:spacing w:line="360" w:lineRule="auto"/>
        <w:rPr>
          <w:rFonts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rPr>
        <w:t>注：关于项目涉及的所有</w:t>
      </w:r>
      <w:r>
        <w:rPr>
          <w:rFonts w:hint="eastAsia" w:ascii="宋体" w:hAnsi="宋体" w:eastAsia="宋体" w:cs="宋体"/>
          <w:b/>
          <w:color w:val="auto"/>
          <w:sz w:val="24"/>
          <w:szCs w:val="24"/>
          <w:highlight w:val="none"/>
          <w:lang w:val="en-US" w:eastAsia="zh-CN"/>
        </w:rPr>
        <w:t>实施及</w:t>
      </w:r>
      <w:r>
        <w:rPr>
          <w:rFonts w:hint="eastAsia" w:ascii="宋体" w:hAnsi="宋体" w:eastAsia="宋体" w:cs="宋体"/>
          <w:b/>
          <w:color w:val="auto"/>
          <w:sz w:val="24"/>
          <w:szCs w:val="24"/>
          <w:highlight w:val="none"/>
        </w:rPr>
        <w:t>售后服务机构均在本表注明，包括供应商本单位和符合条件的第三方服务机构。</w:t>
      </w:r>
    </w:p>
    <w:p>
      <w:pPr>
        <w:autoSpaceDE w:val="0"/>
        <w:autoSpaceDN w:val="0"/>
        <w:spacing w:line="360" w:lineRule="auto"/>
        <w:rPr>
          <w:rFonts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附表B：</w:t>
      </w:r>
      <w:r>
        <w:rPr>
          <w:rFonts w:hint="eastAsia" w:ascii="宋体" w:hAnsi="宋体" w:eastAsia="宋体" w:cs="宋体"/>
          <w:b/>
          <w:color w:val="auto"/>
          <w:kern w:val="0"/>
          <w:sz w:val="24"/>
          <w:szCs w:val="24"/>
          <w:highlight w:val="none"/>
          <w:lang w:val="en-US" w:eastAsia="zh-CN"/>
        </w:rPr>
        <w:t>实施及</w:t>
      </w:r>
      <w:r>
        <w:rPr>
          <w:rFonts w:hint="eastAsia" w:ascii="宋体" w:hAnsi="宋体" w:eastAsia="宋体" w:cs="宋体"/>
          <w:b/>
          <w:color w:val="auto"/>
          <w:kern w:val="0"/>
          <w:sz w:val="24"/>
          <w:szCs w:val="24"/>
          <w:highlight w:val="none"/>
        </w:rPr>
        <w:t>售后服务人员情况表</w:t>
      </w:r>
      <w:r>
        <w:rPr>
          <w:rFonts w:hint="eastAsia" w:ascii="宋体" w:hAnsi="宋体" w:eastAsia="宋体" w:cs="宋体"/>
          <w:color w:val="auto"/>
          <w:sz w:val="24"/>
          <w:szCs w:val="24"/>
          <w:highlight w:val="none"/>
        </w:rPr>
        <w:t>（参照此格式自制）</w:t>
      </w:r>
    </w:p>
    <w:tbl>
      <w:tblPr>
        <w:tblStyle w:val="30"/>
        <w:tblW w:w="10216" w:type="dxa"/>
        <w:jc w:val="center"/>
        <w:tblLayout w:type="fixed"/>
        <w:tblCellMar>
          <w:top w:w="0" w:type="dxa"/>
          <w:left w:w="108" w:type="dxa"/>
          <w:bottom w:w="0" w:type="dxa"/>
          <w:right w:w="108" w:type="dxa"/>
        </w:tblCellMar>
      </w:tblPr>
      <w:tblGrid>
        <w:gridCol w:w="646"/>
        <w:gridCol w:w="746"/>
        <w:gridCol w:w="787"/>
        <w:gridCol w:w="626"/>
        <w:gridCol w:w="900"/>
        <w:gridCol w:w="1080"/>
        <w:gridCol w:w="1080"/>
        <w:gridCol w:w="1080"/>
        <w:gridCol w:w="1260"/>
        <w:gridCol w:w="900"/>
        <w:gridCol w:w="1111"/>
      </w:tblGrid>
      <w:tr>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62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到达现场时间</w:t>
            </w:r>
          </w:p>
        </w:tc>
      </w:tr>
      <w:tr>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宋体" w:hAnsi="宋体" w:eastAsia="宋体" w:cs="宋体"/>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62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宋体" w:hAnsi="宋体" w:eastAsia="宋体" w:cs="宋体"/>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62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宋体" w:hAnsi="宋体" w:eastAsia="宋体" w:cs="宋体"/>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宋体" w:hAnsi="宋体" w:eastAsia="宋体" w:cs="宋体"/>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62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ascii="宋体" w:hAnsi="宋体" w:eastAsia="宋体" w:cs="宋体"/>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ascii="宋体" w:hAnsi="宋体" w:eastAsia="宋体" w:cs="宋体"/>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62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r>
    </w:tbl>
    <w:p>
      <w:pPr>
        <w:spacing w:line="440" w:lineRule="exact"/>
        <w:ind w:firstLine="396" w:firstLineChars="198"/>
        <w:rPr>
          <w:rFonts w:ascii="宋体" w:hAnsi="宋体" w:eastAsia="宋体" w:cs="宋体"/>
          <w:color w:val="auto"/>
          <w:kern w:val="0"/>
          <w:sz w:val="20"/>
          <w:szCs w:val="21"/>
          <w:highlight w:val="none"/>
          <w:lang w:val="zh-CN"/>
        </w:rPr>
      </w:pPr>
    </w:p>
    <w:p>
      <w:pPr>
        <w:spacing w:line="500" w:lineRule="exact"/>
        <w:rPr>
          <w:rFonts w:ascii="宋体" w:hAnsi="宋体" w:eastAsia="宋体" w:cs="宋体"/>
          <w:color w:val="auto"/>
          <w:sz w:val="32"/>
          <w:szCs w:val="32"/>
          <w:highlight w:val="none"/>
        </w:rPr>
      </w:pPr>
    </w:p>
    <w:p>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autoSpaceDE w:val="0"/>
        <w:autoSpaceDN w:val="0"/>
        <w:spacing w:line="360" w:lineRule="auto"/>
        <w:ind w:firstLine="6480" w:firstLineChars="27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pPr>
        <w:snapToGrid w:val="0"/>
        <w:spacing w:line="360" w:lineRule="auto"/>
        <w:rPr>
          <w:rFonts w:ascii="宋体" w:hAnsi="宋体" w:eastAsia="宋体" w:cs="宋体"/>
          <w:b/>
          <w:color w:val="auto"/>
          <w:sz w:val="28"/>
          <w:szCs w:val="28"/>
          <w:highlight w:val="none"/>
        </w:rPr>
      </w:pPr>
    </w:p>
    <w:p>
      <w:pPr>
        <w:snapToGrid w:val="0"/>
        <w:spacing w:line="360" w:lineRule="auto"/>
        <w:rPr>
          <w:rFonts w:ascii="宋体" w:hAnsi="宋体" w:eastAsia="宋体" w:cs="宋体"/>
          <w:b/>
          <w:color w:val="auto"/>
          <w:sz w:val="28"/>
          <w:szCs w:val="28"/>
          <w:highlight w:val="none"/>
        </w:rPr>
      </w:pPr>
    </w:p>
    <w:p>
      <w:pPr>
        <w:snapToGrid w:val="0"/>
        <w:spacing w:line="360" w:lineRule="auto"/>
        <w:rPr>
          <w:rFonts w:ascii="宋体" w:hAnsi="宋体" w:eastAsia="宋体" w:cs="宋体"/>
          <w:b/>
          <w:color w:val="auto"/>
          <w:sz w:val="28"/>
          <w:szCs w:val="28"/>
          <w:highlight w:val="none"/>
        </w:rPr>
      </w:pPr>
    </w:p>
    <w:p>
      <w:pPr>
        <w:snapToGrid w:val="0"/>
        <w:spacing w:line="360" w:lineRule="auto"/>
        <w:rPr>
          <w:rFonts w:ascii="宋体" w:hAnsi="宋体" w:eastAsia="宋体" w:cs="宋体"/>
          <w:b/>
          <w:i/>
          <w:iCs/>
          <w:color w:val="auto"/>
          <w:sz w:val="28"/>
          <w:szCs w:val="28"/>
          <w:highlight w:val="none"/>
        </w:rPr>
      </w:pPr>
      <w:r>
        <w:rPr>
          <w:rFonts w:hint="eastAsia" w:ascii="宋体" w:hAnsi="宋体" w:eastAsia="宋体" w:cs="宋体"/>
          <w:b/>
          <w:color w:val="auto"/>
          <w:sz w:val="28"/>
          <w:szCs w:val="28"/>
          <w:highlight w:val="none"/>
        </w:rPr>
        <w:t>10.项目实施人员一览表</w:t>
      </w:r>
    </w:p>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（由供应商根据采购需求及采购文件要求编制）</w:t>
      </w:r>
    </w:p>
    <w:p>
      <w:pPr>
        <w:pStyle w:val="2"/>
        <w:rPr>
          <w:rFonts w:ascii="宋体" w:hAnsi="宋体" w:cs="宋体"/>
          <w:color w:val="auto"/>
          <w:highlight w:val="none"/>
        </w:rPr>
      </w:pPr>
    </w:p>
    <w:p>
      <w:pPr>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所竞分标（此处有分标时填写具体分标号，无分标时填写“无”）：</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u w:val="single"/>
        </w:rPr>
        <w:t xml:space="preserve"> </w:t>
      </w:r>
    </w:p>
    <w:p>
      <w:pPr>
        <w:keepNext/>
        <w:autoSpaceDE w:val="0"/>
        <w:autoSpaceDN w:val="0"/>
        <w:spacing w:line="360" w:lineRule="auto"/>
        <w:ind w:firstLine="477"/>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附表A:本项目的项目经理情况表</w:t>
      </w:r>
    </w:p>
    <w:tbl>
      <w:tblPr>
        <w:tblStyle w:val="30"/>
        <w:tblW w:w="8755" w:type="dxa"/>
        <w:tblInd w:w="0" w:type="dxa"/>
        <w:shd w:val="clear" w:color="auto" w:fill="auto"/>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响应截止时间前三年业绩及承担的主要工作情况，曾担任项目经理的项目应列明细。</w:t>
            </w:r>
          </w:p>
        </w:tc>
      </w:tr>
      <w:tr>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r>
      <w:tr>
        <w:tblPrEx>
          <w:shd w:val="clear" w:color="auto" w:fill="auto"/>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r>
      <w:tr>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r>
      <w:tr>
        <w:tblPrEx>
          <w:shd w:val="clear" w:color="auto" w:fill="auto"/>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r>
      <w:tr>
        <w:tblPrEx>
          <w:shd w:val="clear" w:color="auto" w:fill="auto"/>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r>
      <w:tr>
        <w:tblPrEx>
          <w:shd w:val="clear" w:color="auto" w:fill="auto"/>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eastAsia="宋体" w:cs="宋体"/>
                <w:color w:val="auto"/>
                <w:sz w:val="24"/>
                <w:szCs w:val="24"/>
                <w:highlight w:val="none"/>
              </w:rPr>
            </w:pPr>
          </w:p>
        </w:tc>
      </w:tr>
    </w:tbl>
    <w:p>
      <w:pPr>
        <w:autoSpaceDE w:val="0"/>
        <w:autoSpaceDN w:val="0"/>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w:t>
      </w:r>
      <w:r>
        <w:rPr>
          <w:rFonts w:hint="eastAsia" w:ascii="宋体" w:hAnsi="宋体" w:eastAsia="宋体" w:cs="宋体"/>
          <w:b/>
          <w:color w:val="auto"/>
          <w:sz w:val="24"/>
          <w:highlight w:val="none"/>
        </w:rPr>
        <w:t>供应商可参照上述的格式自行编制，</w:t>
      </w:r>
      <w:r>
        <w:rPr>
          <w:rFonts w:hint="eastAsia" w:ascii="宋体" w:hAnsi="宋体" w:eastAsia="宋体" w:cs="宋体"/>
          <w:b/>
          <w:color w:val="auto"/>
          <w:sz w:val="24"/>
          <w:szCs w:val="24"/>
          <w:highlight w:val="none"/>
        </w:rPr>
        <w:t>并注明所在响应技术文件页码。</w:t>
      </w:r>
    </w:p>
    <w:p>
      <w:pPr>
        <w:autoSpaceDE w:val="0"/>
        <w:autoSpaceDN w:val="0"/>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附表B:本项目的项目小组人员情况表</w:t>
      </w:r>
      <w:r>
        <w:rPr>
          <w:rFonts w:hint="eastAsia" w:ascii="宋体" w:hAnsi="宋体" w:eastAsia="宋体" w:cs="宋体"/>
          <w:color w:val="auto"/>
          <w:sz w:val="24"/>
          <w:szCs w:val="24"/>
          <w:highlight w:val="none"/>
        </w:rPr>
        <w:t>（参照此格式自制）</w:t>
      </w:r>
    </w:p>
    <w:tbl>
      <w:tblPr>
        <w:tblStyle w:val="3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宋体" w:hAnsi="宋体" w:eastAsia="宋体" w:cs="宋体"/>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宋体" w:hAnsi="宋体" w:eastAsia="宋体" w:cs="宋体"/>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eastAsia="宋体" w:cs="宋体"/>
                <w:color w:val="auto"/>
                <w:sz w:val="24"/>
                <w:szCs w:val="24"/>
                <w:highlight w:val="none"/>
              </w:rPr>
            </w:pPr>
          </w:p>
        </w:tc>
      </w:tr>
    </w:tbl>
    <w:p>
      <w:pPr>
        <w:spacing w:line="360" w:lineRule="auto"/>
        <w:rPr>
          <w:rFonts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注：供应商可参照上述的格式自行编制，并注明所在响应技术文件页码。</w:t>
      </w:r>
    </w:p>
    <w:p>
      <w:pPr>
        <w:snapToGrid w:val="0"/>
        <w:spacing w:line="360" w:lineRule="auto"/>
        <w:ind w:firstLine="602" w:firstLineChars="200"/>
        <w:rPr>
          <w:rFonts w:ascii="宋体" w:hAnsi="宋体" w:eastAsia="宋体" w:cs="宋体"/>
          <w:b/>
          <w:color w:val="auto"/>
          <w:sz w:val="30"/>
          <w:szCs w:val="30"/>
          <w:highlight w:val="none"/>
        </w:rPr>
      </w:pPr>
    </w:p>
    <w:p>
      <w:pPr>
        <w:autoSpaceDE w:val="0"/>
        <w:autoSpaceDN w:val="0"/>
        <w:spacing w:line="360" w:lineRule="auto"/>
        <w:ind w:firstLine="6505" w:firstLineChars="2700"/>
        <w:rPr>
          <w:rFonts w:ascii="宋体" w:hAnsi="宋体" w:eastAsia="宋体" w:cs="宋体"/>
          <w:b/>
          <w:bCs/>
          <w:color w:val="auto"/>
          <w:sz w:val="24"/>
          <w:szCs w:val="24"/>
          <w:highlight w:val="none"/>
        </w:rPr>
      </w:pPr>
    </w:p>
    <w:p>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autoSpaceDE w:val="0"/>
        <w:autoSpaceDN w:val="0"/>
        <w:spacing w:line="360" w:lineRule="auto"/>
        <w:ind w:firstLine="6480" w:firstLineChars="27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pPr>
        <w:spacing w:line="500" w:lineRule="exact"/>
        <w:rPr>
          <w:rFonts w:ascii="仿宋_GB2312" w:hAnsi="仿宋_GB2312" w:eastAsia="仿宋_GB2312" w:cs="仿宋_GB2312"/>
          <w:color w:val="auto"/>
          <w:sz w:val="32"/>
          <w:szCs w:val="32"/>
          <w:highlight w:val="none"/>
        </w:rPr>
      </w:pPr>
    </w:p>
    <w:p>
      <w:pPr>
        <w:adjustRightInd w:val="0"/>
        <w:snapToGrid w:val="0"/>
        <w:spacing w:line="300" w:lineRule="auto"/>
        <w:rPr>
          <w:rFonts w:ascii="宋体" w:hAnsi="宋体" w:eastAsia="宋体" w:cs="Times New Roman"/>
          <w:color w:val="auto"/>
          <w:szCs w:val="21"/>
          <w:highlight w:val="none"/>
          <w:u w:val="single"/>
        </w:rPr>
      </w:pPr>
    </w:p>
    <w:p>
      <w:pPr>
        <w:keepNext/>
        <w:keepLines/>
        <w:spacing w:before="260" w:after="260" w:line="416" w:lineRule="auto"/>
        <w:jc w:val="center"/>
        <w:outlineLvl w:val="1"/>
        <w:rPr>
          <w:rFonts w:ascii="宋体" w:hAnsi="宋体" w:eastAsia="宋体" w:cs="Times New Roman"/>
          <w:b/>
          <w:bCs/>
          <w:color w:val="auto"/>
          <w:sz w:val="32"/>
          <w:szCs w:val="32"/>
          <w:highlight w:val="none"/>
          <w:lang w:val="zh-CN"/>
        </w:rPr>
      </w:pPr>
      <w:bookmarkStart w:id="157" w:name="_Toc80205941"/>
      <w:bookmarkStart w:id="158" w:name="_Toc13020"/>
      <w:bookmarkStart w:id="159" w:name="_Toc17296"/>
      <w:r>
        <w:rPr>
          <w:rFonts w:hint="eastAsia" w:ascii="宋体" w:hAnsi="宋体" w:eastAsia="宋体" w:cs="Times New Roman"/>
          <w:b/>
          <w:bCs/>
          <w:color w:val="auto"/>
          <w:sz w:val="32"/>
          <w:szCs w:val="32"/>
          <w:highlight w:val="none"/>
          <w:lang w:val="zh-CN"/>
        </w:rPr>
        <w:t>第三节 报价文件格式</w:t>
      </w:r>
      <w:bookmarkEnd w:id="157"/>
      <w:bookmarkEnd w:id="158"/>
      <w:bookmarkEnd w:id="159"/>
    </w:p>
    <w:p>
      <w:pPr>
        <w:pStyle w:val="2"/>
        <w:rPr>
          <w:color w:val="auto"/>
          <w:highlight w:val="none"/>
        </w:rPr>
      </w:pPr>
    </w:p>
    <w:p>
      <w:pPr>
        <w:pStyle w:val="2"/>
        <w:rPr>
          <w:color w:val="auto"/>
          <w:highlight w:val="none"/>
        </w:rPr>
      </w:pPr>
      <w:r>
        <w:rPr>
          <w:rFonts w:hint="eastAsia" w:ascii="宋体" w:hAnsi="宋体" w:cs="宋体"/>
          <w:b/>
          <w:bCs/>
          <w:color w:val="auto"/>
          <w:sz w:val="28"/>
          <w:szCs w:val="28"/>
          <w:highlight w:val="none"/>
          <w:lang w:val="en-US"/>
        </w:rPr>
        <w:t>1.</w:t>
      </w:r>
      <w:r>
        <w:rPr>
          <w:rFonts w:hint="eastAsia" w:ascii="宋体" w:hAnsi="宋体" w:cs="宋体"/>
          <w:b/>
          <w:bCs/>
          <w:color w:val="auto"/>
          <w:sz w:val="28"/>
          <w:szCs w:val="28"/>
          <w:highlight w:val="none"/>
        </w:rPr>
        <w:t>报价文件封面的格式</w:t>
      </w:r>
      <w:r>
        <w:rPr>
          <w:rFonts w:hint="eastAsia" w:ascii="宋体" w:hAnsi="宋体" w:cs="宋体"/>
          <w:b/>
          <w:color w:val="auto"/>
          <w:sz w:val="28"/>
          <w:szCs w:val="28"/>
          <w:highlight w:val="none"/>
        </w:rPr>
        <w:t>（参照此格式自拟）</w:t>
      </w:r>
      <w:r>
        <w:rPr>
          <w:rFonts w:hint="eastAsia" w:ascii="宋体" w:hAnsi="宋体" w:cs="宋体"/>
          <w:b/>
          <w:bCs/>
          <w:color w:val="auto"/>
          <w:sz w:val="28"/>
          <w:szCs w:val="28"/>
          <w:highlight w:val="none"/>
        </w:rPr>
        <w:t>：</w:t>
      </w:r>
    </w:p>
    <w:p>
      <w:pPr>
        <w:snapToGrid w:val="0"/>
        <w:spacing w:before="165" w:beforeLines="50" w:after="5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pPr>
        <w:snapToGrid w:val="0"/>
        <w:spacing w:before="165" w:beforeLines="50" w:after="50"/>
        <w:rPr>
          <w:rFonts w:ascii="宋体" w:hAnsi="宋体" w:eastAsia="宋体" w:cs="Times New Roman"/>
          <w:color w:val="auto"/>
          <w:sz w:val="24"/>
          <w:szCs w:val="20"/>
          <w:highlight w:val="none"/>
        </w:rPr>
      </w:pPr>
    </w:p>
    <w:p>
      <w:pPr>
        <w:snapToGrid w:val="0"/>
        <w:spacing w:before="165" w:beforeLines="50" w:after="50"/>
        <w:rPr>
          <w:rFonts w:ascii="宋体" w:hAnsi="宋体" w:eastAsia="宋体" w:cs="Times New Roman"/>
          <w:color w:val="auto"/>
          <w:sz w:val="24"/>
          <w:szCs w:val="20"/>
          <w:highlight w:val="none"/>
        </w:rPr>
      </w:pPr>
    </w:p>
    <w:p>
      <w:pPr>
        <w:snapToGrid w:val="0"/>
        <w:spacing w:before="165" w:beforeLines="50" w:after="50"/>
        <w:rPr>
          <w:rFonts w:ascii="宋体" w:hAnsi="宋体" w:eastAsia="宋体" w:cs="Times New Roman"/>
          <w:color w:val="auto"/>
          <w:sz w:val="24"/>
          <w:szCs w:val="20"/>
          <w:highlight w:val="none"/>
        </w:rPr>
      </w:pPr>
    </w:p>
    <w:p>
      <w:pPr>
        <w:snapToGrid w:val="0"/>
        <w:spacing w:before="165"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报 </w:t>
      </w:r>
      <w:r>
        <w:rPr>
          <w:rFonts w:ascii="方正小标宋简体" w:hAnsi="方正小标宋简体" w:eastAsia="方正小标宋简体" w:cs="方正小标宋简体"/>
          <w:bCs/>
          <w:color w:val="auto"/>
          <w:sz w:val="44"/>
          <w:szCs w:val="44"/>
          <w:highlight w:val="none"/>
        </w:rPr>
        <w:t xml:space="preserve"> </w:t>
      </w:r>
      <w:r>
        <w:rPr>
          <w:rFonts w:hint="eastAsia" w:ascii="方正小标宋简体" w:hAnsi="方正小标宋简体" w:eastAsia="方正小标宋简体" w:cs="方正小标宋简体"/>
          <w:bCs/>
          <w:color w:val="auto"/>
          <w:sz w:val="44"/>
          <w:szCs w:val="44"/>
          <w:highlight w:val="none"/>
        </w:rPr>
        <w:t>价  文  件</w:t>
      </w:r>
    </w:p>
    <w:p>
      <w:pPr>
        <w:snapToGrid w:val="0"/>
        <w:spacing w:before="165" w:beforeLines="50" w:after="50"/>
        <w:rPr>
          <w:rFonts w:ascii="宋体" w:hAnsi="宋体" w:eastAsia="宋体" w:cs="Times New Roman"/>
          <w:bCs/>
          <w:color w:val="auto"/>
          <w:sz w:val="24"/>
          <w:szCs w:val="20"/>
          <w:highlight w:val="none"/>
        </w:rPr>
      </w:pPr>
    </w:p>
    <w:p>
      <w:pPr>
        <w:snapToGrid w:val="0"/>
        <w:spacing w:before="165" w:beforeLines="50" w:after="50"/>
        <w:rPr>
          <w:rFonts w:ascii="宋体" w:hAnsi="宋体" w:eastAsia="宋体" w:cs="Times New Roman"/>
          <w:bCs/>
          <w:color w:val="auto"/>
          <w:sz w:val="24"/>
          <w:szCs w:val="20"/>
          <w:highlight w:val="none"/>
        </w:rPr>
      </w:pPr>
    </w:p>
    <w:p>
      <w:pPr>
        <w:snapToGrid w:val="0"/>
        <w:spacing w:before="165" w:beforeLines="50" w:after="50"/>
        <w:rPr>
          <w:rFonts w:ascii="宋体" w:hAnsi="宋体" w:eastAsia="宋体" w:cs="Times New Roman"/>
          <w:bCs/>
          <w:color w:val="auto"/>
          <w:sz w:val="24"/>
          <w:szCs w:val="20"/>
          <w:highlight w:val="none"/>
        </w:rPr>
      </w:pPr>
    </w:p>
    <w:p>
      <w:pPr>
        <w:snapToGrid w:val="0"/>
        <w:spacing w:before="165" w:beforeLines="50" w:after="50"/>
        <w:rPr>
          <w:rFonts w:ascii="宋体" w:hAnsi="宋体" w:eastAsia="宋体" w:cs="Times New Roman"/>
          <w:bCs/>
          <w:color w:val="auto"/>
          <w:sz w:val="24"/>
          <w:szCs w:val="20"/>
          <w:highlight w:val="none"/>
        </w:rPr>
      </w:pPr>
    </w:p>
    <w:p>
      <w:pPr>
        <w:snapToGrid w:val="0"/>
        <w:spacing w:before="165" w:beforeLines="50" w:after="50"/>
        <w:rPr>
          <w:rFonts w:ascii="宋体" w:hAnsi="宋体" w:eastAsia="宋体" w:cs="Times New Roman"/>
          <w:bCs/>
          <w:color w:val="auto"/>
          <w:sz w:val="24"/>
          <w:szCs w:val="20"/>
          <w:highlight w:val="none"/>
        </w:rPr>
      </w:pPr>
    </w:p>
    <w:p>
      <w:pPr>
        <w:snapToGrid w:val="0"/>
        <w:spacing w:before="165"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项目名称：</w:t>
      </w:r>
    </w:p>
    <w:p>
      <w:pPr>
        <w:snapToGrid w:val="0"/>
        <w:spacing w:before="165" w:beforeLines="50" w:after="50"/>
        <w:ind w:firstLine="720" w:firstLineChars="225"/>
        <w:rPr>
          <w:rFonts w:ascii="宋体" w:hAnsi="宋体" w:eastAsia="宋体" w:cs="仿宋_GB2312"/>
          <w:bCs/>
          <w:color w:val="auto"/>
          <w:sz w:val="32"/>
          <w:szCs w:val="32"/>
          <w:highlight w:val="none"/>
        </w:rPr>
      </w:pPr>
    </w:p>
    <w:p>
      <w:pPr>
        <w:snapToGrid w:val="0"/>
        <w:spacing w:before="165"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项目编号：</w:t>
      </w:r>
    </w:p>
    <w:p>
      <w:pPr>
        <w:snapToGrid w:val="0"/>
        <w:spacing w:before="165"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pPr>
        <w:snapToGrid w:val="0"/>
        <w:spacing w:before="165"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pPr>
        <w:snapToGrid w:val="0"/>
        <w:spacing w:before="165" w:beforeLines="50" w:after="50"/>
        <w:ind w:firstLine="720" w:firstLineChars="225"/>
        <w:rPr>
          <w:rFonts w:ascii="宋体" w:hAnsi="宋体" w:eastAsia="宋体" w:cs="仿宋_GB2312"/>
          <w:bCs/>
          <w:color w:val="auto"/>
          <w:sz w:val="32"/>
          <w:szCs w:val="32"/>
          <w:highlight w:val="none"/>
        </w:rPr>
      </w:pPr>
    </w:p>
    <w:p>
      <w:pPr>
        <w:snapToGrid w:val="0"/>
        <w:spacing w:before="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pPr>
        <w:snapToGrid w:val="0"/>
        <w:spacing w:before="50" w:after="50"/>
        <w:ind w:firstLine="720" w:firstLineChars="225"/>
        <w:rPr>
          <w:rFonts w:ascii="宋体" w:hAnsi="宋体" w:eastAsia="宋体" w:cs="仿宋_GB2312"/>
          <w:bCs/>
          <w:color w:val="auto"/>
          <w:sz w:val="32"/>
          <w:szCs w:val="32"/>
          <w:highlight w:val="none"/>
        </w:rPr>
      </w:pPr>
    </w:p>
    <w:p>
      <w:pPr>
        <w:snapToGrid w:val="0"/>
        <w:spacing w:before="50" w:after="50"/>
        <w:ind w:firstLine="720" w:firstLineChars="225"/>
        <w:rPr>
          <w:rFonts w:ascii="宋体" w:hAnsi="宋体" w:eastAsia="宋体" w:cs="仿宋_GB2312"/>
          <w:bCs/>
          <w:color w:val="auto"/>
          <w:sz w:val="32"/>
          <w:szCs w:val="32"/>
          <w:highlight w:val="none"/>
        </w:rPr>
      </w:pPr>
    </w:p>
    <w:p>
      <w:pPr>
        <w:snapToGrid w:val="0"/>
        <w:spacing w:before="50" w:after="50"/>
        <w:ind w:firstLine="1280" w:firstLineChars="400"/>
        <w:rPr>
          <w:rFonts w:ascii="宋体" w:hAnsi="宋体" w:eastAsia="宋体" w:cs="仿宋_GB2312"/>
          <w:bCs/>
          <w:color w:val="auto"/>
          <w:sz w:val="32"/>
          <w:szCs w:val="32"/>
          <w:highlight w:val="none"/>
        </w:rPr>
      </w:pPr>
    </w:p>
    <w:p>
      <w:pPr>
        <w:snapToGrid w:val="0"/>
        <w:spacing w:before="165"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pPr>
        <w:snapToGrid w:val="0"/>
        <w:spacing w:before="165" w:beforeLines="50" w:after="50" w:line="360" w:lineRule="auto"/>
        <w:jc w:val="left"/>
        <w:rPr>
          <w:rFonts w:ascii="宋体" w:hAnsi="宋体" w:eastAsia="宋体" w:cs="宋体"/>
          <w:color w:val="auto"/>
          <w:sz w:val="28"/>
          <w:szCs w:val="28"/>
          <w:highlight w:val="none"/>
        </w:rPr>
      </w:pPr>
      <w:r>
        <w:rPr>
          <w:rFonts w:ascii="宋体" w:hAnsi="宋体" w:eastAsia="宋体" w:cs="Times New Roman"/>
          <w:color w:val="auto"/>
          <w:sz w:val="24"/>
          <w:szCs w:val="24"/>
          <w:highlight w:val="none"/>
        </w:rPr>
        <w:br w:type="page"/>
      </w:r>
      <w:r>
        <w:rPr>
          <w:rFonts w:hint="eastAsia" w:ascii="宋体" w:hAnsi="宋体" w:eastAsia="宋体" w:cs="宋体"/>
          <w:b/>
          <w:color w:val="auto"/>
          <w:sz w:val="28"/>
          <w:szCs w:val="28"/>
          <w:highlight w:val="none"/>
        </w:rPr>
        <w:t>2.</w:t>
      </w:r>
      <w:r>
        <w:rPr>
          <w:rFonts w:hint="eastAsia" w:ascii="宋体" w:hAnsi="宋体" w:eastAsia="宋体" w:cs="宋体"/>
          <w:b/>
          <w:bCs/>
          <w:color w:val="auto"/>
          <w:sz w:val="28"/>
          <w:szCs w:val="28"/>
          <w:highlight w:val="none"/>
        </w:rPr>
        <w:t>报价文件目录</w:t>
      </w:r>
    </w:p>
    <w:p>
      <w:pPr>
        <w:snapToGrid w:val="0"/>
        <w:spacing w:before="50" w:after="165" w:afterLines="50" w:line="360" w:lineRule="auto"/>
        <w:jc w:val="left"/>
        <w:rPr>
          <w:rFonts w:ascii="宋体" w:hAnsi="宋体" w:eastAsia="宋体" w:cs="宋体"/>
          <w:b/>
          <w:color w:val="auto"/>
          <w:sz w:val="28"/>
          <w:szCs w:val="28"/>
          <w:highlight w:val="none"/>
        </w:rPr>
      </w:pPr>
      <w:r>
        <w:rPr>
          <w:rFonts w:hint="eastAsia" w:ascii="宋体" w:hAnsi="宋体" w:eastAsia="宋体" w:cs="宋体"/>
          <w:color w:val="auto"/>
          <w:sz w:val="28"/>
          <w:szCs w:val="28"/>
          <w:highlight w:val="none"/>
        </w:rPr>
        <w:t>根据竞争性谈判文件规定及供应商提供的材料自行编写目录</w:t>
      </w:r>
      <w:r>
        <w:rPr>
          <w:rFonts w:hint="eastAsia" w:ascii="宋体" w:hAnsi="宋体" w:eastAsia="宋体" w:cs="宋体"/>
          <w:color w:val="auto"/>
          <w:kern w:val="0"/>
          <w:sz w:val="28"/>
          <w:szCs w:val="28"/>
          <w:highlight w:val="none"/>
        </w:rPr>
        <w:t>（部分格式后附）</w:t>
      </w:r>
      <w:r>
        <w:rPr>
          <w:rFonts w:hint="eastAsia" w:ascii="宋体" w:hAnsi="宋体" w:eastAsia="宋体" w:cs="宋体"/>
          <w:color w:val="auto"/>
          <w:sz w:val="28"/>
          <w:szCs w:val="28"/>
          <w:highlight w:val="none"/>
        </w:rPr>
        <w:t>。</w:t>
      </w:r>
    </w:p>
    <w:p>
      <w:pPr>
        <w:spacing w:line="360" w:lineRule="auto"/>
        <w:rPr>
          <w:rFonts w:ascii="仿宋_GB2312" w:hAnsi="仿宋" w:eastAsia="仿宋_GB2312" w:cs="仿宋_GB2312"/>
          <w:b/>
          <w:bCs/>
          <w:i/>
          <w:iCs/>
          <w:color w:val="auto"/>
          <w:sz w:val="24"/>
          <w:szCs w:val="24"/>
          <w:highlight w:val="none"/>
        </w:rPr>
      </w:pPr>
    </w:p>
    <w:p>
      <w:pPr>
        <w:snapToGrid w:val="0"/>
        <w:spacing w:before="165" w:beforeLines="50" w:after="50" w:line="360" w:lineRule="auto"/>
        <w:ind w:left="142" w:firstLine="640" w:firstLineChars="200"/>
        <w:jc w:val="left"/>
        <w:rPr>
          <w:rFonts w:ascii="仿宋_GB2312" w:hAnsi="仿宋_GB2312" w:eastAsia="仿宋_GB2312" w:cs="仿宋_GB2312"/>
          <w:color w:val="auto"/>
          <w:sz w:val="32"/>
          <w:szCs w:val="32"/>
          <w:highlight w:val="none"/>
        </w:rPr>
      </w:pPr>
    </w:p>
    <w:p>
      <w:pPr>
        <w:spacing w:line="500" w:lineRule="exact"/>
        <w:rPr>
          <w:rFonts w:ascii="宋体" w:hAnsi="宋体" w:eastAsia="宋体" w:cs="仿宋_GB2312"/>
          <w:color w:val="auto"/>
          <w:kern w:val="0"/>
          <w:sz w:val="24"/>
          <w:szCs w:val="21"/>
          <w:highlight w:val="none"/>
          <w:lang w:val="zh-CN"/>
        </w:rPr>
      </w:pPr>
      <w:r>
        <w:rPr>
          <w:rFonts w:ascii="宋体" w:hAnsi="宋体" w:eastAsia="宋体" w:cs="仿宋_GB2312"/>
          <w:color w:val="auto"/>
          <w:kern w:val="0"/>
          <w:sz w:val="24"/>
          <w:szCs w:val="21"/>
          <w:highlight w:val="none"/>
          <w:lang w:val="zh-CN"/>
        </w:rPr>
        <w:br w:type="page"/>
      </w:r>
      <w:r>
        <w:rPr>
          <w:rFonts w:hint="eastAsia" w:ascii="宋体" w:hAnsi="宋体" w:eastAsia="宋体" w:cs="宋体"/>
          <w:b/>
          <w:color w:val="auto"/>
          <w:sz w:val="28"/>
          <w:szCs w:val="28"/>
          <w:highlight w:val="none"/>
        </w:rPr>
        <w:t>3.</w:t>
      </w:r>
      <w:r>
        <w:rPr>
          <w:rFonts w:hint="eastAsia" w:ascii="宋体" w:hAnsi="宋体" w:eastAsia="宋体" w:cs="宋体"/>
          <w:b/>
          <w:color w:val="auto"/>
          <w:sz w:val="28"/>
          <w:szCs w:val="28"/>
          <w:highlight w:val="none"/>
          <w:lang w:val="zh-CN"/>
        </w:rPr>
        <w:t>响应函的格式：</w:t>
      </w:r>
    </w:p>
    <w:p>
      <w:pPr>
        <w:spacing w:line="500" w:lineRule="exact"/>
        <w:jc w:val="center"/>
        <w:rPr>
          <w:rFonts w:ascii="Times New Roman" w:hAnsi="Times New Roman" w:eastAsia="宋体" w:cs="Times New Roman"/>
          <w:b/>
          <w:bCs/>
          <w:color w:val="auto"/>
          <w:kern w:val="0"/>
          <w:sz w:val="30"/>
          <w:szCs w:val="30"/>
          <w:highlight w:val="none"/>
          <w:lang w:val="zh-CN"/>
        </w:rPr>
      </w:pPr>
      <w:r>
        <w:rPr>
          <w:rFonts w:hint="eastAsia" w:ascii="Times New Roman" w:hAnsi="Times New Roman" w:eastAsia="宋体" w:cs="Times New Roman"/>
          <w:b/>
          <w:bCs/>
          <w:color w:val="auto"/>
          <w:kern w:val="0"/>
          <w:sz w:val="30"/>
          <w:szCs w:val="30"/>
          <w:highlight w:val="none"/>
          <w:lang w:val="zh-CN"/>
        </w:rPr>
        <w:t>响应函</w:t>
      </w:r>
    </w:p>
    <w:p>
      <w:pPr>
        <w:spacing w:line="360" w:lineRule="auto"/>
        <w:rPr>
          <w:rFonts w:ascii="Times New Roman" w:hAnsi="Times New Roman" w:eastAsia="宋体" w:cs="Times New Roman"/>
          <w:color w:val="auto"/>
          <w:kern w:val="0"/>
          <w:sz w:val="20"/>
          <w:szCs w:val="21"/>
          <w:highlight w:val="none"/>
          <w:lang w:val="zh-CN"/>
        </w:rPr>
      </w:pPr>
    </w:p>
    <w:p>
      <w:pPr>
        <w:spacing w:line="360" w:lineRule="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致：</w:t>
      </w:r>
      <w:r>
        <w:rPr>
          <w:rFonts w:hint="eastAsia" w:ascii="宋体" w:hAnsi="宋体" w:eastAsia="宋体" w:cs="宋体"/>
          <w:color w:val="auto"/>
          <w:kern w:val="0"/>
          <w:sz w:val="24"/>
          <w:szCs w:val="24"/>
          <w:highlight w:val="none"/>
          <w:u w:val="single"/>
          <w:lang w:val="zh-CN"/>
        </w:rPr>
        <w:t xml:space="preserve"> </w:t>
      </w:r>
      <w:bookmarkStart w:id="160" w:name="PO_3000001871_PM031_6"/>
      <w:r>
        <w:rPr>
          <w:rFonts w:hint="eastAsia" w:ascii="宋体" w:hAnsi="宋体" w:eastAsia="宋体" w:cs="宋体"/>
          <w:color w:val="auto"/>
          <w:kern w:val="0"/>
          <w:sz w:val="24"/>
          <w:szCs w:val="24"/>
          <w:highlight w:val="none"/>
          <w:u w:val="single"/>
        </w:rPr>
        <w:t>广西科联招标中心有限公司</w:t>
      </w:r>
      <w:bookmarkEnd w:id="160"/>
      <w:r>
        <w:rPr>
          <w:rFonts w:hint="eastAsia" w:ascii="宋体" w:hAnsi="宋体" w:eastAsia="宋体" w:cs="宋体"/>
          <w:color w:val="auto"/>
          <w:kern w:val="0"/>
          <w:sz w:val="24"/>
          <w:szCs w:val="24"/>
          <w:highlight w:val="none"/>
          <w:u w:val="single"/>
        </w:rPr>
        <w:t xml:space="preserve">         </w:t>
      </w:r>
    </w:p>
    <w:p>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我方已仔细阅读了贵方组织的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lang w:val="zh-CN"/>
        </w:rPr>
        <w:t>项目（项目编号：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 xml:space="preserve">）的竞争性谈判文件的全部内容，现正式递交下述文件参加贵方组织的本次政府采购活动： </w:t>
      </w:r>
    </w:p>
    <w:p>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一、首次报价文件电子版（包含按“第三章 供应商须知”提交的全部文件）；</w:t>
      </w:r>
    </w:p>
    <w:p>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二、技术文件电子版（包含按“第三章 供应商须知”提交的全部文件）；商务文件电子版（包含按“第三章 供应商须知”提交的全部文件）；</w:t>
      </w:r>
    </w:p>
    <w:p>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三、资格证明文件电子版（包含按“第三章供应商须知”提交的全部文件）。</w:t>
      </w:r>
    </w:p>
    <w:p>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据此函，</w:t>
      </w:r>
      <w:r>
        <w:rPr>
          <w:rFonts w:hint="eastAsia" w:ascii="宋体" w:hAnsi="宋体" w:eastAsia="宋体" w:cs="宋体"/>
          <w:color w:val="auto"/>
          <w:kern w:val="0"/>
          <w:sz w:val="24"/>
          <w:szCs w:val="24"/>
          <w:highlight w:val="none"/>
        </w:rPr>
        <w:t>我方</w:t>
      </w:r>
      <w:r>
        <w:rPr>
          <w:rFonts w:hint="eastAsia" w:ascii="宋体" w:hAnsi="宋体" w:eastAsia="宋体" w:cs="宋体"/>
          <w:color w:val="auto"/>
          <w:kern w:val="0"/>
          <w:sz w:val="24"/>
          <w:szCs w:val="24"/>
          <w:highlight w:val="none"/>
          <w:lang w:val="zh-CN"/>
        </w:rPr>
        <w:t>兹宣布：</w:t>
      </w:r>
    </w:p>
    <w:p>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我方愿意以</w:t>
      </w:r>
      <w:r>
        <w:rPr>
          <w:rFonts w:hint="eastAsia" w:ascii="宋体" w:hAnsi="宋体" w:eastAsia="宋体" w:cs="宋体"/>
          <w:color w:val="auto"/>
          <w:kern w:val="0"/>
          <w:sz w:val="24"/>
          <w:szCs w:val="24"/>
          <w:highlight w:val="none"/>
        </w:rPr>
        <w:t>谈判时</w:t>
      </w:r>
      <w:r>
        <w:rPr>
          <w:rFonts w:hint="eastAsia" w:ascii="宋体" w:hAnsi="宋体" w:eastAsia="宋体" w:cs="宋体"/>
          <w:color w:val="auto"/>
          <w:sz w:val="24"/>
          <w:szCs w:val="24"/>
          <w:highlight w:val="none"/>
        </w:rPr>
        <w:t>提交的最后报价表中的竞标总报价</w:t>
      </w:r>
      <w:r>
        <w:rPr>
          <w:rFonts w:hint="eastAsia" w:ascii="宋体" w:hAnsi="宋体" w:eastAsia="宋体" w:cs="宋体"/>
          <w:color w:val="auto"/>
          <w:kern w:val="0"/>
          <w:sz w:val="24"/>
          <w:szCs w:val="24"/>
          <w:highlight w:val="none"/>
          <w:lang w:val="zh-CN"/>
        </w:rPr>
        <w:t>，在承诺的交付时间内提供本项目竞争性谈判文件“第二章</w:t>
      </w:r>
      <w:r>
        <w:rPr>
          <w:rFonts w:hint="eastAsia" w:ascii="宋体" w:hAnsi="宋体" w:eastAsia="宋体" w:cs="宋体"/>
          <w:color w:val="auto"/>
          <w:kern w:val="0"/>
          <w:sz w:val="24"/>
          <w:szCs w:val="24"/>
          <w:highlight w:val="none"/>
        </w:rPr>
        <w:t xml:space="preserve">  采购需求</w:t>
      </w:r>
      <w:r>
        <w:rPr>
          <w:rFonts w:hint="eastAsia" w:ascii="宋体" w:hAnsi="宋体" w:eastAsia="宋体" w:cs="宋体"/>
          <w:color w:val="auto"/>
          <w:kern w:val="0"/>
          <w:sz w:val="24"/>
          <w:szCs w:val="24"/>
          <w:highlight w:val="none"/>
          <w:lang w:val="zh-CN"/>
        </w:rPr>
        <w:t>”的“需求一览表”中相应的采购内容</w:t>
      </w:r>
      <w:r>
        <w:rPr>
          <w:rFonts w:hint="eastAsia" w:ascii="宋体" w:hAnsi="宋体" w:eastAsia="宋体" w:cs="宋体"/>
          <w:color w:val="auto"/>
          <w:sz w:val="24"/>
          <w:szCs w:val="24"/>
          <w:highlight w:val="none"/>
        </w:rPr>
        <w:t>，具体详见最后报价表</w:t>
      </w:r>
      <w:r>
        <w:rPr>
          <w:rFonts w:hint="eastAsia" w:ascii="宋体" w:hAnsi="宋体" w:eastAsia="宋体" w:cs="宋体"/>
          <w:color w:val="auto"/>
          <w:kern w:val="0"/>
          <w:sz w:val="24"/>
          <w:szCs w:val="24"/>
          <w:highlight w:val="none"/>
          <w:lang w:val="zh-CN"/>
        </w:rPr>
        <w:t>。</w:t>
      </w:r>
    </w:p>
    <w:p>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我方同意自本项目竞争性谈判文件采购公告规定的提交响应文件截止时间起遵循本响应函，并承诺在“第三章 供应商须知”规定的</w:t>
      </w:r>
      <w:r>
        <w:rPr>
          <w:rFonts w:hint="eastAsia" w:ascii="宋体" w:hAnsi="宋体" w:eastAsia="宋体" w:cs="宋体"/>
          <w:color w:val="auto"/>
          <w:kern w:val="0"/>
          <w:sz w:val="24"/>
          <w:szCs w:val="24"/>
          <w:highlight w:val="none"/>
        </w:rPr>
        <w:t>竞标</w:t>
      </w:r>
      <w:r>
        <w:rPr>
          <w:rFonts w:hint="eastAsia" w:ascii="宋体" w:hAnsi="宋体" w:eastAsia="宋体" w:cs="宋体"/>
          <w:color w:val="auto"/>
          <w:kern w:val="0"/>
          <w:sz w:val="24"/>
          <w:szCs w:val="24"/>
          <w:highlight w:val="none"/>
          <w:lang w:val="zh-CN"/>
        </w:rPr>
        <w:t>有效期内不修改、撤销响应文件。</w:t>
      </w:r>
    </w:p>
    <w:p>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3</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我方在此声明，所递交的响应文件及有关资料内容完整、真实和准确。</w:t>
      </w:r>
    </w:p>
    <w:p>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如本项目采购内容涉及须符合国家强制规定的，我方承诺我方本次竞标均符合国家有关强制规定。</w:t>
      </w:r>
    </w:p>
    <w:p>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5</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如我方成交，我方承诺在收到成交通知书后，在成交通知书规定的期限内，根据竞争性谈判文件、我方的响应文件及有关澄清承诺书的要求按第六章“合同文本”与采购人订立书面合同，并按照合同约定承担完成合同的责任和义务。</w:t>
      </w:r>
    </w:p>
    <w:p>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6</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我方已详细审核竞争性谈判文件，我方知道必须放弃提出含糊不清或误解问题的权利。</w:t>
      </w:r>
    </w:p>
    <w:p>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7</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我方承诺满足竞争性谈判文件第六章“合同文本”的条款，承担完成合同的责任和义务。</w:t>
      </w:r>
    </w:p>
    <w:p>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8</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我方同意应贵方要求提供与本竞标有关的任何数据或资料。若贵方需要，我方愿意提供我方作出的一切承诺的证明材料。</w:t>
      </w:r>
    </w:p>
    <w:p>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9</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我方完全理解贵方不一定接受响应报价最低的供应商为成交供应商的行为。</w:t>
      </w:r>
    </w:p>
    <w:p>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10</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numPr>
          <w:ilvl w:val="0"/>
          <w:numId w:val="1"/>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提供虚假材料谋取中标、成交的；</w:t>
      </w:r>
    </w:p>
    <w:p>
      <w:pPr>
        <w:numPr>
          <w:ilvl w:val="0"/>
          <w:numId w:val="1"/>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采取不正当手段诋毁、排挤其他供应商的；</w:t>
      </w:r>
    </w:p>
    <w:p>
      <w:pPr>
        <w:numPr>
          <w:ilvl w:val="0"/>
          <w:numId w:val="1"/>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与采购人、其他供应商或者采购代理机构恶意串通的；</w:t>
      </w:r>
    </w:p>
    <w:p>
      <w:pPr>
        <w:numPr>
          <w:ilvl w:val="0"/>
          <w:numId w:val="1"/>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向采购人、采购代理机构行贿或者提供其他不正当利益的；</w:t>
      </w:r>
    </w:p>
    <w:p>
      <w:pPr>
        <w:numPr>
          <w:ilvl w:val="0"/>
          <w:numId w:val="1"/>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在采购过程中与采购人进行协商谈判的；</w:t>
      </w:r>
    </w:p>
    <w:p>
      <w:pPr>
        <w:numPr>
          <w:ilvl w:val="0"/>
          <w:numId w:val="1"/>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拒绝有关部门监督检查或提供虚假情况的。</w:t>
      </w:r>
    </w:p>
    <w:p>
      <w:pPr>
        <w:spacing w:line="360" w:lineRule="auto"/>
        <w:ind w:firstLine="42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r>
        <w:rPr>
          <w:rFonts w:hint="eastAsia" w:eastAsia="宋体" w:cs="Times New Roman"/>
          <w:color w:val="auto"/>
          <w:sz w:val="24"/>
          <w:szCs w:val="24"/>
          <w:highlight w:val="none"/>
        </w:rPr>
        <w:t>以上事项如有虚假或</w:t>
      </w:r>
      <w:r>
        <w:rPr>
          <w:rFonts w:hint="eastAsia" w:cs="Times New Roman"/>
          <w:color w:val="auto"/>
          <w:sz w:val="24"/>
          <w:szCs w:val="24"/>
          <w:highlight w:val="none"/>
        </w:rPr>
        <w:t>者</w:t>
      </w:r>
      <w:r>
        <w:rPr>
          <w:rFonts w:hint="eastAsia" w:eastAsia="宋体" w:cs="Times New Roman"/>
          <w:color w:val="auto"/>
          <w:sz w:val="24"/>
          <w:szCs w:val="24"/>
          <w:highlight w:val="none"/>
        </w:rPr>
        <w:t>隐瞒，我方愿意承担一切后果，并不再寻求任何旨在减轻或</w:t>
      </w:r>
      <w:r>
        <w:rPr>
          <w:rFonts w:hint="eastAsia" w:cs="Times New Roman"/>
          <w:color w:val="auto"/>
          <w:sz w:val="24"/>
          <w:szCs w:val="24"/>
          <w:highlight w:val="none"/>
        </w:rPr>
        <w:t>者</w:t>
      </w:r>
      <w:r>
        <w:rPr>
          <w:rFonts w:hint="eastAsia" w:eastAsia="宋体" w:cs="Times New Roman"/>
          <w:color w:val="auto"/>
          <w:sz w:val="24"/>
          <w:szCs w:val="24"/>
          <w:highlight w:val="none"/>
        </w:rPr>
        <w:t>免除法律责任的辩解。</w:t>
      </w:r>
    </w:p>
    <w:p>
      <w:pPr>
        <w:spacing w:line="360" w:lineRule="auto"/>
        <w:ind w:firstLine="42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w:t>
      </w: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zh-CN"/>
        </w:rPr>
        <w:t>与本谈判有关的一切正式往来信函请寄：</w:t>
      </w:r>
    </w:p>
    <w:p>
      <w:pPr>
        <w:spacing w:line="360" w:lineRule="auto"/>
        <w:ind w:firstLine="42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地址：</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lang w:val="zh-CN"/>
        </w:rPr>
        <w:t xml:space="preserve"> </w:t>
      </w:r>
    </w:p>
    <w:p>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电话：</w:t>
      </w:r>
      <w:r>
        <w:rPr>
          <w:rFonts w:hint="eastAsia" w:ascii="宋体" w:hAnsi="宋体" w:eastAsia="宋体" w:cs="宋体"/>
          <w:color w:val="auto"/>
          <w:kern w:val="0"/>
          <w:sz w:val="24"/>
          <w:szCs w:val="24"/>
          <w:highlight w:val="none"/>
          <w:u w:val="single"/>
          <w:lang w:val="zh-CN"/>
        </w:rPr>
        <w:t xml:space="preserve">                                      　　　　　　　　　</w:t>
      </w:r>
    </w:p>
    <w:p>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传真：</w:t>
      </w:r>
      <w:r>
        <w:rPr>
          <w:rFonts w:hint="eastAsia" w:ascii="宋体" w:hAnsi="宋体" w:eastAsia="宋体" w:cs="宋体"/>
          <w:color w:val="auto"/>
          <w:kern w:val="0"/>
          <w:sz w:val="24"/>
          <w:szCs w:val="24"/>
          <w:highlight w:val="none"/>
          <w:u w:val="single"/>
          <w:lang w:val="zh-CN"/>
        </w:rPr>
        <w:t>　　　　　　　　　　　　　　　　　　　　　　　　　　　　</w:t>
      </w:r>
    </w:p>
    <w:p>
      <w:pPr>
        <w:spacing w:line="360" w:lineRule="auto"/>
        <w:ind w:firstLine="420"/>
        <w:rPr>
          <w:rFonts w:ascii="宋体" w:hAnsi="宋体" w:eastAsia="宋体" w:cs="宋体"/>
          <w:color w:val="auto"/>
          <w:sz w:val="24"/>
          <w:szCs w:val="24"/>
          <w:highlight w:val="none"/>
          <w:lang w:val="zh-CN"/>
        </w:rPr>
      </w:pPr>
      <w:r>
        <w:rPr>
          <w:rFonts w:hint="eastAsia" w:ascii="宋体" w:hAnsi="宋体" w:eastAsia="宋体" w:cs="宋体"/>
          <w:color w:val="auto"/>
          <w:kern w:val="0"/>
          <w:sz w:val="24"/>
          <w:szCs w:val="24"/>
          <w:highlight w:val="none"/>
          <w:lang w:val="zh-CN"/>
        </w:rPr>
        <w:t>电子邮箱</w:t>
      </w:r>
      <w:r>
        <w:rPr>
          <w:rFonts w:hint="eastAsia" w:ascii="宋体" w:hAnsi="宋体" w:eastAsia="宋体" w:cs="宋体"/>
          <w:color w:val="auto"/>
          <w:sz w:val="24"/>
          <w:szCs w:val="24"/>
          <w:highlight w:val="none"/>
          <w:lang w:val="zh-CN"/>
        </w:rPr>
        <w:t>：</w:t>
      </w:r>
      <w:r>
        <w:rPr>
          <w:rFonts w:hint="eastAsia" w:ascii="宋体" w:hAnsi="宋体" w:eastAsia="宋体" w:cs="宋体"/>
          <w:color w:val="auto"/>
          <w:kern w:val="0"/>
          <w:sz w:val="24"/>
          <w:szCs w:val="24"/>
          <w:highlight w:val="none"/>
          <w:u w:val="single"/>
          <w:lang w:val="zh-CN"/>
        </w:rPr>
        <w:t>　　　　　　　　　　　　　　　　　　　　　　　　　　</w:t>
      </w:r>
    </w:p>
    <w:p>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邮政编码：</w:t>
      </w:r>
      <w:r>
        <w:rPr>
          <w:rFonts w:hint="eastAsia" w:ascii="宋体" w:hAnsi="宋体" w:eastAsia="宋体" w:cs="宋体"/>
          <w:color w:val="auto"/>
          <w:kern w:val="0"/>
          <w:sz w:val="24"/>
          <w:szCs w:val="24"/>
          <w:highlight w:val="none"/>
          <w:u w:val="single"/>
          <w:lang w:val="zh-CN"/>
        </w:rPr>
        <w:t xml:space="preserve">                                                    </w:t>
      </w:r>
    </w:p>
    <w:p>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开户名称：</w:t>
      </w:r>
      <w:r>
        <w:rPr>
          <w:rFonts w:hint="eastAsia" w:ascii="宋体" w:hAnsi="宋体" w:eastAsia="宋体" w:cs="宋体"/>
          <w:color w:val="auto"/>
          <w:kern w:val="0"/>
          <w:sz w:val="24"/>
          <w:szCs w:val="24"/>
          <w:highlight w:val="none"/>
          <w:u w:val="single"/>
          <w:lang w:val="zh-CN"/>
        </w:rPr>
        <w:t xml:space="preserve">                                                    </w:t>
      </w:r>
    </w:p>
    <w:p>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开户银行：</w:t>
      </w:r>
      <w:r>
        <w:rPr>
          <w:rFonts w:hint="eastAsia" w:ascii="宋体" w:hAnsi="宋体" w:eastAsia="宋体" w:cs="宋体"/>
          <w:color w:val="auto"/>
          <w:kern w:val="0"/>
          <w:sz w:val="24"/>
          <w:szCs w:val="24"/>
          <w:highlight w:val="none"/>
          <w:u w:val="single"/>
          <w:lang w:val="zh-CN"/>
        </w:rPr>
        <w:t xml:space="preserve">                                                    </w:t>
      </w:r>
    </w:p>
    <w:p>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银行账号：</w:t>
      </w:r>
      <w:r>
        <w:rPr>
          <w:rFonts w:hint="eastAsia" w:ascii="宋体" w:hAnsi="宋体" w:eastAsia="宋体" w:cs="宋体"/>
          <w:color w:val="auto"/>
          <w:kern w:val="0"/>
          <w:sz w:val="24"/>
          <w:szCs w:val="24"/>
          <w:highlight w:val="none"/>
          <w:u w:val="single"/>
          <w:lang w:val="zh-CN"/>
        </w:rPr>
        <w:t xml:space="preserve">                                                    </w:t>
      </w:r>
    </w:p>
    <w:p>
      <w:pPr>
        <w:tabs>
          <w:tab w:val="left" w:pos="939"/>
        </w:tabs>
        <w:spacing w:line="360" w:lineRule="auto"/>
        <w:ind w:left="141" w:leftChars="67" w:firstLine="360" w:firstLineChars="150"/>
        <w:contextualSpacing/>
        <w:rPr>
          <w:rFonts w:ascii="宋体" w:hAnsi="宋体" w:eastAsia="宋体" w:cs="宋体"/>
          <w:color w:val="auto"/>
          <w:szCs w:val="21"/>
          <w:highlight w:val="none"/>
        </w:rPr>
      </w:pPr>
      <w:r>
        <w:rPr>
          <w:rFonts w:hint="eastAsia" w:ascii="宋体" w:hAnsi="宋体" w:eastAsia="宋体" w:cs="宋体"/>
          <w:color w:val="auto"/>
          <w:sz w:val="24"/>
          <w:szCs w:val="24"/>
          <w:highlight w:val="none"/>
        </w:rPr>
        <w:t>特此承诺。</w:t>
      </w: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p>
    <w:p>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ind w:firstLine="6000" w:firstLineChars="2500"/>
        <w:rPr>
          <w:rFonts w:ascii="宋体" w:hAnsi="宋体" w:eastAsia="宋体" w:cs="宋体"/>
          <w:color w:val="auto"/>
          <w:kern w:val="0"/>
          <w:sz w:val="24"/>
          <w:szCs w:val="24"/>
          <w:highlight w:val="none"/>
          <w:lang w:val="zh-CN"/>
        </w:rPr>
        <w:sectPr>
          <w:pgSz w:w="11906" w:h="16838"/>
          <w:pgMar w:top="1134" w:right="1134" w:bottom="1134" w:left="1134" w:header="720" w:footer="720" w:gutter="0"/>
          <w:cols w:space="720" w:num="1"/>
          <w:docGrid w:type="lines" w:linePitch="331" w:charSpace="0"/>
        </w:sectPr>
      </w:pPr>
      <w:r>
        <w:rPr>
          <w:rFonts w:hint="eastAsia" w:ascii="宋体" w:hAnsi="宋体" w:eastAsia="宋体" w:cs="宋体"/>
          <w:color w:val="auto"/>
          <w:kern w:val="0"/>
          <w:sz w:val="24"/>
          <w:szCs w:val="24"/>
          <w:highlight w:val="none"/>
          <w:lang w:val="zh-CN"/>
        </w:rPr>
        <w:t>日期：  年  月   日</w:t>
      </w:r>
    </w:p>
    <w:p>
      <w:pPr>
        <w:spacing w:line="500" w:lineRule="exact"/>
        <w:rPr>
          <w:rFonts w:ascii="仿宋" w:hAnsi="仿宋" w:eastAsia="仿宋" w:cs="仿宋_GB2312"/>
          <w:b/>
          <w:color w:val="auto"/>
          <w:sz w:val="30"/>
          <w:szCs w:val="30"/>
          <w:highlight w:val="none"/>
          <w:lang w:val="zh-CN"/>
        </w:rPr>
      </w:pPr>
      <w:r>
        <w:rPr>
          <w:rFonts w:hint="eastAsia" w:ascii="宋体" w:hAnsi="宋体" w:eastAsia="宋体" w:cs="宋体"/>
          <w:b/>
          <w:color w:val="auto"/>
          <w:sz w:val="28"/>
          <w:szCs w:val="28"/>
          <w:highlight w:val="none"/>
        </w:rPr>
        <w:t>4.</w:t>
      </w:r>
      <w:r>
        <w:rPr>
          <w:rFonts w:hint="eastAsia" w:ascii="宋体" w:hAnsi="宋体" w:eastAsia="宋体" w:cs="宋体"/>
          <w:b/>
          <w:color w:val="auto"/>
          <w:sz w:val="28"/>
          <w:szCs w:val="28"/>
          <w:highlight w:val="none"/>
          <w:lang w:val="zh-CN"/>
        </w:rPr>
        <w:t>响应报价表的格式：</w:t>
      </w:r>
      <w:r>
        <w:rPr>
          <w:rFonts w:hint="eastAsia" w:ascii="仿宋" w:hAnsi="仿宋" w:eastAsia="仿宋" w:cs="仿宋_GB2312"/>
          <w:b/>
          <w:color w:val="auto"/>
          <w:sz w:val="30"/>
          <w:szCs w:val="30"/>
          <w:highlight w:val="none"/>
          <w:lang w:val="zh-CN"/>
        </w:rPr>
        <w:t xml:space="preserve"> </w:t>
      </w:r>
    </w:p>
    <w:p>
      <w:pPr>
        <w:snapToGrid w:val="0"/>
        <w:spacing w:before="50" w:after="50" w:line="360" w:lineRule="auto"/>
        <w:ind w:firstLine="4518" w:firstLineChars="1500"/>
        <w:rPr>
          <w:rFonts w:ascii="宋体" w:hAnsi="宋体" w:eastAsia="宋体" w:cs="宋体"/>
          <w:color w:val="auto"/>
          <w:sz w:val="24"/>
          <w:szCs w:val="24"/>
          <w:highlight w:val="none"/>
        </w:rPr>
      </w:pPr>
      <w:r>
        <w:rPr>
          <w:rFonts w:hint="eastAsia" w:ascii="宋体" w:hAnsi="宋体" w:eastAsia="宋体" w:cs="宋体"/>
          <w:b/>
          <w:color w:val="auto"/>
          <w:sz w:val="30"/>
          <w:szCs w:val="30"/>
          <w:highlight w:val="none"/>
          <w:lang w:val="zh-CN"/>
        </w:rPr>
        <w:t>响应报价表</w:t>
      </w:r>
    </w:p>
    <w:p>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30"/>
        <w:tblW w:w="9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251"/>
        <w:gridCol w:w="1128"/>
        <w:gridCol w:w="918"/>
        <w:gridCol w:w="1332"/>
        <w:gridCol w:w="1707"/>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标的名称</w:t>
            </w:r>
          </w:p>
        </w:tc>
        <w:tc>
          <w:tcPr>
            <w:tcW w:w="12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规格型号（如为开发定制产品可以填写“定制”）</w:t>
            </w:r>
          </w:p>
        </w:tc>
        <w:tc>
          <w:tcPr>
            <w:tcW w:w="1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品牌（如有）</w:t>
            </w:r>
          </w:p>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及制造商</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数量及单位①</w:t>
            </w:r>
          </w:p>
        </w:tc>
        <w:tc>
          <w:tcPr>
            <w:tcW w:w="13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单价(元)②</w:t>
            </w: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单项合价（元）</w:t>
            </w:r>
          </w:p>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③＝①×②</w:t>
            </w: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118"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118"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118"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433" w:type="dxa"/>
            <w:gridSpan w:val="8"/>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竞标总报价（包含税费等所有费用）：</w:t>
            </w:r>
            <w:r>
              <w:rPr>
                <w:rFonts w:hint="eastAsia" w:ascii="宋体" w:hAnsi="宋体" w:eastAsia="宋体" w:cs="宋体"/>
                <w:color w:val="auto"/>
                <w:sz w:val="24"/>
                <w:szCs w:val="24"/>
                <w:highlight w:val="none"/>
                <w:u w:val="single"/>
              </w:rPr>
              <w:t xml:space="preserve">（大写）人民币                  （小写）¥           </w:t>
            </w:r>
            <w:r>
              <w:rPr>
                <w:rFonts w:hint="eastAsia" w:ascii="宋体" w:hAnsi="宋体" w:eastAsia="宋体" w:cs="宋体"/>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433" w:type="dxa"/>
            <w:gridSpan w:val="8"/>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交付时间：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433" w:type="dxa"/>
            <w:gridSpan w:val="8"/>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优惠及其它：</w:t>
            </w:r>
            <w:r>
              <w:rPr>
                <w:rFonts w:hint="eastAsia" w:ascii="宋体" w:hAnsi="宋体" w:eastAsia="宋体" w:cs="宋体"/>
                <w:i/>
                <w:iCs/>
                <w:color w:val="auto"/>
                <w:sz w:val="24"/>
                <w:szCs w:val="24"/>
                <w:highlight w:val="none"/>
              </w:rPr>
              <w:t>（如没有填写无）</w:t>
            </w:r>
          </w:p>
        </w:tc>
      </w:tr>
    </w:tbl>
    <w:p>
      <w:p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 xml:space="preserve">注： </w:t>
      </w:r>
    </w:p>
    <w:p>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kern w:val="2"/>
          <w:sz w:val="21"/>
          <w:szCs w:val="21"/>
          <w:highlight w:val="none"/>
          <w:lang w:val="en-US" w:eastAsia="zh-CN" w:bidi="ar-SA"/>
        </w:rPr>
        <w:t>1.</w:t>
      </w:r>
      <w:r>
        <w:rPr>
          <w:rFonts w:hint="eastAsia" w:asciiTheme="minorEastAsia" w:hAnsiTheme="minorEastAsia" w:eastAsiaTheme="minorEastAsia" w:cstheme="minorEastAsia"/>
          <w:color w:val="auto"/>
          <w:sz w:val="21"/>
          <w:szCs w:val="21"/>
          <w:highlight w:val="none"/>
        </w:rPr>
        <w:t>供应商需按本表格式填写，不得自行更改，也不得留空（备注除外）, 如有多分标，按分标分别提供响应报价表，</w:t>
      </w:r>
      <w:r>
        <w:rPr>
          <w:rFonts w:hint="eastAsia" w:asciiTheme="minorEastAsia" w:hAnsiTheme="minorEastAsia" w:eastAsiaTheme="minorEastAsia" w:cstheme="minorEastAsia"/>
          <w:b/>
          <w:color w:val="auto"/>
          <w:sz w:val="21"/>
          <w:szCs w:val="21"/>
          <w:highlight w:val="none"/>
        </w:rPr>
        <w:t>否则其响应按无效响应处理</w:t>
      </w:r>
      <w:r>
        <w:rPr>
          <w:rFonts w:hint="eastAsia" w:asciiTheme="minorEastAsia" w:hAnsiTheme="minorEastAsia" w:eastAsiaTheme="minorEastAsia" w:cstheme="minorEastAsia"/>
          <w:bCs/>
          <w:color w:val="auto"/>
          <w:sz w:val="21"/>
          <w:szCs w:val="21"/>
          <w:highlight w:val="none"/>
        </w:rPr>
        <w:t>。</w:t>
      </w:r>
    </w:p>
    <w:p>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rPr>
        <w:t>2.</w:t>
      </w:r>
      <w:r>
        <w:rPr>
          <w:rFonts w:hint="eastAsia" w:asciiTheme="minorEastAsia" w:hAnsiTheme="minorEastAsia" w:eastAsiaTheme="minorEastAsia" w:cstheme="minorEastAsia"/>
          <w:color w:val="auto"/>
          <w:kern w:val="0"/>
          <w:sz w:val="21"/>
          <w:szCs w:val="21"/>
          <w:highlight w:val="none"/>
          <w:lang w:val="zh-CN"/>
        </w:rPr>
        <w:t>如为联合体响应的，“供应商名称”处必须列明联合体各方名称，并标注联合体牵头人名称，且盖章处须加盖联合体各方公章，</w:t>
      </w:r>
      <w:r>
        <w:rPr>
          <w:rFonts w:hint="eastAsia" w:asciiTheme="minorEastAsia" w:hAnsiTheme="minorEastAsia" w:eastAsiaTheme="minorEastAsia" w:cstheme="minorEastAsia"/>
          <w:b/>
          <w:color w:val="auto"/>
          <w:kern w:val="0"/>
          <w:sz w:val="21"/>
          <w:szCs w:val="21"/>
          <w:highlight w:val="none"/>
          <w:lang w:val="zh-CN"/>
        </w:rPr>
        <w:t>否则其响应作无效响应处理。</w:t>
      </w:r>
    </w:p>
    <w:p>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3</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以上表格要求细分项目及报价，在“标的名称”一栏中，填写具体货物，在“规格型号”一栏中，填写具体货物规格型号，如为开发定制产品可以在“规格型号”一栏中填写“定制”，</w:t>
      </w:r>
      <w:r>
        <w:rPr>
          <w:rFonts w:hint="eastAsia" w:asciiTheme="minorEastAsia" w:hAnsiTheme="minorEastAsia" w:eastAsiaTheme="minorEastAsia" w:cstheme="minorEastAsia"/>
          <w:b/>
          <w:color w:val="auto"/>
          <w:kern w:val="0"/>
          <w:sz w:val="21"/>
          <w:szCs w:val="21"/>
          <w:highlight w:val="none"/>
          <w:lang w:val="zh-CN"/>
        </w:rPr>
        <w:t>否则其响应作无效响应处理。</w:t>
      </w:r>
    </w:p>
    <w:p>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4</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特别提示：采购代理机构将对项目名称和项目编号，成交供应商名称、地址和成交金额，主要成交标的的名称、规格型号、数量、单价等予以公示。</w:t>
      </w:r>
    </w:p>
    <w:p>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5</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符合采购文件中列明的可享受中小企业扶持政策的供应商，请填写中小企业声明函。</w:t>
      </w:r>
    </w:p>
    <w:p>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rPr>
        <w:t>6.</w:t>
      </w:r>
      <w:r>
        <w:rPr>
          <w:rFonts w:hint="eastAsia" w:asciiTheme="minorEastAsia" w:hAnsiTheme="minorEastAsia" w:eastAsiaTheme="minorEastAsia" w:cstheme="minorEastAsia"/>
          <w:color w:val="auto"/>
          <w:kern w:val="0"/>
          <w:sz w:val="21"/>
          <w:szCs w:val="21"/>
          <w:highlight w:val="none"/>
          <w:lang w:val="zh-CN"/>
        </w:rPr>
        <w:t>供应商提供的中小企业声明函内容不实的，属于提供虚假材料谋取中标、成交，依照《中华人民共和国政府采购法》等国家有关规定追究相应责任。</w:t>
      </w:r>
    </w:p>
    <w:p>
      <w:pPr>
        <w:autoSpaceDE w:val="0"/>
        <w:autoSpaceDN w:val="0"/>
        <w:spacing w:line="360" w:lineRule="auto"/>
        <w:ind w:left="4305" w:leftChars="1950" w:hanging="210" w:hangingChars="10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供应商名称（盖公章）：</w:t>
      </w:r>
    </w:p>
    <w:p>
      <w:pPr>
        <w:autoSpaceDE w:val="0"/>
        <w:autoSpaceDN w:val="0"/>
        <w:spacing w:line="360" w:lineRule="auto"/>
        <w:ind w:firstLine="5670" w:firstLineChars="2700"/>
        <w:rPr>
          <w:rFonts w:ascii="宋体" w:hAnsi="宋体" w:eastAsia="宋体" w:cs="宋体"/>
          <w:color w:val="auto"/>
          <w:kern w:val="0"/>
          <w:sz w:val="24"/>
          <w:szCs w:val="24"/>
          <w:highlight w:val="none"/>
          <w:lang w:val="zh-CN"/>
        </w:rPr>
      </w:pPr>
      <w:r>
        <w:rPr>
          <w:rFonts w:hint="eastAsia" w:asciiTheme="minorEastAsia" w:hAnsiTheme="minorEastAsia" w:eastAsiaTheme="minorEastAsia" w:cstheme="minorEastAsia"/>
          <w:color w:val="auto"/>
          <w:kern w:val="0"/>
          <w:sz w:val="21"/>
          <w:szCs w:val="21"/>
          <w:highlight w:val="none"/>
          <w:lang w:val="zh-CN"/>
        </w:rPr>
        <w:t>日期：  年  月   日</w:t>
      </w:r>
      <w:r>
        <w:rPr>
          <w:rFonts w:hint="eastAsia" w:ascii="宋体" w:hAnsi="宋体" w:eastAsia="宋体" w:cs="宋体"/>
          <w:color w:val="auto"/>
          <w:kern w:val="0"/>
          <w:sz w:val="24"/>
          <w:szCs w:val="24"/>
          <w:highlight w:val="none"/>
          <w:lang w:val="zh-CN"/>
        </w:rPr>
        <w:br w:type="page"/>
      </w:r>
    </w:p>
    <w:p>
      <w:pPr>
        <w:spacing w:line="500" w:lineRule="exact"/>
        <w:rPr>
          <w:rFonts w:ascii="仿宋" w:hAnsi="仿宋" w:eastAsia="仿宋" w:cs="仿宋_GB2312"/>
          <w:b/>
          <w:color w:val="auto"/>
          <w:sz w:val="30"/>
          <w:szCs w:val="30"/>
          <w:highlight w:val="none"/>
          <w:lang w:val="zh-CN"/>
        </w:rPr>
      </w:pPr>
      <w:r>
        <w:rPr>
          <w:rFonts w:hint="eastAsia" w:ascii="宋体" w:hAnsi="宋体" w:eastAsia="宋体" w:cs="宋体"/>
          <w:b/>
          <w:color w:val="auto"/>
          <w:sz w:val="28"/>
          <w:szCs w:val="28"/>
          <w:highlight w:val="none"/>
        </w:rPr>
        <w:t>5.</w:t>
      </w:r>
      <w:r>
        <w:rPr>
          <w:rFonts w:hint="eastAsia" w:ascii="宋体" w:hAnsi="宋体" w:eastAsia="宋体" w:cs="宋体"/>
          <w:b/>
          <w:color w:val="auto"/>
          <w:sz w:val="28"/>
          <w:szCs w:val="28"/>
          <w:highlight w:val="none"/>
          <w:lang w:val="zh-CN"/>
        </w:rPr>
        <w:t>最后报价表的格式：</w:t>
      </w:r>
      <w:r>
        <w:rPr>
          <w:rFonts w:hint="eastAsia" w:ascii="仿宋" w:hAnsi="仿宋" w:eastAsia="仿宋" w:cs="仿宋_GB2312"/>
          <w:b/>
          <w:color w:val="auto"/>
          <w:sz w:val="30"/>
          <w:szCs w:val="30"/>
          <w:highlight w:val="none"/>
          <w:lang w:val="zh-CN"/>
        </w:rPr>
        <w:t xml:space="preserve"> </w:t>
      </w:r>
    </w:p>
    <w:p>
      <w:pPr>
        <w:snapToGrid w:val="0"/>
        <w:spacing w:before="50" w:after="50" w:line="360" w:lineRule="auto"/>
        <w:ind w:firstLine="4518" w:firstLineChars="1500"/>
        <w:rPr>
          <w:rFonts w:ascii="宋体" w:hAnsi="宋体" w:eastAsia="宋体" w:cs="宋体"/>
          <w:color w:val="auto"/>
          <w:sz w:val="24"/>
          <w:szCs w:val="24"/>
          <w:highlight w:val="none"/>
        </w:rPr>
      </w:pPr>
      <w:r>
        <w:rPr>
          <w:rFonts w:hint="eastAsia" w:ascii="宋体" w:hAnsi="宋体" w:eastAsia="宋体" w:cs="宋体"/>
          <w:b/>
          <w:color w:val="auto"/>
          <w:sz w:val="30"/>
          <w:szCs w:val="30"/>
          <w:highlight w:val="none"/>
          <w:lang w:val="zh-CN"/>
        </w:rPr>
        <w:t>最后报价表</w:t>
      </w:r>
    </w:p>
    <w:p>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pPr>
        <w:snapToGrid w:val="0"/>
        <w:spacing w:before="50" w:after="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30"/>
        <w:tblW w:w="9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251"/>
        <w:gridCol w:w="1128"/>
        <w:gridCol w:w="918"/>
        <w:gridCol w:w="1332"/>
        <w:gridCol w:w="1707"/>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33"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标的名称</w:t>
            </w:r>
          </w:p>
        </w:tc>
        <w:tc>
          <w:tcPr>
            <w:tcW w:w="12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规格型号（如为开发定制产品可以填写“定制”）</w:t>
            </w:r>
          </w:p>
        </w:tc>
        <w:tc>
          <w:tcPr>
            <w:tcW w:w="1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品牌（如有）</w:t>
            </w:r>
          </w:p>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及制造商</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数量及单位①</w:t>
            </w:r>
          </w:p>
        </w:tc>
        <w:tc>
          <w:tcPr>
            <w:tcW w:w="13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单价(元)②</w:t>
            </w: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单项合价（元）</w:t>
            </w:r>
          </w:p>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③＝①×②</w:t>
            </w: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118"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118"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p>
        </w:tc>
        <w:tc>
          <w:tcPr>
            <w:tcW w:w="1118"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433" w:type="dxa"/>
            <w:gridSpan w:val="8"/>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最后</w:t>
            </w:r>
            <w:r>
              <w:rPr>
                <w:rFonts w:hint="eastAsia" w:ascii="宋体" w:hAnsi="宋体" w:eastAsia="宋体" w:cs="宋体"/>
                <w:color w:val="auto"/>
                <w:sz w:val="24"/>
                <w:szCs w:val="24"/>
                <w:highlight w:val="none"/>
              </w:rPr>
              <w:t>总报价（包含税费等所有费用）：</w:t>
            </w:r>
            <w:r>
              <w:rPr>
                <w:rFonts w:hint="eastAsia" w:ascii="宋体" w:hAnsi="宋体" w:eastAsia="宋体" w:cs="宋体"/>
                <w:color w:val="auto"/>
                <w:sz w:val="24"/>
                <w:szCs w:val="24"/>
                <w:highlight w:val="none"/>
                <w:u w:val="single"/>
              </w:rPr>
              <w:t xml:space="preserve">（大写）人民币                  （小写）¥           </w:t>
            </w:r>
            <w:r>
              <w:rPr>
                <w:rFonts w:hint="eastAsia" w:ascii="宋体" w:hAnsi="宋体" w:eastAsia="宋体" w:cs="宋体"/>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433" w:type="dxa"/>
            <w:gridSpan w:val="8"/>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交付时间：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433" w:type="dxa"/>
            <w:gridSpan w:val="8"/>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优惠及其它：</w:t>
            </w:r>
            <w:r>
              <w:rPr>
                <w:rFonts w:hint="eastAsia" w:ascii="宋体" w:hAnsi="宋体" w:eastAsia="宋体" w:cs="宋体"/>
                <w:i/>
                <w:iCs/>
                <w:color w:val="auto"/>
                <w:sz w:val="24"/>
                <w:szCs w:val="24"/>
                <w:highlight w:val="none"/>
              </w:rPr>
              <w:t>（如没有填写无）</w:t>
            </w:r>
          </w:p>
        </w:tc>
      </w:tr>
    </w:tbl>
    <w:p>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p>
    <w:p>
      <w:pPr>
        <w:autoSpaceDE w:val="0"/>
        <w:autoSpaceDN w:val="0"/>
        <w:spacing w:line="360" w:lineRule="auto"/>
        <w:rPr>
          <w:rFonts w:ascii="宋体" w:hAnsi="宋体" w:eastAsia="宋体" w:cs="宋体"/>
          <w:i/>
          <w:iCs/>
          <w:color w:val="auto"/>
          <w:kern w:val="0"/>
          <w:sz w:val="32"/>
          <w:szCs w:val="32"/>
          <w:highlight w:val="none"/>
          <w:lang w:val="zh-CN"/>
        </w:rPr>
      </w:pP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r>
        <w:rPr>
          <w:rFonts w:hint="eastAsia" w:ascii="宋体" w:hAnsi="宋体" w:eastAsia="宋体" w:cs="宋体"/>
          <w:color w:val="auto"/>
          <w:kern w:val="0"/>
          <w:sz w:val="24"/>
          <w:szCs w:val="24"/>
          <w:highlight w:val="none"/>
          <w:lang w:val="en-US" w:eastAsia="zh-CN"/>
        </w:rPr>
        <w:t>此处填写评审当天时间</w:t>
      </w:r>
      <w:r>
        <w:rPr>
          <w:rFonts w:hint="eastAsia" w:ascii="宋体" w:hAnsi="宋体" w:eastAsia="宋体" w:cs="宋体"/>
          <w:color w:val="auto"/>
          <w:kern w:val="0"/>
          <w:sz w:val="24"/>
          <w:szCs w:val="24"/>
          <w:highlight w:val="none"/>
          <w:lang w:val="zh-CN"/>
        </w:rPr>
        <w:t>）</w:t>
      </w: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lang w:val="zh-CN"/>
        </w:rPr>
      </w:pPr>
    </w:p>
    <w:p>
      <w:pPr>
        <w:pStyle w:val="2"/>
        <w:rPr>
          <w:rFonts w:hint="eastAsia" w:ascii="宋体" w:hAnsi="宋体" w:eastAsia="宋体" w:cs="宋体"/>
          <w:color w:val="auto"/>
          <w:kern w:val="0"/>
          <w:sz w:val="24"/>
          <w:szCs w:val="24"/>
          <w:highlight w:val="none"/>
          <w:lang w:val="zh-CN"/>
        </w:rPr>
      </w:pPr>
    </w:p>
    <w:p>
      <w:pPr>
        <w:rPr>
          <w:rFonts w:hint="eastAsia" w:ascii="宋体" w:hAnsi="宋体" w:eastAsia="宋体" w:cs="宋体"/>
          <w:color w:val="auto"/>
          <w:kern w:val="0"/>
          <w:sz w:val="24"/>
          <w:szCs w:val="24"/>
          <w:highlight w:val="none"/>
          <w:lang w:val="zh-CN"/>
        </w:rPr>
      </w:pPr>
    </w:p>
    <w:p>
      <w:pPr>
        <w:pStyle w:val="2"/>
        <w:rPr>
          <w:rFonts w:hint="eastAsia"/>
          <w:color w:val="auto"/>
          <w:highlight w:val="none"/>
          <w:lang w:val="zh-CN"/>
        </w:rPr>
      </w:pPr>
    </w:p>
    <w:p>
      <w:pPr>
        <w:pStyle w:val="19"/>
        <w:snapToGrid w:val="0"/>
        <w:spacing w:before="295" w:after="295"/>
        <w:rPr>
          <w:rFonts w:ascii="楷体" w:hAnsi="楷体" w:eastAsia="楷体" w:cs="宋体"/>
          <w:b/>
          <w:color w:val="auto"/>
          <w:spacing w:val="20"/>
          <w:kern w:val="2"/>
          <w:sz w:val="24"/>
          <w:szCs w:val="20"/>
          <w:highlight w:val="none"/>
          <w:u w:val="none"/>
        </w:rPr>
      </w:pPr>
      <w:r>
        <w:rPr>
          <w:rFonts w:hint="eastAsia" w:ascii="楷体" w:hAnsi="楷体" w:eastAsia="楷体" w:cs="宋体"/>
          <w:b/>
          <w:color w:val="auto"/>
          <w:spacing w:val="20"/>
          <w:kern w:val="2"/>
          <w:sz w:val="24"/>
          <w:szCs w:val="20"/>
          <w:highlight w:val="none"/>
          <w:u w:val="none"/>
        </w:rPr>
        <w:t>（</w:t>
      </w:r>
      <w:r>
        <w:rPr>
          <w:rFonts w:hint="eastAsia" w:ascii="楷体" w:hAnsi="楷体" w:eastAsia="楷体" w:cs="宋体"/>
          <w:b/>
          <w:color w:val="auto"/>
          <w:spacing w:val="20"/>
          <w:sz w:val="24"/>
          <w:szCs w:val="20"/>
          <w:highlight w:val="none"/>
          <w:u w:val="none"/>
        </w:rPr>
        <w:t>注：请供应商提前准备</w:t>
      </w:r>
      <w:r>
        <w:rPr>
          <w:rFonts w:hint="eastAsia" w:ascii="楷体" w:hAnsi="楷体" w:eastAsia="楷体" w:cs="宋体"/>
          <w:b/>
          <w:color w:val="auto"/>
          <w:spacing w:val="20"/>
          <w:sz w:val="24"/>
          <w:szCs w:val="20"/>
          <w:highlight w:val="none"/>
          <w:u w:val="none"/>
          <w:lang w:eastAsia="zh-CN"/>
        </w:rPr>
        <w:t>《</w:t>
      </w:r>
      <w:r>
        <w:rPr>
          <w:rFonts w:hint="eastAsia" w:ascii="楷体" w:hAnsi="楷体" w:eastAsia="楷体" w:cs="宋体"/>
          <w:b/>
          <w:color w:val="auto"/>
          <w:spacing w:val="20"/>
          <w:sz w:val="24"/>
          <w:szCs w:val="20"/>
          <w:highlight w:val="none"/>
          <w:u w:val="none"/>
          <w:lang w:val="en-US" w:eastAsia="zh-CN"/>
        </w:rPr>
        <w:t>最后</w:t>
      </w:r>
      <w:r>
        <w:rPr>
          <w:rFonts w:hint="eastAsia" w:ascii="楷体" w:hAnsi="楷体" w:eastAsia="楷体" w:cs="宋体"/>
          <w:b/>
          <w:color w:val="auto"/>
          <w:spacing w:val="20"/>
          <w:sz w:val="24"/>
          <w:szCs w:val="20"/>
          <w:highlight w:val="none"/>
          <w:u w:val="none"/>
        </w:rPr>
        <w:t>报价表</w:t>
      </w:r>
      <w:r>
        <w:rPr>
          <w:rFonts w:hint="eastAsia" w:ascii="楷体" w:hAnsi="楷体" w:eastAsia="楷体" w:cs="宋体"/>
          <w:b/>
          <w:color w:val="auto"/>
          <w:spacing w:val="20"/>
          <w:sz w:val="24"/>
          <w:szCs w:val="20"/>
          <w:highlight w:val="none"/>
          <w:u w:val="none"/>
          <w:lang w:eastAsia="zh-CN"/>
        </w:rPr>
        <w:t>》</w:t>
      </w:r>
      <w:r>
        <w:rPr>
          <w:rFonts w:hint="eastAsia" w:ascii="楷体" w:hAnsi="楷体" w:eastAsia="楷体" w:cs="宋体"/>
          <w:b/>
          <w:color w:val="auto"/>
          <w:spacing w:val="20"/>
          <w:sz w:val="24"/>
          <w:szCs w:val="20"/>
          <w:highlight w:val="none"/>
          <w:u w:val="none"/>
        </w:rPr>
        <w:t>，填写相应内容，</w:t>
      </w:r>
      <w:r>
        <w:rPr>
          <w:rFonts w:hint="eastAsia" w:ascii="楷体" w:hAnsi="楷体" w:eastAsia="楷体" w:cs="宋体"/>
          <w:b/>
          <w:color w:val="auto"/>
          <w:spacing w:val="20"/>
          <w:sz w:val="24"/>
          <w:szCs w:val="20"/>
          <w:highlight w:val="none"/>
          <w:u w:val="none"/>
          <w:lang w:val="en-US" w:eastAsia="zh-CN"/>
        </w:rPr>
        <w:t>谈判</w:t>
      </w:r>
      <w:r>
        <w:rPr>
          <w:rFonts w:hint="eastAsia" w:ascii="楷体" w:hAnsi="楷体" w:eastAsia="楷体" w:cs="宋体"/>
          <w:b/>
          <w:color w:val="auto"/>
          <w:spacing w:val="20"/>
          <w:sz w:val="24"/>
          <w:szCs w:val="20"/>
          <w:highlight w:val="none"/>
          <w:u w:val="none"/>
        </w:rPr>
        <w:t>时，如谈判小组有要求，供应商再将</w:t>
      </w:r>
      <w:r>
        <w:rPr>
          <w:rFonts w:hint="eastAsia" w:ascii="楷体" w:hAnsi="楷体" w:eastAsia="楷体" w:cs="宋体"/>
          <w:b/>
          <w:color w:val="auto"/>
          <w:spacing w:val="20"/>
          <w:sz w:val="24"/>
          <w:szCs w:val="20"/>
          <w:highlight w:val="none"/>
          <w:u w:val="none"/>
          <w:lang w:val="en-US" w:eastAsia="zh-CN"/>
        </w:rPr>
        <w:t>最后</w:t>
      </w:r>
      <w:r>
        <w:rPr>
          <w:rFonts w:hint="eastAsia" w:ascii="楷体" w:hAnsi="楷体" w:eastAsia="楷体" w:cs="宋体"/>
          <w:b/>
          <w:color w:val="auto"/>
          <w:spacing w:val="20"/>
          <w:sz w:val="24"/>
          <w:szCs w:val="20"/>
          <w:highlight w:val="none"/>
          <w:u w:val="none"/>
        </w:rPr>
        <w:t>报价表在规定时间内</w:t>
      </w:r>
      <w:r>
        <w:rPr>
          <w:rFonts w:hint="eastAsia" w:ascii="楷体" w:hAnsi="楷体" w:eastAsia="楷体" w:cs="宋体"/>
          <w:b/>
          <w:color w:val="auto"/>
          <w:spacing w:val="20"/>
          <w:sz w:val="24"/>
          <w:szCs w:val="20"/>
          <w:highlight w:val="none"/>
          <w:u w:val="none"/>
          <w:lang w:val="en-US" w:eastAsia="zh-CN"/>
        </w:rPr>
        <w:t>提</w:t>
      </w:r>
      <w:r>
        <w:rPr>
          <w:rFonts w:hint="eastAsia" w:ascii="楷体" w:hAnsi="楷体" w:eastAsia="楷体" w:cs="宋体"/>
          <w:b/>
          <w:color w:val="auto"/>
          <w:spacing w:val="20"/>
          <w:sz w:val="24"/>
          <w:szCs w:val="20"/>
          <w:highlight w:val="none"/>
          <w:u w:val="none"/>
        </w:rPr>
        <w:t>交至</w:t>
      </w:r>
      <w:r>
        <w:rPr>
          <w:rFonts w:hint="eastAsia" w:ascii="楷体" w:hAnsi="楷体" w:eastAsia="楷体" w:cs="宋体"/>
          <w:b/>
          <w:color w:val="auto"/>
          <w:spacing w:val="20"/>
          <w:sz w:val="24"/>
          <w:szCs w:val="20"/>
          <w:highlight w:val="none"/>
          <w:u w:val="none"/>
          <w:lang w:val="en-US" w:eastAsia="zh-CN"/>
        </w:rPr>
        <w:t>广西政采云平台</w:t>
      </w:r>
      <w:r>
        <w:rPr>
          <w:rFonts w:hint="eastAsia" w:ascii="楷体" w:hAnsi="楷体" w:eastAsia="楷体" w:cs="宋体"/>
          <w:b/>
          <w:color w:val="auto"/>
          <w:spacing w:val="20"/>
          <w:kern w:val="2"/>
          <w:sz w:val="24"/>
          <w:szCs w:val="20"/>
          <w:highlight w:val="none"/>
          <w:u w:val="none"/>
        </w:rPr>
        <w:t>）</w:t>
      </w: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lang w:val="zh-CN"/>
        </w:rPr>
      </w:pPr>
    </w:p>
    <w:p>
      <w:pPr>
        <w:pStyle w:val="2"/>
        <w:rPr>
          <w:color w:val="auto"/>
          <w:highlight w:val="none"/>
        </w:rPr>
      </w:pPr>
    </w:p>
    <w:p>
      <w:pPr>
        <w:keepNext/>
        <w:keepLines/>
        <w:spacing w:before="260" w:after="260" w:line="416" w:lineRule="auto"/>
        <w:jc w:val="center"/>
        <w:outlineLvl w:val="1"/>
        <w:rPr>
          <w:rFonts w:ascii="宋体" w:hAnsi="宋体" w:eastAsia="宋体" w:cs="Times New Roman"/>
          <w:bCs/>
          <w:color w:val="auto"/>
          <w:sz w:val="32"/>
          <w:szCs w:val="32"/>
          <w:highlight w:val="none"/>
          <w:lang w:val="zh-CN"/>
        </w:rPr>
      </w:pPr>
      <w:r>
        <w:rPr>
          <w:rFonts w:ascii="宋体" w:hAnsi="宋体" w:eastAsia="宋体" w:cs="Times New Roman"/>
          <w:color w:val="auto"/>
          <w:sz w:val="24"/>
          <w:szCs w:val="32"/>
          <w:highlight w:val="none"/>
          <w:lang w:val="zh-CN"/>
        </w:rPr>
        <w:br w:type="page"/>
      </w:r>
      <w:bookmarkStart w:id="161" w:name="_Toc13939"/>
      <w:bookmarkStart w:id="162" w:name="_Toc23320"/>
      <w:bookmarkStart w:id="163" w:name="_Toc80205942"/>
      <w:r>
        <w:rPr>
          <w:rFonts w:hint="eastAsia" w:ascii="宋体" w:hAnsi="宋体" w:eastAsia="宋体" w:cs="Times New Roman"/>
          <w:b/>
          <w:bCs/>
          <w:color w:val="auto"/>
          <w:sz w:val="32"/>
          <w:szCs w:val="32"/>
          <w:highlight w:val="none"/>
          <w:lang w:val="zh-CN"/>
        </w:rPr>
        <w:t>第四节 其他文书、文件格式</w:t>
      </w:r>
      <w:bookmarkEnd w:id="161"/>
      <w:bookmarkEnd w:id="162"/>
      <w:bookmarkEnd w:id="163"/>
    </w:p>
    <w:p>
      <w:pPr>
        <w:spacing w:line="500" w:lineRule="exact"/>
        <w:rPr>
          <w:rFonts w:ascii="宋体" w:hAnsi="宋体" w:eastAsia="宋体" w:cs="宋体"/>
          <w:b/>
          <w:color w:val="auto"/>
          <w:sz w:val="30"/>
          <w:szCs w:val="30"/>
          <w:highlight w:val="none"/>
          <w:lang w:val="zh-CN"/>
        </w:rPr>
      </w:pPr>
      <w:r>
        <w:rPr>
          <w:rFonts w:hint="eastAsia" w:ascii="宋体" w:hAnsi="宋体" w:eastAsia="宋体" w:cs="宋体"/>
          <w:b/>
          <w:color w:val="auto"/>
          <w:sz w:val="30"/>
          <w:szCs w:val="30"/>
          <w:highlight w:val="none"/>
        </w:rPr>
        <w:t>1.</w:t>
      </w:r>
      <w:r>
        <w:rPr>
          <w:rFonts w:hint="eastAsia" w:ascii="宋体" w:hAnsi="宋体" w:eastAsia="宋体" w:cs="宋体"/>
          <w:b/>
          <w:color w:val="auto"/>
          <w:sz w:val="30"/>
          <w:szCs w:val="30"/>
          <w:highlight w:val="none"/>
          <w:lang w:val="zh-CN"/>
        </w:rPr>
        <w:t>中小企业声明函的格式：</w:t>
      </w:r>
    </w:p>
    <w:p>
      <w:pPr>
        <w:pStyle w:val="15"/>
        <w:rPr>
          <w:rFonts w:ascii="宋体" w:hAnsi="宋体" w:cs="宋体"/>
          <w:color w:val="auto"/>
          <w:highlight w:val="none"/>
        </w:rPr>
      </w:pPr>
    </w:p>
    <w:p>
      <w:pPr>
        <w:spacing w:line="300" w:lineRule="auto"/>
        <w:ind w:firstLine="3534" w:firstLineChars="1100"/>
        <w:rPr>
          <w:rFonts w:ascii="宋体" w:hAnsi="宋体" w:eastAsia="宋体" w:cs="宋体"/>
          <w:color w:val="auto"/>
          <w:sz w:val="44"/>
          <w:szCs w:val="44"/>
          <w:highlight w:val="none"/>
        </w:rPr>
      </w:pPr>
      <w:r>
        <w:rPr>
          <w:rFonts w:hint="eastAsia" w:ascii="宋体" w:hAnsi="宋体" w:eastAsia="宋体" w:cs="宋体"/>
          <w:b/>
          <w:bCs/>
          <w:color w:val="auto"/>
          <w:sz w:val="32"/>
          <w:szCs w:val="32"/>
          <w:highlight w:val="none"/>
        </w:rPr>
        <w:t>中小企业声明函</w:t>
      </w:r>
    </w:p>
    <w:p>
      <w:pPr>
        <w:spacing w:line="360" w:lineRule="auto"/>
        <w:ind w:left="-426" w:right="142" w:firstLine="640"/>
        <w:contextualSpacing/>
        <w:rPr>
          <w:rFonts w:ascii="宋体" w:hAnsi="宋体" w:eastAsia="宋体" w:cs="宋体"/>
          <w:color w:val="auto"/>
          <w:sz w:val="24"/>
          <w:szCs w:val="24"/>
          <w:highlight w:val="none"/>
          <w:lang w:val="zh-CN"/>
        </w:rPr>
      </w:pPr>
    </w:p>
    <w:p>
      <w:pPr>
        <w:spacing w:line="360" w:lineRule="auto"/>
        <w:ind w:left="-426" w:right="142" w:firstLine="640"/>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（单位名称）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的</w:t>
      </w:r>
      <w:r>
        <w:rPr>
          <w:rFonts w:hint="eastAsia" w:ascii="宋体" w:hAnsi="宋体" w:eastAsia="宋体" w:cs="宋体"/>
          <w:i/>
          <w:iCs/>
          <w:color w:val="auto"/>
          <w:sz w:val="24"/>
          <w:szCs w:val="24"/>
          <w:highlight w:val="none"/>
          <w:u w:val="single"/>
        </w:rPr>
        <w:t>（项目名称）</w:t>
      </w:r>
      <w:r>
        <w:rPr>
          <w:rFonts w:hint="eastAsia" w:ascii="宋体" w:hAnsi="宋体" w:eastAsia="宋体" w:cs="宋体"/>
          <w:color w:val="auto"/>
          <w:sz w:val="24"/>
          <w:szCs w:val="24"/>
          <w:highlight w:val="none"/>
          <w:lang w:val="zh-CN"/>
        </w:rPr>
        <w:t>采购活动，提供的货物全部由符合政策要求的中小企业制造。相关企业（含联合体中的中小企业、签订分包意向协议的中小企业）的具体情况如下：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i/>
          <w:iCs/>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i/>
          <w:iCs/>
          <w:color w:val="auto"/>
          <w:sz w:val="24"/>
          <w:szCs w:val="24"/>
          <w:highlight w:val="none"/>
          <w:u w:val="single"/>
        </w:rPr>
        <w:t>（采购文件中明确的所属行业）行业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i/>
          <w:iCs/>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i/>
          <w:iCs/>
          <w:color w:val="auto"/>
          <w:sz w:val="24"/>
          <w:szCs w:val="24"/>
          <w:highlight w:val="none"/>
          <w:u w:val="single"/>
        </w:rPr>
        <w:t>（中型企业、小型企业、微型企业</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pPr>
        <w:tabs>
          <w:tab w:val="left" w:pos="1065"/>
          <w:tab w:val="left" w:pos="6477"/>
        </w:tabs>
        <w:spacing w:line="360" w:lineRule="auto"/>
        <w:ind w:left="-426" w:right="-58" w:firstLine="655"/>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i/>
          <w:iCs/>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i/>
          <w:iCs/>
          <w:color w:val="auto"/>
          <w:sz w:val="24"/>
          <w:szCs w:val="24"/>
          <w:highlight w:val="none"/>
          <w:u w:val="single"/>
        </w:rPr>
        <w:t>（采购文件中明确的所属行业）行业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i/>
          <w:iCs/>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i/>
          <w:iCs/>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pPr>
        <w:spacing w:line="360" w:lineRule="auto"/>
        <w:ind w:left="142" w:right="142"/>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pPr>
        <w:spacing w:line="360" w:lineRule="auto"/>
        <w:ind w:left="-405" w:leftChars="-193" w:right="142" w:firstLine="453" w:firstLineChars="189"/>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以上企业，不属于大企业的分支机构，不存在控股股东为大企业的情形，也不存在与大企业的负责人为同一人的情形。</w:t>
      </w:r>
    </w:p>
    <w:p>
      <w:pPr>
        <w:spacing w:line="360" w:lineRule="auto"/>
        <w:ind w:left="-426" w:right="142" w:firstLine="567"/>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本企业对上述声明内容的真实性负责。如有虚假，将依法承担相应责任。</w:t>
      </w:r>
    </w:p>
    <w:p>
      <w:pPr>
        <w:spacing w:line="360" w:lineRule="auto"/>
        <w:ind w:left="3960" w:right="1808"/>
        <w:contextualSpacing/>
        <w:rPr>
          <w:rFonts w:ascii="宋体" w:hAnsi="宋体" w:eastAsia="宋体" w:cs="宋体"/>
          <w:color w:val="auto"/>
          <w:sz w:val="24"/>
          <w:szCs w:val="24"/>
          <w:highlight w:val="none"/>
          <w:lang w:val="zh-CN"/>
        </w:rPr>
      </w:pPr>
    </w:p>
    <w:p>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autoSpaceDE w:val="0"/>
        <w:autoSpaceDN w:val="0"/>
        <w:spacing w:line="360" w:lineRule="auto"/>
        <w:ind w:firstLine="6480" w:firstLineChars="27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pPr>
        <w:spacing w:line="360" w:lineRule="auto"/>
        <w:ind w:left="3960" w:right="1808"/>
        <w:contextualSpacing/>
        <w:rPr>
          <w:rFonts w:ascii="宋体" w:hAnsi="宋体" w:eastAsia="宋体" w:cs="宋体"/>
          <w:color w:val="auto"/>
          <w:szCs w:val="24"/>
          <w:highlight w:val="none"/>
          <w:lang w:val="zh-CN"/>
        </w:rPr>
      </w:pPr>
    </w:p>
    <w:p>
      <w:pPr>
        <w:spacing w:line="360" w:lineRule="auto"/>
        <w:contextualSpacing/>
        <w:jc w:val="left"/>
        <w:rPr>
          <w:rFonts w:ascii="宋体" w:hAnsi="宋体" w:eastAsia="宋体" w:cs="宋体"/>
          <w:color w:val="auto"/>
          <w:szCs w:val="21"/>
          <w:highlight w:val="none"/>
        </w:rPr>
      </w:pPr>
    </w:p>
    <w:p>
      <w:pPr>
        <w:spacing w:line="400" w:lineRule="exact"/>
        <w:ind w:firstLine="480" w:firstLineChars="200"/>
        <w:contextualSpacing/>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享受《政府采购促进中小企业发展管理办法》（财库〔2020〕46号）规定的中小企业扶持政策的，采购人或者采购代理机构应当随成交结果公开成交供应商的《中小企业声明函》，接受社会监督。从业人员、营业收入、资产总额填报上一年度数据，无上一年度数据的新成立企业可不填报。</w:t>
      </w:r>
    </w:p>
    <w:p>
      <w:pPr>
        <w:pStyle w:val="2"/>
        <w:rPr>
          <w:rFonts w:ascii="宋体" w:hAnsi="宋体" w:cs="仿宋_GB2312"/>
          <w:color w:val="auto"/>
          <w:sz w:val="24"/>
          <w:szCs w:val="24"/>
          <w:highlight w:val="none"/>
        </w:rPr>
      </w:pPr>
    </w:p>
    <w:p>
      <w:pPr>
        <w:spacing w:line="520" w:lineRule="exact"/>
        <w:rPr>
          <w:rFonts w:ascii="宋体" w:hAnsi="宋体" w:eastAsia="宋体" w:cs="仿宋_GB2312"/>
          <w:color w:val="auto"/>
          <w:sz w:val="24"/>
          <w:szCs w:val="24"/>
          <w:highlight w:val="none"/>
        </w:rPr>
      </w:pPr>
    </w:p>
    <w:p>
      <w:pPr>
        <w:numPr>
          <w:ilvl w:val="255"/>
          <w:numId w:val="0"/>
        </w:numPr>
        <w:spacing w:line="520" w:lineRule="exact"/>
        <w:rPr>
          <w:rFonts w:hAnsi="宋体" w:cs="宋体"/>
          <w:b/>
          <w:color w:val="auto"/>
          <w:sz w:val="28"/>
          <w:szCs w:val="28"/>
          <w:highlight w:val="none"/>
        </w:rPr>
      </w:pPr>
      <w:r>
        <w:rPr>
          <w:rFonts w:hint="eastAsia" w:ascii="宋体" w:hAnsi="宋体" w:eastAsia="宋体" w:cs="宋体"/>
          <w:b/>
          <w:color w:val="auto"/>
          <w:sz w:val="28"/>
          <w:szCs w:val="28"/>
          <w:highlight w:val="none"/>
        </w:rPr>
        <w:t>2.</w:t>
      </w:r>
      <w:r>
        <w:rPr>
          <w:rFonts w:hint="eastAsia" w:hAnsi="宋体" w:cs="宋体"/>
          <w:b/>
          <w:color w:val="auto"/>
          <w:sz w:val="28"/>
          <w:szCs w:val="28"/>
          <w:highlight w:val="none"/>
        </w:rPr>
        <w:t>残疾人福利性单位声明函的格式：</w:t>
      </w:r>
    </w:p>
    <w:p>
      <w:pPr>
        <w:numPr>
          <w:ilvl w:val="255"/>
          <w:numId w:val="0"/>
        </w:numPr>
        <w:spacing w:line="520" w:lineRule="exact"/>
        <w:rPr>
          <w:rFonts w:hAnsi="宋体" w:cs="宋体"/>
          <w:b/>
          <w:color w:val="auto"/>
          <w:sz w:val="28"/>
          <w:szCs w:val="28"/>
          <w:highlight w:val="none"/>
        </w:rPr>
      </w:pPr>
    </w:p>
    <w:p>
      <w:pPr>
        <w:spacing w:line="520" w:lineRule="exact"/>
        <w:jc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残疾人福利性单位声明函</w:t>
      </w:r>
    </w:p>
    <w:p>
      <w:pPr>
        <w:spacing w:line="520" w:lineRule="exact"/>
        <w:rPr>
          <w:rFonts w:ascii="仿宋_GB2312" w:hAnsi="仿宋_GB2312" w:eastAsia="仿宋_GB2312" w:cs="仿宋_GB2312"/>
          <w:color w:val="auto"/>
          <w:sz w:val="32"/>
          <w:szCs w:val="32"/>
          <w:highlight w:val="none"/>
        </w:rPr>
      </w:pPr>
    </w:p>
    <w:p>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pPr>
        <w:spacing w:line="360" w:lineRule="auto"/>
        <w:contextualSpacing/>
        <w:rPr>
          <w:rFonts w:ascii="宋体" w:hAnsi="宋体" w:eastAsia="宋体" w:cs="宋体"/>
          <w:color w:val="auto"/>
          <w:sz w:val="24"/>
          <w:szCs w:val="24"/>
          <w:highlight w:val="none"/>
        </w:rPr>
      </w:pPr>
    </w:p>
    <w:p>
      <w:pPr>
        <w:spacing w:line="360" w:lineRule="auto"/>
        <w:contextualSpacing/>
        <w:rPr>
          <w:rFonts w:ascii="宋体" w:hAnsi="宋体" w:eastAsia="宋体" w:cs="宋体"/>
          <w:color w:val="auto"/>
          <w:sz w:val="24"/>
          <w:szCs w:val="24"/>
          <w:highlight w:val="none"/>
        </w:rPr>
      </w:pPr>
    </w:p>
    <w:p>
      <w:pPr>
        <w:spacing w:line="360" w:lineRule="auto"/>
        <w:contextualSpacing/>
        <w:rPr>
          <w:rFonts w:ascii="宋体" w:hAnsi="宋体" w:eastAsia="宋体" w:cs="宋体"/>
          <w:color w:val="auto"/>
          <w:sz w:val="24"/>
          <w:szCs w:val="24"/>
          <w:highlight w:val="none"/>
        </w:rPr>
      </w:pPr>
    </w:p>
    <w:p>
      <w:pPr>
        <w:spacing w:line="360" w:lineRule="auto"/>
        <w:ind w:firstLine="2400" w:firstLineChars="10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供应商名称（盖公章）：</w:t>
      </w:r>
    </w:p>
    <w:p>
      <w:pPr>
        <w:spacing w:line="360" w:lineRule="auto"/>
        <w:ind w:firstLine="4320" w:firstLineChars="18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pPr>
        <w:spacing w:line="360" w:lineRule="auto"/>
        <w:contextualSpacing/>
        <w:rPr>
          <w:rFonts w:ascii="宋体" w:hAnsi="宋体" w:eastAsia="宋体" w:cs="宋体"/>
          <w:color w:val="auto"/>
          <w:sz w:val="24"/>
          <w:szCs w:val="24"/>
          <w:highlight w:val="none"/>
        </w:rPr>
      </w:pPr>
    </w:p>
    <w:p>
      <w:pPr>
        <w:spacing w:line="360" w:lineRule="auto"/>
        <w:contextualSpacing/>
        <w:rPr>
          <w:rFonts w:ascii="宋体" w:hAnsi="宋体" w:eastAsia="宋体" w:cs="宋体"/>
          <w:color w:val="auto"/>
          <w:sz w:val="24"/>
          <w:szCs w:val="24"/>
          <w:highlight w:val="none"/>
        </w:rPr>
      </w:pPr>
    </w:p>
    <w:p>
      <w:pPr>
        <w:spacing w:line="360" w:lineRule="auto"/>
        <w:contextualSpacing/>
        <w:rPr>
          <w:rFonts w:ascii="宋体" w:hAnsi="宋体" w:eastAsia="宋体" w:cs="宋体"/>
          <w:color w:val="auto"/>
          <w:sz w:val="24"/>
          <w:szCs w:val="24"/>
          <w:highlight w:val="none"/>
        </w:rPr>
      </w:pPr>
    </w:p>
    <w:p>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注：请根据自己的真实情况出具《残疾人福利性单位声明函》。依法享受中小企业扶持政策的，采购人或者采购代理机构在公告成交结果时，同时公告其《残疾人福利性单位声明函》，接受社会监督。</w:t>
      </w:r>
    </w:p>
    <w:p>
      <w:pPr>
        <w:pStyle w:val="2"/>
        <w:rPr>
          <w:rFonts w:ascii="宋体" w:hAnsi="宋体" w:cs="仿宋_GB2312"/>
          <w:color w:val="auto"/>
          <w:sz w:val="24"/>
          <w:szCs w:val="24"/>
          <w:highlight w:val="none"/>
        </w:rPr>
      </w:pPr>
    </w:p>
    <w:p>
      <w:pPr>
        <w:pStyle w:val="2"/>
        <w:rPr>
          <w:rFonts w:ascii="宋体" w:hAnsi="宋体" w:cs="仿宋_GB2312"/>
          <w:color w:val="auto"/>
          <w:sz w:val="24"/>
          <w:szCs w:val="24"/>
          <w:highlight w:val="none"/>
        </w:rPr>
      </w:pPr>
    </w:p>
    <w:p>
      <w:pPr>
        <w:pStyle w:val="2"/>
        <w:rPr>
          <w:rFonts w:ascii="宋体" w:hAnsi="宋体" w:cs="仿宋_GB2312"/>
          <w:color w:val="auto"/>
          <w:sz w:val="24"/>
          <w:szCs w:val="24"/>
          <w:highlight w:val="none"/>
        </w:rPr>
      </w:pPr>
    </w:p>
    <w:p>
      <w:pPr>
        <w:pStyle w:val="2"/>
        <w:rPr>
          <w:rFonts w:ascii="宋体" w:hAnsi="宋体" w:cs="仿宋_GB2312"/>
          <w:color w:val="auto"/>
          <w:sz w:val="24"/>
          <w:szCs w:val="24"/>
          <w:highlight w:val="none"/>
        </w:rPr>
      </w:pPr>
    </w:p>
    <w:p>
      <w:pPr>
        <w:pStyle w:val="2"/>
        <w:rPr>
          <w:rFonts w:ascii="宋体" w:hAnsi="宋体" w:cs="仿宋_GB2312"/>
          <w:color w:val="auto"/>
          <w:sz w:val="24"/>
          <w:szCs w:val="24"/>
          <w:highlight w:val="none"/>
        </w:rPr>
      </w:pPr>
    </w:p>
    <w:p>
      <w:pPr>
        <w:pStyle w:val="2"/>
        <w:rPr>
          <w:rFonts w:ascii="宋体" w:hAnsi="宋体" w:cs="仿宋_GB2312"/>
          <w:color w:val="auto"/>
          <w:sz w:val="24"/>
          <w:szCs w:val="24"/>
          <w:highlight w:val="none"/>
        </w:rPr>
      </w:pPr>
    </w:p>
    <w:p>
      <w:pPr>
        <w:pStyle w:val="2"/>
        <w:rPr>
          <w:rFonts w:ascii="宋体" w:hAnsi="宋体" w:cs="仿宋_GB2312"/>
          <w:color w:val="auto"/>
          <w:sz w:val="24"/>
          <w:szCs w:val="24"/>
          <w:highlight w:val="none"/>
        </w:rPr>
      </w:pPr>
    </w:p>
    <w:p>
      <w:pPr>
        <w:pStyle w:val="2"/>
        <w:rPr>
          <w:rFonts w:ascii="宋体" w:hAnsi="宋体" w:cs="仿宋_GB2312"/>
          <w:color w:val="auto"/>
          <w:sz w:val="24"/>
          <w:szCs w:val="24"/>
          <w:highlight w:val="none"/>
        </w:rPr>
      </w:pPr>
    </w:p>
    <w:p>
      <w:pPr>
        <w:pStyle w:val="2"/>
        <w:rPr>
          <w:rFonts w:ascii="宋体" w:hAnsi="宋体" w:cs="仿宋_GB2312"/>
          <w:color w:val="auto"/>
          <w:sz w:val="24"/>
          <w:szCs w:val="24"/>
          <w:highlight w:val="none"/>
        </w:rPr>
      </w:pPr>
    </w:p>
    <w:p>
      <w:pPr>
        <w:pStyle w:val="2"/>
        <w:rPr>
          <w:rFonts w:ascii="宋体" w:hAnsi="宋体" w:cs="仿宋_GB2312"/>
          <w:color w:val="auto"/>
          <w:sz w:val="24"/>
          <w:szCs w:val="24"/>
          <w:highlight w:val="none"/>
        </w:rPr>
      </w:pPr>
    </w:p>
    <w:p>
      <w:pPr>
        <w:pStyle w:val="2"/>
        <w:rPr>
          <w:rFonts w:ascii="宋体" w:hAnsi="宋体" w:cs="仿宋_GB2312"/>
          <w:color w:val="auto"/>
          <w:sz w:val="24"/>
          <w:szCs w:val="24"/>
          <w:highlight w:val="none"/>
        </w:rPr>
      </w:pPr>
    </w:p>
    <w:p>
      <w:pPr>
        <w:pStyle w:val="2"/>
        <w:rPr>
          <w:rFonts w:ascii="宋体" w:hAnsi="宋体" w:cs="仿宋_GB2312"/>
          <w:color w:val="auto"/>
          <w:sz w:val="24"/>
          <w:szCs w:val="24"/>
          <w:highlight w:val="none"/>
        </w:rPr>
      </w:pPr>
    </w:p>
    <w:p>
      <w:pPr>
        <w:pStyle w:val="2"/>
        <w:rPr>
          <w:rFonts w:ascii="宋体" w:hAnsi="宋体" w:cs="仿宋_GB2312"/>
          <w:color w:val="auto"/>
          <w:sz w:val="24"/>
          <w:szCs w:val="24"/>
          <w:highlight w:val="none"/>
        </w:rPr>
      </w:pPr>
    </w:p>
    <w:p>
      <w:pPr>
        <w:pStyle w:val="2"/>
        <w:rPr>
          <w:rFonts w:ascii="宋体" w:hAnsi="宋体" w:cs="仿宋_GB2312"/>
          <w:color w:val="auto"/>
          <w:sz w:val="24"/>
          <w:szCs w:val="24"/>
          <w:highlight w:val="none"/>
        </w:rPr>
      </w:pPr>
    </w:p>
    <w:p>
      <w:pPr>
        <w:widowControl/>
        <w:shd w:val="clear" w:color="auto" w:fill="FFFFFF"/>
        <w:spacing w:line="480" w:lineRule="atLeast"/>
        <w:rPr>
          <w:rFonts w:ascii="宋体" w:hAnsi="宋体" w:eastAsia="宋体" w:cs="宋体"/>
          <w:color w:val="auto"/>
          <w:kern w:val="0"/>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kern w:val="0"/>
          <w:sz w:val="28"/>
          <w:szCs w:val="28"/>
          <w:highlight w:val="none"/>
        </w:rPr>
        <w:t>广西壮族自治区政府采购项目合同验收书的格式：</w:t>
      </w:r>
    </w:p>
    <w:p>
      <w:pPr>
        <w:widowControl/>
        <w:jc w:val="left"/>
        <w:rPr>
          <w:rFonts w:ascii="宋体" w:hAnsi="宋体" w:eastAsia="宋体" w:cs="宋体"/>
          <w:color w:val="auto"/>
          <w:kern w:val="0"/>
          <w:sz w:val="28"/>
          <w:szCs w:val="28"/>
          <w:highlight w:val="none"/>
        </w:rPr>
      </w:pPr>
    </w:p>
    <w:p>
      <w:pPr>
        <w:widowControl/>
        <w:shd w:val="clear" w:color="auto" w:fill="FFFFFF"/>
        <w:spacing w:line="480" w:lineRule="atLeast"/>
        <w:jc w:val="center"/>
        <w:rPr>
          <w:rFonts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w:t>
      </w:r>
    </w:p>
    <w:p>
      <w:pPr>
        <w:widowControl/>
        <w:shd w:val="clear" w:color="auto" w:fill="FFFFFF"/>
        <w:spacing w:line="480" w:lineRule="atLeast"/>
        <w:jc w:val="center"/>
        <w:rPr>
          <w:rFonts w:ascii="仿宋" w:hAnsi="仿宋" w:eastAsia="仿宋" w:cs="宋体"/>
          <w:color w:val="auto"/>
          <w:kern w:val="0"/>
          <w:sz w:val="32"/>
          <w:szCs w:val="32"/>
          <w:highlight w:val="none"/>
        </w:rPr>
      </w:pPr>
    </w:p>
    <w:p>
      <w:pPr>
        <w:widowControl/>
        <w:shd w:val="clear" w:color="auto" w:fill="FFFFFF"/>
        <w:snapToGrid w:val="0"/>
        <w:spacing w:line="320" w:lineRule="atLeast"/>
        <w:ind w:firstLine="480"/>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根据政府采购项目（</w:t>
      </w:r>
      <w:r>
        <w:rPr>
          <w:rFonts w:hint="eastAsia" w:ascii="仿宋" w:hAnsi="仿宋" w:eastAsia="仿宋" w:cs="宋体"/>
          <w:color w:val="auto"/>
          <w:kern w:val="0"/>
          <w:szCs w:val="21"/>
          <w:highlight w:val="none"/>
          <w:u w:val="single"/>
        </w:rPr>
        <w:t>采购合同编号：</w:t>
      </w:r>
      <w:r>
        <w:rPr>
          <w:rFonts w:hint="eastAsia" w:ascii="仿宋" w:hAnsi="仿宋" w:eastAsia="仿宋" w:cs="宋体"/>
          <w:color w:val="auto"/>
          <w:kern w:val="0"/>
          <w:szCs w:val="21"/>
          <w:highlight w:val="none"/>
          <w:u w:val="single"/>
        </w:rPr>
        <w:softHyphen/>
      </w:r>
      <w:r>
        <w:rPr>
          <w:rFonts w:hint="eastAsia" w:ascii="仿宋" w:hAnsi="仿宋" w:eastAsia="仿宋" w:cs="宋体"/>
          <w:color w:val="auto"/>
          <w:kern w:val="0"/>
          <w:szCs w:val="21"/>
          <w:highlight w:val="none"/>
          <w:u w:val="single"/>
        </w:rPr>
        <w:t xml:space="preserve"> </w:t>
      </w:r>
      <w:r>
        <w:rPr>
          <w:rFonts w:hint="eastAsia" w:ascii="仿宋" w:hAnsi="仿宋" w:eastAsia="仿宋" w:cs="宋体"/>
          <w:color w:val="auto"/>
          <w:kern w:val="0"/>
          <w:szCs w:val="21"/>
          <w:highlight w:val="none"/>
        </w:rPr>
        <w:t>）的约定，我单位对（</w:t>
      </w:r>
      <w:r>
        <w:rPr>
          <w:rFonts w:hint="eastAsia" w:ascii="仿宋" w:hAnsi="仿宋" w:eastAsia="仿宋" w:cs="宋体"/>
          <w:color w:val="auto"/>
          <w:kern w:val="0"/>
          <w:szCs w:val="21"/>
          <w:highlight w:val="none"/>
          <w:u w:val="single"/>
        </w:rPr>
        <w:t xml:space="preserve"> 项目名称 </w:t>
      </w:r>
      <w:r>
        <w:rPr>
          <w:rFonts w:hint="eastAsia" w:ascii="仿宋" w:hAnsi="仿宋" w:eastAsia="仿宋" w:cs="宋体"/>
          <w:color w:val="auto"/>
          <w:kern w:val="0"/>
          <w:szCs w:val="21"/>
          <w:highlight w:val="none"/>
        </w:rPr>
        <w:t>） 政府采购项目成交供应商（</w:t>
      </w:r>
      <w:r>
        <w:rPr>
          <w:rFonts w:hint="eastAsia" w:ascii="仿宋" w:hAnsi="仿宋" w:eastAsia="仿宋" w:cs="宋体"/>
          <w:color w:val="auto"/>
          <w:kern w:val="0"/>
          <w:szCs w:val="21"/>
          <w:highlight w:val="none"/>
          <w:u w:val="single"/>
        </w:rPr>
        <w:t xml:space="preserve"> 公司名称 </w:t>
      </w:r>
      <w:r>
        <w:rPr>
          <w:rFonts w:hint="eastAsia" w:ascii="仿宋" w:hAnsi="仿宋" w:eastAsia="仿宋" w:cs="宋体"/>
          <w:color w:val="auto"/>
          <w:kern w:val="0"/>
          <w:szCs w:val="21"/>
          <w:highlight w:val="none"/>
        </w:rPr>
        <w:t>） 提供的货物（或者工程、服务）进行了验收，验收情况如下：</w:t>
      </w:r>
    </w:p>
    <w:tbl>
      <w:tblPr>
        <w:tblStyle w:val="30"/>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金额</w:t>
            </w: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万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元</w:t>
            </w:r>
          </w:p>
        </w:tc>
      </w:tr>
      <w:tr>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421"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11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竞争性谈判文件、竞标响应文件及验收方案等进行验收；并核对成交供应商在安装调试等方面是否违反合同约定或者服务规范要求、提供的质量保证证明材料是否齐全、应有的配件及附件是否达到合同约定等。可附件)</w:t>
            </w:r>
          </w:p>
        </w:tc>
      </w:tr>
      <w:tr>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Verdana" w:hAnsi="Verdana"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w:t>
            </w:r>
            <w:r>
              <w:rPr>
                <w:rFonts w:hint="eastAsia" w:ascii="Verdana" w:hAnsi="Verdana" w:cs="宋体"/>
                <w:color w:val="auto"/>
                <w:kern w:val="0"/>
                <w:szCs w:val="21"/>
                <w:highlight w:val="none"/>
              </w:rPr>
              <w:t>其他</w:t>
            </w:r>
            <w:r>
              <w:rPr>
                <w:rFonts w:ascii="Verdana" w:hAnsi="Verdana" w:cs="宋体"/>
                <w:color w:val="auto"/>
                <w:kern w:val="0"/>
                <w:szCs w:val="21"/>
                <w:highlight w:val="none"/>
              </w:rPr>
              <w:t>相关人员签字：</w:t>
            </w:r>
          </w:p>
          <w:p>
            <w:pPr>
              <w:widowControl/>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成交供应商负责人签字或者盖章：</w:t>
            </w:r>
          </w:p>
          <w:p>
            <w:pPr>
              <w:widowControl/>
              <w:spacing w:before="100" w:beforeAutospacing="1" w:after="100" w:afterAutospacing="1" w:line="320" w:lineRule="atLeast"/>
              <w:jc w:val="left"/>
              <w:rPr>
                <w:rFonts w:ascii="Verdana" w:hAnsi="Verdana" w:cs="宋体"/>
                <w:color w:val="auto"/>
                <w:kern w:val="0"/>
                <w:szCs w:val="21"/>
                <w:highlight w:val="none"/>
              </w:rPr>
            </w:pPr>
          </w:p>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w:t>
            </w:r>
          </w:p>
          <w:p>
            <w:pPr>
              <w:widowControl/>
              <w:spacing w:before="100" w:beforeAutospacing="1" w:after="100" w:afterAutospacing="1" w:line="320" w:lineRule="atLeast"/>
              <w:ind w:firstLine="2730" w:firstLineChars="1300"/>
              <w:jc w:val="left"/>
              <w:rPr>
                <w:rFonts w:ascii="Verdana" w:hAnsi="Verdana" w:cs="宋体"/>
                <w:color w:val="auto"/>
                <w:kern w:val="0"/>
                <w:szCs w:val="21"/>
                <w:highlight w:val="none"/>
              </w:rPr>
            </w:pP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日</w:t>
            </w:r>
          </w:p>
        </w:tc>
        <w:tc>
          <w:tcPr>
            <w:tcW w:w="4293" w:type="dxa"/>
            <w:gridSpan w:val="4"/>
            <w:tcBorders>
              <w:top w:val="nil"/>
              <w:left w:val="single" w:color="auto" w:sz="4" w:space="0"/>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p>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p>
          <w:p>
            <w:pPr>
              <w:widowControl/>
              <w:spacing w:before="100" w:beforeAutospacing="1" w:after="100" w:afterAutospacing="1" w:line="320" w:lineRule="atLeast"/>
              <w:ind w:firstLine="2100" w:firstLineChars="1000"/>
              <w:jc w:val="left"/>
              <w:rPr>
                <w:rFonts w:ascii="Verdana" w:hAnsi="Verdana" w:cs="宋体"/>
                <w:color w:val="auto"/>
                <w:kern w:val="0"/>
                <w:szCs w:val="21"/>
                <w:highlight w:val="none"/>
              </w:rPr>
            </w:pP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日</w:t>
            </w:r>
          </w:p>
        </w:tc>
      </w:tr>
    </w:tbl>
    <w:p>
      <w:pPr>
        <w:pStyle w:val="19"/>
        <w:snapToGrid w:val="0"/>
        <w:rPr>
          <w:rFonts w:hAnsi="宋体"/>
          <w:color w:val="auto"/>
          <w:highlight w:val="none"/>
        </w:rPr>
      </w:pPr>
      <w:r>
        <w:rPr>
          <w:rFonts w:hAnsi="宋体"/>
          <w:color w:val="auto"/>
          <w:highlight w:val="none"/>
        </w:rPr>
        <w:br w:type="page"/>
      </w:r>
    </w:p>
    <w:p>
      <w:pPr>
        <w:rPr>
          <w:rFonts w:ascii="宋体" w:hAnsi="宋体" w:cs="宋体"/>
          <w:color w:val="auto"/>
          <w:sz w:val="28"/>
          <w:szCs w:val="28"/>
          <w:highlight w:val="none"/>
        </w:rPr>
      </w:pPr>
      <w:r>
        <w:rPr>
          <w:rFonts w:hint="eastAsia" w:ascii="宋体" w:hAnsi="宋体" w:cs="宋体"/>
          <w:color w:val="auto"/>
          <w:sz w:val="28"/>
          <w:szCs w:val="28"/>
          <w:highlight w:val="none"/>
        </w:rPr>
        <w:t>4.政府采购项目履约保证金退付意见书的格式：</w:t>
      </w:r>
    </w:p>
    <w:p>
      <w:pPr>
        <w:rPr>
          <w:rFonts w:ascii="宋体" w:hAnsi="宋体" w:cs="宋体"/>
          <w:color w:val="auto"/>
          <w:sz w:val="28"/>
          <w:szCs w:val="28"/>
          <w:highlight w:val="none"/>
        </w:rPr>
      </w:pPr>
    </w:p>
    <w:p>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政府采购项目履约保证金退付意见书（参考）</w:t>
      </w:r>
    </w:p>
    <w:p>
      <w:pPr>
        <w:jc w:val="center"/>
        <w:rPr>
          <w:rFonts w:ascii="黑体" w:hAnsi="黑体" w:eastAsia="黑体"/>
          <w:color w:val="auto"/>
          <w:sz w:val="36"/>
          <w:szCs w:val="36"/>
          <w:highlight w:val="none"/>
        </w:rPr>
      </w:pPr>
    </w:p>
    <w:tbl>
      <w:tblPr>
        <w:tblStyle w:val="30"/>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pPr>
              <w:jc w:val="center"/>
              <w:rPr>
                <w:color w:val="auto"/>
                <w:sz w:val="24"/>
                <w:highlight w:val="none"/>
              </w:rPr>
            </w:pPr>
            <w:r>
              <w:rPr>
                <w:rFonts w:hint="eastAsia"/>
                <w:color w:val="auto"/>
                <w:sz w:val="24"/>
                <w:highlight w:val="none"/>
              </w:rPr>
              <w:t>供</w:t>
            </w:r>
          </w:p>
          <w:p>
            <w:pPr>
              <w:jc w:val="center"/>
              <w:rPr>
                <w:color w:val="auto"/>
                <w:sz w:val="24"/>
                <w:highlight w:val="none"/>
              </w:rPr>
            </w:pPr>
            <w:r>
              <w:rPr>
                <w:rFonts w:hint="eastAsia"/>
                <w:color w:val="auto"/>
                <w:sz w:val="24"/>
                <w:highlight w:val="none"/>
              </w:rPr>
              <w:t>应</w:t>
            </w:r>
          </w:p>
          <w:p>
            <w:pPr>
              <w:jc w:val="center"/>
              <w:rPr>
                <w:color w:val="auto"/>
                <w:sz w:val="24"/>
                <w:highlight w:val="none"/>
              </w:rPr>
            </w:pPr>
            <w:r>
              <w:rPr>
                <w:rFonts w:hint="eastAsia"/>
                <w:color w:val="auto"/>
                <w:sz w:val="24"/>
                <w:highlight w:val="none"/>
              </w:rPr>
              <w:t>商</w:t>
            </w:r>
          </w:p>
          <w:p>
            <w:pPr>
              <w:jc w:val="center"/>
              <w:rPr>
                <w:color w:val="auto"/>
                <w:sz w:val="24"/>
                <w:highlight w:val="none"/>
              </w:rPr>
            </w:pPr>
            <w:r>
              <w:rPr>
                <w:rFonts w:hint="eastAsia"/>
                <w:color w:val="auto"/>
                <w:sz w:val="24"/>
                <w:highlight w:val="none"/>
              </w:rPr>
              <w:t>申</w:t>
            </w:r>
          </w:p>
          <w:p>
            <w:pPr>
              <w:jc w:val="center"/>
              <w:rPr>
                <w:color w:val="auto"/>
                <w:sz w:val="24"/>
                <w:highlight w:val="none"/>
              </w:rPr>
            </w:pPr>
            <w:r>
              <w:rPr>
                <w:rFonts w:hint="eastAsia"/>
                <w:color w:val="auto"/>
                <w:sz w:val="24"/>
                <w:highlight w:val="none"/>
              </w:rPr>
              <w:t>请</w:t>
            </w:r>
          </w:p>
        </w:tc>
        <w:tc>
          <w:tcPr>
            <w:tcW w:w="8009" w:type="dxa"/>
            <w:vAlign w:val="center"/>
          </w:tcPr>
          <w:p>
            <w:pPr>
              <w:rPr>
                <w:color w:val="auto"/>
                <w:sz w:val="24"/>
                <w:highlight w:val="none"/>
              </w:rPr>
            </w:pPr>
            <w:r>
              <w:rPr>
                <w:rFonts w:hint="eastAsia"/>
                <w:color w:val="auto"/>
                <w:sz w:val="24"/>
                <w:highlight w:val="none"/>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pPr>
              <w:rPr>
                <w:color w:val="auto"/>
                <w:sz w:val="24"/>
                <w:highlight w:val="none"/>
              </w:rPr>
            </w:pPr>
          </w:p>
        </w:tc>
        <w:tc>
          <w:tcPr>
            <w:tcW w:w="8009" w:type="dxa"/>
            <w:vAlign w:val="center"/>
          </w:tcPr>
          <w:p>
            <w:pPr>
              <w:rPr>
                <w:color w:val="auto"/>
                <w:sz w:val="24"/>
                <w:highlight w:val="none"/>
              </w:rPr>
            </w:pPr>
            <w:r>
              <w:rPr>
                <w:rFonts w:hint="eastAsia"/>
                <w:color w:val="auto"/>
                <w:sz w:val="24"/>
                <w:highlight w:val="none"/>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pPr>
              <w:rPr>
                <w:color w:val="auto"/>
                <w:sz w:val="24"/>
                <w:highlight w:val="none"/>
              </w:rPr>
            </w:pPr>
          </w:p>
        </w:tc>
        <w:tc>
          <w:tcPr>
            <w:tcW w:w="8009" w:type="dxa"/>
          </w:tcPr>
          <w:p>
            <w:pPr>
              <w:rPr>
                <w:color w:val="auto"/>
                <w:sz w:val="24"/>
                <w:highlight w:val="none"/>
              </w:rPr>
            </w:pPr>
            <w:r>
              <w:rPr>
                <w:rFonts w:hint="eastAsia"/>
                <w:color w:val="auto"/>
                <w:sz w:val="24"/>
                <w:highlight w:val="none"/>
              </w:rPr>
              <w:t xml:space="preserve">  </w:t>
            </w:r>
          </w:p>
          <w:p>
            <w:pPr>
              <w:ind w:firstLine="480" w:firstLineChars="200"/>
              <w:rPr>
                <w:color w:val="auto"/>
                <w:sz w:val="24"/>
                <w:highlight w:val="none"/>
              </w:rPr>
            </w:pPr>
            <w:r>
              <w:rPr>
                <w:rFonts w:hint="eastAsia"/>
                <w:color w:val="auto"/>
                <w:sz w:val="24"/>
                <w:highlight w:val="none"/>
              </w:rPr>
              <w:t>该项目已于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日验收并交付使用。根据合同规定，该项目的履约保证金期限于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日已满，请将履约保证金</w:t>
            </w:r>
          </w:p>
          <w:p>
            <w:pPr>
              <w:rPr>
                <w:color w:val="auto"/>
                <w:sz w:val="24"/>
                <w:highlight w:val="none"/>
              </w:rPr>
            </w:pPr>
            <w:r>
              <w:rPr>
                <w:rFonts w:hint="eastAsia"/>
                <w:color w:val="auto"/>
                <w:sz w:val="24"/>
                <w:highlight w:val="none"/>
              </w:rPr>
              <w:t>（大写）人民币</w:t>
            </w:r>
            <w:r>
              <w:rPr>
                <w:rFonts w:hint="eastAsia"/>
                <w:color w:val="auto"/>
                <w:sz w:val="24"/>
                <w:highlight w:val="none"/>
                <w:u w:val="single"/>
              </w:rPr>
              <w:t xml:space="preserve">                              </w:t>
            </w: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退付到达以下账户。</w:t>
            </w:r>
          </w:p>
          <w:p>
            <w:pPr>
              <w:rPr>
                <w:color w:val="auto"/>
                <w:sz w:val="24"/>
                <w:highlight w:val="none"/>
              </w:rPr>
            </w:pPr>
            <w:r>
              <w:rPr>
                <w:rFonts w:hint="eastAsia"/>
                <w:color w:val="auto"/>
                <w:sz w:val="24"/>
                <w:highlight w:val="none"/>
              </w:rPr>
              <w:t>单位名称：</w:t>
            </w:r>
          </w:p>
          <w:p>
            <w:pPr>
              <w:rPr>
                <w:color w:val="auto"/>
                <w:sz w:val="24"/>
                <w:highlight w:val="none"/>
              </w:rPr>
            </w:pPr>
            <w:r>
              <w:rPr>
                <w:rFonts w:hint="eastAsia"/>
                <w:color w:val="auto"/>
                <w:sz w:val="24"/>
                <w:highlight w:val="none"/>
              </w:rPr>
              <w:t>开户银行：</w:t>
            </w:r>
          </w:p>
          <w:p>
            <w:pPr>
              <w:rPr>
                <w:color w:val="auto"/>
                <w:sz w:val="24"/>
                <w:highlight w:val="none"/>
              </w:rPr>
            </w:pPr>
            <w:r>
              <w:rPr>
                <w:rFonts w:hint="eastAsia"/>
                <w:color w:val="auto"/>
                <w:sz w:val="24"/>
                <w:highlight w:val="none"/>
              </w:rPr>
              <w:t>账    号：</w:t>
            </w:r>
          </w:p>
          <w:p>
            <w:pPr>
              <w:rPr>
                <w:color w:val="auto"/>
                <w:sz w:val="24"/>
                <w:highlight w:val="none"/>
              </w:rPr>
            </w:pPr>
            <w:r>
              <w:rPr>
                <w:rFonts w:hint="eastAsia"/>
                <w:color w:val="auto"/>
                <w:sz w:val="24"/>
                <w:highlight w:val="none"/>
              </w:rPr>
              <w:t>联系人及电话：</w:t>
            </w:r>
          </w:p>
          <w:p>
            <w:pPr>
              <w:rPr>
                <w:color w:val="auto"/>
                <w:sz w:val="24"/>
                <w:highlight w:val="none"/>
              </w:rPr>
            </w:pPr>
          </w:p>
          <w:p>
            <w:pPr>
              <w:jc w:val="center"/>
              <w:rPr>
                <w:color w:val="auto"/>
                <w:sz w:val="24"/>
                <w:highlight w:val="none"/>
              </w:rPr>
            </w:pPr>
            <w:r>
              <w:rPr>
                <w:rFonts w:hint="eastAsia"/>
                <w:color w:val="auto"/>
                <w:sz w:val="24"/>
                <w:highlight w:val="none"/>
              </w:rPr>
              <w:t xml:space="preserve">                           供应商签章：</w:t>
            </w:r>
          </w:p>
          <w:p>
            <w:pPr>
              <w:jc w:val="center"/>
              <w:rPr>
                <w:color w:val="auto"/>
                <w:sz w:val="24"/>
                <w:highlight w:val="none"/>
              </w:rPr>
            </w:pPr>
            <w:r>
              <w:rPr>
                <w:rFonts w:hint="eastAsia"/>
                <w:color w:val="auto"/>
                <w:sz w:val="24"/>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pPr>
              <w:jc w:val="center"/>
              <w:rPr>
                <w:color w:val="auto"/>
                <w:sz w:val="24"/>
                <w:highlight w:val="none"/>
              </w:rPr>
            </w:pPr>
            <w:r>
              <w:rPr>
                <w:rFonts w:hint="eastAsia"/>
                <w:color w:val="auto"/>
                <w:sz w:val="24"/>
                <w:highlight w:val="none"/>
              </w:rPr>
              <w:t>采</w:t>
            </w:r>
          </w:p>
          <w:p>
            <w:pPr>
              <w:jc w:val="center"/>
              <w:rPr>
                <w:color w:val="auto"/>
                <w:sz w:val="24"/>
                <w:highlight w:val="none"/>
              </w:rPr>
            </w:pPr>
            <w:r>
              <w:rPr>
                <w:rFonts w:hint="eastAsia"/>
                <w:color w:val="auto"/>
                <w:sz w:val="24"/>
                <w:highlight w:val="none"/>
              </w:rPr>
              <w:t>购</w:t>
            </w:r>
          </w:p>
          <w:p>
            <w:pPr>
              <w:jc w:val="center"/>
              <w:rPr>
                <w:color w:val="auto"/>
                <w:sz w:val="24"/>
                <w:highlight w:val="none"/>
              </w:rPr>
            </w:pPr>
            <w:r>
              <w:rPr>
                <w:rFonts w:hint="eastAsia"/>
                <w:color w:val="auto"/>
                <w:sz w:val="24"/>
                <w:highlight w:val="none"/>
              </w:rPr>
              <w:t>单</w:t>
            </w:r>
          </w:p>
          <w:p>
            <w:pPr>
              <w:jc w:val="center"/>
              <w:rPr>
                <w:color w:val="auto"/>
                <w:sz w:val="24"/>
                <w:highlight w:val="none"/>
              </w:rPr>
            </w:pPr>
            <w:r>
              <w:rPr>
                <w:rFonts w:hint="eastAsia"/>
                <w:color w:val="auto"/>
                <w:sz w:val="24"/>
                <w:highlight w:val="none"/>
              </w:rPr>
              <w:t>位</w:t>
            </w:r>
          </w:p>
          <w:p>
            <w:pPr>
              <w:jc w:val="center"/>
              <w:rPr>
                <w:color w:val="auto"/>
                <w:sz w:val="24"/>
                <w:highlight w:val="none"/>
              </w:rPr>
            </w:pPr>
            <w:r>
              <w:rPr>
                <w:rFonts w:hint="eastAsia"/>
                <w:color w:val="auto"/>
                <w:sz w:val="24"/>
                <w:highlight w:val="none"/>
              </w:rPr>
              <w:t>意</w:t>
            </w:r>
          </w:p>
          <w:p>
            <w:pPr>
              <w:jc w:val="center"/>
              <w:rPr>
                <w:color w:val="auto"/>
                <w:sz w:val="24"/>
                <w:highlight w:val="none"/>
              </w:rPr>
            </w:pPr>
            <w:r>
              <w:rPr>
                <w:rFonts w:hint="eastAsia"/>
                <w:color w:val="auto"/>
                <w:sz w:val="24"/>
                <w:highlight w:val="none"/>
              </w:rPr>
              <w:t>见</w:t>
            </w:r>
          </w:p>
        </w:tc>
        <w:tc>
          <w:tcPr>
            <w:tcW w:w="8009" w:type="dxa"/>
          </w:tcPr>
          <w:p>
            <w:pPr>
              <w:rPr>
                <w:color w:val="auto"/>
                <w:sz w:val="24"/>
                <w:highlight w:val="none"/>
              </w:rPr>
            </w:pPr>
          </w:p>
          <w:p>
            <w:pPr>
              <w:rPr>
                <w:color w:val="auto"/>
                <w:sz w:val="24"/>
                <w:highlight w:val="none"/>
              </w:rPr>
            </w:pPr>
            <w:r>
              <w:rPr>
                <w:rFonts w:hint="eastAsia"/>
                <w:color w:val="auto"/>
                <w:sz w:val="24"/>
                <w:highlight w:val="none"/>
              </w:rPr>
              <w:t>退付意见：是否同意退付履约保证金及退付金额：</w:t>
            </w:r>
          </w:p>
          <w:p>
            <w:pPr>
              <w:rPr>
                <w:color w:val="auto"/>
                <w:sz w:val="24"/>
                <w:highlight w:val="none"/>
              </w:rPr>
            </w:pPr>
          </w:p>
          <w:p>
            <w:pPr>
              <w:rPr>
                <w:color w:val="auto"/>
                <w:sz w:val="24"/>
                <w:highlight w:val="none"/>
              </w:rPr>
            </w:pPr>
          </w:p>
          <w:p>
            <w:pPr>
              <w:rPr>
                <w:color w:val="auto"/>
                <w:sz w:val="24"/>
                <w:highlight w:val="none"/>
              </w:rPr>
            </w:pPr>
            <w:r>
              <w:rPr>
                <w:rFonts w:hint="eastAsia"/>
                <w:color w:val="auto"/>
                <w:sz w:val="24"/>
                <w:highlight w:val="none"/>
              </w:rPr>
              <w:t xml:space="preserve">联系人及电话：                                </w:t>
            </w:r>
          </w:p>
          <w:p>
            <w:pPr>
              <w:rPr>
                <w:color w:val="auto"/>
                <w:sz w:val="24"/>
                <w:highlight w:val="none"/>
              </w:rPr>
            </w:pPr>
          </w:p>
          <w:p>
            <w:pPr>
              <w:ind w:firstLine="4560" w:firstLineChars="1900"/>
              <w:rPr>
                <w:color w:val="auto"/>
                <w:sz w:val="24"/>
                <w:highlight w:val="none"/>
              </w:rPr>
            </w:pPr>
            <w:r>
              <w:rPr>
                <w:rFonts w:hint="eastAsia"/>
                <w:color w:val="auto"/>
                <w:sz w:val="24"/>
                <w:highlight w:val="none"/>
              </w:rPr>
              <w:t xml:space="preserve"> 采购单位签章：</w:t>
            </w:r>
          </w:p>
          <w:p>
            <w:pPr>
              <w:jc w:val="center"/>
              <w:rPr>
                <w:color w:val="auto"/>
                <w:sz w:val="24"/>
                <w:highlight w:val="none"/>
              </w:rPr>
            </w:pPr>
            <w:r>
              <w:rPr>
                <w:rFonts w:hint="eastAsia"/>
                <w:color w:val="auto"/>
                <w:sz w:val="24"/>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pPr>
              <w:jc w:val="center"/>
              <w:rPr>
                <w:color w:val="auto"/>
                <w:sz w:val="24"/>
                <w:highlight w:val="none"/>
              </w:rPr>
            </w:pPr>
            <w:r>
              <w:rPr>
                <w:rFonts w:hint="eastAsia"/>
                <w:color w:val="auto"/>
                <w:sz w:val="24"/>
                <w:highlight w:val="none"/>
              </w:rPr>
              <w:t>财</w:t>
            </w:r>
          </w:p>
          <w:p>
            <w:pPr>
              <w:jc w:val="center"/>
              <w:rPr>
                <w:color w:val="auto"/>
                <w:sz w:val="24"/>
                <w:highlight w:val="none"/>
              </w:rPr>
            </w:pPr>
            <w:r>
              <w:rPr>
                <w:rFonts w:hint="eastAsia"/>
                <w:color w:val="auto"/>
                <w:sz w:val="24"/>
                <w:highlight w:val="none"/>
              </w:rPr>
              <w:t>务</w:t>
            </w:r>
          </w:p>
          <w:p>
            <w:pPr>
              <w:jc w:val="center"/>
              <w:rPr>
                <w:color w:val="auto"/>
                <w:sz w:val="24"/>
                <w:highlight w:val="none"/>
              </w:rPr>
            </w:pPr>
            <w:r>
              <w:rPr>
                <w:rFonts w:hint="eastAsia"/>
                <w:color w:val="auto"/>
                <w:sz w:val="24"/>
                <w:highlight w:val="none"/>
              </w:rPr>
              <w:t>部</w:t>
            </w:r>
          </w:p>
          <w:p>
            <w:pPr>
              <w:jc w:val="center"/>
              <w:rPr>
                <w:color w:val="auto"/>
                <w:sz w:val="24"/>
                <w:highlight w:val="none"/>
              </w:rPr>
            </w:pPr>
            <w:r>
              <w:rPr>
                <w:rFonts w:hint="eastAsia"/>
                <w:color w:val="auto"/>
                <w:sz w:val="24"/>
                <w:highlight w:val="none"/>
              </w:rPr>
              <w:t>门</w:t>
            </w:r>
          </w:p>
          <w:p>
            <w:pPr>
              <w:jc w:val="center"/>
              <w:rPr>
                <w:color w:val="auto"/>
                <w:sz w:val="24"/>
                <w:highlight w:val="none"/>
              </w:rPr>
            </w:pPr>
            <w:r>
              <w:rPr>
                <w:rFonts w:hint="eastAsia"/>
                <w:color w:val="auto"/>
                <w:sz w:val="24"/>
                <w:highlight w:val="none"/>
              </w:rPr>
              <w:t>意</w:t>
            </w:r>
          </w:p>
          <w:p>
            <w:pPr>
              <w:jc w:val="center"/>
              <w:rPr>
                <w:color w:val="auto"/>
                <w:sz w:val="24"/>
                <w:highlight w:val="none"/>
              </w:rPr>
            </w:pPr>
            <w:r>
              <w:rPr>
                <w:rFonts w:hint="eastAsia"/>
                <w:color w:val="auto"/>
                <w:sz w:val="24"/>
                <w:highlight w:val="none"/>
              </w:rPr>
              <w:t>见</w:t>
            </w:r>
          </w:p>
        </w:tc>
        <w:tc>
          <w:tcPr>
            <w:tcW w:w="8009" w:type="dxa"/>
          </w:tcPr>
          <w:p>
            <w:pPr>
              <w:rPr>
                <w:color w:val="auto"/>
                <w:sz w:val="24"/>
                <w:highlight w:val="none"/>
              </w:rPr>
            </w:pPr>
            <w:r>
              <w:rPr>
                <w:rFonts w:hint="eastAsia"/>
                <w:color w:val="auto"/>
                <w:sz w:val="24"/>
                <w:highlight w:val="none"/>
              </w:rPr>
              <w:t>此表于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日收到。</w:t>
            </w:r>
          </w:p>
          <w:p>
            <w:pPr>
              <w:rPr>
                <w:color w:val="auto"/>
                <w:sz w:val="24"/>
                <w:highlight w:val="none"/>
              </w:rPr>
            </w:pPr>
          </w:p>
          <w:p>
            <w:pPr>
              <w:rPr>
                <w:color w:val="auto"/>
                <w:sz w:val="24"/>
                <w:highlight w:val="none"/>
              </w:rPr>
            </w:pPr>
            <w:r>
              <w:rPr>
                <w:rFonts w:hint="eastAsia"/>
                <w:color w:val="auto"/>
                <w:sz w:val="24"/>
                <w:highlight w:val="none"/>
              </w:rPr>
              <w:t>会计审核：</w:t>
            </w:r>
          </w:p>
          <w:p>
            <w:pPr>
              <w:rPr>
                <w:color w:val="auto"/>
                <w:sz w:val="24"/>
                <w:highlight w:val="none"/>
              </w:rPr>
            </w:pPr>
          </w:p>
          <w:p>
            <w:pPr>
              <w:rPr>
                <w:color w:val="auto"/>
                <w:sz w:val="24"/>
                <w:highlight w:val="none"/>
              </w:rPr>
            </w:pPr>
            <w:r>
              <w:rPr>
                <w:rFonts w:hint="eastAsia"/>
                <w:color w:val="auto"/>
                <w:sz w:val="24"/>
                <w:highlight w:val="none"/>
              </w:rPr>
              <w:t>财务负责人审核：</w:t>
            </w:r>
          </w:p>
          <w:p>
            <w:pPr>
              <w:rPr>
                <w:color w:val="auto"/>
                <w:sz w:val="24"/>
                <w:highlight w:val="none"/>
              </w:rPr>
            </w:pPr>
          </w:p>
          <w:p>
            <w:pPr>
              <w:rPr>
                <w:color w:val="auto"/>
                <w:sz w:val="24"/>
                <w:highlight w:val="none"/>
              </w:rPr>
            </w:pPr>
            <w:r>
              <w:rPr>
                <w:rFonts w:hint="eastAsia"/>
                <w:color w:val="auto"/>
                <w:sz w:val="24"/>
                <w:highlight w:val="none"/>
              </w:rPr>
              <w:t>单位负责人签字：</w:t>
            </w:r>
          </w:p>
          <w:p>
            <w:pPr>
              <w:rPr>
                <w:color w:val="auto"/>
                <w:sz w:val="24"/>
                <w:highlight w:val="none"/>
              </w:rPr>
            </w:pPr>
          </w:p>
          <w:p>
            <w:pPr>
              <w:rPr>
                <w:color w:val="auto"/>
                <w:sz w:val="24"/>
                <w:highlight w:val="none"/>
              </w:rPr>
            </w:pPr>
            <w:r>
              <w:rPr>
                <w:rFonts w:hint="eastAsia"/>
                <w:color w:val="auto"/>
                <w:sz w:val="24"/>
                <w:highlight w:val="none"/>
              </w:rPr>
              <w:t>出纳办理转账日期：</w:t>
            </w:r>
          </w:p>
        </w:tc>
      </w:tr>
    </w:tbl>
    <w:p>
      <w:pPr>
        <w:pStyle w:val="15"/>
        <w:ind w:left="1" w:firstLine="2" w:firstLineChars="1"/>
        <w:rPr>
          <w:rFonts w:ascii="宋体"/>
          <w:b/>
          <w:bCs/>
          <w:color w:val="auto"/>
          <w:sz w:val="18"/>
          <w:szCs w:val="18"/>
          <w:highlight w:val="none"/>
        </w:rPr>
      </w:pPr>
    </w:p>
    <w:p>
      <w:pPr>
        <w:pStyle w:val="15"/>
        <w:ind w:left="1" w:firstLine="2" w:firstLineChars="1"/>
        <w:rPr>
          <w:rFonts w:ascii="宋体"/>
          <w:b/>
          <w:bCs/>
          <w:color w:val="auto"/>
          <w:sz w:val="18"/>
          <w:szCs w:val="18"/>
          <w:highlight w:val="none"/>
        </w:rPr>
      </w:pPr>
      <w:r>
        <w:rPr>
          <w:rFonts w:hint="eastAsia" w:ascii="宋体"/>
          <w:b/>
          <w:bCs/>
          <w:color w:val="auto"/>
          <w:sz w:val="18"/>
          <w:szCs w:val="18"/>
          <w:highlight w:val="none"/>
        </w:rPr>
        <w:t>注：供应商凭经采购人审批的退付意见书到履约保证金收取单位财务部门办理履约保证金退付事宜。</w:t>
      </w:r>
    </w:p>
    <w:p>
      <w:pPr>
        <w:pStyle w:val="2"/>
        <w:rPr>
          <w:rFonts w:ascii="宋体" w:hAnsi="宋体" w:cs="仿宋_GB2312"/>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rPr>
          <w:rFonts w:hint="eastAsia" w:ascii="宋体" w:hAnsi="宋体" w:cs="宋体"/>
          <w:color w:val="auto"/>
          <w:sz w:val="28"/>
          <w:szCs w:val="28"/>
          <w:highlight w:val="none"/>
        </w:rPr>
      </w:pP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配置清单</w:t>
      </w:r>
    </w:p>
    <w:p>
      <w:pPr>
        <w:spacing w:line="480" w:lineRule="exact"/>
        <w:ind w:firstLine="880"/>
        <w:jc w:val="center"/>
        <w:rPr>
          <w:rFonts w:ascii="宋体" w:hAnsi="宋体" w:cs="宋体"/>
          <w:b/>
          <w:color w:val="auto"/>
          <w:sz w:val="32"/>
          <w:szCs w:val="32"/>
          <w:highlight w:val="none"/>
        </w:rPr>
      </w:pPr>
      <w:r>
        <w:rPr>
          <w:rFonts w:hint="eastAsia" w:ascii="宋体" w:hAnsi="宋体" w:cs="宋体"/>
          <w:b/>
          <w:color w:val="auto"/>
          <w:sz w:val="32"/>
          <w:szCs w:val="32"/>
          <w:highlight w:val="none"/>
        </w:rPr>
        <w:t>配置清单</w:t>
      </w:r>
    </w:p>
    <w:p>
      <w:pPr>
        <w:spacing w:line="300" w:lineRule="auto"/>
        <w:rPr>
          <w:rFonts w:ascii="宋体" w:hAnsi="宋体" w:cs="宋体"/>
          <w:color w:val="auto"/>
          <w:szCs w:val="21"/>
          <w:highlight w:val="none"/>
        </w:rPr>
      </w:pPr>
    </w:p>
    <w:p>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pPr>
        <w:snapToGrid w:val="0"/>
        <w:spacing w:before="50" w:after="5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pPr>
        <w:pStyle w:val="2"/>
        <w:rPr>
          <w:rFonts w:hint="eastAsia" w:ascii="宋体" w:hAnsi="宋体" w:eastAsia="宋体" w:cs="宋体"/>
          <w:color w:val="auto"/>
          <w:sz w:val="24"/>
          <w:szCs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pStyle w:val="2"/>
        <w:rPr>
          <w:rFonts w:hint="eastAsia"/>
        </w:rPr>
      </w:pPr>
    </w:p>
    <w:tbl>
      <w:tblPr>
        <w:tblStyle w:val="30"/>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
        <w:gridCol w:w="1371"/>
        <w:gridCol w:w="1170"/>
        <w:gridCol w:w="1032"/>
        <w:gridCol w:w="1638"/>
        <w:gridCol w:w="1371"/>
        <w:gridCol w:w="811"/>
        <w:gridCol w:w="16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hint="eastAsia" w:ascii="宋体" w:hAnsi="宋体" w:cs="宋体" w:eastAsiaTheme="minorEastAsia"/>
                <w:color w:val="auto"/>
                <w:sz w:val="24"/>
                <w:highlight w:val="none"/>
                <w:lang w:val="en-US" w:eastAsia="zh-CN"/>
              </w:rPr>
            </w:pPr>
            <w:r>
              <w:rPr>
                <w:rFonts w:hint="eastAsia" w:ascii="宋体" w:hAnsi="宋体" w:cs="宋体"/>
                <w:color w:val="auto"/>
                <w:sz w:val="24"/>
                <w:highlight w:val="none"/>
                <w:lang w:val="en-US" w:eastAsia="zh-CN"/>
              </w:rPr>
              <w:t>序号</w:t>
            </w:r>
          </w:p>
        </w:tc>
        <w:tc>
          <w:tcPr>
            <w:tcW w:w="695"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cs="宋体"/>
                <w:color w:val="auto"/>
                <w:sz w:val="24"/>
                <w:highlight w:val="none"/>
              </w:rPr>
            </w:pPr>
            <w:r>
              <w:rPr>
                <w:rFonts w:hint="eastAsia" w:ascii="宋体" w:hAnsi="宋体" w:cs="宋体"/>
                <w:color w:val="auto"/>
                <w:sz w:val="24"/>
                <w:highlight w:val="none"/>
              </w:rPr>
              <w:t>名称</w:t>
            </w:r>
          </w:p>
        </w:tc>
        <w:tc>
          <w:tcPr>
            <w:tcW w:w="593"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cs="宋体"/>
                <w:color w:val="auto"/>
                <w:sz w:val="24"/>
                <w:highlight w:val="none"/>
              </w:rPr>
            </w:pPr>
            <w:r>
              <w:rPr>
                <w:rFonts w:hint="eastAsia" w:ascii="宋体" w:hAnsi="宋体" w:cs="宋体"/>
                <w:color w:val="auto"/>
                <w:sz w:val="24"/>
                <w:highlight w:val="none"/>
              </w:rPr>
              <w:t>数量及单位</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cs="宋体"/>
                <w:color w:val="auto"/>
                <w:sz w:val="24"/>
                <w:highlight w:val="none"/>
              </w:rPr>
            </w:pPr>
            <w:r>
              <w:rPr>
                <w:rFonts w:hint="eastAsia" w:ascii="宋体" w:hAnsi="宋体" w:cs="宋体"/>
                <w:color w:val="auto"/>
                <w:sz w:val="24"/>
                <w:highlight w:val="none"/>
              </w:rPr>
              <w:t>品牌</w:t>
            </w:r>
          </w:p>
        </w:tc>
        <w:tc>
          <w:tcPr>
            <w:tcW w:w="830"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cs="宋体"/>
                <w:color w:val="auto"/>
                <w:sz w:val="24"/>
                <w:highlight w:val="none"/>
              </w:rPr>
            </w:pPr>
            <w:r>
              <w:rPr>
                <w:rFonts w:hint="eastAsia" w:ascii="宋体" w:hAnsi="宋体" w:cs="宋体"/>
                <w:color w:val="auto"/>
                <w:sz w:val="24"/>
                <w:highlight w:val="none"/>
              </w:rPr>
              <w:t>规格型号</w:t>
            </w:r>
          </w:p>
        </w:tc>
        <w:tc>
          <w:tcPr>
            <w:tcW w:w="695"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cs="宋体"/>
                <w:color w:val="auto"/>
                <w:sz w:val="24"/>
                <w:highlight w:val="none"/>
              </w:rPr>
            </w:pPr>
            <w:r>
              <w:rPr>
                <w:rFonts w:hint="eastAsia" w:ascii="宋体" w:hAnsi="宋体" w:cs="宋体"/>
                <w:color w:val="auto"/>
                <w:sz w:val="24"/>
                <w:highlight w:val="none"/>
              </w:rPr>
              <w:t>制造商</w:t>
            </w:r>
          </w:p>
        </w:tc>
        <w:tc>
          <w:tcPr>
            <w:tcW w:w="411"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cs="宋体"/>
                <w:color w:val="auto"/>
                <w:sz w:val="24"/>
                <w:highlight w:val="none"/>
              </w:rPr>
            </w:pPr>
            <w:r>
              <w:rPr>
                <w:rFonts w:hint="eastAsia" w:ascii="宋体" w:hAnsi="宋体" w:cs="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jc w:val="center"/>
              <w:rPr>
                <w:rFonts w:ascii="宋体" w:hAnsi="宋体" w:cs="宋体"/>
                <w:color w:val="auto"/>
                <w:sz w:val="24"/>
                <w:highlight w:val="none"/>
              </w:rPr>
            </w:pPr>
            <w:r>
              <w:rPr>
                <w:rFonts w:hint="eastAsia" w:ascii="宋体" w:hAnsi="宋体" w:cs="宋体"/>
                <w:color w:val="auto"/>
                <w:sz w:val="24"/>
                <w:highlight w:val="none"/>
              </w:rPr>
              <w:t>参数性能、指标及配置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59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830"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s="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41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59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830"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s="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41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59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830"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s="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41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p>
        </w:tc>
      </w:tr>
    </w:tbl>
    <w:p>
      <w:pPr>
        <w:spacing w:line="360" w:lineRule="auto"/>
        <w:rPr>
          <w:rFonts w:ascii="宋体" w:hAnsi="宋体" w:cs="宋体"/>
          <w:color w:val="auto"/>
          <w:sz w:val="24"/>
          <w:highlight w:val="none"/>
        </w:rPr>
      </w:pPr>
      <w:r>
        <w:rPr>
          <w:rFonts w:hint="eastAsia" w:ascii="宋体" w:hAnsi="宋体" w:cs="宋体"/>
          <w:color w:val="auto"/>
          <w:sz w:val="24"/>
          <w:highlight w:val="none"/>
        </w:rPr>
        <w:t>备注：</w:t>
      </w:r>
    </w:p>
    <w:p>
      <w:pPr>
        <w:tabs>
          <w:tab w:val="left" w:pos="1065"/>
        </w:tabs>
        <w:adjustRightInd w:val="0"/>
        <w:spacing w:line="360" w:lineRule="auto"/>
        <w:ind w:firstLine="482" w:firstLineChars="200"/>
        <w:rPr>
          <w:rFonts w:ascii="宋体" w:hAnsi="宋体" w:cs="宋体"/>
          <w:color w:val="auto"/>
          <w:sz w:val="24"/>
          <w:highlight w:val="none"/>
        </w:rPr>
      </w:pPr>
      <w:r>
        <w:rPr>
          <w:rFonts w:hint="eastAsia" w:ascii="宋体" w:hAnsi="宋体" w:cs="宋体"/>
          <w:b/>
          <w:bCs/>
          <w:color w:val="auto"/>
          <w:sz w:val="24"/>
          <w:highlight w:val="none"/>
          <w:lang w:val="en-US" w:eastAsia="zh-CN"/>
        </w:rPr>
        <w:t>供应商应根据</w:t>
      </w:r>
      <w:r>
        <w:rPr>
          <w:rFonts w:hint="eastAsia" w:ascii="宋体" w:hAnsi="宋体" w:cs="宋体"/>
          <w:b/>
          <w:bCs/>
          <w:color w:val="auto"/>
          <w:sz w:val="24"/>
          <w:highlight w:val="none"/>
        </w:rPr>
        <w:t>“货物需求一览表”</w:t>
      </w:r>
      <w:r>
        <w:rPr>
          <w:rFonts w:hint="eastAsia" w:ascii="宋体" w:hAnsi="宋体" w:cs="宋体"/>
          <w:b/>
          <w:bCs/>
          <w:color w:val="auto"/>
          <w:sz w:val="24"/>
          <w:highlight w:val="none"/>
          <w:lang w:val="en-US" w:eastAsia="zh-CN"/>
        </w:rPr>
        <w:t>中的“四、配置清单”填写配置清单对应内容，</w:t>
      </w:r>
      <w:r>
        <w:rPr>
          <w:rFonts w:hint="eastAsia" w:ascii="宋体" w:hAnsi="宋体" w:cs="宋体"/>
          <w:b/>
          <w:bCs/>
          <w:color w:val="auto"/>
          <w:sz w:val="24"/>
          <w:highlight w:val="none"/>
        </w:rPr>
        <w:t>以上性能配置清单中“名称、数量及单位、品牌、规格型号、制造商、原产地、参数性能、指标及配置”必须如实填写完整，品牌、规格型号没有则填无，填写有缺漏的，响应文件作无效处理</w:t>
      </w:r>
      <w:r>
        <w:rPr>
          <w:rFonts w:hint="eastAsia" w:ascii="宋体" w:hAnsi="宋体" w:cs="宋体"/>
          <w:b/>
          <w:color w:val="auto"/>
          <w:sz w:val="24"/>
          <w:highlight w:val="none"/>
        </w:rPr>
        <w:t>。</w:t>
      </w:r>
      <w:r>
        <w:rPr>
          <w:rFonts w:hint="eastAsia" w:ascii="宋体" w:hAnsi="宋体" w:cs="宋体"/>
          <w:color w:val="auto"/>
          <w:sz w:val="24"/>
          <w:highlight w:val="none"/>
        </w:rPr>
        <w:t>名称、数量及单位必须与“货物需求一览表”</w:t>
      </w:r>
      <w:r>
        <w:rPr>
          <w:rFonts w:hint="eastAsia" w:ascii="宋体" w:hAnsi="宋体" w:cs="宋体"/>
          <w:color w:val="auto"/>
          <w:sz w:val="24"/>
          <w:highlight w:val="none"/>
          <w:lang w:val="en-US" w:eastAsia="zh-CN"/>
        </w:rPr>
        <w:t>中的“四、配置清单”</w:t>
      </w:r>
      <w:r>
        <w:rPr>
          <w:rFonts w:hint="eastAsia" w:ascii="宋体" w:hAnsi="宋体" w:cs="宋体"/>
          <w:color w:val="auto"/>
          <w:sz w:val="24"/>
          <w:highlight w:val="none"/>
        </w:rPr>
        <w:t>一致，</w:t>
      </w:r>
      <w:r>
        <w:rPr>
          <w:rFonts w:hint="eastAsia" w:ascii="宋体" w:hAnsi="宋体" w:cs="宋体"/>
          <w:bCs/>
          <w:color w:val="auto"/>
          <w:sz w:val="24"/>
          <w:highlight w:val="none"/>
        </w:rPr>
        <w:t>否则响应文件作无效处理</w:t>
      </w:r>
      <w:r>
        <w:rPr>
          <w:rFonts w:hint="eastAsia" w:ascii="宋体" w:hAnsi="宋体" w:cs="宋体"/>
          <w:b/>
          <w:color w:val="auto"/>
          <w:sz w:val="24"/>
          <w:highlight w:val="none"/>
        </w:rPr>
        <w:t>。</w:t>
      </w:r>
      <w:r>
        <w:rPr>
          <w:rFonts w:hint="eastAsia" w:ascii="宋体" w:hAnsi="宋体" w:cs="宋体"/>
          <w:color w:val="auto"/>
          <w:sz w:val="24"/>
          <w:highlight w:val="none"/>
        </w:rPr>
        <w:tab/>
      </w:r>
    </w:p>
    <w:p>
      <w:pPr>
        <w:adjustRightInd w:val="0"/>
        <w:spacing w:line="360" w:lineRule="auto"/>
        <w:jc w:val="left"/>
        <w:rPr>
          <w:rFonts w:ascii="宋体" w:hAnsi="宋体" w:cs="宋体"/>
          <w:color w:val="auto"/>
          <w:sz w:val="24"/>
          <w:highlight w:val="none"/>
        </w:rPr>
      </w:pPr>
    </w:p>
    <w:p>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pPr>
        <w:autoSpaceDE w:val="0"/>
        <w:autoSpaceDN w:val="0"/>
        <w:spacing w:line="360" w:lineRule="auto"/>
        <w:ind w:firstLine="6480" w:firstLineChars="270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pPr>
        <w:spacing w:line="520" w:lineRule="exact"/>
        <w:jc w:val="center"/>
        <w:rPr>
          <w:rFonts w:hint="default" w:ascii="宋体" w:hAnsi="宋体" w:eastAsia="宋体" w:cs="Times New Roman"/>
          <w:color w:val="auto"/>
          <w:sz w:val="24"/>
          <w:szCs w:val="24"/>
          <w:highlight w:val="none"/>
          <w:lang w:val="en-US" w:eastAsia="zh-CN"/>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520" w:lineRule="exact"/>
        <w:jc w:val="center"/>
        <w:rPr>
          <w:rFonts w:ascii="宋体" w:hAnsi="宋体" w:eastAsia="宋体" w:cs="Times New Roman"/>
          <w:color w:val="auto"/>
          <w:sz w:val="24"/>
          <w:szCs w:val="24"/>
          <w:highlight w:val="none"/>
        </w:rPr>
      </w:pPr>
    </w:p>
    <w:p>
      <w:pPr>
        <w:spacing w:line="360" w:lineRule="auto"/>
        <w:jc w:val="center"/>
        <w:rPr>
          <w:rFonts w:ascii="宋体" w:hAnsi="宋体" w:eastAsia="宋体" w:cs="Times New Roman"/>
          <w:b/>
          <w:bCs/>
          <w:color w:val="auto"/>
          <w:sz w:val="44"/>
          <w:szCs w:val="44"/>
          <w:highlight w:val="none"/>
        </w:rPr>
      </w:pPr>
    </w:p>
    <w:p>
      <w:pPr>
        <w:keepNext/>
        <w:keepLines/>
        <w:spacing w:before="340" w:after="330" w:line="578" w:lineRule="auto"/>
        <w:jc w:val="center"/>
        <w:outlineLvl w:val="0"/>
        <w:rPr>
          <w:rFonts w:ascii="宋体" w:hAnsi="宋体" w:eastAsia="宋体" w:cs="Times New Roman"/>
          <w:color w:val="auto"/>
          <w:kern w:val="44"/>
          <w:sz w:val="44"/>
          <w:szCs w:val="44"/>
          <w:highlight w:val="none"/>
          <w:lang w:val="zh-CN"/>
        </w:rPr>
      </w:pPr>
      <w:bookmarkStart w:id="164" w:name="_Toc80205943"/>
      <w:bookmarkStart w:id="165" w:name="_Toc4631"/>
      <w:bookmarkStart w:id="166" w:name="_Toc10008"/>
      <w:bookmarkStart w:id="167" w:name="_Toc20554"/>
      <w:bookmarkStart w:id="168" w:name="_Toc23849"/>
      <w:bookmarkStart w:id="169" w:name="_Toc22077"/>
      <w:bookmarkStart w:id="170" w:name="_Toc21248"/>
      <w:bookmarkStart w:id="171" w:name="_Toc15382"/>
      <w:bookmarkStart w:id="172" w:name="_Toc19175"/>
      <w:r>
        <w:rPr>
          <w:rFonts w:hint="eastAsia" w:ascii="宋体" w:hAnsi="宋体" w:eastAsia="宋体" w:cs="Times New Roman"/>
          <w:color w:val="auto"/>
          <w:kern w:val="44"/>
          <w:sz w:val="44"/>
          <w:szCs w:val="44"/>
          <w:highlight w:val="none"/>
          <w:lang w:val="zh-CN"/>
        </w:rPr>
        <w:t>第六章 合同文本</w:t>
      </w:r>
      <w:bookmarkEnd w:id="164"/>
      <w:bookmarkEnd w:id="165"/>
      <w:bookmarkEnd w:id="166"/>
      <w:bookmarkEnd w:id="167"/>
      <w:bookmarkEnd w:id="168"/>
      <w:bookmarkEnd w:id="169"/>
      <w:bookmarkEnd w:id="170"/>
      <w:bookmarkEnd w:id="171"/>
    </w:p>
    <w:bookmarkEnd w:id="172"/>
    <w:p>
      <w:pPr>
        <w:keepNext/>
        <w:keepLines/>
        <w:spacing w:before="340" w:after="330" w:line="578" w:lineRule="auto"/>
        <w:jc w:val="center"/>
        <w:outlineLvl w:val="0"/>
        <w:rPr>
          <w:rFonts w:ascii="仿宋_GB2312" w:hAnsi="楷体" w:eastAsia="仿宋_GB2312" w:cs="Times New Roman"/>
          <w:b/>
          <w:bCs/>
          <w:color w:val="auto"/>
          <w:kern w:val="44"/>
          <w:sz w:val="24"/>
          <w:szCs w:val="44"/>
          <w:highlight w:val="none"/>
          <w:u w:val="single"/>
          <w:lang w:val="zh-CN"/>
        </w:rPr>
      </w:pPr>
    </w:p>
    <w:p>
      <w:pPr>
        <w:jc w:val="left"/>
        <w:rPr>
          <w:rFonts w:hint="eastAsia" w:ascii="宋体" w:hAnsi="宋体"/>
          <w:b/>
          <w:color w:val="auto"/>
          <w:sz w:val="24"/>
          <w:szCs w:val="24"/>
          <w:highlight w:val="none"/>
        </w:rPr>
      </w:pPr>
      <w:r>
        <w:rPr>
          <w:rFonts w:hint="eastAsia" w:ascii="宋体" w:hAnsi="宋体"/>
          <w:b/>
          <w:color w:val="auto"/>
          <w:sz w:val="24"/>
          <w:szCs w:val="24"/>
          <w:highlight w:val="none"/>
        </w:rPr>
        <w:br w:type="page"/>
      </w:r>
    </w:p>
    <w:p>
      <w:pPr>
        <w:pStyle w:val="19"/>
        <w:jc w:val="center"/>
        <w:rPr>
          <w:rFonts w:hint="eastAsia" w:hAnsi="宋体"/>
          <w:b/>
          <w:color w:val="auto"/>
          <w:sz w:val="44"/>
          <w:szCs w:val="44"/>
          <w:highlight w:val="none"/>
          <w:lang w:val="en-US" w:eastAsia="zh-CN"/>
        </w:rPr>
      </w:pPr>
      <w:r>
        <w:rPr>
          <w:rFonts w:hint="eastAsia" w:hAnsi="宋体"/>
          <w:b/>
          <w:color w:val="auto"/>
          <w:sz w:val="44"/>
          <w:szCs w:val="44"/>
          <w:highlight w:val="none"/>
          <w:lang w:val="en-US" w:eastAsia="zh-CN"/>
        </w:rPr>
        <w:t>广西医科大学附属武鸣医院彩色多普勒超声</w:t>
      </w:r>
    </w:p>
    <w:p>
      <w:pPr>
        <w:pStyle w:val="19"/>
        <w:jc w:val="center"/>
        <w:rPr>
          <w:rFonts w:hAnsi="宋体"/>
          <w:b/>
          <w:color w:val="auto"/>
          <w:sz w:val="44"/>
          <w:szCs w:val="44"/>
          <w:highlight w:val="none"/>
        </w:rPr>
      </w:pPr>
      <w:r>
        <w:rPr>
          <w:rFonts w:hint="eastAsia" w:hAnsi="宋体"/>
          <w:b/>
          <w:color w:val="auto"/>
          <w:sz w:val="44"/>
          <w:szCs w:val="44"/>
          <w:highlight w:val="none"/>
          <w:lang w:val="en-US" w:eastAsia="zh-CN"/>
        </w:rPr>
        <w:t>诊断仪（心脏）采购项目</w:t>
      </w:r>
      <w:r>
        <w:rPr>
          <w:rFonts w:hint="eastAsia" w:hAnsi="宋体"/>
          <w:b/>
          <w:color w:val="auto"/>
          <w:sz w:val="44"/>
          <w:szCs w:val="44"/>
          <w:highlight w:val="none"/>
        </w:rPr>
        <w:t>采购合同</w:t>
      </w:r>
    </w:p>
    <w:p>
      <w:pPr>
        <w:pStyle w:val="19"/>
        <w:rPr>
          <w:rFonts w:hAnsi="宋体"/>
          <w:color w:val="auto"/>
          <w:highlight w:val="none"/>
        </w:rPr>
      </w:pPr>
    </w:p>
    <w:p>
      <w:pPr>
        <w:pStyle w:val="19"/>
        <w:rPr>
          <w:rFonts w:hAnsi="宋体"/>
          <w:color w:val="auto"/>
          <w:highlight w:val="none"/>
        </w:rPr>
      </w:pPr>
    </w:p>
    <w:p>
      <w:pPr>
        <w:rPr>
          <w:rFonts w:hAnsi="宋体"/>
          <w:color w:val="auto"/>
          <w:highlight w:val="none"/>
        </w:rPr>
      </w:pPr>
    </w:p>
    <w:p>
      <w:pPr>
        <w:rPr>
          <w:rFonts w:hAnsi="宋体"/>
          <w:color w:val="auto"/>
          <w:highlight w:val="none"/>
        </w:rPr>
      </w:pPr>
    </w:p>
    <w:p>
      <w:pPr>
        <w:rPr>
          <w:rFonts w:hAnsi="宋体"/>
          <w:color w:val="auto"/>
          <w:highlight w:val="none"/>
        </w:rPr>
      </w:pPr>
    </w:p>
    <w:p>
      <w:pPr>
        <w:rPr>
          <w:rFonts w:hAnsi="宋体"/>
          <w:color w:val="auto"/>
          <w:highlight w:val="none"/>
        </w:rPr>
      </w:pPr>
    </w:p>
    <w:p>
      <w:pPr>
        <w:rPr>
          <w:rFonts w:hAnsi="宋体"/>
          <w:color w:val="auto"/>
          <w:highlight w:val="none"/>
        </w:rPr>
      </w:pPr>
    </w:p>
    <w:p>
      <w:pPr>
        <w:rPr>
          <w:rFonts w:hAnsi="宋体"/>
          <w:color w:val="auto"/>
          <w:highlight w:val="none"/>
        </w:rPr>
      </w:pPr>
    </w:p>
    <w:p>
      <w:pPr>
        <w:rPr>
          <w:rFonts w:hAnsi="宋体"/>
          <w:color w:val="auto"/>
          <w:highlight w:val="none"/>
        </w:rPr>
      </w:pPr>
    </w:p>
    <w:p>
      <w:pPr>
        <w:rPr>
          <w:rFonts w:hAnsi="宋体"/>
          <w:color w:val="auto"/>
          <w:highlight w:val="none"/>
        </w:rPr>
      </w:pPr>
    </w:p>
    <w:p>
      <w:pPr>
        <w:rPr>
          <w:rFonts w:hAnsi="宋体"/>
          <w:color w:val="auto"/>
          <w:highlight w:val="none"/>
        </w:rPr>
      </w:pPr>
    </w:p>
    <w:p>
      <w:pPr>
        <w:pStyle w:val="19"/>
        <w:rPr>
          <w:rFonts w:hAnsi="宋体"/>
          <w:color w:val="auto"/>
          <w:highlight w:val="none"/>
        </w:rPr>
      </w:pPr>
    </w:p>
    <w:p>
      <w:pPr>
        <w:pStyle w:val="19"/>
        <w:ind w:firstLine="1590" w:firstLineChars="495"/>
        <w:rPr>
          <w:rFonts w:hAnsi="宋体"/>
          <w:b/>
          <w:color w:val="auto"/>
          <w:sz w:val="32"/>
          <w:szCs w:val="32"/>
          <w:highlight w:val="none"/>
          <w:u w:val="single"/>
        </w:rPr>
      </w:pPr>
      <w:r>
        <w:rPr>
          <w:rFonts w:hint="eastAsia" w:hAnsi="宋体"/>
          <w:b/>
          <w:color w:val="auto"/>
          <w:sz w:val="32"/>
          <w:szCs w:val="32"/>
          <w:highlight w:val="none"/>
        </w:rPr>
        <w:t>合同编号：</w:t>
      </w:r>
      <w:r>
        <w:rPr>
          <w:rFonts w:hint="eastAsia" w:hAnsi="宋体"/>
          <w:b/>
          <w:color w:val="auto"/>
          <w:sz w:val="32"/>
          <w:szCs w:val="32"/>
          <w:highlight w:val="none"/>
          <w:u w:val="single"/>
        </w:rPr>
        <w:t xml:space="preserve">                       </w:t>
      </w:r>
    </w:p>
    <w:p>
      <w:pPr>
        <w:pStyle w:val="19"/>
        <w:jc w:val="center"/>
        <w:rPr>
          <w:rFonts w:hAnsi="宋体"/>
          <w:color w:val="auto"/>
          <w:highlight w:val="none"/>
        </w:rPr>
      </w:pPr>
    </w:p>
    <w:p>
      <w:pPr>
        <w:pStyle w:val="19"/>
        <w:jc w:val="center"/>
        <w:rPr>
          <w:rFonts w:hAnsi="宋体"/>
          <w:color w:val="auto"/>
          <w:highlight w:val="none"/>
        </w:rPr>
      </w:pPr>
    </w:p>
    <w:p>
      <w:pPr>
        <w:rPr>
          <w:rFonts w:hAnsi="宋体"/>
          <w:color w:val="auto"/>
          <w:highlight w:val="none"/>
        </w:rPr>
      </w:pPr>
    </w:p>
    <w:p>
      <w:pPr>
        <w:rPr>
          <w:rFonts w:hAnsi="宋体"/>
          <w:color w:val="auto"/>
          <w:highlight w:val="none"/>
        </w:rPr>
      </w:pPr>
    </w:p>
    <w:p>
      <w:pPr>
        <w:rPr>
          <w:rFonts w:hAnsi="宋体"/>
          <w:color w:val="auto"/>
          <w:highlight w:val="none"/>
        </w:rPr>
      </w:pPr>
    </w:p>
    <w:p>
      <w:pPr>
        <w:rPr>
          <w:rFonts w:hAnsi="宋体"/>
          <w:color w:val="auto"/>
          <w:highlight w:val="none"/>
        </w:rPr>
      </w:pPr>
    </w:p>
    <w:p>
      <w:pPr>
        <w:rPr>
          <w:rFonts w:hAnsi="宋体"/>
          <w:color w:val="auto"/>
          <w:highlight w:val="none"/>
        </w:rPr>
      </w:pPr>
    </w:p>
    <w:p>
      <w:pPr>
        <w:rPr>
          <w:rFonts w:hAnsi="宋体"/>
          <w:color w:val="auto"/>
          <w:highlight w:val="none"/>
        </w:rPr>
      </w:pPr>
    </w:p>
    <w:p>
      <w:pPr>
        <w:pStyle w:val="19"/>
        <w:jc w:val="center"/>
        <w:rPr>
          <w:rFonts w:hAnsi="宋体"/>
          <w:color w:val="auto"/>
          <w:highlight w:val="none"/>
        </w:rPr>
      </w:pPr>
    </w:p>
    <w:p>
      <w:pPr>
        <w:pStyle w:val="19"/>
        <w:spacing w:line="340" w:lineRule="exact"/>
        <w:ind w:firstLine="1590" w:firstLineChars="495"/>
        <w:rPr>
          <w:rFonts w:hAnsi="宋体"/>
          <w:b/>
          <w:color w:val="auto"/>
          <w:sz w:val="32"/>
          <w:szCs w:val="32"/>
          <w:highlight w:val="none"/>
        </w:rPr>
      </w:pPr>
      <w:r>
        <w:rPr>
          <w:rFonts w:hint="eastAsia" w:hAnsi="宋体"/>
          <w:b/>
          <w:color w:val="auto"/>
          <w:sz w:val="32"/>
          <w:szCs w:val="32"/>
          <w:highlight w:val="none"/>
        </w:rPr>
        <w:t>采购人（甲方）</w:t>
      </w:r>
      <w:r>
        <w:rPr>
          <w:rFonts w:hint="eastAsia" w:hAnsi="宋体"/>
          <w:b/>
          <w:color w:val="auto"/>
          <w:sz w:val="32"/>
          <w:szCs w:val="32"/>
          <w:highlight w:val="none"/>
          <w:u w:val="single"/>
        </w:rPr>
        <w:t xml:space="preserve">                    </w:t>
      </w:r>
    </w:p>
    <w:p>
      <w:pPr>
        <w:pStyle w:val="19"/>
        <w:spacing w:line="340" w:lineRule="exact"/>
        <w:ind w:firstLine="1590" w:firstLineChars="495"/>
        <w:rPr>
          <w:rFonts w:hAnsi="宋体"/>
          <w:b/>
          <w:color w:val="auto"/>
          <w:sz w:val="32"/>
          <w:szCs w:val="32"/>
          <w:highlight w:val="none"/>
        </w:rPr>
      </w:pPr>
    </w:p>
    <w:p>
      <w:pPr>
        <w:pStyle w:val="19"/>
        <w:spacing w:line="340" w:lineRule="exact"/>
        <w:ind w:firstLine="1590" w:firstLineChars="495"/>
        <w:rPr>
          <w:rFonts w:hAnsi="宋体"/>
          <w:b/>
          <w:color w:val="auto"/>
          <w:sz w:val="32"/>
          <w:szCs w:val="32"/>
          <w:highlight w:val="none"/>
        </w:rPr>
      </w:pPr>
      <w:r>
        <w:rPr>
          <w:rFonts w:hint="eastAsia" w:hAnsi="宋体"/>
          <w:b/>
          <w:color w:val="auto"/>
          <w:sz w:val="32"/>
          <w:szCs w:val="32"/>
          <w:highlight w:val="none"/>
        </w:rPr>
        <w:t>供 应 商（乙方）</w:t>
      </w:r>
      <w:r>
        <w:rPr>
          <w:rFonts w:hint="eastAsia" w:hAnsi="宋体"/>
          <w:b/>
          <w:color w:val="auto"/>
          <w:sz w:val="32"/>
          <w:szCs w:val="32"/>
          <w:highlight w:val="none"/>
          <w:u w:val="single"/>
        </w:rPr>
        <w:t xml:space="preserve">                    </w:t>
      </w:r>
    </w:p>
    <w:p>
      <w:pPr>
        <w:pStyle w:val="19"/>
        <w:jc w:val="center"/>
        <w:rPr>
          <w:rFonts w:hAnsi="宋体"/>
          <w:color w:val="auto"/>
          <w:highlight w:val="none"/>
        </w:rPr>
      </w:pPr>
    </w:p>
    <w:p>
      <w:pPr>
        <w:pStyle w:val="19"/>
        <w:jc w:val="center"/>
        <w:rPr>
          <w:rFonts w:hAnsi="宋体"/>
          <w:color w:val="auto"/>
          <w:highlight w:val="none"/>
        </w:rPr>
      </w:pPr>
    </w:p>
    <w:p>
      <w:pPr>
        <w:pStyle w:val="19"/>
        <w:jc w:val="center"/>
        <w:rPr>
          <w:rFonts w:hAnsi="宋体"/>
          <w:color w:val="auto"/>
          <w:highlight w:val="none"/>
        </w:rPr>
      </w:pPr>
    </w:p>
    <w:p>
      <w:pPr>
        <w:pStyle w:val="19"/>
        <w:jc w:val="center"/>
        <w:rPr>
          <w:rFonts w:hAnsi="宋体"/>
          <w:color w:val="auto"/>
          <w:highlight w:val="none"/>
        </w:rPr>
      </w:pPr>
    </w:p>
    <w:p>
      <w:pPr>
        <w:pStyle w:val="19"/>
        <w:ind w:firstLine="1590" w:firstLineChars="495"/>
        <w:rPr>
          <w:rFonts w:hint="eastAsia" w:hAnsi="宋体"/>
          <w:b/>
          <w:color w:val="auto"/>
          <w:sz w:val="32"/>
          <w:szCs w:val="32"/>
          <w:highlight w:val="none"/>
        </w:rPr>
      </w:pPr>
    </w:p>
    <w:p>
      <w:pPr>
        <w:pStyle w:val="19"/>
        <w:ind w:firstLine="1590" w:firstLineChars="495"/>
        <w:rPr>
          <w:rFonts w:hint="eastAsia" w:hAnsi="宋体"/>
          <w:b/>
          <w:color w:val="auto"/>
          <w:sz w:val="32"/>
          <w:szCs w:val="32"/>
          <w:highlight w:val="none"/>
        </w:rPr>
      </w:pPr>
    </w:p>
    <w:p>
      <w:pPr>
        <w:pStyle w:val="19"/>
        <w:ind w:firstLine="1590" w:firstLineChars="495"/>
        <w:rPr>
          <w:rFonts w:hint="eastAsia" w:hAnsi="宋体"/>
          <w:b/>
          <w:color w:val="auto"/>
          <w:sz w:val="32"/>
          <w:szCs w:val="32"/>
          <w:highlight w:val="none"/>
        </w:rPr>
      </w:pPr>
    </w:p>
    <w:p>
      <w:pPr>
        <w:rPr>
          <w:rFonts w:hint="eastAsia"/>
          <w:color w:val="auto"/>
          <w:highlight w:val="none"/>
        </w:rPr>
      </w:pPr>
    </w:p>
    <w:p>
      <w:pPr>
        <w:pStyle w:val="19"/>
        <w:ind w:firstLine="1590" w:firstLineChars="495"/>
        <w:rPr>
          <w:rFonts w:hint="eastAsia" w:hAnsi="宋体"/>
          <w:b/>
          <w:color w:val="auto"/>
          <w:sz w:val="32"/>
          <w:szCs w:val="32"/>
          <w:highlight w:val="none"/>
        </w:rPr>
      </w:pPr>
    </w:p>
    <w:p>
      <w:pPr>
        <w:pStyle w:val="19"/>
        <w:ind w:firstLine="1590" w:firstLineChars="495"/>
        <w:rPr>
          <w:rFonts w:hAnsi="宋体"/>
          <w:b/>
          <w:color w:val="auto"/>
          <w:sz w:val="32"/>
          <w:szCs w:val="32"/>
          <w:highlight w:val="none"/>
        </w:rPr>
      </w:pPr>
      <w:r>
        <w:rPr>
          <w:rFonts w:hint="eastAsia" w:hAnsi="宋体"/>
          <w:b/>
          <w:color w:val="auto"/>
          <w:sz w:val="32"/>
          <w:szCs w:val="32"/>
          <w:highlight w:val="none"/>
        </w:rPr>
        <w:t>签订合同时间：</w:t>
      </w:r>
      <w:r>
        <w:rPr>
          <w:rFonts w:hint="eastAsia" w:hAnsi="宋体"/>
          <w:b/>
          <w:color w:val="auto"/>
          <w:sz w:val="32"/>
          <w:szCs w:val="32"/>
          <w:highlight w:val="none"/>
          <w:u w:val="single"/>
        </w:rPr>
        <w:t xml:space="preserve">                    </w:t>
      </w:r>
    </w:p>
    <w:p>
      <w:pPr>
        <w:pStyle w:val="19"/>
        <w:jc w:val="center"/>
        <w:rPr>
          <w:rFonts w:hAnsi="宋体"/>
          <w:color w:val="auto"/>
          <w:highlight w:val="none"/>
        </w:rPr>
      </w:pPr>
      <w:r>
        <w:rPr>
          <w:rFonts w:hint="eastAsia" w:hAnsi="宋体"/>
          <w:color w:val="auto"/>
          <w:highlight w:val="none"/>
        </w:rPr>
        <w:t xml:space="preserve"> </w:t>
      </w:r>
    </w:p>
    <w:p>
      <w:pPr>
        <w:pStyle w:val="19"/>
        <w:jc w:val="center"/>
        <w:rPr>
          <w:rFonts w:hAnsi="宋体"/>
          <w:color w:val="auto"/>
          <w:highlight w:val="none"/>
        </w:rPr>
      </w:pPr>
    </w:p>
    <w:p>
      <w:pPr>
        <w:jc w:val="left"/>
        <w:rPr>
          <w:rFonts w:hint="eastAsia" w:ascii="宋体" w:hAnsi="宋体"/>
          <w:b/>
          <w:color w:val="auto"/>
          <w:sz w:val="24"/>
          <w:szCs w:val="24"/>
          <w:highlight w:val="none"/>
        </w:rPr>
      </w:pPr>
    </w:p>
    <w:p>
      <w:pPr>
        <w:jc w:val="left"/>
        <w:rPr>
          <w:rFonts w:hint="eastAsia" w:ascii="宋体" w:hAnsi="宋体"/>
          <w:b/>
          <w:color w:val="auto"/>
          <w:sz w:val="24"/>
          <w:szCs w:val="24"/>
          <w:highlight w:val="none"/>
        </w:rPr>
      </w:pPr>
    </w:p>
    <w:p>
      <w:pPr>
        <w:jc w:val="left"/>
        <w:rPr>
          <w:rFonts w:hint="eastAsia" w:ascii="宋体" w:hAnsi="宋体"/>
          <w:b/>
          <w:color w:val="auto"/>
          <w:sz w:val="24"/>
          <w:szCs w:val="24"/>
          <w:highlight w:val="none"/>
        </w:rPr>
      </w:pPr>
    </w:p>
    <w:p>
      <w:pPr>
        <w:jc w:val="left"/>
        <w:rPr>
          <w:rFonts w:hint="eastAsia" w:ascii="宋体" w:hAnsi="宋体"/>
          <w:b/>
          <w:color w:val="auto"/>
          <w:sz w:val="24"/>
          <w:szCs w:val="24"/>
          <w:highlight w:val="none"/>
        </w:rPr>
      </w:pPr>
    </w:p>
    <w:p>
      <w:pPr>
        <w:jc w:val="left"/>
        <w:rPr>
          <w:rFonts w:hint="eastAsia" w:ascii="宋体" w:hAnsi="宋体"/>
          <w:b/>
          <w:color w:val="auto"/>
          <w:sz w:val="24"/>
          <w:szCs w:val="24"/>
          <w:highlight w:val="none"/>
        </w:rPr>
      </w:pPr>
    </w:p>
    <w:p>
      <w:pPr>
        <w:jc w:val="left"/>
        <w:rPr>
          <w:rFonts w:hint="eastAsia" w:ascii="宋体" w:hAnsi="宋体"/>
          <w:b/>
          <w:color w:val="auto"/>
          <w:sz w:val="24"/>
          <w:szCs w:val="24"/>
          <w:highlight w:val="none"/>
        </w:rPr>
      </w:pPr>
    </w:p>
    <w:p>
      <w:pPr>
        <w:jc w:val="left"/>
        <w:rPr>
          <w:rFonts w:hint="eastAsia" w:ascii="宋体" w:hAnsi="宋体"/>
          <w:b/>
          <w:color w:val="auto"/>
          <w:sz w:val="24"/>
          <w:szCs w:val="24"/>
          <w:highlight w:val="none"/>
        </w:rPr>
      </w:pPr>
    </w:p>
    <w:p>
      <w:pPr>
        <w:jc w:val="left"/>
        <w:rPr>
          <w:rFonts w:hint="eastAsia" w:ascii="宋体" w:hAnsi="宋体"/>
          <w:b/>
          <w:color w:val="auto"/>
          <w:sz w:val="24"/>
          <w:szCs w:val="24"/>
          <w:highlight w:val="none"/>
        </w:rPr>
      </w:pPr>
    </w:p>
    <w:p>
      <w:pPr>
        <w:pStyle w:val="19"/>
        <w:jc w:val="left"/>
        <w:rPr>
          <w:rFonts w:ascii="黑体" w:hAnsi="宋体" w:eastAsia="黑体"/>
          <w:b/>
          <w:color w:val="auto"/>
          <w:sz w:val="32"/>
          <w:szCs w:val="32"/>
          <w:highlight w:val="none"/>
        </w:rPr>
      </w:pPr>
      <w:r>
        <w:rPr>
          <w:rFonts w:hint="eastAsia" w:hAnsi="宋体"/>
          <w:color w:val="auto"/>
          <w:highlight w:val="none"/>
        </w:rPr>
        <w:t>合同使用说明：按</w:t>
      </w:r>
      <w:r>
        <w:rPr>
          <w:rFonts w:hint="eastAsia"/>
          <w:color w:val="auto"/>
          <w:highlight w:val="none"/>
        </w:rPr>
        <w:t>照竞争性谈判文件规定条款和成交供应商竞争性谈判响应文件及其承诺，甲乙双方签订本合同。</w:t>
      </w:r>
    </w:p>
    <w:p>
      <w:pPr>
        <w:spacing w:line="300" w:lineRule="auto"/>
        <w:ind w:left="420" w:hanging="420"/>
        <w:jc w:val="center"/>
        <w:rPr>
          <w:rFonts w:ascii="黑体" w:hAnsi="宋体" w:eastAsia="黑体"/>
          <w:b/>
          <w:color w:val="auto"/>
          <w:kern w:val="0"/>
          <w:sz w:val="32"/>
          <w:szCs w:val="32"/>
          <w:highlight w:val="none"/>
        </w:rPr>
      </w:pPr>
    </w:p>
    <w:p>
      <w:pPr>
        <w:spacing w:line="300" w:lineRule="auto"/>
        <w:ind w:left="420" w:hanging="420"/>
        <w:jc w:val="center"/>
        <w:rPr>
          <w:rFonts w:ascii="黑体" w:hAnsi="宋体" w:eastAsia="黑体"/>
          <w:b/>
          <w:color w:val="auto"/>
          <w:kern w:val="0"/>
          <w:sz w:val="32"/>
          <w:szCs w:val="32"/>
          <w:highlight w:val="none"/>
        </w:rPr>
      </w:pPr>
      <w:r>
        <w:rPr>
          <w:rFonts w:hint="eastAsia" w:ascii="黑体" w:hAnsi="宋体" w:eastAsia="黑体"/>
          <w:b/>
          <w:color w:val="auto"/>
          <w:kern w:val="0"/>
          <w:sz w:val="32"/>
          <w:szCs w:val="32"/>
          <w:highlight w:val="none"/>
        </w:rPr>
        <w:t>采购合同文本</w:t>
      </w:r>
    </w:p>
    <w:p>
      <w:pPr>
        <w:snapToGrid w:val="0"/>
        <w:spacing w:line="400" w:lineRule="exact"/>
        <w:ind w:right="481" w:rightChars="229" w:firstLine="5040" w:firstLineChars="2400"/>
        <w:rPr>
          <w:rFonts w:ascii="宋体" w:hAnsi="宋体"/>
          <w:bCs/>
          <w:color w:val="auto"/>
          <w:szCs w:val="21"/>
          <w:highlight w:val="none"/>
          <w:u w:val="single"/>
        </w:rPr>
      </w:pPr>
      <w:r>
        <w:rPr>
          <w:rFonts w:hint="eastAsia" w:ascii="宋体" w:hAnsi="宋体"/>
          <w:bCs/>
          <w:color w:val="auto"/>
          <w:szCs w:val="21"/>
          <w:highlight w:val="none"/>
        </w:rPr>
        <w:t>合同编号：</w:t>
      </w:r>
    </w:p>
    <w:p>
      <w:pPr>
        <w:snapToGrid w:val="0"/>
        <w:spacing w:line="400" w:lineRule="exact"/>
        <w:rPr>
          <w:rFonts w:ascii="宋体" w:hAnsi="宋体"/>
          <w:color w:val="auto"/>
          <w:szCs w:val="21"/>
          <w:highlight w:val="none"/>
        </w:rPr>
      </w:pPr>
    </w:p>
    <w:p>
      <w:pPr>
        <w:autoSpaceDE w:val="0"/>
        <w:snapToGrid w:val="0"/>
        <w:spacing w:line="360" w:lineRule="auto"/>
        <w:rPr>
          <w:rFonts w:hint="eastAsia" w:ascii="宋体" w:hAnsi="宋体"/>
          <w:color w:val="auto"/>
          <w:sz w:val="22"/>
          <w:szCs w:val="22"/>
          <w:highlight w:val="none"/>
          <w:u w:val="single"/>
        </w:rPr>
      </w:pPr>
      <w:r>
        <w:rPr>
          <w:rFonts w:hint="eastAsia" w:ascii="宋体" w:hAnsi="宋体"/>
          <w:color w:val="auto"/>
          <w:sz w:val="22"/>
          <w:szCs w:val="22"/>
          <w:highlight w:val="none"/>
        </w:rPr>
        <w:t>采购人（甲方）：</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 xml:space="preserve">        </w:t>
      </w:r>
      <w:r>
        <w:rPr>
          <w:rFonts w:hint="eastAsia" w:ascii="宋体" w:hAnsi="宋体"/>
          <w:color w:val="auto"/>
          <w:spacing w:val="-20"/>
          <w:sz w:val="22"/>
          <w:szCs w:val="22"/>
          <w:highlight w:val="none"/>
        </w:rPr>
        <w:t>采 购 计 划 号：</w:t>
      </w:r>
      <w:r>
        <w:rPr>
          <w:rFonts w:hint="eastAsia" w:ascii="宋体" w:hAnsi="宋体"/>
          <w:color w:val="auto"/>
          <w:sz w:val="22"/>
          <w:szCs w:val="22"/>
          <w:highlight w:val="none"/>
          <w:u w:val="single"/>
        </w:rPr>
        <w:t xml:space="preserve">                         </w:t>
      </w:r>
    </w:p>
    <w:p>
      <w:pPr>
        <w:autoSpaceDE w:val="0"/>
        <w:snapToGrid w:val="0"/>
        <w:spacing w:line="360" w:lineRule="auto"/>
        <w:rPr>
          <w:rFonts w:hint="eastAsia" w:ascii="宋体" w:hAnsi="宋体"/>
          <w:color w:val="auto"/>
          <w:sz w:val="22"/>
          <w:szCs w:val="22"/>
          <w:highlight w:val="none"/>
          <w:u w:val="single"/>
        </w:rPr>
      </w:pPr>
      <w:r>
        <w:rPr>
          <w:rFonts w:hint="eastAsia" w:ascii="宋体" w:hAnsi="宋体"/>
          <w:color w:val="auto"/>
          <w:sz w:val="22"/>
          <w:szCs w:val="22"/>
          <w:highlight w:val="none"/>
        </w:rPr>
        <w:t>供应商（乙方）：</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 xml:space="preserve">        采购项目名称和</w:t>
      </w:r>
      <w:r>
        <w:rPr>
          <w:rFonts w:hint="eastAsia" w:ascii="宋体" w:hAnsi="宋体"/>
          <w:color w:val="auto"/>
          <w:spacing w:val="-20"/>
          <w:sz w:val="22"/>
          <w:szCs w:val="22"/>
          <w:highlight w:val="none"/>
        </w:rPr>
        <w:t>编号：</w:t>
      </w:r>
      <w:r>
        <w:rPr>
          <w:rFonts w:hint="eastAsia" w:ascii="宋体" w:hAnsi="宋体"/>
          <w:color w:val="auto"/>
          <w:sz w:val="22"/>
          <w:szCs w:val="22"/>
          <w:highlight w:val="none"/>
          <w:u w:val="single"/>
        </w:rPr>
        <w:t xml:space="preserve">                       </w:t>
      </w:r>
    </w:p>
    <w:p>
      <w:pPr>
        <w:autoSpaceDE w:val="0"/>
        <w:spacing w:line="360" w:lineRule="auto"/>
        <w:rPr>
          <w:rFonts w:ascii="宋体" w:hAnsi="宋体"/>
          <w:color w:val="auto"/>
          <w:sz w:val="22"/>
          <w:szCs w:val="22"/>
          <w:highlight w:val="none"/>
        </w:rPr>
      </w:pPr>
      <w:r>
        <w:rPr>
          <w:rFonts w:hint="eastAsia" w:ascii="宋体" w:hAnsi="宋体"/>
          <w:color w:val="auto"/>
          <w:sz w:val="22"/>
          <w:szCs w:val="22"/>
          <w:highlight w:val="none"/>
        </w:rPr>
        <w:t xml:space="preserve">    </w:t>
      </w:r>
    </w:p>
    <w:p>
      <w:pPr>
        <w:autoSpaceDE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根据《中华人民共和国政府采购法》、《中华人民共和国民法典》等法律、法规规定，按照采购文件规定条款和成交供应商响应文件及其承诺，甲乙双方签订本合同。</w:t>
      </w:r>
    </w:p>
    <w:p>
      <w:pPr>
        <w:autoSpaceDE w:val="0"/>
        <w:spacing w:line="360" w:lineRule="auto"/>
        <w:rPr>
          <w:rFonts w:hint="eastAsia" w:ascii="宋体" w:hAnsi="宋体"/>
          <w:b/>
          <w:color w:val="auto"/>
          <w:sz w:val="22"/>
          <w:szCs w:val="22"/>
          <w:highlight w:val="none"/>
        </w:rPr>
      </w:pPr>
      <w:r>
        <w:rPr>
          <w:rFonts w:hint="eastAsia" w:ascii="宋体" w:hAnsi="宋体"/>
          <w:color w:val="auto"/>
          <w:sz w:val="22"/>
          <w:szCs w:val="22"/>
          <w:highlight w:val="none"/>
        </w:rPr>
        <w:t xml:space="preserve">   </w:t>
      </w:r>
      <w:r>
        <w:rPr>
          <w:rFonts w:hint="eastAsia" w:ascii="宋体" w:hAnsi="宋体"/>
          <w:b/>
          <w:color w:val="auto"/>
          <w:sz w:val="22"/>
          <w:szCs w:val="22"/>
          <w:highlight w:val="none"/>
        </w:rPr>
        <w:t xml:space="preserve"> 第一条 合同标的</w:t>
      </w:r>
    </w:p>
    <w:p>
      <w:pPr>
        <w:numPr>
          <w:ilvl w:val="0"/>
          <w:numId w:val="2"/>
        </w:num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供货一览表</w:t>
      </w:r>
    </w:p>
    <w:tbl>
      <w:tblPr>
        <w:tblStyle w:val="30"/>
        <w:tblW w:w="51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395"/>
        <w:gridCol w:w="1159"/>
        <w:gridCol w:w="1280"/>
        <w:gridCol w:w="1276"/>
        <w:gridCol w:w="719"/>
        <w:gridCol w:w="1159"/>
        <w:gridCol w:w="1159"/>
        <w:gridCol w:w="1547"/>
        <w:gridCol w:w="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1207" w:hRule="atLeast"/>
          <w:jc w:val="center"/>
        </w:trPr>
        <w:tc>
          <w:tcPr>
            <w:tcW w:w="259"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序号</w:t>
            </w:r>
          </w:p>
        </w:tc>
        <w:tc>
          <w:tcPr>
            <w:tcW w:w="681"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产品</w:t>
            </w:r>
          </w:p>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名称</w:t>
            </w:r>
          </w:p>
        </w:tc>
        <w:tc>
          <w:tcPr>
            <w:tcW w:w="566"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商标</w:t>
            </w:r>
          </w:p>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品牌</w:t>
            </w:r>
          </w:p>
        </w:tc>
        <w:tc>
          <w:tcPr>
            <w:tcW w:w="625"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规格</w:t>
            </w:r>
          </w:p>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型号</w:t>
            </w:r>
          </w:p>
        </w:tc>
        <w:tc>
          <w:tcPr>
            <w:tcW w:w="623"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生产</w:t>
            </w:r>
          </w:p>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厂家</w:t>
            </w:r>
          </w:p>
        </w:tc>
        <w:tc>
          <w:tcPr>
            <w:tcW w:w="351"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数  量</w:t>
            </w:r>
          </w:p>
        </w:tc>
        <w:tc>
          <w:tcPr>
            <w:tcW w:w="566"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单位</w:t>
            </w:r>
          </w:p>
        </w:tc>
        <w:tc>
          <w:tcPr>
            <w:tcW w:w="566"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单  价</w:t>
            </w:r>
          </w:p>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（元）</w:t>
            </w:r>
          </w:p>
        </w:tc>
        <w:tc>
          <w:tcPr>
            <w:tcW w:w="755"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金  额</w:t>
            </w:r>
          </w:p>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4" w:hRule="atLeast"/>
          <w:jc w:val="center"/>
        </w:trPr>
        <w:tc>
          <w:tcPr>
            <w:tcW w:w="259"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1</w:t>
            </w:r>
          </w:p>
        </w:tc>
        <w:tc>
          <w:tcPr>
            <w:tcW w:w="681"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c>
          <w:tcPr>
            <w:tcW w:w="623" w:type="pct"/>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360" w:lineRule="auto"/>
              <w:jc w:val="center"/>
              <w:rPr>
                <w:rFonts w:hint="eastAsia" w:ascii="宋体" w:hAnsi="宋体"/>
                <w:color w:val="auto"/>
                <w:sz w:val="22"/>
                <w:szCs w:val="22"/>
                <w:highlight w:val="none"/>
              </w:rPr>
            </w:pPr>
          </w:p>
        </w:tc>
        <w:tc>
          <w:tcPr>
            <w:tcW w:w="351" w:type="pct"/>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360" w:lineRule="auto"/>
              <w:jc w:val="center"/>
              <w:rPr>
                <w:rFonts w:hint="eastAsia" w:ascii="宋体" w:hAnsi="宋体"/>
                <w:color w:val="auto"/>
                <w:sz w:val="22"/>
                <w:szCs w:val="22"/>
                <w:highlight w:val="none"/>
              </w:rPr>
            </w:pPr>
          </w:p>
        </w:tc>
        <w:tc>
          <w:tcPr>
            <w:tcW w:w="566" w:type="pct"/>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360" w:lineRule="auto"/>
              <w:jc w:val="center"/>
              <w:rPr>
                <w:rFonts w:hint="eastAsia" w:ascii="宋体" w:hAnsi="宋体"/>
                <w:color w:val="auto"/>
                <w:sz w:val="22"/>
                <w:szCs w:val="22"/>
                <w:highlight w:val="none"/>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c>
          <w:tcPr>
            <w:tcW w:w="755"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4" w:hRule="atLeast"/>
          <w:jc w:val="center"/>
        </w:trPr>
        <w:tc>
          <w:tcPr>
            <w:tcW w:w="259"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2</w:t>
            </w:r>
          </w:p>
        </w:tc>
        <w:tc>
          <w:tcPr>
            <w:tcW w:w="681"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c>
          <w:tcPr>
            <w:tcW w:w="623" w:type="pct"/>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360" w:lineRule="auto"/>
              <w:jc w:val="center"/>
              <w:rPr>
                <w:rFonts w:hint="eastAsia" w:ascii="宋体" w:hAnsi="宋体"/>
                <w:color w:val="auto"/>
                <w:sz w:val="22"/>
                <w:szCs w:val="22"/>
                <w:highlight w:val="none"/>
              </w:rPr>
            </w:pPr>
          </w:p>
        </w:tc>
        <w:tc>
          <w:tcPr>
            <w:tcW w:w="351" w:type="pct"/>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360" w:lineRule="auto"/>
              <w:jc w:val="center"/>
              <w:rPr>
                <w:rFonts w:hint="eastAsia" w:ascii="宋体" w:hAnsi="宋体"/>
                <w:color w:val="auto"/>
                <w:sz w:val="22"/>
                <w:szCs w:val="22"/>
                <w:highlight w:val="none"/>
              </w:rPr>
            </w:pPr>
          </w:p>
        </w:tc>
        <w:tc>
          <w:tcPr>
            <w:tcW w:w="566" w:type="pct"/>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360" w:lineRule="auto"/>
              <w:jc w:val="center"/>
              <w:rPr>
                <w:rFonts w:hint="eastAsia" w:ascii="宋体" w:hAnsi="宋体"/>
                <w:color w:val="auto"/>
                <w:sz w:val="22"/>
                <w:szCs w:val="22"/>
                <w:highlight w:val="none"/>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c>
          <w:tcPr>
            <w:tcW w:w="755"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4" w:hRule="atLeast"/>
          <w:jc w:val="center"/>
        </w:trPr>
        <w:tc>
          <w:tcPr>
            <w:tcW w:w="259"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r>
              <w:rPr>
                <w:rFonts w:hint="eastAsia" w:ascii="宋体" w:hAnsi="宋体"/>
                <w:color w:val="auto"/>
                <w:sz w:val="22"/>
                <w:szCs w:val="22"/>
                <w:highlight w:val="none"/>
              </w:rPr>
              <w:t>3</w:t>
            </w:r>
          </w:p>
        </w:tc>
        <w:tc>
          <w:tcPr>
            <w:tcW w:w="681"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c>
          <w:tcPr>
            <w:tcW w:w="625"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c>
          <w:tcPr>
            <w:tcW w:w="623" w:type="pct"/>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360" w:lineRule="auto"/>
              <w:jc w:val="center"/>
              <w:rPr>
                <w:rFonts w:hint="eastAsia" w:ascii="宋体" w:hAnsi="宋体"/>
                <w:color w:val="auto"/>
                <w:sz w:val="22"/>
                <w:szCs w:val="22"/>
                <w:highlight w:val="none"/>
              </w:rPr>
            </w:pPr>
          </w:p>
        </w:tc>
        <w:tc>
          <w:tcPr>
            <w:tcW w:w="351" w:type="pct"/>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360" w:lineRule="auto"/>
              <w:jc w:val="center"/>
              <w:rPr>
                <w:rFonts w:hint="eastAsia" w:ascii="宋体" w:hAnsi="宋体"/>
                <w:color w:val="auto"/>
                <w:sz w:val="22"/>
                <w:szCs w:val="22"/>
                <w:highlight w:val="none"/>
              </w:rPr>
            </w:pPr>
          </w:p>
        </w:tc>
        <w:tc>
          <w:tcPr>
            <w:tcW w:w="566" w:type="pct"/>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360" w:lineRule="auto"/>
              <w:jc w:val="center"/>
              <w:rPr>
                <w:rFonts w:hint="eastAsia" w:ascii="宋体" w:hAnsi="宋体"/>
                <w:color w:val="auto"/>
                <w:sz w:val="22"/>
                <w:szCs w:val="22"/>
                <w:highlight w:val="none"/>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c>
          <w:tcPr>
            <w:tcW w:w="755" w:type="pct"/>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jc w:val="center"/>
              <w:rPr>
                <w:rFonts w:hint="eastAsia"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5000" w:type="pct"/>
            <w:gridSpan w:val="10"/>
            <w:tcBorders>
              <w:top w:val="single" w:color="auto" w:sz="4" w:space="0"/>
              <w:left w:val="single" w:color="auto" w:sz="4" w:space="0"/>
              <w:bottom w:val="single" w:color="auto" w:sz="4" w:space="0"/>
              <w:right w:val="single" w:color="auto" w:sz="4" w:space="0"/>
            </w:tcBorders>
            <w:noWrap w:val="0"/>
            <w:vAlign w:val="center"/>
          </w:tcPr>
          <w:p>
            <w:pPr>
              <w:autoSpaceDE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人民币合计金额（大写）                          （小写）                 </w:t>
            </w:r>
          </w:p>
        </w:tc>
      </w:tr>
    </w:tbl>
    <w:p>
      <w:pPr>
        <w:snapToGrid w:val="0"/>
        <w:spacing w:line="360" w:lineRule="auto"/>
        <w:ind w:right="52"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2、竞标报价包含货物、货物标准附件、备品备件、专用工具、设备安装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费用。</w:t>
      </w:r>
    </w:p>
    <w:p>
      <w:pPr>
        <w:wordWrap w:val="0"/>
        <w:spacing w:line="360" w:lineRule="auto"/>
        <w:ind w:firstLine="420" w:firstLineChars="200"/>
        <w:rPr>
          <w:rFonts w:hint="eastAsia" w:ascii="宋体" w:hAnsi="宋体"/>
          <w:color w:val="auto"/>
          <w:sz w:val="22"/>
          <w:szCs w:val="22"/>
          <w:highlight w:val="none"/>
        </w:rPr>
      </w:pPr>
      <w:r>
        <w:rPr>
          <w:rFonts w:hint="eastAsia" w:ascii="宋体" w:hAnsi="宋体" w:cs="宋体"/>
          <w:color w:val="auto"/>
          <w:szCs w:val="21"/>
          <w:highlight w:val="none"/>
        </w:rPr>
        <w:t>3、免费开放设备所有数据接口供其他系统同步数据，安装时如有需要，需配合</w:t>
      </w:r>
      <w:r>
        <w:rPr>
          <w:rFonts w:hint="eastAsia" w:ascii="宋体" w:hAnsi="宋体" w:cs="宋体"/>
          <w:color w:val="auto"/>
          <w:szCs w:val="21"/>
          <w:highlight w:val="none"/>
          <w:lang w:val="en-US" w:eastAsia="zh-CN"/>
        </w:rPr>
        <w:t>甲方</w:t>
      </w:r>
      <w:r>
        <w:rPr>
          <w:rFonts w:hint="eastAsia" w:ascii="宋体" w:hAnsi="宋体" w:cs="宋体"/>
          <w:color w:val="auto"/>
          <w:szCs w:val="21"/>
          <w:highlight w:val="none"/>
        </w:rPr>
        <w:t>接入院内网络信息平台，并承担相应接口费用。</w:t>
      </w:r>
    </w:p>
    <w:p>
      <w:pPr>
        <w:autoSpaceDE w:val="0"/>
        <w:spacing w:line="360" w:lineRule="auto"/>
        <w:rPr>
          <w:rFonts w:hint="eastAsia" w:ascii="宋体" w:hAnsi="宋体"/>
          <w:b/>
          <w:color w:val="auto"/>
          <w:sz w:val="22"/>
          <w:szCs w:val="22"/>
          <w:highlight w:val="none"/>
        </w:rPr>
      </w:pPr>
      <w:r>
        <w:rPr>
          <w:rFonts w:hint="eastAsia" w:ascii="宋体" w:hAnsi="宋体"/>
          <w:color w:val="auto"/>
          <w:sz w:val="22"/>
          <w:szCs w:val="22"/>
          <w:highlight w:val="none"/>
        </w:rPr>
        <w:t xml:space="preserve">    </w:t>
      </w:r>
      <w:r>
        <w:rPr>
          <w:rFonts w:hint="eastAsia" w:ascii="宋体" w:hAnsi="宋体"/>
          <w:b/>
          <w:color w:val="auto"/>
          <w:sz w:val="22"/>
          <w:szCs w:val="22"/>
          <w:highlight w:val="none"/>
        </w:rPr>
        <w:t>第二条 质量保证</w:t>
      </w:r>
    </w:p>
    <w:p>
      <w:pPr>
        <w:autoSpaceDE w:val="0"/>
        <w:spacing w:line="360" w:lineRule="auto"/>
        <w:rPr>
          <w:rFonts w:hint="eastAsia" w:ascii="宋体" w:hAnsi="宋体"/>
          <w:color w:val="auto"/>
          <w:sz w:val="22"/>
          <w:szCs w:val="22"/>
          <w:highlight w:val="none"/>
        </w:rPr>
      </w:pPr>
      <w:r>
        <w:rPr>
          <w:rFonts w:hint="eastAsia" w:ascii="宋体" w:hAnsi="宋体"/>
          <w:b/>
          <w:color w:val="auto"/>
          <w:sz w:val="22"/>
          <w:szCs w:val="22"/>
          <w:highlight w:val="none"/>
        </w:rPr>
        <w:t xml:space="preserve">    </w:t>
      </w:r>
      <w:r>
        <w:rPr>
          <w:rFonts w:hint="eastAsia" w:ascii="宋体" w:hAnsi="宋体"/>
          <w:color w:val="auto"/>
          <w:sz w:val="22"/>
          <w:szCs w:val="22"/>
          <w:highlight w:val="none"/>
        </w:rPr>
        <w:t>1、乙方所提供的货物型号、技术规格、技术参数等质量必须与采购文件，响应文件和承诺相一致。乙方提供的节能和环保产品必须是列入品目清单的产品，否则甲方有权解除本合同。</w:t>
      </w:r>
    </w:p>
    <w:p>
      <w:pPr>
        <w:autoSpaceDE w:val="0"/>
        <w:spacing w:line="360" w:lineRule="auto"/>
        <w:ind w:firstLine="420"/>
        <w:rPr>
          <w:rFonts w:hint="eastAsia" w:ascii="宋体" w:hAnsi="宋体"/>
          <w:color w:val="auto"/>
          <w:sz w:val="22"/>
          <w:szCs w:val="22"/>
          <w:highlight w:val="none"/>
        </w:rPr>
      </w:pPr>
      <w:r>
        <w:rPr>
          <w:rFonts w:hint="eastAsia" w:ascii="宋体" w:hAnsi="宋体"/>
          <w:color w:val="auto"/>
          <w:sz w:val="22"/>
          <w:szCs w:val="22"/>
          <w:highlight w:val="none"/>
        </w:rPr>
        <w:t>2、乙方所提供的货物必须是全新、未使用的原装产品，且在正常安装、使用和保养条件下，其使用寿命期内各项指标均达到质量要求，否则甲方有权解除本合同。</w:t>
      </w:r>
    </w:p>
    <w:p>
      <w:pPr>
        <w:snapToGrid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3、乙方提供的零配件必须是全新原厂商出产的设备配件，不允许使用第三方配件及二手配件进行更换，更换时必须提供原厂证件。</w:t>
      </w:r>
    </w:p>
    <w:p>
      <w:pPr>
        <w:widowControl/>
        <w:autoSpaceDE w:val="0"/>
        <w:snapToGrid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4、乙方所提供的服务必须是符合采购要求、国家标准、行业标准的，在正常使用和保养条件下，其使用寿命期内各项指标均达到质量要求。如违反本条，甲方有权解除本合同，甲方因此受到损失的，乙方应赔偿甲方的所有损失。</w:t>
      </w:r>
    </w:p>
    <w:p>
      <w:pPr>
        <w:widowControl/>
        <w:autoSpaceDE w:val="0"/>
        <w:snapToGrid w:val="0"/>
        <w:spacing w:line="360" w:lineRule="auto"/>
        <w:ind w:firstLine="420" w:firstLineChars="200"/>
        <w:rPr>
          <w:rFonts w:hint="eastAsia" w:ascii="宋体" w:hAnsi="宋体"/>
          <w:color w:val="auto"/>
          <w:sz w:val="22"/>
          <w:szCs w:val="22"/>
          <w:highlight w:val="none"/>
        </w:rPr>
      </w:pPr>
      <w:r>
        <w:rPr>
          <w:rFonts w:hint="eastAsia" w:ascii="宋体" w:hAnsi="宋体" w:cs="宋体"/>
          <w:color w:val="auto"/>
          <w:szCs w:val="21"/>
          <w:highlight w:val="none"/>
        </w:rPr>
        <w:t>5、必须为制造商全新生产产品，验收时提供证明资料，查看设备机身铭牌标注的生产日期或其他证明产品生产日期的资料，从出厂日期至甲方收货时间，国产产品（含进口品牌国内制造）不超过6个月。</w:t>
      </w:r>
    </w:p>
    <w:p>
      <w:pPr>
        <w:autoSpaceDE w:val="0"/>
        <w:spacing w:line="360" w:lineRule="auto"/>
        <w:rPr>
          <w:rFonts w:hint="eastAsia" w:ascii="宋体" w:hAnsi="宋体"/>
          <w:b/>
          <w:color w:val="auto"/>
          <w:sz w:val="22"/>
          <w:szCs w:val="22"/>
          <w:highlight w:val="none"/>
        </w:rPr>
      </w:pPr>
      <w:r>
        <w:rPr>
          <w:rFonts w:hint="eastAsia" w:ascii="宋体" w:hAnsi="宋体"/>
          <w:color w:val="auto"/>
          <w:sz w:val="22"/>
          <w:szCs w:val="22"/>
          <w:highlight w:val="none"/>
        </w:rPr>
        <w:t xml:space="preserve">    </w:t>
      </w:r>
      <w:r>
        <w:rPr>
          <w:rFonts w:hint="eastAsia" w:ascii="宋体" w:hAnsi="宋体"/>
          <w:b/>
          <w:color w:val="auto"/>
          <w:sz w:val="22"/>
          <w:szCs w:val="22"/>
          <w:highlight w:val="none"/>
        </w:rPr>
        <w:t>第三条 权利保证</w:t>
      </w:r>
    </w:p>
    <w:p>
      <w:pPr>
        <w:autoSpaceDE w:val="0"/>
        <w:spacing w:line="360" w:lineRule="auto"/>
        <w:rPr>
          <w:rFonts w:hint="eastAsia" w:ascii="宋体" w:hAnsi="宋体"/>
          <w:color w:val="auto"/>
          <w:sz w:val="22"/>
          <w:szCs w:val="22"/>
          <w:highlight w:val="none"/>
        </w:rPr>
      </w:pPr>
      <w:r>
        <w:rPr>
          <w:rFonts w:hint="eastAsia" w:ascii="宋体" w:hAnsi="宋体"/>
          <w:b/>
          <w:color w:val="auto"/>
          <w:sz w:val="22"/>
          <w:szCs w:val="22"/>
          <w:highlight w:val="none"/>
        </w:rPr>
        <w:t xml:space="preserve">   </w:t>
      </w:r>
      <w:r>
        <w:rPr>
          <w:rFonts w:hint="eastAsia" w:ascii="宋体" w:hAnsi="宋体"/>
          <w:color w:val="auto"/>
          <w:sz w:val="22"/>
          <w:szCs w:val="22"/>
          <w:highlight w:val="none"/>
        </w:rPr>
        <w:t xml:space="preserve"> 1、乙方应保证所提供货物在使用时不会侵犯任何第三方的专利权、商标权、工业设计权或其他权利。</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2、乙方应按采购文件规定的时间向甲方提供使用货物的有关技术资料。</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如违反本条，甲方有权解除本合同，乙方应向甲方支付合同总价款的30%作为违约金。</w:t>
      </w:r>
    </w:p>
    <w:p>
      <w:pPr>
        <w:autoSpaceDE w:val="0"/>
        <w:spacing w:line="360" w:lineRule="auto"/>
        <w:ind w:firstLine="420"/>
        <w:rPr>
          <w:rFonts w:hint="eastAsia" w:ascii="宋体" w:hAnsi="宋体"/>
          <w:color w:val="auto"/>
          <w:sz w:val="22"/>
          <w:szCs w:val="22"/>
          <w:highlight w:val="none"/>
        </w:rPr>
      </w:pPr>
      <w:r>
        <w:rPr>
          <w:rFonts w:hint="eastAsia" w:ascii="宋体" w:hAnsi="宋体"/>
          <w:color w:val="auto"/>
          <w:sz w:val="22"/>
          <w:szCs w:val="22"/>
          <w:highlight w:val="none"/>
        </w:rPr>
        <w:t xml:space="preserve"> 4、乙方保证所交付的货物的所有权完全属于乙方且无任何抵押、质押、查封等产权瑕疵。如违反本条，甲方有权解除本合同，甲方因此受到损失的，乙方应赔偿甲方的所有损失。</w:t>
      </w:r>
    </w:p>
    <w:p>
      <w:pPr>
        <w:autoSpaceDE w:val="0"/>
        <w:spacing w:line="360" w:lineRule="auto"/>
        <w:rPr>
          <w:rFonts w:hint="eastAsia" w:ascii="宋体" w:hAnsi="宋体"/>
          <w:b/>
          <w:color w:val="auto"/>
          <w:sz w:val="22"/>
          <w:szCs w:val="22"/>
          <w:highlight w:val="none"/>
        </w:rPr>
      </w:pPr>
      <w:r>
        <w:rPr>
          <w:rFonts w:hint="eastAsia" w:ascii="宋体" w:hAnsi="宋体"/>
          <w:color w:val="auto"/>
          <w:sz w:val="22"/>
          <w:szCs w:val="22"/>
          <w:highlight w:val="none"/>
        </w:rPr>
        <w:t xml:space="preserve">    </w:t>
      </w:r>
      <w:r>
        <w:rPr>
          <w:rFonts w:hint="eastAsia" w:ascii="宋体" w:hAnsi="宋体"/>
          <w:b/>
          <w:color w:val="auto"/>
          <w:sz w:val="22"/>
          <w:szCs w:val="22"/>
          <w:highlight w:val="none"/>
        </w:rPr>
        <w:t>第四条 包装和运输</w:t>
      </w:r>
    </w:p>
    <w:p>
      <w:pPr>
        <w:autoSpaceDE w:val="0"/>
        <w:spacing w:line="360" w:lineRule="auto"/>
        <w:rPr>
          <w:rFonts w:hint="eastAsia" w:ascii="宋体" w:hAnsi="宋体"/>
          <w:color w:val="auto"/>
          <w:sz w:val="22"/>
          <w:szCs w:val="22"/>
          <w:highlight w:val="none"/>
        </w:rPr>
      </w:pPr>
      <w:r>
        <w:rPr>
          <w:rFonts w:hint="eastAsia" w:ascii="宋体" w:hAnsi="宋体"/>
          <w:b/>
          <w:color w:val="auto"/>
          <w:sz w:val="22"/>
          <w:szCs w:val="22"/>
          <w:highlight w:val="none"/>
        </w:rPr>
        <w:t xml:space="preserve">    </w:t>
      </w:r>
      <w:r>
        <w:rPr>
          <w:rFonts w:hint="eastAsia" w:ascii="宋体" w:hAnsi="宋体"/>
          <w:color w:val="auto"/>
          <w:sz w:val="22"/>
          <w:szCs w:val="22"/>
          <w:highlight w:val="none"/>
        </w:rPr>
        <w:t>1、乙方提供的货物均应按</w:t>
      </w:r>
      <w:bookmarkStart w:id="173" w:name="OLE_LINK27"/>
      <w:bookmarkStart w:id="174" w:name="OLE_LINK26"/>
      <w:r>
        <w:rPr>
          <w:rFonts w:hint="eastAsia" w:ascii="宋体" w:hAnsi="宋体"/>
          <w:color w:val="auto"/>
          <w:sz w:val="22"/>
          <w:szCs w:val="22"/>
          <w:highlight w:val="none"/>
        </w:rPr>
        <w:t>采购文件、响应文件</w:t>
      </w:r>
      <w:bookmarkEnd w:id="173"/>
      <w:bookmarkEnd w:id="174"/>
      <w:r>
        <w:rPr>
          <w:rFonts w:hint="eastAsia" w:ascii="宋体" w:hAnsi="宋体"/>
          <w:color w:val="auto"/>
          <w:sz w:val="22"/>
          <w:szCs w:val="22"/>
          <w:highlight w:val="none"/>
        </w:rPr>
        <w:t>要求的包装材料、包装标准、包装方式进行包装，每一包装单元内应附详细的装箱单和质量合格证。</w:t>
      </w:r>
    </w:p>
    <w:p>
      <w:pPr>
        <w:autoSpaceDE w:val="0"/>
        <w:spacing w:line="360" w:lineRule="auto"/>
        <w:rPr>
          <w:rFonts w:hint="eastAsia" w:ascii="宋体" w:hAnsi="宋体"/>
          <w:color w:val="auto"/>
          <w:sz w:val="22"/>
          <w:szCs w:val="22"/>
          <w:highlight w:val="none"/>
          <w:u w:val="single"/>
        </w:rPr>
      </w:pPr>
      <w:r>
        <w:rPr>
          <w:rFonts w:hint="eastAsia" w:ascii="宋体" w:hAnsi="宋体"/>
          <w:color w:val="auto"/>
          <w:sz w:val="22"/>
          <w:szCs w:val="22"/>
          <w:highlight w:val="none"/>
        </w:rPr>
        <w:t xml:space="preserve">    2、货物的运输方式：</w:t>
      </w:r>
      <w:r>
        <w:rPr>
          <w:rFonts w:hint="eastAsia" w:ascii="宋体" w:hAnsi="宋体"/>
          <w:color w:val="auto"/>
          <w:sz w:val="22"/>
          <w:szCs w:val="22"/>
          <w:highlight w:val="none"/>
          <w:u w:val="single"/>
        </w:rPr>
        <w:t>由乙方负责</w:t>
      </w:r>
      <w:r>
        <w:rPr>
          <w:rFonts w:hint="eastAsia" w:ascii="宋体" w:hAnsi="宋体"/>
          <w:color w:val="auto"/>
          <w:sz w:val="22"/>
          <w:szCs w:val="22"/>
          <w:highlight w:val="none"/>
        </w:rPr>
        <w:t>。</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3、乙方负责货物运输，货物运输合理损耗及计算方法：</w:t>
      </w:r>
      <w:r>
        <w:rPr>
          <w:rFonts w:hint="eastAsia" w:ascii="宋体" w:hAnsi="宋体"/>
          <w:color w:val="auto"/>
          <w:sz w:val="22"/>
          <w:szCs w:val="22"/>
          <w:highlight w:val="none"/>
          <w:u w:val="single"/>
        </w:rPr>
        <w:t>不接受损耗</w:t>
      </w:r>
      <w:r>
        <w:rPr>
          <w:rFonts w:hint="eastAsia" w:ascii="宋体" w:hAnsi="宋体"/>
          <w:color w:val="auto"/>
          <w:sz w:val="22"/>
          <w:szCs w:val="22"/>
          <w:highlight w:val="none"/>
        </w:rPr>
        <w:t>。</w:t>
      </w:r>
    </w:p>
    <w:p>
      <w:pPr>
        <w:autoSpaceDE w:val="0"/>
        <w:spacing w:line="360" w:lineRule="auto"/>
        <w:rPr>
          <w:rFonts w:hint="eastAsia" w:ascii="宋体" w:hAnsi="宋体"/>
          <w:b/>
          <w:color w:val="auto"/>
          <w:sz w:val="22"/>
          <w:szCs w:val="22"/>
          <w:highlight w:val="none"/>
        </w:rPr>
      </w:pPr>
      <w:r>
        <w:rPr>
          <w:rFonts w:hint="eastAsia" w:ascii="宋体" w:hAnsi="宋体"/>
          <w:color w:val="auto"/>
          <w:sz w:val="22"/>
          <w:szCs w:val="22"/>
          <w:highlight w:val="none"/>
        </w:rPr>
        <w:t xml:space="preserve">    </w:t>
      </w:r>
      <w:r>
        <w:rPr>
          <w:rFonts w:hint="eastAsia" w:ascii="宋体" w:hAnsi="宋体"/>
          <w:b/>
          <w:color w:val="auto"/>
          <w:sz w:val="22"/>
          <w:szCs w:val="22"/>
          <w:highlight w:val="none"/>
        </w:rPr>
        <w:t>第五条 交付和验收</w:t>
      </w:r>
    </w:p>
    <w:p>
      <w:pPr>
        <w:autoSpaceDE w:val="0"/>
        <w:spacing w:line="360" w:lineRule="auto"/>
        <w:rPr>
          <w:rFonts w:hint="eastAsia" w:ascii="宋体" w:hAnsi="宋体"/>
          <w:color w:val="auto"/>
          <w:sz w:val="22"/>
          <w:szCs w:val="22"/>
          <w:highlight w:val="none"/>
        </w:rPr>
      </w:pPr>
      <w:r>
        <w:rPr>
          <w:rFonts w:hint="eastAsia" w:ascii="宋体" w:hAnsi="宋体"/>
          <w:b/>
          <w:color w:val="auto"/>
          <w:sz w:val="22"/>
          <w:szCs w:val="22"/>
          <w:highlight w:val="none"/>
        </w:rPr>
        <w:t xml:space="preserve">    </w:t>
      </w:r>
      <w:r>
        <w:rPr>
          <w:rFonts w:hint="eastAsia" w:ascii="宋体" w:hAnsi="宋体"/>
          <w:color w:val="auto"/>
          <w:sz w:val="22"/>
          <w:szCs w:val="22"/>
          <w:highlight w:val="none"/>
        </w:rPr>
        <w:t>1、交付使用时间：</w:t>
      </w:r>
      <w:r>
        <w:rPr>
          <w:rFonts w:hint="eastAsia" w:ascii="宋体" w:hAnsi="宋体"/>
          <w:color w:val="auto"/>
          <w:sz w:val="22"/>
          <w:szCs w:val="22"/>
          <w:highlight w:val="none"/>
          <w:u w:val="single"/>
        </w:rPr>
        <w:t xml:space="preserve"> 按乙方响应文件中所承诺的时间 </w:t>
      </w:r>
      <w:r>
        <w:rPr>
          <w:rFonts w:hint="eastAsia" w:ascii="宋体" w:hAnsi="宋体"/>
          <w:color w:val="auto"/>
          <w:sz w:val="22"/>
          <w:szCs w:val="22"/>
          <w:highlight w:val="none"/>
        </w:rPr>
        <w:t>、地点：</w:t>
      </w:r>
      <w:r>
        <w:rPr>
          <w:rFonts w:hint="eastAsia" w:ascii="宋体" w:hAnsi="宋体"/>
          <w:color w:val="auto"/>
          <w:sz w:val="22"/>
          <w:szCs w:val="22"/>
          <w:highlight w:val="none"/>
          <w:u w:val="single"/>
        </w:rPr>
        <w:t xml:space="preserve">甲方指定地点 </w:t>
      </w:r>
      <w:r>
        <w:rPr>
          <w:rFonts w:hint="eastAsia" w:ascii="宋体" w:hAnsi="宋体"/>
          <w:color w:val="auto"/>
          <w:sz w:val="22"/>
          <w:szCs w:val="22"/>
          <w:highlight w:val="none"/>
        </w:rPr>
        <w:t>。</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2、乙方提供不符合采购文件、响应文件和本合同规定的货物，甲方有权拒绝接受。</w:t>
      </w:r>
    </w:p>
    <w:p>
      <w:pPr>
        <w:pStyle w:val="13"/>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3、乙方应随设备提供的资料：设备配置装箱单一份，须有现场清点记录，甲乙双方签字确认；设备检验合格证明；提供双份随机纸质资料（中文产品说明书或操作手册一式两份、提供电子版使用说明书）；设备上应贴有标牌，标牌上应用中文载明以下内容：设备名称（与注册证相符）、设备型号（与注册证相符）、生产厂家（与注册证相符）、出厂日期、出厂编号、注册证号；负责制作标准的操作规范卡；以上材料作为验收条件之一，必须提供，如有缺失应及时补齐，否则视为逾期交货。</w:t>
      </w:r>
    </w:p>
    <w:p>
      <w:pPr>
        <w:pStyle w:val="13"/>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w:t>
      </w:r>
      <w:r>
        <w:rPr>
          <w:rFonts w:ascii="宋体" w:hAnsi="宋体"/>
          <w:color w:val="auto"/>
          <w:sz w:val="22"/>
          <w:szCs w:val="22"/>
          <w:highlight w:val="none"/>
        </w:rPr>
        <w:t xml:space="preserve"> </w:t>
      </w:r>
      <w:r>
        <w:rPr>
          <w:rFonts w:hint="eastAsia" w:ascii="宋体" w:hAnsi="宋体"/>
          <w:color w:val="auto"/>
          <w:sz w:val="22"/>
          <w:szCs w:val="22"/>
          <w:highlight w:val="none"/>
        </w:rPr>
        <w:t>4、乙方完成项目所要求的所有服务内容、设备正常运行至少两周，甲方接到乙方书面验收申请后组织正式验收。</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5、</w:t>
      </w:r>
      <w:r>
        <w:rPr>
          <w:rFonts w:hint="eastAsia" w:ascii="宋体" w:hAnsi="宋体"/>
          <w:color w:val="auto"/>
          <w:sz w:val="22"/>
          <w:szCs w:val="22"/>
          <w:highlight w:val="none"/>
          <w:lang w:val="en-US" w:eastAsia="zh-CN"/>
        </w:rPr>
        <w:t>甲方</w:t>
      </w:r>
      <w:r>
        <w:rPr>
          <w:rFonts w:hint="eastAsia" w:ascii="宋体" w:hAnsi="宋体"/>
          <w:color w:val="auto"/>
          <w:sz w:val="22"/>
          <w:szCs w:val="22"/>
          <w:highlight w:val="none"/>
        </w:rPr>
        <w:t>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6、甲方对验收有异议的，在验收后10个工作日内以书面形式向乙方提出，乙方应自收到甲方书面异议后</w:t>
      </w:r>
      <w:r>
        <w:rPr>
          <w:rFonts w:hint="eastAsia" w:ascii="宋体" w:hAnsi="宋体"/>
          <w:color w:val="auto"/>
          <w:sz w:val="22"/>
          <w:szCs w:val="22"/>
          <w:highlight w:val="none"/>
          <w:u w:val="single"/>
        </w:rPr>
        <w:t xml:space="preserve"> 10 </w:t>
      </w:r>
      <w:r>
        <w:rPr>
          <w:rFonts w:hint="eastAsia" w:ascii="宋体" w:hAnsi="宋体"/>
          <w:color w:val="auto"/>
          <w:sz w:val="22"/>
          <w:szCs w:val="22"/>
          <w:highlight w:val="none"/>
        </w:rPr>
        <w:t>日内及时予以解决。</w:t>
      </w:r>
    </w:p>
    <w:p>
      <w:pPr>
        <w:autoSpaceDE w:val="0"/>
        <w:spacing w:line="360" w:lineRule="auto"/>
        <w:rPr>
          <w:rFonts w:hint="eastAsia" w:ascii="宋体" w:hAnsi="宋体"/>
          <w:b/>
          <w:color w:val="auto"/>
          <w:sz w:val="22"/>
          <w:szCs w:val="22"/>
          <w:highlight w:val="none"/>
        </w:rPr>
      </w:pPr>
      <w:r>
        <w:rPr>
          <w:rFonts w:hint="eastAsia" w:ascii="宋体" w:hAnsi="宋体"/>
          <w:color w:val="auto"/>
          <w:sz w:val="22"/>
          <w:szCs w:val="22"/>
          <w:highlight w:val="none"/>
        </w:rPr>
        <w:t xml:space="preserve">    </w:t>
      </w:r>
      <w:r>
        <w:rPr>
          <w:rFonts w:hint="eastAsia" w:ascii="宋体" w:hAnsi="宋体"/>
          <w:b/>
          <w:color w:val="auto"/>
          <w:sz w:val="22"/>
          <w:szCs w:val="22"/>
          <w:highlight w:val="none"/>
        </w:rPr>
        <w:t>第六条 安装和培训</w:t>
      </w:r>
    </w:p>
    <w:p>
      <w:pPr>
        <w:autoSpaceDE w:val="0"/>
        <w:spacing w:line="360" w:lineRule="auto"/>
        <w:rPr>
          <w:rFonts w:hint="eastAsia" w:ascii="宋体" w:hAnsi="宋体"/>
          <w:color w:val="auto"/>
          <w:sz w:val="22"/>
          <w:szCs w:val="22"/>
          <w:highlight w:val="none"/>
        </w:rPr>
      </w:pPr>
      <w:r>
        <w:rPr>
          <w:rFonts w:hint="eastAsia" w:ascii="宋体" w:hAnsi="宋体"/>
          <w:b/>
          <w:color w:val="auto"/>
          <w:sz w:val="22"/>
          <w:szCs w:val="22"/>
          <w:highlight w:val="none"/>
        </w:rPr>
        <w:t xml:space="preserve">    </w:t>
      </w:r>
      <w:r>
        <w:rPr>
          <w:rFonts w:hint="eastAsia" w:ascii="宋体" w:hAnsi="宋体"/>
          <w:color w:val="auto"/>
          <w:sz w:val="22"/>
          <w:szCs w:val="22"/>
          <w:highlight w:val="none"/>
        </w:rPr>
        <w:t>1、甲方应提供必要安装条件（如场地、电源、水源等）。</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2、乙方负责甲方有关人员的培训。培训时间、地点：</w:t>
      </w:r>
      <w:r>
        <w:rPr>
          <w:rFonts w:hint="eastAsia" w:ascii="宋体" w:hAnsi="宋体"/>
          <w:color w:val="auto"/>
          <w:sz w:val="22"/>
          <w:szCs w:val="22"/>
          <w:highlight w:val="none"/>
          <w:u w:val="single"/>
        </w:rPr>
        <w:t xml:space="preserve">  按甲方需求要求  </w:t>
      </w:r>
      <w:r>
        <w:rPr>
          <w:rFonts w:hint="eastAsia" w:ascii="宋体" w:hAnsi="宋体"/>
          <w:color w:val="auto"/>
          <w:sz w:val="22"/>
          <w:szCs w:val="22"/>
          <w:highlight w:val="none"/>
        </w:rPr>
        <w:t>。</w:t>
      </w:r>
    </w:p>
    <w:p>
      <w:pPr>
        <w:autoSpaceDE w:val="0"/>
        <w:spacing w:line="360" w:lineRule="auto"/>
        <w:rPr>
          <w:rFonts w:hint="eastAsia" w:ascii="宋体" w:hAnsi="宋体"/>
          <w:b/>
          <w:color w:val="auto"/>
          <w:sz w:val="22"/>
          <w:szCs w:val="22"/>
          <w:highlight w:val="none"/>
        </w:rPr>
      </w:pPr>
      <w:r>
        <w:rPr>
          <w:rFonts w:hint="eastAsia" w:ascii="宋体" w:hAnsi="宋体"/>
          <w:color w:val="auto"/>
          <w:sz w:val="22"/>
          <w:szCs w:val="22"/>
          <w:highlight w:val="none"/>
        </w:rPr>
        <w:t xml:space="preserve">    </w:t>
      </w:r>
      <w:r>
        <w:rPr>
          <w:rFonts w:hint="eastAsia" w:ascii="宋体" w:hAnsi="宋体"/>
          <w:b/>
          <w:color w:val="auto"/>
          <w:sz w:val="22"/>
          <w:szCs w:val="22"/>
          <w:highlight w:val="none"/>
        </w:rPr>
        <w:t>第七条  售后服务、保修期</w:t>
      </w:r>
    </w:p>
    <w:p>
      <w:pPr>
        <w:autoSpaceDE w:val="0"/>
        <w:spacing w:line="360" w:lineRule="auto"/>
        <w:rPr>
          <w:rFonts w:hint="eastAsia" w:ascii="宋体" w:hAnsi="宋体"/>
          <w:color w:val="auto"/>
          <w:sz w:val="22"/>
          <w:szCs w:val="22"/>
          <w:highlight w:val="none"/>
        </w:rPr>
      </w:pPr>
      <w:r>
        <w:rPr>
          <w:rFonts w:hint="eastAsia" w:ascii="宋体" w:hAnsi="宋体"/>
          <w:b/>
          <w:color w:val="auto"/>
          <w:sz w:val="22"/>
          <w:szCs w:val="22"/>
          <w:highlight w:val="none"/>
        </w:rPr>
        <w:t xml:space="preserve">  </w:t>
      </w:r>
      <w:r>
        <w:rPr>
          <w:rFonts w:hint="eastAsia" w:ascii="宋体" w:hAnsi="宋体"/>
          <w:color w:val="auto"/>
          <w:sz w:val="22"/>
          <w:szCs w:val="22"/>
          <w:highlight w:val="none"/>
        </w:rPr>
        <w:t xml:space="preserve">  1、乙方应按照国家有关法律法规和“三包”规定以及采购文件、响应文件和本合同所附的《售后服务承诺书》，为甲方提供售后服务。</w:t>
      </w:r>
    </w:p>
    <w:p>
      <w:pPr>
        <w:autoSpaceDE w:val="0"/>
        <w:spacing w:line="360" w:lineRule="auto"/>
        <w:ind w:firstLine="440" w:firstLineChars="200"/>
        <w:rPr>
          <w:rFonts w:hint="eastAsia" w:ascii="宋体" w:hAnsi="宋体"/>
          <w:color w:val="auto"/>
          <w:sz w:val="22"/>
          <w:szCs w:val="22"/>
          <w:highlight w:val="none"/>
          <w:lang w:eastAsia="zh-CN"/>
        </w:rPr>
      </w:pPr>
      <w:r>
        <w:rPr>
          <w:rFonts w:hint="eastAsia" w:ascii="宋体" w:hAnsi="宋体" w:eastAsia="宋体" w:cs="Times New Roman"/>
          <w:color w:val="auto"/>
          <w:sz w:val="22"/>
          <w:szCs w:val="22"/>
          <w:highlight w:val="none"/>
        </w:rPr>
        <w:t>2、货物保修期：</w:t>
      </w:r>
      <w:r>
        <w:rPr>
          <w:rFonts w:hint="eastAsia" w:ascii="宋体" w:hAnsi="宋体"/>
          <w:color w:val="auto"/>
          <w:sz w:val="22"/>
          <w:szCs w:val="22"/>
          <w:highlight w:val="none"/>
          <w:lang w:val="en-US" w:eastAsia="zh-CN"/>
        </w:rPr>
        <w:t>质保期</w:t>
      </w:r>
      <w:r>
        <w:rPr>
          <w:rFonts w:hint="eastAsia" w:ascii="宋体" w:hAnsi="宋体"/>
          <w:color w:val="auto"/>
          <w:sz w:val="22"/>
          <w:szCs w:val="22"/>
          <w:highlight w:val="none"/>
          <w:u w:val="single"/>
          <w:lang w:val="en-US" w:eastAsia="zh-CN"/>
        </w:rPr>
        <w:t xml:space="preserve">    </w:t>
      </w:r>
      <w:r>
        <w:rPr>
          <w:rFonts w:hint="eastAsia" w:ascii="宋体" w:hAnsi="宋体"/>
          <w:color w:val="auto"/>
          <w:sz w:val="22"/>
          <w:szCs w:val="22"/>
          <w:highlight w:val="none"/>
          <w:lang w:val="en-US" w:eastAsia="zh-CN"/>
        </w:rPr>
        <w:t>年（自甲乙双方验收合格之日起计）。</w:t>
      </w:r>
      <w:r>
        <w:rPr>
          <w:rFonts w:hint="eastAsia" w:ascii="宋体" w:hAnsi="宋体"/>
          <w:color w:val="auto"/>
          <w:sz w:val="22"/>
          <w:szCs w:val="22"/>
          <w:highlight w:val="none"/>
          <w:lang w:eastAsia="zh-CN"/>
        </w:rPr>
        <w:t>按国家有关产品“三包”规定执行“三包”，</w:t>
      </w:r>
      <w:r>
        <w:rPr>
          <w:rFonts w:hint="eastAsia" w:ascii="宋体" w:hAnsi="宋体"/>
          <w:color w:val="auto"/>
          <w:sz w:val="22"/>
          <w:szCs w:val="22"/>
          <w:highlight w:val="none"/>
          <w:lang w:val="en-US" w:eastAsia="zh-CN"/>
        </w:rPr>
        <w:t>质保期内乙方负责上门服务、维修、更换配件，不得收取任何费用</w:t>
      </w:r>
      <w:r>
        <w:rPr>
          <w:rFonts w:hint="eastAsia" w:ascii="宋体" w:hAnsi="宋体"/>
          <w:color w:val="auto"/>
          <w:sz w:val="22"/>
          <w:szCs w:val="22"/>
          <w:highlight w:val="none"/>
          <w:lang w:eastAsia="zh-CN"/>
        </w:rPr>
        <w:t>。若在使用的前3个月内，出现非人为操作失误的重大故障，应予以换货。</w:t>
      </w:r>
      <w:r>
        <w:rPr>
          <w:rFonts w:hint="eastAsia" w:ascii="宋体" w:hAnsi="宋体"/>
          <w:color w:val="auto"/>
          <w:sz w:val="22"/>
          <w:szCs w:val="22"/>
          <w:highlight w:val="none"/>
          <w:lang w:val="en-US" w:eastAsia="zh-CN"/>
        </w:rPr>
        <w:t>质保期</w:t>
      </w:r>
      <w:r>
        <w:rPr>
          <w:rFonts w:hint="eastAsia" w:ascii="宋体" w:hAnsi="宋体"/>
          <w:color w:val="auto"/>
          <w:sz w:val="22"/>
          <w:szCs w:val="22"/>
          <w:highlight w:val="none"/>
          <w:lang w:eastAsia="zh-CN"/>
        </w:rPr>
        <w:t>满前1个月内</w:t>
      </w:r>
      <w:r>
        <w:rPr>
          <w:rFonts w:hint="eastAsia" w:ascii="宋体" w:hAnsi="宋体"/>
          <w:color w:val="auto"/>
          <w:sz w:val="22"/>
          <w:szCs w:val="22"/>
          <w:highlight w:val="none"/>
          <w:lang w:val="en-US" w:eastAsia="zh-CN"/>
        </w:rPr>
        <w:t>乙方</w:t>
      </w:r>
      <w:r>
        <w:rPr>
          <w:rFonts w:hint="eastAsia" w:ascii="宋体" w:hAnsi="宋体"/>
          <w:color w:val="auto"/>
          <w:sz w:val="22"/>
          <w:szCs w:val="22"/>
          <w:highlight w:val="none"/>
          <w:lang w:eastAsia="zh-CN"/>
        </w:rPr>
        <w:t>应负责一次全面检查；质保期满后，</w:t>
      </w:r>
      <w:r>
        <w:rPr>
          <w:rFonts w:hint="eastAsia" w:ascii="宋体" w:hAnsi="宋体"/>
          <w:color w:val="auto"/>
          <w:sz w:val="22"/>
          <w:szCs w:val="22"/>
          <w:highlight w:val="none"/>
          <w:lang w:val="en-US" w:eastAsia="zh-CN"/>
        </w:rPr>
        <w:t>终身维护，</w:t>
      </w:r>
      <w:r>
        <w:rPr>
          <w:rFonts w:hint="eastAsia" w:ascii="宋体" w:hAnsi="宋体"/>
          <w:color w:val="auto"/>
          <w:sz w:val="22"/>
          <w:szCs w:val="22"/>
          <w:highlight w:val="none"/>
          <w:lang w:eastAsia="zh-CN"/>
        </w:rPr>
        <w:t>以优惠价格提供维修和备件更换，且免除一切手续费。</w:t>
      </w:r>
    </w:p>
    <w:p>
      <w:pPr>
        <w:autoSpaceDE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3、乙方提供的服务承诺和售后服务及保修期责任等其它具体约定事项。（见合同附件）</w:t>
      </w:r>
    </w:p>
    <w:p>
      <w:pPr>
        <w:autoSpaceDE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4、为保证服务质量，一般故障2小时内电话响应，24小时内抵达故障设备现场解决问题，24小时内不能解决故障问题的，乙方隔天将提供备用机（与原设备技术参数要求相同或高于原设备技术参数要求的备用产品）以保证甲方的正常工作，所产生的费用，均由乙方承担，甲方不再承担任何费用。</w:t>
      </w:r>
    </w:p>
    <w:p>
      <w:pPr>
        <w:autoSpaceDE w:val="0"/>
        <w:spacing w:line="360" w:lineRule="auto"/>
        <w:ind w:firstLine="420"/>
        <w:rPr>
          <w:rFonts w:hint="eastAsia" w:ascii="宋体" w:hAnsi="宋体"/>
          <w:color w:val="auto"/>
          <w:sz w:val="22"/>
          <w:szCs w:val="22"/>
          <w:highlight w:val="none"/>
        </w:rPr>
      </w:pPr>
      <w:r>
        <w:rPr>
          <w:rFonts w:hint="eastAsia" w:ascii="宋体" w:hAnsi="宋体"/>
          <w:color w:val="auto"/>
          <w:sz w:val="22"/>
          <w:szCs w:val="22"/>
          <w:highlight w:val="none"/>
        </w:rPr>
        <w:t>5、超过保修期的机器设备，终身维修，维修时只收部件成本费，免收其他一切费用。</w:t>
      </w:r>
    </w:p>
    <w:p>
      <w:pPr>
        <w:autoSpaceDE w:val="0"/>
        <w:spacing w:line="360" w:lineRule="auto"/>
        <w:rPr>
          <w:rFonts w:hint="eastAsia" w:ascii="宋体" w:hAnsi="宋体"/>
          <w:b/>
          <w:color w:val="auto"/>
          <w:sz w:val="22"/>
          <w:szCs w:val="22"/>
          <w:highlight w:val="none"/>
        </w:rPr>
      </w:pPr>
      <w:r>
        <w:rPr>
          <w:rFonts w:hint="eastAsia" w:ascii="宋体" w:hAnsi="宋体"/>
          <w:color w:val="auto"/>
          <w:sz w:val="22"/>
          <w:szCs w:val="22"/>
          <w:highlight w:val="none"/>
        </w:rPr>
        <w:t xml:space="preserve">    </w:t>
      </w:r>
      <w:r>
        <w:rPr>
          <w:rFonts w:hint="eastAsia" w:ascii="宋体" w:hAnsi="宋体"/>
          <w:b/>
          <w:color w:val="auto"/>
          <w:sz w:val="22"/>
          <w:szCs w:val="22"/>
          <w:highlight w:val="none"/>
        </w:rPr>
        <w:t>第八条 付款方式</w:t>
      </w:r>
    </w:p>
    <w:p>
      <w:pPr>
        <w:keepNext w:val="0"/>
        <w:keepLines w:val="0"/>
        <w:pageBreakBefore w:val="0"/>
        <w:widowControl/>
        <w:kinsoku/>
        <w:wordWrap/>
        <w:overflowPunct/>
        <w:topLinePunct w:val="0"/>
        <w:autoSpaceDE/>
        <w:autoSpaceDN/>
        <w:bidi w:val="0"/>
        <w:adjustRightInd w:val="0"/>
        <w:snapToGrid w:val="0"/>
        <w:spacing w:line="360" w:lineRule="auto"/>
        <w:ind w:firstLine="440" w:firstLineChars="200"/>
        <w:jc w:val="left"/>
        <w:textAlignment w:val="center"/>
        <w:rPr>
          <w:rFonts w:hint="eastAsia" w:ascii="宋体" w:hAnsi="宋体"/>
          <w:color w:val="auto"/>
          <w:sz w:val="22"/>
          <w:szCs w:val="22"/>
          <w:highlight w:val="none"/>
        </w:rPr>
      </w:pPr>
      <w:r>
        <w:rPr>
          <w:rFonts w:hint="eastAsia" w:ascii="宋体" w:hAnsi="宋体"/>
          <w:color w:val="auto"/>
          <w:sz w:val="22"/>
          <w:szCs w:val="22"/>
          <w:highlight w:val="none"/>
          <w:lang w:val="en-US" w:eastAsia="zh-CN"/>
        </w:rPr>
        <w:t>1、</w:t>
      </w:r>
      <w:r>
        <w:rPr>
          <w:rFonts w:hint="eastAsia" w:ascii="宋体" w:hAnsi="宋体"/>
          <w:color w:val="auto"/>
          <w:sz w:val="22"/>
          <w:szCs w:val="22"/>
          <w:highlight w:val="none"/>
        </w:rPr>
        <w:t>本项目采用分期付款方式支付货款，全部货物到达指定地点、安装调试并验收合格，乙方凭</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default" w:ascii="宋体" w:hAnsi="宋体" w:eastAsia="宋体" w:cs="宋体"/>
          <w:color w:val="auto"/>
          <w:sz w:val="21"/>
          <w:szCs w:val="21"/>
          <w:highlight w:val="none"/>
          <w:lang w:val="en-US" w:eastAsia="zh-CN"/>
        </w:rPr>
      </w:pPr>
      <w:r>
        <w:rPr>
          <w:rFonts w:hint="eastAsia" w:ascii="宋体" w:hAnsi="宋体"/>
          <w:color w:val="auto"/>
          <w:sz w:val="22"/>
          <w:szCs w:val="22"/>
          <w:highlight w:val="none"/>
        </w:rPr>
        <w:t>双方签署验收合格文件，开具合法有效的全额增值税发票给甲方，甲方收到完整、有效请款材料后3个月内一次性支付总合同金额的50%；验收合格满12个月内支付至总合同金额100%。（不计利息）</w:t>
      </w:r>
      <w:r>
        <w:rPr>
          <w:rFonts w:hint="eastAsia" w:ascii="宋体" w:hAnsi="宋体"/>
          <w:color w:val="auto"/>
          <w:sz w:val="22"/>
          <w:szCs w:val="22"/>
          <w:highlight w:val="none"/>
        </w:rPr>
        <w:br w:type="textWrapping"/>
      </w:r>
      <w:r>
        <w:rPr>
          <w:rFonts w:hint="eastAsia" w:ascii="宋体" w:hAnsi="宋体"/>
          <w:color w:val="auto"/>
          <w:sz w:val="22"/>
          <w:szCs w:val="22"/>
          <w:highlight w:val="none"/>
          <w:lang w:val="en-US" w:eastAsia="zh-CN"/>
        </w:rPr>
        <w:t xml:space="preserve">    </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发票要求：</w:t>
      </w:r>
      <w:r>
        <w:rPr>
          <w:rFonts w:hint="eastAsia" w:ascii="宋体" w:hAnsi="宋体" w:eastAsia="宋体" w:cs="宋体"/>
          <w:color w:val="auto"/>
          <w:sz w:val="21"/>
          <w:szCs w:val="21"/>
          <w:highlight w:val="none"/>
          <w:lang w:val="en-US" w:eastAsia="zh-CN"/>
        </w:rPr>
        <w:t>付款前乙方必须提供真实、有效、合法的正式发票，如乙方提供虚假发票，除须向采购人补开合法发票外，须赔偿采购人发票票面金额一倍的违约金，且采购人有权终止合同，乙方不得提出异议，因终止合同而产生的一切损失均由成交人承担。</w:t>
      </w:r>
    </w:p>
    <w:p>
      <w:pPr>
        <w:autoSpaceDE w:val="0"/>
        <w:snapToGrid w:val="0"/>
        <w:spacing w:line="360" w:lineRule="auto"/>
        <w:ind w:left="-61" w:leftChars="-29" w:firstLine="514" w:firstLineChars="245"/>
        <w:rPr>
          <w:rFonts w:hint="eastAsia" w:ascii="宋体" w:hAnsi="宋体"/>
          <w:color w:val="auto"/>
          <w:sz w:val="22"/>
          <w:szCs w:val="22"/>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付款方式：银行转账。</w:t>
      </w:r>
    </w:p>
    <w:p>
      <w:pPr>
        <w:autoSpaceDE w:val="0"/>
        <w:snapToGrid w:val="0"/>
        <w:spacing w:line="360" w:lineRule="auto"/>
        <w:ind w:left="-61" w:leftChars="-29" w:firstLine="541" w:firstLineChars="245"/>
        <w:rPr>
          <w:rFonts w:hint="eastAsia" w:ascii="宋体" w:hAnsi="宋体"/>
          <w:b/>
          <w:color w:val="auto"/>
          <w:sz w:val="22"/>
          <w:szCs w:val="22"/>
          <w:highlight w:val="none"/>
        </w:rPr>
      </w:pPr>
      <w:r>
        <w:rPr>
          <w:rFonts w:hint="eastAsia" w:ascii="宋体" w:hAnsi="宋体"/>
          <w:b/>
          <w:color w:val="auto"/>
          <w:sz w:val="22"/>
          <w:szCs w:val="22"/>
          <w:highlight w:val="none"/>
        </w:rPr>
        <w:t>第九条  履约保证金</w:t>
      </w:r>
    </w:p>
    <w:p>
      <w:pPr>
        <w:autoSpaceDE w:val="0"/>
        <w:snapToGrid w:val="0"/>
        <w:spacing w:line="360" w:lineRule="auto"/>
        <w:ind w:left="-61" w:leftChars="-29" w:firstLine="539" w:firstLineChars="245"/>
        <w:rPr>
          <w:rFonts w:hint="eastAsia" w:ascii="宋体" w:hAnsi="宋体"/>
          <w:color w:val="auto"/>
          <w:sz w:val="22"/>
          <w:szCs w:val="22"/>
          <w:highlight w:val="none"/>
        </w:rPr>
      </w:pPr>
      <w:r>
        <w:rPr>
          <w:rFonts w:hint="eastAsia" w:ascii="宋体" w:hAnsi="宋体"/>
          <w:color w:val="auto"/>
          <w:sz w:val="22"/>
          <w:szCs w:val="22"/>
          <w:highlight w:val="none"/>
        </w:rPr>
        <w:t>本项目不收取履约保证金。</w:t>
      </w:r>
    </w:p>
    <w:p>
      <w:pPr>
        <w:autoSpaceDE w:val="0"/>
        <w:snapToGrid w:val="0"/>
        <w:spacing w:line="360" w:lineRule="auto"/>
        <w:ind w:left="-61" w:leftChars="-29" w:firstLine="541" w:firstLineChars="245"/>
        <w:rPr>
          <w:rFonts w:hint="eastAsia" w:ascii="宋体" w:hAnsi="宋体"/>
          <w:b/>
          <w:color w:val="auto"/>
          <w:sz w:val="22"/>
          <w:szCs w:val="22"/>
          <w:highlight w:val="none"/>
        </w:rPr>
      </w:pPr>
      <w:r>
        <w:rPr>
          <w:rFonts w:hint="eastAsia" w:ascii="宋体" w:hAnsi="宋体"/>
          <w:b/>
          <w:color w:val="auto"/>
          <w:sz w:val="22"/>
          <w:szCs w:val="22"/>
          <w:highlight w:val="none"/>
        </w:rPr>
        <w:t>第十条  税费</w:t>
      </w:r>
    </w:p>
    <w:p>
      <w:pPr>
        <w:autoSpaceDE w:val="0"/>
        <w:snapToGrid w:val="0"/>
        <w:spacing w:line="360" w:lineRule="auto"/>
        <w:ind w:left="-61" w:firstLine="514"/>
        <w:rPr>
          <w:rFonts w:hint="eastAsia" w:ascii="宋体" w:hAnsi="宋体"/>
          <w:color w:val="auto"/>
          <w:sz w:val="22"/>
          <w:szCs w:val="22"/>
          <w:highlight w:val="none"/>
        </w:rPr>
      </w:pPr>
      <w:r>
        <w:rPr>
          <w:rFonts w:hint="eastAsia" w:ascii="宋体" w:hAnsi="宋体"/>
          <w:color w:val="auto"/>
          <w:sz w:val="22"/>
          <w:szCs w:val="22"/>
          <w:highlight w:val="none"/>
        </w:rPr>
        <w:t>本合同执行中相关的一切税费均由乙方负担（印花税按国家规定执行）。</w:t>
      </w:r>
    </w:p>
    <w:p>
      <w:pPr>
        <w:autoSpaceDE w:val="0"/>
        <w:spacing w:line="360" w:lineRule="auto"/>
        <w:rPr>
          <w:rFonts w:hint="eastAsia" w:ascii="宋体" w:hAnsi="宋体"/>
          <w:b/>
          <w:color w:val="auto"/>
          <w:sz w:val="22"/>
          <w:szCs w:val="22"/>
          <w:highlight w:val="none"/>
        </w:rPr>
      </w:pPr>
      <w:r>
        <w:rPr>
          <w:rFonts w:hint="eastAsia" w:ascii="宋体" w:hAnsi="宋体"/>
          <w:b/>
          <w:color w:val="auto"/>
          <w:sz w:val="22"/>
          <w:szCs w:val="22"/>
          <w:highlight w:val="none"/>
        </w:rPr>
        <w:t xml:space="preserve">    第十一条  质量保证及售后服务</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1、乙方应按采购文件规定及响应文件承诺的货物性能、技术要求、质量标准向甲方提供未经使用的全新产品。乙方提供货物的质量保证期按交货验收合格之日起计（期限见《招标项目采购需求》中的要求）。在保证期内因货物本身的质量问题发生故障，乙方应负责修理和更换零部件。对达不到技术要求者，根据实际情况，经双方协商，可按以下办法处理：</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（1）更换：由乙方承担所发生的全部费用。</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（2）贬值处理：由甲乙双方合议定价。</w:t>
      </w:r>
    </w:p>
    <w:p>
      <w:pPr>
        <w:autoSpaceDE w:val="0"/>
        <w:snapToGrid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3）退货处理：如甲乙双方无法就贬值合议定价或者货物需要退货的，乙方应退还甲方支付的合同款，同时应承担该货物的直接费用（运输、保险、检验、货款利息及银行手续费等）。按退货款额的10%向甲方交付违约金并赔偿经济损失。</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2、如在使用过程中发生质量问题，乙方在接到甲方通知后在</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小时内到达甲方现场。乙方不能或拒绝到达现场进行维修的，甲方有权请求第三方进行维修，维修所产生的维修费由乙方承担，乙方还应承担维修费的20%的管理费。</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3、在质保期内，乙方应对货物出现的质量及安全问题负责处理解决并承担一切费用。</w:t>
      </w:r>
    </w:p>
    <w:p>
      <w:pPr>
        <w:autoSpaceDE w:val="0"/>
        <w:spacing w:line="360" w:lineRule="auto"/>
        <w:ind w:firstLine="420"/>
        <w:rPr>
          <w:rFonts w:hint="eastAsia" w:ascii="宋体" w:hAnsi="宋体"/>
          <w:color w:val="auto"/>
          <w:sz w:val="22"/>
          <w:szCs w:val="22"/>
          <w:highlight w:val="none"/>
        </w:rPr>
      </w:pPr>
      <w:r>
        <w:rPr>
          <w:rFonts w:hint="eastAsia" w:ascii="宋体" w:hAnsi="宋体"/>
          <w:color w:val="auto"/>
          <w:sz w:val="22"/>
          <w:szCs w:val="22"/>
          <w:highlight w:val="none"/>
        </w:rPr>
        <w:t>4、在货物保修期内，因人为因素出现的故障不在保修范围内。</w:t>
      </w:r>
    </w:p>
    <w:p>
      <w:pPr>
        <w:autoSpaceDE w:val="0"/>
        <w:spacing w:line="360" w:lineRule="auto"/>
        <w:ind w:firstLine="420"/>
        <w:rPr>
          <w:rFonts w:hint="eastAsia" w:ascii="宋体" w:hAnsi="宋体"/>
          <w:b/>
          <w:color w:val="auto"/>
          <w:sz w:val="22"/>
          <w:szCs w:val="22"/>
          <w:highlight w:val="none"/>
        </w:rPr>
      </w:pPr>
      <w:r>
        <w:rPr>
          <w:rFonts w:hint="eastAsia" w:ascii="宋体" w:hAnsi="宋体"/>
          <w:b/>
          <w:color w:val="auto"/>
          <w:sz w:val="22"/>
          <w:szCs w:val="22"/>
          <w:highlight w:val="none"/>
        </w:rPr>
        <w:t xml:space="preserve"> 第十二条  调试和验收</w:t>
      </w:r>
    </w:p>
    <w:p>
      <w:pPr>
        <w:autoSpaceDE w:val="0"/>
        <w:spacing w:line="360" w:lineRule="auto"/>
        <w:ind w:firstLine="420"/>
        <w:rPr>
          <w:rFonts w:hint="eastAsia" w:ascii="宋体" w:hAnsi="宋体"/>
          <w:color w:val="auto"/>
          <w:sz w:val="22"/>
          <w:szCs w:val="22"/>
          <w:highlight w:val="none"/>
        </w:rPr>
      </w:pPr>
      <w:r>
        <w:rPr>
          <w:rFonts w:hint="eastAsia" w:ascii="宋体" w:hAnsi="宋体"/>
          <w:color w:val="auto"/>
          <w:sz w:val="22"/>
          <w:szCs w:val="22"/>
          <w:highlight w:val="none"/>
        </w:rPr>
        <w:t>1、甲方对乙方提交的货物依据</w:t>
      </w:r>
      <w:bookmarkStart w:id="175" w:name="OLE_LINK29"/>
      <w:r>
        <w:rPr>
          <w:rFonts w:hint="eastAsia" w:ascii="宋体" w:hAnsi="宋体"/>
          <w:color w:val="auto"/>
          <w:sz w:val="22"/>
          <w:szCs w:val="22"/>
          <w:highlight w:val="none"/>
        </w:rPr>
        <w:t>采购</w:t>
      </w:r>
      <w:bookmarkEnd w:id="175"/>
      <w:r>
        <w:rPr>
          <w:rFonts w:hint="eastAsia" w:ascii="宋体" w:hAnsi="宋体"/>
          <w:color w:val="auto"/>
          <w:sz w:val="22"/>
          <w:szCs w:val="22"/>
          <w:highlight w:val="none"/>
        </w:rPr>
        <w:t xml:space="preserve">文件上的技术规格要求和国家有关质量标准进行现场初步验收，外观、说明书符合采购文件技术要求的，给予签收，初步验收不合格的不予签收。乙方完成项目所要求的所有服务内容、设备正常运行两周后，以书面形式提前至少7个工作日向甲方提出验收申请，由甲方组织院内相关部门进行验收。 </w:t>
      </w:r>
    </w:p>
    <w:p>
      <w:pPr>
        <w:autoSpaceDE w:val="0"/>
        <w:spacing w:line="360" w:lineRule="auto"/>
        <w:ind w:firstLine="420"/>
        <w:rPr>
          <w:rFonts w:hint="eastAsia" w:ascii="宋体" w:hAnsi="宋体"/>
          <w:color w:val="auto"/>
          <w:sz w:val="22"/>
          <w:szCs w:val="22"/>
          <w:highlight w:val="none"/>
        </w:rPr>
      </w:pPr>
      <w:r>
        <w:rPr>
          <w:rFonts w:hint="eastAsia" w:ascii="宋体" w:hAnsi="宋体"/>
          <w:color w:val="auto"/>
          <w:sz w:val="22"/>
          <w:szCs w:val="22"/>
          <w:highlight w:val="none"/>
        </w:rPr>
        <w:t xml:space="preserve"> 2、乙方交货前应对产品作出全面检查和对验收文件进行整理，并列出清单，作为甲方收货验收和使用的技术条件依据，检验的结果应随货物交甲方。</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3、甲方对乙方提供的货物在使用前进行调试时，乙方需负责安装并培训甲方的使用操作人员，并协助甲方一起调试，直到符合技术要求，甲方才做最终验收。</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4、对技术复杂的货物，甲方应请国家认可的专业检测机构参与初步验收及最终验收，并由其出具质量检测报告，费用由乙方承担。</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5、验收时乙方必须在现场，验收完毕后作出验收结果报告；验收费用由乙方负责。</w:t>
      </w:r>
    </w:p>
    <w:p>
      <w:pPr>
        <w:autoSpaceDE w:val="0"/>
        <w:spacing w:line="360" w:lineRule="auto"/>
        <w:rPr>
          <w:rFonts w:hint="eastAsia" w:ascii="宋体" w:hAnsi="宋体"/>
          <w:b/>
          <w:color w:val="auto"/>
          <w:sz w:val="22"/>
          <w:szCs w:val="22"/>
          <w:highlight w:val="none"/>
        </w:rPr>
      </w:pPr>
      <w:r>
        <w:rPr>
          <w:rFonts w:hint="eastAsia" w:ascii="宋体" w:hAnsi="宋体"/>
          <w:b/>
          <w:color w:val="auto"/>
          <w:sz w:val="22"/>
          <w:szCs w:val="22"/>
          <w:highlight w:val="none"/>
        </w:rPr>
        <w:t xml:space="preserve">    第十三条  货物包装、发运及运输</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1、乙方应在货物发运前对其进行满足运输距离、防潮、防震、防锈和防破损装卸等要求包装，以保证货物安全运达甲方指定地点。</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2、使用说明书（货物属于进口产品的，供货时应同时附上中文使用说明书）、质量检验证明书、随配附件和工具以及清单一并附于货物内。</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3、乙方在货物发运手续办理完毕后二十四小时内或货到甲方四十八小时前通知甲方，以准备接货。</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4、货物在交付甲方前发生的风险均由乙方负责。</w:t>
      </w:r>
    </w:p>
    <w:p>
      <w:pPr>
        <w:autoSpaceDE w:val="0"/>
        <w:spacing w:line="360" w:lineRule="auto"/>
        <w:ind w:firstLine="420"/>
        <w:rPr>
          <w:rFonts w:hint="eastAsia" w:ascii="宋体" w:hAnsi="宋体"/>
          <w:b/>
          <w:color w:val="auto"/>
          <w:sz w:val="22"/>
          <w:szCs w:val="22"/>
          <w:highlight w:val="none"/>
        </w:rPr>
      </w:pPr>
      <w:r>
        <w:rPr>
          <w:rFonts w:hint="eastAsia" w:ascii="宋体" w:hAnsi="宋体"/>
          <w:color w:val="auto"/>
          <w:sz w:val="22"/>
          <w:szCs w:val="22"/>
          <w:highlight w:val="none"/>
        </w:rPr>
        <w:t>5、</w:t>
      </w:r>
      <w:r>
        <w:rPr>
          <w:rFonts w:hint="eastAsia" w:ascii="宋体" w:hAnsi="宋体" w:cs="宋体"/>
          <w:color w:val="auto"/>
          <w:szCs w:val="21"/>
          <w:highlight w:val="none"/>
        </w:rPr>
        <w:t>货物在规定的交付期限内由乙方送达甲方指定的地点并通过装机验收视为交付。</w:t>
      </w:r>
      <w:r>
        <w:rPr>
          <w:rFonts w:hint="eastAsia" w:ascii="宋体" w:hAnsi="宋体"/>
          <w:b/>
          <w:color w:val="auto"/>
          <w:sz w:val="22"/>
          <w:szCs w:val="22"/>
          <w:highlight w:val="none"/>
        </w:rPr>
        <w:t xml:space="preserve">  </w:t>
      </w:r>
    </w:p>
    <w:p>
      <w:pPr>
        <w:autoSpaceDE w:val="0"/>
        <w:spacing w:line="360" w:lineRule="auto"/>
        <w:ind w:firstLine="420"/>
        <w:rPr>
          <w:rFonts w:hint="eastAsia" w:ascii="宋体" w:hAnsi="宋体"/>
          <w:b/>
          <w:color w:val="auto"/>
          <w:sz w:val="22"/>
          <w:szCs w:val="22"/>
          <w:highlight w:val="none"/>
        </w:rPr>
      </w:pPr>
      <w:r>
        <w:rPr>
          <w:rFonts w:hint="eastAsia" w:ascii="宋体" w:hAnsi="宋体"/>
          <w:b/>
          <w:color w:val="auto"/>
          <w:sz w:val="22"/>
          <w:szCs w:val="22"/>
          <w:highlight w:val="none"/>
        </w:rPr>
        <w:t>第十四条  违约责任</w:t>
      </w:r>
    </w:p>
    <w:p>
      <w:pPr>
        <w:pStyle w:val="13"/>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1、乙方所提供的货物规格、技术标准、材料等质量不合格的，应在15日内更换，并且乙方应向甲方支付违约货款额10%违约金并赔偿甲方经济损失；逾期不更换的甲方有权退货，如甲方退货的，乙方应按原价退回货款、支付违约货款额10%违约金并赔偿甲方经济损失。</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2、乙方提供的货物如侵犯了第三方合法权益而引发的任何纠纷或诉讼，均由乙方负责交涉并承担全部责任，甲方有权解除本合同。</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3、因包装、运输引起的货物损坏，按质量不合格处罚。</w:t>
      </w:r>
    </w:p>
    <w:p>
      <w:pPr>
        <w:autoSpaceDE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4、乙方逾期交货的，每天向甲方偿付违约货款额4‰违约金，超过10 天甲方有权解除合同，</w:t>
      </w:r>
      <w:r>
        <w:rPr>
          <w:rFonts w:hint="eastAsia" w:ascii="宋体" w:hAnsi="宋体"/>
          <w:color w:val="auto"/>
          <w:sz w:val="22"/>
          <w:szCs w:val="22"/>
          <w:highlight w:val="none"/>
          <w:lang w:val="en-US" w:eastAsia="zh-CN"/>
        </w:rPr>
        <w:t>无论是否解除本合同，乙方均应向甲方支付违约金，</w:t>
      </w:r>
      <w:r>
        <w:rPr>
          <w:rFonts w:hint="eastAsia" w:ascii="宋体" w:hAnsi="宋体"/>
          <w:color w:val="auto"/>
          <w:sz w:val="22"/>
          <w:szCs w:val="22"/>
          <w:highlight w:val="none"/>
        </w:rPr>
        <w:t>乙方承担因此给甲方造成经济损失</w:t>
      </w:r>
      <w:r>
        <w:rPr>
          <w:rFonts w:hint="eastAsia" w:ascii="宋体" w:hAnsi="宋体"/>
          <w:color w:val="auto"/>
          <w:sz w:val="22"/>
          <w:szCs w:val="22"/>
          <w:highlight w:val="none"/>
          <w:lang w:eastAsia="zh-CN"/>
        </w:rPr>
        <w:t>，</w:t>
      </w:r>
      <w:r>
        <w:rPr>
          <w:rFonts w:hint="eastAsia" w:ascii="宋体" w:hAnsi="宋体"/>
          <w:color w:val="auto"/>
          <w:sz w:val="22"/>
          <w:szCs w:val="22"/>
          <w:highlight w:val="none"/>
          <w:lang w:val="en-US" w:eastAsia="zh-CN"/>
        </w:rPr>
        <w:t>违约金不并入损失</w:t>
      </w:r>
      <w:r>
        <w:rPr>
          <w:rFonts w:hint="eastAsia" w:ascii="宋体" w:hAnsi="宋体"/>
          <w:color w:val="auto"/>
          <w:sz w:val="22"/>
          <w:szCs w:val="22"/>
          <w:highlight w:val="none"/>
        </w:rPr>
        <w:t>。</w:t>
      </w:r>
    </w:p>
    <w:p>
      <w:pPr>
        <w:autoSpaceDE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5、乙方</w:t>
      </w:r>
      <w:r>
        <w:rPr>
          <w:rFonts w:hint="eastAsia" w:ascii="宋体" w:hAnsi="宋体"/>
          <w:color w:val="auto"/>
          <w:sz w:val="22"/>
          <w:szCs w:val="22"/>
          <w:highlight w:val="none"/>
          <w:lang w:val="en-US" w:eastAsia="zh-CN"/>
        </w:rPr>
        <w:t>每</w:t>
      </w:r>
      <w:r>
        <w:rPr>
          <w:rFonts w:hint="eastAsia" w:ascii="宋体" w:hAnsi="宋体"/>
          <w:color w:val="auto"/>
          <w:sz w:val="22"/>
          <w:szCs w:val="22"/>
          <w:highlight w:val="none"/>
        </w:rPr>
        <w:t>未按本合同和响应文件中规定的服务承诺提供售后服务的，</w:t>
      </w:r>
      <w:r>
        <w:rPr>
          <w:rFonts w:hint="eastAsia" w:ascii="宋体" w:hAnsi="宋体"/>
          <w:color w:val="auto"/>
          <w:sz w:val="22"/>
          <w:szCs w:val="22"/>
          <w:highlight w:val="none"/>
          <w:lang w:val="en-US" w:eastAsia="zh-CN"/>
        </w:rPr>
        <w:t>视为违约一次，</w:t>
      </w:r>
      <w:r>
        <w:rPr>
          <w:rFonts w:hint="eastAsia" w:ascii="宋体" w:hAnsi="宋体"/>
          <w:color w:val="auto"/>
          <w:sz w:val="22"/>
          <w:szCs w:val="22"/>
          <w:highlight w:val="none"/>
        </w:rPr>
        <w:t>乙方应按本合同合计金额</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u w:val="single"/>
          <w:lang w:val="en-US" w:eastAsia="zh-CN"/>
        </w:rPr>
        <w:t>3</w:t>
      </w:r>
      <w:r>
        <w:rPr>
          <w:rFonts w:hint="eastAsia" w:ascii="宋体" w:hAnsi="宋体"/>
          <w:color w:val="auto"/>
          <w:sz w:val="22"/>
          <w:szCs w:val="22"/>
          <w:highlight w:val="none"/>
          <w:u w:val="single"/>
        </w:rPr>
        <w:t>%</w:t>
      </w:r>
      <w:r>
        <w:rPr>
          <w:rFonts w:hint="eastAsia" w:ascii="宋体" w:hAnsi="宋体"/>
          <w:color w:val="auto"/>
          <w:sz w:val="22"/>
          <w:szCs w:val="22"/>
          <w:highlight w:val="none"/>
        </w:rPr>
        <w:t>向甲方支付违约金</w:t>
      </w:r>
      <w:r>
        <w:rPr>
          <w:rFonts w:hint="eastAsia" w:ascii="宋体" w:hAnsi="宋体"/>
          <w:color w:val="auto"/>
          <w:sz w:val="22"/>
          <w:szCs w:val="22"/>
          <w:highlight w:val="none"/>
          <w:lang w:eastAsia="zh-CN"/>
        </w:rPr>
        <w:t>，</w:t>
      </w:r>
      <w:r>
        <w:rPr>
          <w:rFonts w:hint="eastAsia" w:ascii="宋体" w:hAnsi="宋体"/>
          <w:color w:val="auto"/>
          <w:sz w:val="22"/>
          <w:szCs w:val="22"/>
          <w:highlight w:val="none"/>
          <w:lang w:val="en-US" w:eastAsia="zh-CN"/>
        </w:rPr>
        <w:t>且甲方有权自行维修或聘请第三方进行维护，费用由乙方承担。违约累计超过3次的，甲方有权解除本合同，乙方均应向甲方支付违约金，</w:t>
      </w:r>
      <w:r>
        <w:rPr>
          <w:rFonts w:hint="eastAsia" w:ascii="宋体" w:hAnsi="宋体"/>
          <w:color w:val="auto"/>
          <w:sz w:val="22"/>
          <w:szCs w:val="22"/>
          <w:highlight w:val="none"/>
        </w:rPr>
        <w:t>乙方承担因此给甲方造成经济损失</w:t>
      </w:r>
      <w:r>
        <w:rPr>
          <w:rFonts w:hint="eastAsia" w:ascii="宋体" w:hAnsi="宋体"/>
          <w:color w:val="auto"/>
          <w:sz w:val="22"/>
          <w:szCs w:val="22"/>
          <w:highlight w:val="none"/>
          <w:lang w:eastAsia="zh-CN"/>
        </w:rPr>
        <w:t>，</w:t>
      </w:r>
      <w:r>
        <w:rPr>
          <w:rFonts w:hint="eastAsia" w:ascii="宋体" w:hAnsi="宋体"/>
          <w:color w:val="auto"/>
          <w:sz w:val="22"/>
          <w:szCs w:val="22"/>
          <w:highlight w:val="none"/>
          <w:lang w:val="en-US" w:eastAsia="zh-CN"/>
        </w:rPr>
        <w:t>违约金不并入损失</w:t>
      </w:r>
      <w:r>
        <w:rPr>
          <w:rFonts w:hint="eastAsia" w:ascii="宋体" w:hAnsi="宋体"/>
          <w:color w:val="auto"/>
          <w:sz w:val="22"/>
          <w:szCs w:val="22"/>
          <w:highlight w:val="none"/>
        </w:rPr>
        <w:t>。</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6、乙方提供的货物在质量保证期内，因设计、工艺或材料的缺陷和其它质量原因造成的问题，由乙方负责。</w:t>
      </w:r>
    </w:p>
    <w:p>
      <w:pPr>
        <w:autoSpaceDE w:val="0"/>
        <w:spacing w:line="360" w:lineRule="auto"/>
        <w:ind w:firstLine="420"/>
        <w:rPr>
          <w:rFonts w:hint="eastAsia" w:ascii="宋体" w:hAnsi="宋体"/>
          <w:color w:val="auto"/>
          <w:sz w:val="22"/>
          <w:szCs w:val="22"/>
          <w:highlight w:val="none"/>
        </w:rPr>
      </w:pPr>
      <w:r>
        <w:rPr>
          <w:rFonts w:hint="eastAsia" w:ascii="宋体" w:hAnsi="宋体"/>
          <w:color w:val="auto"/>
          <w:sz w:val="22"/>
          <w:szCs w:val="22"/>
          <w:highlight w:val="none"/>
        </w:rPr>
        <w:t>7、</w:t>
      </w:r>
      <w:r>
        <w:rPr>
          <w:rFonts w:hint="eastAsia" w:ascii="宋体" w:hAnsi="宋体"/>
          <w:color w:val="auto"/>
          <w:sz w:val="22"/>
          <w:szCs w:val="22"/>
          <w:highlight w:val="none"/>
          <w:lang w:val="en-US" w:eastAsia="zh-CN"/>
        </w:rPr>
        <w:t>乙方</w:t>
      </w:r>
      <w:r>
        <w:rPr>
          <w:rFonts w:hint="eastAsia" w:ascii="宋体" w:hAnsi="宋体"/>
          <w:color w:val="auto"/>
          <w:sz w:val="22"/>
          <w:szCs w:val="22"/>
          <w:highlight w:val="none"/>
        </w:rPr>
        <w:t>其它违约行为按违约货款额5%收取违约金。</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8、乙方支付的违约金不足以弥补甲方损失的，还应承担赔偿责任。</w:t>
      </w:r>
    </w:p>
    <w:p>
      <w:pPr>
        <w:autoSpaceDE w:val="0"/>
        <w:spacing w:line="360" w:lineRule="auto"/>
        <w:rPr>
          <w:rFonts w:hint="eastAsia" w:ascii="宋体" w:hAnsi="宋体"/>
          <w:b/>
          <w:color w:val="auto"/>
          <w:sz w:val="22"/>
          <w:szCs w:val="22"/>
          <w:highlight w:val="none"/>
        </w:rPr>
      </w:pPr>
      <w:r>
        <w:rPr>
          <w:rFonts w:hint="eastAsia" w:ascii="宋体" w:hAnsi="宋体"/>
          <w:b/>
          <w:color w:val="auto"/>
          <w:sz w:val="22"/>
          <w:szCs w:val="22"/>
          <w:highlight w:val="none"/>
        </w:rPr>
        <w:t xml:space="preserve">    第十五条  不可抗力事件处理</w:t>
      </w:r>
    </w:p>
    <w:p>
      <w:pPr>
        <w:autoSpaceDE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1、在合同有效期内，任何一方因不可抗力事件导致不能履行合同，则合同履行期可延长，其延长期与不可抗力影响期相同。</w:t>
      </w:r>
    </w:p>
    <w:p>
      <w:pPr>
        <w:autoSpaceDE w:val="0"/>
        <w:spacing w:line="360" w:lineRule="auto"/>
        <w:ind w:firstLine="435"/>
        <w:rPr>
          <w:rFonts w:hint="eastAsia" w:ascii="宋体" w:hAnsi="宋体"/>
          <w:color w:val="auto"/>
          <w:sz w:val="22"/>
          <w:szCs w:val="22"/>
          <w:highlight w:val="none"/>
        </w:rPr>
      </w:pPr>
      <w:r>
        <w:rPr>
          <w:rFonts w:hint="eastAsia" w:ascii="宋体" w:hAnsi="宋体"/>
          <w:color w:val="auto"/>
          <w:sz w:val="22"/>
          <w:szCs w:val="22"/>
          <w:highlight w:val="none"/>
        </w:rPr>
        <w:t>2、不可抗力事件发生后，应立即通知对方，并寄送有关权威机构出具的证明。</w:t>
      </w:r>
    </w:p>
    <w:p>
      <w:pPr>
        <w:autoSpaceDE w:val="0"/>
        <w:spacing w:line="360" w:lineRule="auto"/>
        <w:ind w:firstLine="435"/>
        <w:rPr>
          <w:rFonts w:hint="eastAsia" w:ascii="宋体" w:hAnsi="宋体"/>
          <w:color w:val="auto"/>
          <w:sz w:val="22"/>
          <w:szCs w:val="22"/>
          <w:highlight w:val="none"/>
        </w:rPr>
      </w:pPr>
      <w:r>
        <w:rPr>
          <w:rFonts w:hint="eastAsia" w:ascii="宋体" w:hAnsi="宋体"/>
          <w:color w:val="auto"/>
          <w:sz w:val="22"/>
          <w:szCs w:val="22"/>
          <w:highlight w:val="none"/>
        </w:rPr>
        <w:t>3、不可抗力事件延续一百二十天以上，双方应通过友好协商，确定是否继续履行合同。</w:t>
      </w:r>
    </w:p>
    <w:p>
      <w:pPr>
        <w:autoSpaceDE w:val="0"/>
        <w:spacing w:line="360" w:lineRule="auto"/>
        <w:ind w:firstLine="435"/>
        <w:rPr>
          <w:rFonts w:hint="eastAsia" w:ascii="宋体" w:hAnsi="宋体"/>
          <w:color w:val="auto"/>
          <w:sz w:val="22"/>
          <w:szCs w:val="22"/>
          <w:highlight w:val="none"/>
        </w:rPr>
      </w:pPr>
      <w:r>
        <w:rPr>
          <w:rFonts w:hint="eastAsia" w:ascii="宋体" w:hAnsi="宋体"/>
          <w:color w:val="auto"/>
          <w:sz w:val="22"/>
          <w:szCs w:val="22"/>
          <w:highlight w:val="none"/>
        </w:rPr>
        <w:t>4、不可抗力是指合同生效后，发生甲乙双方无法预见、无法预防、无法避免和无法控制的事件，致使无法履行或不能按约定履行合同。主要包括台风、冰雹、地震、海啸、洪水、火山爆发、山体滑坡、政府征收、政府征用、战争、武装冲突、罢工、骚乱、暴动、突发公共卫生事件等情形。</w:t>
      </w:r>
    </w:p>
    <w:p>
      <w:pPr>
        <w:autoSpaceDE w:val="0"/>
        <w:spacing w:line="360" w:lineRule="auto"/>
        <w:rPr>
          <w:rFonts w:hint="eastAsia" w:ascii="宋体" w:hAnsi="宋体"/>
          <w:b/>
          <w:color w:val="auto"/>
          <w:sz w:val="22"/>
          <w:szCs w:val="22"/>
          <w:highlight w:val="none"/>
        </w:rPr>
      </w:pPr>
      <w:r>
        <w:rPr>
          <w:rFonts w:hint="eastAsia" w:ascii="宋体" w:hAnsi="宋体"/>
          <w:b/>
          <w:color w:val="auto"/>
          <w:sz w:val="22"/>
          <w:szCs w:val="22"/>
          <w:highlight w:val="none"/>
        </w:rPr>
        <w:t xml:space="preserve">    第十六条  合同争议解决</w:t>
      </w:r>
    </w:p>
    <w:p>
      <w:pPr>
        <w:autoSpaceDE w:val="0"/>
        <w:snapToGrid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1、因货物质量问题发生争议的，应邀请国家认可的质量检测机构对货物质量进行鉴定。货物符合标准的，鉴定费由甲方承担；货物不符合标准的，鉴定费由乙方承担。</w:t>
      </w:r>
    </w:p>
    <w:p>
      <w:pPr>
        <w:autoSpaceDE w:val="0"/>
        <w:snapToGrid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2、因履行本合同引起的或与本合同有关的争议，甲乙双方应首先通过友好协商解决，如果协商不能解决，向甲方所在地人民法院提起诉讼。</w:t>
      </w:r>
    </w:p>
    <w:p>
      <w:pPr>
        <w:autoSpaceDE w:val="0"/>
        <w:snapToGrid w:val="0"/>
        <w:spacing w:line="360" w:lineRule="auto"/>
        <w:ind w:firstLine="440" w:firstLineChars="200"/>
        <w:rPr>
          <w:rFonts w:hint="eastAsia" w:ascii="宋体" w:hAnsi="宋体"/>
          <w:color w:val="auto"/>
          <w:sz w:val="22"/>
          <w:szCs w:val="22"/>
          <w:highlight w:val="none"/>
          <w:lang w:eastAsia="zh-CN"/>
        </w:rPr>
      </w:pPr>
      <w:r>
        <w:rPr>
          <w:rFonts w:hint="eastAsia" w:ascii="宋体" w:hAnsi="宋体"/>
          <w:color w:val="auto"/>
          <w:sz w:val="22"/>
          <w:szCs w:val="22"/>
          <w:highlight w:val="none"/>
        </w:rPr>
        <w:t>3、诉讼期间，本合同是否继续履行，由甲方决定。甲方因诉讼支付的律师费、差旅费、交通费、鉴定费、保全担保费等费用均由乙方承担</w:t>
      </w:r>
      <w:r>
        <w:rPr>
          <w:rFonts w:hint="eastAsia" w:ascii="宋体" w:hAnsi="宋体"/>
          <w:color w:val="auto"/>
          <w:sz w:val="22"/>
          <w:szCs w:val="22"/>
          <w:highlight w:val="none"/>
          <w:lang w:eastAsia="zh-CN"/>
        </w:rPr>
        <w:t>。</w:t>
      </w:r>
    </w:p>
    <w:p>
      <w:pPr>
        <w:autoSpaceDE w:val="0"/>
        <w:snapToGrid w:val="0"/>
        <w:spacing w:line="360" w:lineRule="auto"/>
        <w:ind w:firstLine="440" w:firstLineChars="200"/>
        <w:rPr>
          <w:rFonts w:hint="eastAsia" w:ascii="宋体" w:hAnsi="宋体"/>
          <w:color w:val="auto"/>
          <w:sz w:val="22"/>
          <w:szCs w:val="22"/>
          <w:highlight w:val="none"/>
          <w:lang w:eastAsia="zh-CN"/>
        </w:rPr>
      </w:pPr>
      <w:r>
        <w:rPr>
          <w:rFonts w:hint="eastAsia" w:ascii="宋体" w:hAnsi="宋体"/>
          <w:color w:val="auto"/>
          <w:sz w:val="22"/>
          <w:szCs w:val="22"/>
          <w:highlight w:val="none"/>
          <w:lang w:val="en-US" w:eastAsia="zh-CN"/>
        </w:rPr>
        <w:t>4、</w:t>
      </w:r>
      <w:r>
        <w:rPr>
          <w:rFonts w:hint="eastAsia" w:ascii="宋体" w:hAnsi="宋体"/>
          <w:color w:val="auto"/>
          <w:sz w:val="22"/>
          <w:szCs w:val="22"/>
          <w:highlight w:val="none"/>
        </w:rPr>
        <w:t>本合同项下联系方式同时作为有效的司法送达地址。邮寄送达的，以签收日或寄出后第 5 日（先到的时间为准）为送达日；传真或电子邮件送达的，以成功发送之日为送达日。任何一方变更送达地址的，应提前 3 日书面通知对方，否则由此导致的送达不能后果由该方自行承担。</w:t>
      </w:r>
    </w:p>
    <w:p>
      <w:pPr>
        <w:autoSpaceDE w:val="0"/>
        <w:snapToGrid w:val="0"/>
        <w:spacing w:line="360" w:lineRule="auto"/>
        <w:ind w:firstLine="442" w:firstLineChars="200"/>
        <w:rPr>
          <w:rFonts w:hint="eastAsia" w:ascii="宋体" w:hAnsi="宋体"/>
          <w:b/>
          <w:color w:val="auto"/>
          <w:sz w:val="22"/>
          <w:szCs w:val="22"/>
          <w:highlight w:val="none"/>
        </w:rPr>
      </w:pPr>
      <w:r>
        <w:rPr>
          <w:rFonts w:hint="eastAsia" w:ascii="宋体" w:hAnsi="宋体"/>
          <w:b/>
          <w:color w:val="auto"/>
          <w:sz w:val="22"/>
          <w:szCs w:val="22"/>
          <w:highlight w:val="none"/>
        </w:rPr>
        <w:t>第十七条  合同生效及其它</w:t>
      </w:r>
    </w:p>
    <w:p>
      <w:pPr>
        <w:pStyle w:val="13"/>
        <w:autoSpaceDE w:val="0"/>
        <w:spacing w:line="360" w:lineRule="auto"/>
        <w:ind w:firstLine="440" w:firstLineChars="200"/>
        <w:rPr>
          <w:rFonts w:hint="eastAsia" w:ascii="宋体" w:hAnsi="宋体"/>
          <w:b/>
          <w:color w:val="auto"/>
          <w:sz w:val="22"/>
          <w:szCs w:val="22"/>
          <w:highlight w:val="none"/>
        </w:rPr>
      </w:pPr>
      <w:r>
        <w:rPr>
          <w:rFonts w:hint="eastAsia" w:ascii="宋体" w:hAnsi="宋体"/>
          <w:color w:val="auto"/>
          <w:sz w:val="22"/>
          <w:szCs w:val="22"/>
          <w:highlight w:val="none"/>
        </w:rPr>
        <w:t>1、本合同自双方法定代表人或委托代理人签字或盖章并加盖单位公章或合同章之日起生效。</w:t>
      </w:r>
    </w:p>
    <w:p>
      <w:pPr>
        <w:autoSpaceDE w:val="0"/>
        <w:snapToGrid w:val="0"/>
        <w:spacing w:line="360" w:lineRule="auto"/>
        <w:ind w:firstLine="440" w:firstLineChars="200"/>
        <w:rPr>
          <w:rFonts w:hint="eastAsia" w:ascii="宋体" w:hAnsi="宋体"/>
          <w:bCs/>
          <w:color w:val="auto"/>
          <w:sz w:val="22"/>
          <w:szCs w:val="22"/>
          <w:highlight w:val="none"/>
        </w:rPr>
      </w:pPr>
      <w:r>
        <w:rPr>
          <w:rFonts w:hint="eastAsia" w:ascii="宋体" w:hAnsi="宋体"/>
          <w:bCs/>
          <w:color w:val="auto"/>
          <w:sz w:val="22"/>
          <w:szCs w:val="22"/>
          <w:highlight w:val="none"/>
        </w:rPr>
        <w:t>2、合同执行中涉及采购资金和采购内容修改或补充的，须</w:t>
      </w:r>
      <w:r>
        <w:rPr>
          <w:rFonts w:hint="eastAsia" w:ascii="宋体" w:hAnsi="宋体"/>
          <w:bCs/>
          <w:color w:val="auto"/>
          <w:sz w:val="22"/>
          <w:szCs w:val="22"/>
          <w:highlight w:val="none"/>
          <w:lang w:val="en-US" w:eastAsia="zh-CN"/>
        </w:rPr>
        <w:t>签订</w:t>
      </w:r>
      <w:r>
        <w:rPr>
          <w:rFonts w:hint="eastAsia" w:ascii="宋体" w:hAnsi="宋体"/>
          <w:bCs/>
          <w:color w:val="auto"/>
          <w:sz w:val="22"/>
          <w:szCs w:val="22"/>
          <w:highlight w:val="none"/>
        </w:rPr>
        <w:t>书面补充协议报财政部门备案，方可作为主合同不可分割的一部分。</w:t>
      </w:r>
    </w:p>
    <w:p>
      <w:pPr>
        <w:autoSpaceDE w:val="0"/>
        <w:snapToGrid w:val="0"/>
        <w:spacing w:line="360" w:lineRule="auto"/>
        <w:ind w:firstLine="440" w:firstLineChars="200"/>
        <w:rPr>
          <w:rFonts w:hint="eastAsia" w:ascii="宋体" w:hAnsi="宋体"/>
          <w:b/>
          <w:color w:val="auto"/>
          <w:sz w:val="22"/>
          <w:szCs w:val="22"/>
          <w:highlight w:val="none"/>
        </w:rPr>
      </w:pPr>
      <w:r>
        <w:rPr>
          <w:rFonts w:hint="eastAsia" w:ascii="宋体" w:hAnsi="宋体"/>
          <w:color w:val="auto"/>
          <w:sz w:val="22"/>
          <w:szCs w:val="22"/>
          <w:highlight w:val="none"/>
        </w:rPr>
        <w:t>3、双方的</w:t>
      </w:r>
      <w:r>
        <w:rPr>
          <w:rFonts w:hint="eastAsia" w:ascii="宋体" w:hAnsi="宋体"/>
          <w:color w:val="auto"/>
          <w:sz w:val="22"/>
          <w:szCs w:val="22"/>
          <w:highlight w:val="none"/>
          <w:lang w:val="en-US" w:eastAsia="zh-CN"/>
        </w:rPr>
        <w:t>权利</w:t>
      </w:r>
      <w:r>
        <w:rPr>
          <w:rFonts w:hint="eastAsia" w:ascii="宋体" w:hAnsi="宋体"/>
          <w:color w:val="auto"/>
          <w:sz w:val="22"/>
          <w:szCs w:val="22"/>
          <w:highlight w:val="none"/>
        </w:rPr>
        <w:t>和义务以本合同打印内容为准，除签名和日期以外，任何以手写、口头或者其他形式对本合同进行的修改或者补充均视为无效，双方经友好协商共同签订的补充协议除外。</w:t>
      </w:r>
    </w:p>
    <w:p>
      <w:pPr>
        <w:autoSpaceDE w:val="0"/>
        <w:snapToGrid w:val="0"/>
        <w:spacing w:line="360" w:lineRule="auto"/>
        <w:ind w:firstLine="442" w:firstLineChars="200"/>
        <w:rPr>
          <w:rFonts w:hint="eastAsia" w:ascii="宋体" w:hAnsi="宋体"/>
          <w:b/>
          <w:color w:val="auto"/>
          <w:sz w:val="22"/>
          <w:szCs w:val="22"/>
          <w:highlight w:val="none"/>
        </w:rPr>
      </w:pPr>
      <w:r>
        <w:rPr>
          <w:rFonts w:hint="eastAsia" w:ascii="宋体" w:hAnsi="宋体"/>
          <w:b/>
          <w:color w:val="auto"/>
          <w:sz w:val="22"/>
          <w:szCs w:val="22"/>
          <w:highlight w:val="none"/>
        </w:rPr>
        <w:t>4、本合同未尽事宜，遵照《中华人民共和国民法典》有关条文执行。</w:t>
      </w:r>
    </w:p>
    <w:p>
      <w:pPr>
        <w:autoSpaceDE w:val="0"/>
        <w:snapToGrid w:val="0"/>
        <w:spacing w:line="360" w:lineRule="auto"/>
        <w:ind w:firstLine="442" w:firstLineChars="200"/>
        <w:rPr>
          <w:rFonts w:hint="eastAsia" w:ascii="宋体" w:hAnsi="宋体"/>
          <w:b/>
          <w:color w:val="auto"/>
          <w:sz w:val="22"/>
          <w:szCs w:val="22"/>
          <w:highlight w:val="none"/>
        </w:rPr>
      </w:pPr>
      <w:r>
        <w:rPr>
          <w:rFonts w:hint="eastAsia" w:ascii="宋体" w:hAnsi="宋体"/>
          <w:b/>
          <w:color w:val="auto"/>
          <w:sz w:val="22"/>
          <w:szCs w:val="22"/>
          <w:highlight w:val="none"/>
        </w:rPr>
        <w:t>第十八条 合同的变更、终止与转让</w:t>
      </w:r>
    </w:p>
    <w:p>
      <w:pPr>
        <w:autoSpaceDE w:val="0"/>
        <w:snapToGrid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1、除《中华人民共和国政府采购法》第五十条规定的情形外，本合同一经签订，甲乙双方不得擅自变更、中止或终止。</w:t>
      </w:r>
    </w:p>
    <w:p>
      <w:pPr>
        <w:autoSpaceDE w:val="0"/>
        <w:snapToGrid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2、乙方不得擅自转让（无进口资格的供应商委托进口货物除外）其应履行的合同义务。</w:t>
      </w:r>
    </w:p>
    <w:p>
      <w:pPr>
        <w:pStyle w:val="13"/>
        <w:spacing w:line="360" w:lineRule="auto"/>
        <w:rPr>
          <w:rFonts w:hint="eastAsia" w:ascii="宋体" w:hAnsi="宋体"/>
          <w:b/>
          <w:color w:val="auto"/>
          <w:sz w:val="22"/>
          <w:szCs w:val="22"/>
          <w:highlight w:val="none"/>
        </w:rPr>
      </w:pPr>
      <w:r>
        <w:rPr>
          <w:rFonts w:hint="eastAsia" w:ascii="宋体" w:hAnsi="宋体"/>
          <w:b/>
          <w:color w:val="auto"/>
          <w:sz w:val="22"/>
          <w:szCs w:val="22"/>
          <w:highlight w:val="none"/>
        </w:rPr>
        <w:t>第十九条 以下文件作为本合同的重要组成部分</w:t>
      </w:r>
    </w:p>
    <w:p>
      <w:pPr>
        <w:autoSpaceDE w:val="0"/>
        <w:snapToGrid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1、政府采购文件；</w:t>
      </w:r>
    </w:p>
    <w:p>
      <w:pPr>
        <w:autoSpaceDE w:val="0"/>
        <w:snapToGrid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2、乙方提供的响应文件；</w:t>
      </w:r>
    </w:p>
    <w:p>
      <w:pPr>
        <w:autoSpaceDE w:val="0"/>
        <w:snapToGrid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3、成交通知书；</w:t>
      </w:r>
    </w:p>
    <w:p>
      <w:pPr>
        <w:autoSpaceDE w:val="0"/>
        <w:snapToGrid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4、竞标声明书；</w:t>
      </w:r>
    </w:p>
    <w:p>
      <w:pPr>
        <w:autoSpaceDE w:val="0"/>
        <w:snapToGrid w:val="0"/>
        <w:spacing w:line="360" w:lineRule="auto"/>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5、廉洁购销协议。</w:t>
      </w:r>
    </w:p>
    <w:p>
      <w:pPr>
        <w:autoSpaceDE w:val="0"/>
        <w:snapToGrid w:val="0"/>
        <w:spacing w:line="360" w:lineRule="auto"/>
        <w:ind w:firstLine="442" w:firstLineChars="200"/>
        <w:rPr>
          <w:rFonts w:hint="eastAsia" w:ascii="宋体" w:hAnsi="宋体"/>
          <w:color w:val="auto"/>
          <w:sz w:val="22"/>
          <w:szCs w:val="22"/>
          <w:highlight w:val="none"/>
        </w:rPr>
      </w:pPr>
      <w:r>
        <w:rPr>
          <w:rFonts w:hint="eastAsia" w:ascii="宋体" w:hAnsi="宋体"/>
          <w:b/>
          <w:color w:val="auto"/>
          <w:sz w:val="22"/>
          <w:szCs w:val="22"/>
          <w:highlight w:val="none"/>
        </w:rPr>
        <w:t xml:space="preserve">第二十条 </w:t>
      </w:r>
      <w:r>
        <w:rPr>
          <w:rFonts w:hint="eastAsia" w:ascii="宋体" w:hAnsi="宋体"/>
          <w:color w:val="auto"/>
          <w:sz w:val="22"/>
          <w:szCs w:val="22"/>
          <w:highlight w:val="none"/>
        </w:rPr>
        <w:t>本合同一式五份，具有同等法律效力，甲方执二份，</w:t>
      </w:r>
      <w:r>
        <w:rPr>
          <w:rFonts w:hint="eastAsia" w:ascii="宋体" w:hAnsi="宋体"/>
          <w:color w:val="auto"/>
          <w:spacing w:val="4"/>
          <w:sz w:val="22"/>
          <w:szCs w:val="22"/>
          <w:highlight w:val="none"/>
        </w:rPr>
        <w:t>采购代理机构执一份、</w:t>
      </w:r>
      <w:r>
        <w:rPr>
          <w:rFonts w:hint="eastAsia" w:ascii="宋体" w:hAnsi="宋体"/>
          <w:color w:val="auto"/>
          <w:sz w:val="22"/>
          <w:szCs w:val="22"/>
          <w:highlight w:val="none"/>
        </w:rPr>
        <w:t>乙方执二份。</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2"/>
        <w:gridCol w:w="4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3" w:hRule="atLeast"/>
          <w:jc w:val="center"/>
        </w:trPr>
        <w:tc>
          <w:tcPr>
            <w:tcW w:w="458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 xml:space="preserve">甲方（章） 广西医科大学附属武鸣医院          </w:t>
            </w:r>
          </w:p>
          <w:p>
            <w:pPr>
              <w:autoSpaceDE w:val="0"/>
              <w:snapToGrid w:val="0"/>
              <w:spacing w:line="460" w:lineRule="exact"/>
              <w:rPr>
                <w:rFonts w:hint="eastAsia" w:ascii="宋体" w:hAnsi="宋体"/>
                <w:color w:val="auto"/>
                <w:sz w:val="22"/>
                <w:szCs w:val="22"/>
                <w:highlight w:val="none"/>
              </w:rPr>
            </w:pPr>
          </w:p>
          <w:p>
            <w:pPr>
              <w:autoSpaceDE w:val="0"/>
              <w:snapToGrid w:val="0"/>
              <w:spacing w:line="460" w:lineRule="exact"/>
              <w:rPr>
                <w:rFonts w:hint="eastAsia" w:ascii="宋体" w:hAnsi="宋体"/>
                <w:color w:val="auto"/>
                <w:sz w:val="22"/>
                <w:szCs w:val="22"/>
                <w:highlight w:val="none"/>
              </w:rPr>
            </w:pPr>
          </w:p>
          <w:p>
            <w:pPr>
              <w:autoSpaceDE w:val="0"/>
              <w:snapToGrid w:val="0"/>
              <w:spacing w:line="460" w:lineRule="exact"/>
              <w:rPr>
                <w:rFonts w:hint="eastAsia" w:ascii="宋体" w:hAnsi="宋体"/>
                <w:color w:val="auto"/>
                <w:sz w:val="22"/>
                <w:szCs w:val="22"/>
                <w:highlight w:val="none"/>
              </w:rPr>
            </w:pPr>
          </w:p>
          <w:p>
            <w:pPr>
              <w:autoSpaceDE w:val="0"/>
              <w:snapToGrid w:val="0"/>
              <w:spacing w:line="460" w:lineRule="exact"/>
              <w:rPr>
                <w:rFonts w:hint="eastAsia" w:ascii="宋体" w:hAnsi="宋体"/>
                <w:color w:val="auto"/>
                <w:sz w:val="22"/>
                <w:szCs w:val="22"/>
                <w:highlight w:val="none"/>
              </w:rPr>
            </w:pPr>
          </w:p>
          <w:p>
            <w:pPr>
              <w:autoSpaceDE w:val="0"/>
              <w:snapToGrid w:val="0"/>
              <w:spacing w:line="460" w:lineRule="exact"/>
              <w:ind w:firstLine="990" w:firstLineChars="450"/>
              <w:rPr>
                <w:rFonts w:hint="eastAsia" w:ascii="宋体" w:hAnsi="宋体"/>
                <w:color w:val="auto"/>
                <w:sz w:val="22"/>
                <w:szCs w:val="22"/>
                <w:highlight w:val="none"/>
              </w:rPr>
            </w:pPr>
            <w:r>
              <w:rPr>
                <w:rFonts w:hint="eastAsia" w:ascii="宋体" w:hAnsi="宋体"/>
                <w:color w:val="auto"/>
                <w:sz w:val="22"/>
                <w:szCs w:val="22"/>
                <w:highlight w:val="none"/>
              </w:rPr>
              <w:t xml:space="preserve">                 年   月   日</w:t>
            </w:r>
          </w:p>
        </w:tc>
        <w:tc>
          <w:tcPr>
            <w:tcW w:w="484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 xml:space="preserve">乙方（章）              </w:t>
            </w:r>
          </w:p>
          <w:p>
            <w:pPr>
              <w:autoSpaceDE w:val="0"/>
              <w:snapToGrid w:val="0"/>
              <w:spacing w:line="460" w:lineRule="exact"/>
              <w:rPr>
                <w:rFonts w:hint="eastAsia" w:ascii="宋体" w:hAnsi="宋体"/>
                <w:color w:val="auto"/>
                <w:sz w:val="22"/>
                <w:szCs w:val="22"/>
                <w:highlight w:val="none"/>
              </w:rPr>
            </w:pPr>
          </w:p>
          <w:p>
            <w:pPr>
              <w:autoSpaceDE w:val="0"/>
              <w:snapToGrid w:val="0"/>
              <w:spacing w:line="460" w:lineRule="exact"/>
              <w:rPr>
                <w:rFonts w:hint="eastAsia" w:ascii="宋体" w:hAnsi="宋体"/>
                <w:color w:val="auto"/>
                <w:sz w:val="22"/>
                <w:szCs w:val="22"/>
                <w:highlight w:val="none"/>
              </w:rPr>
            </w:pPr>
          </w:p>
          <w:p>
            <w:pPr>
              <w:autoSpaceDE w:val="0"/>
              <w:snapToGrid w:val="0"/>
              <w:spacing w:line="460" w:lineRule="exact"/>
              <w:rPr>
                <w:rFonts w:hint="eastAsia" w:ascii="宋体" w:hAnsi="宋体"/>
                <w:color w:val="auto"/>
                <w:sz w:val="22"/>
                <w:szCs w:val="22"/>
                <w:highlight w:val="none"/>
              </w:rPr>
            </w:pPr>
          </w:p>
          <w:p>
            <w:pPr>
              <w:autoSpaceDE w:val="0"/>
              <w:snapToGrid w:val="0"/>
              <w:spacing w:line="460" w:lineRule="exact"/>
              <w:rPr>
                <w:rFonts w:hint="eastAsia" w:ascii="宋体" w:hAnsi="宋体"/>
                <w:color w:val="auto"/>
                <w:sz w:val="22"/>
                <w:szCs w:val="22"/>
                <w:highlight w:val="none"/>
              </w:rPr>
            </w:pPr>
          </w:p>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458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单位地址：广西南宁市武鸣区永宁路26号</w:t>
            </w:r>
          </w:p>
        </w:tc>
        <w:tc>
          <w:tcPr>
            <w:tcW w:w="484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458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法定代表人（签字或盖章）：</w:t>
            </w:r>
          </w:p>
        </w:tc>
        <w:tc>
          <w:tcPr>
            <w:tcW w:w="484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458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委托代理人（签字或盖章）：</w:t>
            </w:r>
          </w:p>
        </w:tc>
        <w:tc>
          <w:tcPr>
            <w:tcW w:w="484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委托代理人（签字或盖章）：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458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电话：0771-6222411</w:t>
            </w:r>
          </w:p>
        </w:tc>
        <w:tc>
          <w:tcPr>
            <w:tcW w:w="484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458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电子邮箱：gxmuwmfy@163.com</w:t>
            </w:r>
          </w:p>
        </w:tc>
        <w:tc>
          <w:tcPr>
            <w:tcW w:w="484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458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开户银行：广西北部湾银行股份有限公司南宁市武鸣支行</w:t>
            </w:r>
          </w:p>
        </w:tc>
        <w:tc>
          <w:tcPr>
            <w:tcW w:w="484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458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账号：800133762666688</w:t>
            </w:r>
          </w:p>
        </w:tc>
        <w:tc>
          <w:tcPr>
            <w:tcW w:w="484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458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纳税人识别号或统一社会信用代码：1245011049858978X4</w:t>
            </w:r>
          </w:p>
        </w:tc>
        <w:tc>
          <w:tcPr>
            <w:tcW w:w="484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纳税人识别号或统一社会信用代码：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458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邮政编码：530199</w:t>
            </w:r>
          </w:p>
        </w:tc>
        <w:tc>
          <w:tcPr>
            <w:tcW w:w="4842" w:type="dxa"/>
            <w:tcBorders>
              <w:top w:val="single" w:color="auto" w:sz="4" w:space="0"/>
              <w:left w:val="single" w:color="auto" w:sz="4" w:space="0"/>
              <w:bottom w:val="single" w:color="auto" w:sz="4" w:space="0"/>
              <w:right w:val="single" w:color="auto" w:sz="4" w:space="0"/>
            </w:tcBorders>
            <w:noWrap w:val="0"/>
            <w:vAlign w:val="top"/>
          </w:tcPr>
          <w:p>
            <w:pPr>
              <w:autoSpaceDE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邮政编码：</w:t>
            </w:r>
          </w:p>
        </w:tc>
      </w:tr>
    </w:tbl>
    <w:p>
      <w:pPr>
        <w:rPr>
          <w:rFonts w:hint="eastAsia"/>
          <w:color w:val="auto"/>
          <w:szCs w:val="21"/>
          <w:highlight w:val="none"/>
        </w:rPr>
      </w:pPr>
      <w:r>
        <w:rPr>
          <w:color w:val="auto"/>
          <w:highlight w:val="none"/>
        </w:rPr>
        <w:t xml:space="preserve"> </w:t>
      </w:r>
    </w:p>
    <w:p>
      <w:pPr>
        <w:snapToGrid w:val="0"/>
        <w:spacing w:line="360" w:lineRule="auto"/>
        <w:jc w:val="left"/>
        <w:rPr>
          <w:rFonts w:ascii="宋体" w:hAnsi="宋体"/>
          <w:color w:val="auto"/>
          <w:sz w:val="24"/>
          <w:highlight w:val="none"/>
        </w:rPr>
      </w:pPr>
    </w:p>
    <w:p>
      <w:pPr>
        <w:snapToGrid w:val="0"/>
        <w:spacing w:line="360" w:lineRule="auto"/>
        <w:jc w:val="left"/>
        <w:rPr>
          <w:rFonts w:ascii="宋体" w:hAnsi="宋体"/>
          <w:color w:val="auto"/>
          <w:sz w:val="24"/>
          <w:highlight w:val="none"/>
        </w:rPr>
      </w:pPr>
    </w:p>
    <w:p>
      <w:pPr>
        <w:snapToGrid w:val="0"/>
        <w:spacing w:line="360" w:lineRule="auto"/>
        <w:jc w:val="left"/>
        <w:rPr>
          <w:rFonts w:ascii="宋体" w:hAnsi="宋体"/>
          <w:color w:val="auto"/>
          <w:sz w:val="24"/>
          <w:highlight w:val="none"/>
        </w:rPr>
      </w:pPr>
    </w:p>
    <w:p>
      <w:pPr>
        <w:rPr>
          <w:rFonts w:hint="eastAsia" w:ascii="宋体" w:hAnsi="宋体" w:cs="宋体"/>
          <w:b/>
          <w:bCs/>
          <w:color w:val="auto"/>
          <w:kern w:val="0"/>
          <w:sz w:val="44"/>
          <w:szCs w:val="44"/>
          <w:highlight w:val="none"/>
        </w:rPr>
      </w:pPr>
      <w:r>
        <w:rPr>
          <w:rFonts w:hint="eastAsia" w:ascii="宋体" w:hAnsi="宋体" w:cs="宋体"/>
          <w:b/>
          <w:bCs/>
          <w:color w:val="auto"/>
          <w:kern w:val="0"/>
          <w:sz w:val="44"/>
          <w:szCs w:val="44"/>
          <w:highlight w:val="none"/>
        </w:rPr>
        <w:br w:type="page"/>
      </w:r>
    </w:p>
    <w:p>
      <w:pPr>
        <w:widowControl/>
        <w:ind w:left="336"/>
        <w:jc w:val="center"/>
        <w:rPr>
          <w:rFonts w:ascii="宋体" w:hAnsi="宋体"/>
          <w:color w:val="auto"/>
          <w:kern w:val="0"/>
          <w:sz w:val="24"/>
          <w:highlight w:val="none"/>
        </w:rPr>
      </w:pPr>
      <w:r>
        <w:rPr>
          <w:rFonts w:hint="eastAsia" w:ascii="宋体" w:hAnsi="宋体" w:cs="宋体"/>
          <w:b/>
          <w:bCs/>
          <w:color w:val="auto"/>
          <w:kern w:val="0"/>
          <w:sz w:val="44"/>
          <w:szCs w:val="44"/>
          <w:highlight w:val="none"/>
        </w:rPr>
        <w:t>药械购销廉洁协议书</w:t>
      </w:r>
    </w:p>
    <w:p>
      <w:pPr>
        <w:widowControl/>
        <w:jc w:val="left"/>
        <w:outlineLvl w:val="0"/>
        <w:rPr>
          <w:rFonts w:hint="eastAsia" w:ascii="宋体" w:hAnsi="宋体" w:cs="宋体"/>
          <w:b/>
          <w:bCs/>
          <w:color w:val="auto"/>
          <w:kern w:val="0"/>
          <w:sz w:val="28"/>
          <w:szCs w:val="28"/>
          <w:highlight w:val="none"/>
        </w:rPr>
      </w:pPr>
      <w:bookmarkStart w:id="176" w:name="_Toc4358"/>
    </w:p>
    <w:p>
      <w:pPr>
        <w:widowControl/>
        <w:jc w:val="left"/>
        <w:outlineLvl w:val="0"/>
        <w:rPr>
          <w:rFonts w:hint="eastAsia" w:ascii="宋体" w:hAnsi="宋体"/>
          <w:color w:val="auto"/>
          <w:sz w:val="24"/>
          <w:highlight w:val="none"/>
        </w:rPr>
      </w:pPr>
      <w:r>
        <w:rPr>
          <w:rFonts w:hint="eastAsia" w:ascii="宋体" w:hAnsi="宋体" w:cs="宋体"/>
          <w:b/>
          <w:bCs/>
          <w:color w:val="auto"/>
          <w:kern w:val="0"/>
          <w:sz w:val="28"/>
          <w:szCs w:val="28"/>
          <w:highlight w:val="none"/>
        </w:rPr>
        <w:t>甲方：</w:t>
      </w:r>
      <w:r>
        <w:rPr>
          <w:rFonts w:hint="eastAsia" w:ascii="宋体" w:hAnsi="宋体"/>
          <w:color w:val="auto"/>
          <w:sz w:val="24"/>
          <w:highlight w:val="none"/>
        </w:rPr>
        <w:t>广西医科大学附属武鸣医院</w:t>
      </w:r>
      <w:bookmarkEnd w:id="176"/>
    </w:p>
    <w:p>
      <w:pPr>
        <w:widowControl/>
        <w:jc w:val="left"/>
        <w:rPr>
          <w:rFonts w:hint="eastAsia" w:ascii="宋体" w:hAnsi="宋体"/>
          <w:color w:val="auto"/>
          <w:sz w:val="24"/>
          <w:highlight w:val="none"/>
        </w:rPr>
      </w:pPr>
      <w:r>
        <w:rPr>
          <w:rFonts w:hint="eastAsia" w:ascii="宋体" w:hAnsi="宋体" w:cs="宋体"/>
          <w:b/>
          <w:bCs/>
          <w:color w:val="auto"/>
          <w:kern w:val="0"/>
          <w:sz w:val="28"/>
          <w:szCs w:val="28"/>
          <w:highlight w:val="none"/>
        </w:rPr>
        <w:t>乙方：</w:t>
      </w:r>
    </w:p>
    <w:p>
      <w:pPr>
        <w:spacing w:line="440" w:lineRule="exact"/>
        <w:ind w:firstLine="480" w:firstLineChars="200"/>
        <w:rPr>
          <w:rFonts w:ascii="宋体" w:hAnsi="宋体"/>
          <w:color w:val="auto"/>
          <w:sz w:val="24"/>
          <w:highlight w:val="none"/>
        </w:rPr>
      </w:pPr>
      <w:r>
        <w:rPr>
          <w:rFonts w:hint="eastAsia" w:ascii="宋体" w:hAnsi="宋体"/>
          <w:color w:val="auto"/>
          <w:sz w:val="24"/>
          <w:highlight w:val="none"/>
        </w:rPr>
        <w:t>根据《关于规范医疗卫生机构医药购销行为的预警规定》（桂卫办[2013]39号）、《规范医药代表在医疗机构推广药品行为的规定（试行）》（桂卫办[2013] 8号）、《关于建立医药购销领域商业贿赂不良记录实施办法》（桂卫办[2013]38号）等文件精神，为进一步规范医药器械购销行为，维护正常的医疗秩序和医药器械产品经营秩序，建立健全防治商业贿赂长效机制，</w:t>
      </w:r>
      <w:r>
        <w:rPr>
          <w:rFonts w:hint="eastAsia" w:ascii="宋体" w:hAnsi="宋体" w:cs="Arial"/>
          <w:color w:val="auto"/>
          <w:sz w:val="24"/>
          <w:highlight w:val="none"/>
        </w:rPr>
        <w:t>维护患者、医院和</w:t>
      </w:r>
      <w:r>
        <w:rPr>
          <w:rFonts w:hint="eastAsia" w:ascii="宋体" w:hAnsi="宋体"/>
          <w:color w:val="auto"/>
          <w:sz w:val="24"/>
          <w:highlight w:val="none"/>
        </w:rPr>
        <w:t>医疗器械生产、经营企业的</w:t>
      </w:r>
      <w:r>
        <w:rPr>
          <w:rFonts w:hint="eastAsia" w:ascii="宋体" w:hAnsi="宋体" w:cs="Arial"/>
          <w:color w:val="auto"/>
          <w:sz w:val="24"/>
          <w:highlight w:val="none"/>
        </w:rPr>
        <w:t>利益，</w:t>
      </w:r>
      <w:r>
        <w:rPr>
          <w:rFonts w:hint="eastAsia" w:ascii="宋体" w:hAnsi="宋体"/>
          <w:color w:val="auto"/>
          <w:sz w:val="24"/>
          <w:highlight w:val="none"/>
        </w:rPr>
        <w:t>经甲、乙双方协商，签订本廉洁协议书并共同遵守：</w:t>
      </w:r>
    </w:p>
    <w:p>
      <w:pPr>
        <w:spacing w:line="440" w:lineRule="exact"/>
        <w:ind w:firstLine="570"/>
        <w:rPr>
          <w:rFonts w:ascii="宋体" w:hAnsi="宋体"/>
          <w:color w:val="auto"/>
          <w:sz w:val="24"/>
          <w:highlight w:val="none"/>
        </w:rPr>
      </w:pPr>
      <w:r>
        <w:rPr>
          <w:rFonts w:hint="eastAsia" w:ascii="宋体" w:hAnsi="宋体"/>
          <w:color w:val="auto"/>
          <w:sz w:val="24"/>
          <w:highlight w:val="none"/>
        </w:rPr>
        <w:t>一、甲方购进医药器械、医用卫生材料（含药品、医用耗材、医疗设备、试剂等，下同）等产品，不得以任何方式向乙方索取回扣，或者索要、收受乙方产品发票价外的赞助，不得要求乙方代支付任何费用开支。</w:t>
      </w:r>
    </w:p>
    <w:p>
      <w:pPr>
        <w:spacing w:line="440" w:lineRule="exact"/>
        <w:ind w:firstLine="570"/>
        <w:rPr>
          <w:rFonts w:ascii="宋体" w:hAnsi="宋体"/>
          <w:color w:val="auto"/>
          <w:sz w:val="24"/>
          <w:highlight w:val="none"/>
        </w:rPr>
      </w:pPr>
      <w:r>
        <w:rPr>
          <w:rFonts w:hint="eastAsia" w:ascii="宋体" w:hAnsi="宋体"/>
          <w:color w:val="auto"/>
          <w:sz w:val="24"/>
          <w:highlight w:val="none"/>
        </w:rPr>
        <w:t>二、甲方工作人员不得以暗示或其他任何形式索要回扣、提成、有价证券、现金等。如甲方工作人员暗示或索要，乙方应予拒绝，并有责任如实向甲方纪检监察部门反映情况。</w:t>
      </w:r>
    </w:p>
    <w:p>
      <w:pPr>
        <w:spacing w:line="440" w:lineRule="exact"/>
        <w:ind w:firstLine="570"/>
        <w:rPr>
          <w:rFonts w:ascii="宋体" w:hAnsi="宋体"/>
          <w:color w:val="auto"/>
          <w:sz w:val="24"/>
          <w:highlight w:val="none"/>
        </w:rPr>
      </w:pPr>
      <w:r>
        <w:rPr>
          <w:rFonts w:hint="eastAsia" w:ascii="宋体" w:hAnsi="宋体"/>
          <w:color w:val="auto"/>
          <w:sz w:val="24"/>
          <w:highlight w:val="none"/>
        </w:rPr>
        <w:t>三、甲方工作人员不得替乙方非法统计医药器械销售价格、数量等有关信息。</w:t>
      </w:r>
    </w:p>
    <w:p>
      <w:pPr>
        <w:spacing w:line="440" w:lineRule="exact"/>
        <w:ind w:firstLine="570"/>
        <w:rPr>
          <w:rFonts w:ascii="宋体" w:hAnsi="宋体"/>
          <w:color w:val="auto"/>
          <w:sz w:val="24"/>
          <w:highlight w:val="none"/>
        </w:rPr>
      </w:pPr>
      <w:r>
        <w:rPr>
          <w:rFonts w:hint="eastAsia" w:ascii="宋体" w:hAnsi="宋体"/>
          <w:color w:val="auto"/>
          <w:sz w:val="24"/>
          <w:highlight w:val="none"/>
        </w:rPr>
        <w:t>四、乙方不得暗中给予甲方回扣，</w:t>
      </w:r>
      <w:r>
        <w:rPr>
          <w:rFonts w:ascii="宋体" w:hAnsi="宋体"/>
          <w:color w:val="auto"/>
          <w:sz w:val="24"/>
          <w:highlight w:val="none"/>
        </w:rPr>
        <w:t>不</w:t>
      </w:r>
      <w:r>
        <w:rPr>
          <w:rFonts w:hint="eastAsia" w:ascii="宋体" w:hAnsi="宋体"/>
          <w:color w:val="auto"/>
          <w:sz w:val="24"/>
          <w:highlight w:val="none"/>
        </w:rPr>
        <w:t>得</w:t>
      </w:r>
      <w:r>
        <w:rPr>
          <w:rFonts w:ascii="宋体" w:hAnsi="宋体"/>
          <w:color w:val="auto"/>
          <w:sz w:val="24"/>
          <w:highlight w:val="none"/>
        </w:rPr>
        <w:t>以任何理由为</w:t>
      </w:r>
      <w:r>
        <w:rPr>
          <w:rFonts w:hint="eastAsia" w:ascii="宋体" w:hAnsi="宋体"/>
          <w:color w:val="auto"/>
          <w:sz w:val="24"/>
          <w:highlight w:val="none"/>
        </w:rPr>
        <w:t>甲</w:t>
      </w:r>
      <w:r>
        <w:rPr>
          <w:rFonts w:ascii="宋体" w:hAnsi="宋体"/>
          <w:color w:val="auto"/>
          <w:sz w:val="24"/>
          <w:highlight w:val="none"/>
        </w:rPr>
        <w:t>方工作人员报销应由其个人支付的费用</w:t>
      </w:r>
      <w:r>
        <w:rPr>
          <w:rFonts w:hint="eastAsia" w:ascii="宋体" w:hAnsi="宋体"/>
          <w:color w:val="auto"/>
          <w:sz w:val="24"/>
          <w:highlight w:val="none"/>
        </w:rPr>
        <w:t>，不得以提成和赠送有价证券、现金、信用卡、宴请、娱乐以及提供学术活动等手段影响甲方使用医药器械产品的选择权。</w:t>
      </w:r>
    </w:p>
    <w:p>
      <w:pPr>
        <w:spacing w:line="440" w:lineRule="exact"/>
        <w:ind w:firstLine="570"/>
        <w:rPr>
          <w:rFonts w:ascii="宋体" w:hAnsi="宋体"/>
          <w:color w:val="auto"/>
          <w:sz w:val="24"/>
          <w:highlight w:val="none"/>
        </w:rPr>
      </w:pPr>
      <w:r>
        <w:rPr>
          <w:rFonts w:hint="eastAsia" w:ascii="宋体" w:hAnsi="宋体"/>
          <w:color w:val="auto"/>
          <w:sz w:val="24"/>
          <w:highlight w:val="none"/>
        </w:rPr>
        <w:t>五、乙方不得进入甲方的医药器械库房、临床科室、微机室等工作场所了解产品销售信息和库存情况。</w:t>
      </w:r>
    </w:p>
    <w:p>
      <w:pPr>
        <w:spacing w:line="440" w:lineRule="exact"/>
        <w:ind w:firstLine="570"/>
        <w:rPr>
          <w:rFonts w:ascii="宋体" w:hAnsi="宋体"/>
          <w:color w:val="auto"/>
          <w:sz w:val="24"/>
          <w:highlight w:val="none"/>
        </w:rPr>
      </w:pPr>
      <w:r>
        <w:rPr>
          <w:rFonts w:hint="eastAsia" w:ascii="宋体" w:hAnsi="宋体"/>
          <w:color w:val="auto"/>
          <w:sz w:val="24"/>
          <w:highlight w:val="none"/>
        </w:rPr>
        <w:t>六、乙方洽谈业务，必须在工作时间到甲方指定的科室联系商谈；不得私自到临床、医技等科室推销产品。乙方必须经甲方的相关部门登记和许可才能进入甲方指定的场所进行医</w:t>
      </w:r>
      <w:r>
        <w:rPr>
          <w:rFonts w:ascii="宋体" w:hAnsi="宋体"/>
          <w:color w:val="auto"/>
          <w:sz w:val="24"/>
          <w:highlight w:val="none"/>
        </w:rPr>
        <w:t>药器械宣传、</w:t>
      </w:r>
      <w:r>
        <w:rPr>
          <w:rFonts w:hint="eastAsia" w:ascii="宋体" w:hAnsi="宋体"/>
          <w:color w:val="auto"/>
          <w:sz w:val="24"/>
          <w:highlight w:val="none"/>
        </w:rPr>
        <w:t>专题知识</w:t>
      </w:r>
      <w:r>
        <w:rPr>
          <w:rFonts w:ascii="宋体" w:hAnsi="宋体"/>
          <w:color w:val="auto"/>
          <w:sz w:val="24"/>
          <w:highlight w:val="none"/>
        </w:rPr>
        <w:t>讲座、</w:t>
      </w:r>
      <w:r>
        <w:rPr>
          <w:rFonts w:hint="eastAsia" w:ascii="宋体" w:hAnsi="宋体"/>
          <w:color w:val="auto"/>
          <w:sz w:val="24"/>
          <w:highlight w:val="none"/>
        </w:rPr>
        <w:t>召开座谈会等甲方同意的业务活动。</w:t>
      </w:r>
    </w:p>
    <w:p>
      <w:pPr>
        <w:spacing w:line="440" w:lineRule="exact"/>
        <w:ind w:firstLine="570"/>
        <w:rPr>
          <w:rFonts w:ascii="宋体" w:hAnsi="宋体"/>
          <w:color w:val="auto"/>
          <w:sz w:val="24"/>
          <w:highlight w:val="none"/>
        </w:rPr>
      </w:pPr>
      <w:r>
        <w:rPr>
          <w:rFonts w:hint="eastAsia" w:ascii="宋体" w:hAnsi="宋体"/>
          <w:color w:val="auto"/>
          <w:sz w:val="24"/>
          <w:highlight w:val="none"/>
        </w:rPr>
        <w:t>七、乙方在销售活动中，要自觉遵守国家和地方的有关法律、法规，严格执行合同条款，不得以次充好，不能降低产品质量，做到诚信经营。</w:t>
      </w:r>
    </w:p>
    <w:p>
      <w:pPr>
        <w:spacing w:line="440" w:lineRule="exact"/>
        <w:ind w:firstLine="570"/>
        <w:rPr>
          <w:rFonts w:ascii="宋体" w:hAnsi="宋体"/>
          <w:color w:val="auto"/>
          <w:sz w:val="24"/>
          <w:highlight w:val="none"/>
        </w:rPr>
      </w:pPr>
      <w:r>
        <w:rPr>
          <w:rFonts w:hint="eastAsia" w:ascii="宋体" w:hAnsi="宋体"/>
          <w:color w:val="auto"/>
          <w:sz w:val="24"/>
          <w:highlight w:val="none"/>
        </w:rPr>
        <w:t>八、甲、乙双方应共同遵守职业道德，友好合作，杜绝弄虚作假、商业欺诈，不利用非法手段谋取不正当利益，公平公正处理业务。</w:t>
      </w:r>
    </w:p>
    <w:p>
      <w:pPr>
        <w:spacing w:line="440" w:lineRule="exact"/>
        <w:ind w:firstLine="570"/>
        <w:rPr>
          <w:rFonts w:ascii="宋体" w:hAnsi="宋体"/>
          <w:color w:val="auto"/>
          <w:sz w:val="24"/>
          <w:highlight w:val="none"/>
        </w:rPr>
      </w:pPr>
      <w:r>
        <w:rPr>
          <w:rFonts w:hint="eastAsia" w:ascii="宋体" w:hAnsi="宋体"/>
          <w:color w:val="auto"/>
          <w:sz w:val="24"/>
          <w:highlight w:val="none"/>
        </w:rPr>
        <w:t>九、甲方人员违反本协议，按国家有关法律法规及医院有关规定制度处理，情节严重涉嫌犯罪的，移交司法机关处理。</w:t>
      </w:r>
    </w:p>
    <w:p>
      <w:pPr>
        <w:spacing w:line="440" w:lineRule="exact"/>
        <w:ind w:firstLine="570"/>
        <w:rPr>
          <w:rFonts w:ascii="宋体" w:hAnsi="宋体"/>
          <w:color w:val="auto"/>
          <w:sz w:val="24"/>
          <w:highlight w:val="none"/>
        </w:rPr>
      </w:pPr>
      <w:r>
        <w:rPr>
          <w:rFonts w:hint="eastAsia" w:ascii="宋体" w:hAnsi="宋体"/>
          <w:color w:val="auto"/>
          <w:sz w:val="24"/>
          <w:highlight w:val="none"/>
        </w:rPr>
        <w:t>十、乙方违反上述条款，经核实后，甲方给予警告，情节严重的，甲方有权终止购销合同，并</w:t>
      </w:r>
      <w:r>
        <w:rPr>
          <w:color w:val="auto"/>
          <w:sz w:val="24"/>
          <w:highlight w:val="none"/>
        </w:rPr>
        <w:t>将</w:t>
      </w:r>
      <w:r>
        <w:rPr>
          <w:rFonts w:hint="eastAsia"/>
          <w:color w:val="auto"/>
          <w:sz w:val="24"/>
          <w:highlight w:val="none"/>
        </w:rPr>
        <w:t>乙方</w:t>
      </w:r>
      <w:r>
        <w:rPr>
          <w:color w:val="auto"/>
          <w:sz w:val="24"/>
          <w:highlight w:val="none"/>
        </w:rPr>
        <w:t>违法违规行为报送上级有关部门</w:t>
      </w:r>
      <w:r>
        <w:rPr>
          <w:rFonts w:hint="eastAsia" w:ascii="宋体" w:hAnsi="宋体"/>
          <w:color w:val="auto"/>
          <w:sz w:val="24"/>
          <w:highlight w:val="none"/>
        </w:rPr>
        <w:t>，列入不良记录，两年内不得在甲方进行医药器械销售，造成经济损失的，乙方需承担赔偿责任，涉嫌违法的，交由司法机关处理。</w:t>
      </w:r>
    </w:p>
    <w:p>
      <w:pPr>
        <w:spacing w:line="440" w:lineRule="exact"/>
        <w:ind w:firstLine="570"/>
        <w:rPr>
          <w:rFonts w:hint="eastAsia" w:ascii="宋体" w:hAnsi="宋体"/>
          <w:color w:val="auto"/>
          <w:sz w:val="24"/>
          <w:highlight w:val="none"/>
        </w:rPr>
      </w:pPr>
      <w:r>
        <w:rPr>
          <w:rFonts w:hint="eastAsia" w:ascii="宋体" w:hAnsi="宋体"/>
          <w:color w:val="auto"/>
          <w:sz w:val="24"/>
          <w:highlight w:val="none"/>
        </w:rPr>
        <w:t>十一、本协议作为合同的附件，一式二份，甲、乙双方各执一份，协议自双方法定代表人或委托代理人签字或盖章并加盖单位公章或合同章之日起生效。</w:t>
      </w:r>
    </w:p>
    <w:p>
      <w:pPr>
        <w:ind w:firstLine="480"/>
        <w:rPr>
          <w:rFonts w:hint="eastAsia" w:ascii="宋体" w:hAnsi="宋体" w:cs="宋体"/>
          <w:color w:val="auto"/>
          <w:sz w:val="24"/>
          <w:highlight w:val="none"/>
        </w:rPr>
      </w:pPr>
    </w:p>
    <w:p>
      <w:pPr>
        <w:widowControl/>
        <w:ind w:firstLine="241" w:firstLineChars="100"/>
        <w:jc w:val="left"/>
        <w:rPr>
          <w:rFonts w:hint="eastAsia" w:ascii="宋体" w:hAnsi="宋体"/>
          <w:color w:val="auto"/>
          <w:sz w:val="24"/>
          <w:highlight w:val="none"/>
        </w:rPr>
      </w:pPr>
      <w:r>
        <w:rPr>
          <w:rFonts w:hint="eastAsia" w:ascii="宋体" w:hAnsi="宋体" w:cs="宋体"/>
          <w:b/>
          <w:color w:val="auto"/>
          <w:sz w:val="24"/>
          <w:highlight w:val="none"/>
        </w:rPr>
        <w:t>甲方</w:t>
      </w:r>
      <w:r>
        <w:rPr>
          <w:rFonts w:hint="eastAsia" w:ascii="宋体" w:hAnsi="宋体" w:cs="宋体"/>
          <w:color w:val="auto"/>
          <w:sz w:val="24"/>
          <w:highlight w:val="none"/>
        </w:rPr>
        <w:t>（章）：</w:t>
      </w:r>
      <w:r>
        <w:rPr>
          <w:rFonts w:hint="eastAsia" w:ascii="宋体" w:hAnsi="宋体" w:cs="宋体"/>
          <w:bCs/>
          <w:color w:val="auto"/>
          <w:sz w:val="24"/>
          <w:highlight w:val="none"/>
        </w:rPr>
        <w:t>广西医科大学附属武鸣医院</w:t>
      </w:r>
      <w:r>
        <w:rPr>
          <w:rFonts w:hint="eastAsia" w:ascii="宋体" w:hAnsi="宋体" w:cs="宋体"/>
          <w:color w:val="auto"/>
          <w:sz w:val="24"/>
          <w:highlight w:val="none"/>
        </w:rPr>
        <w:t xml:space="preserve">     </w:t>
      </w:r>
      <w:r>
        <w:rPr>
          <w:rFonts w:hint="eastAsia" w:ascii="宋体" w:hAnsi="宋体" w:cs="宋体"/>
          <w:b/>
          <w:color w:val="auto"/>
          <w:sz w:val="24"/>
          <w:highlight w:val="none"/>
        </w:rPr>
        <w:t>乙方</w:t>
      </w:r>
      <w:r>
        <w:rPr>
          <w:rFonts w:hint="eastAsia" w:ascii="宋体" w:hAnsi="宋体" w:cs="宋体"/>
          <w:color w:val="auto"/>
          <w:sz w:val="24"/>
          <w:highlight w:val="none"/>
        </w:rPr>
        <w:t>（</w:t>
      </w:r>
      <w:r>
        <w:rPr>
          <w:rFonts w:hint="eastAsia" w:ascii="宋体" w:hAnsi="宋体" w:cs="宋体"/>
          <w:bCs/>
          <w:color w:val="auto"/>
          <w:sz w:val="24"/>
          <w:highlight w:val="none"/>
        </w:rPr>
        <w:t>章</w:t>
      </w:r>
      <w:r>
        <w:rPr>
          <w:rFonts w:hint="eastAsia" w:ascii="宋体" w:hAnsi="宋体" w:cs="宋体"/>
          <w:color w:val="auto"/>
          <w:sz w:val="24"/>
          <w:highlight w:val="none"/>
        </w:rPr>
        <w:t>）：</w:t>
      </w:r>
    </w:p>
    <w:p>
      <w:pPr>
        <w:ind w:firstLine="482"/>
        <w:rPr>
          <w:rFonts w:ascii="宋体" w:hAnsi="宋体" w:cs="宋体"/>
          <w:b/>
          <w:color w:val="auto"/>
          <w:sz w:val="24"/>
          <w:highlight w:val="none"/>
        </w:rPr>
      </w:pPr>
      <w:r>
        <w:rPr>
          <w:rFonts w:hint="eastAsia" w:ascii="宋体" w:hAnsi="宋体" w:cs="宋体"/>
          <w:bCs/>
          <w:color w:val="auto"/>
          <w:sz w:val="24"/>
          <w:highlight w:val="none"/>
        </w:rPr>
        <w:t xml:space="preserve">                                                 </w:t>
      </w:r>
      <w:r>
        <w:rPr>
          <w:rFonts w:hint="eastAsia" w:ascii="宋体" w:hAnsi="宋体" w:cs="宋体"/>
          <w:b/>
          <w:color w:val="auto"/>
          <w:sz w:val="24"/>
          <w:highlight w:val="none"/>
        </w:rPr>
        <w:t xml:space="preserve">         </w:t>
      </w:r>
    </w:p>
    <w:p>
      <w:pPr>
        <w:ind w:firstLine="482"/>
        <w:rPr>
          <w:rFonts w:ascii="宋体" w:hAnsi="宋体" w:cs="宋体"/>
          <w:b/>
          <w:color w:val="auto"/>
          <w:sz w:val="24"/>
          <w:highlight w:val="none"/>
        </w:rPr>
      </w:pPr>
    </w:p>
    <w:p>
      <w:pPr>
        <w:ind w:firstLine="482"/>
        <w:rPr>
          <w:rFonts w:ascii="宋体" w:hAnsi="宋体" w:cs="宋体"/>
          <w:b/>
          <w:color w:val="auto"/>
          <w:sz w:val="24"/>
          <w:highlight w:val="none"/>
        </w:rPr>
      </w:pPr>
      <w:r>
        <w:rPr>
          <w:rFonts w:hint="eastAsia" w:ascii="宋体" w:hAnsi="宋体" w:cs="宋体"/>
          <w:b/>
          <w:color w:val="auto"/>
          <w:sz w:val="24"/>
          <w:highlight w:val="none"/>
        </w:rPr>
        <w:t>法定代表人：                          法定代表人：</w:t>
      </w:r>
    </w:p>
    <w:p>
      <w:pPr>
        <w:rPr>
          <w:rFonts w:ascii="宋体" w:hAnsi="宋体" w:cs="宋体"/>
          <w:b/>
          <w:color w:val="auto"/>
          <w:sz w:val="24"/>
          <w:highlight w:val="none"/>
        </w:rPr>
      </w:pPr>
    </w:p>
    <w:p>
      <w:pPr>
        <w:ind w:firstLine="482"/>
        <w:rPr>
          <w:rFonts w:ascii="宋体" w:hAnsi="宋体" w:cs="宋体"/>
          <w:color w:val="auto"/>
          <w:sz w:val="24"/>
          <w:highlight w:val="none"/>
        </w:rPr>
      </w:pPr>
      <w:r>
        <w:rPr>
          <w:rFonts w:hint="eastAsia" w:ascii="宋体" w:hAnsi="宋体" w:cs="宋体"/>
          <w:b/>
          <w:color w:val="auto"/>
          <w:sz w:val="24"/>
          <w:highlight w:val="none"/>
        </w:rPr>
        <w:t>（或）委托代理人</w:t>
      </w: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（或）委托代理人</w:t>
      </w:r>
      <w:r>
        <w:rPr>
          <w:rFonts w:hint="eastAsia" w:ascii="宋体" w:hAnsi="宋体" w:cs="宋体"/>
          <w:color w:val="auto"/>
          <w:sz w:val="24"/>
          <w:highlight w:val="none"/>
        </w:rPr>
        <w:t>：</w:t>
      </w:r>
    </w:p>
    <w:p>
      <w:pPr>
        <w:ind w:firstLine="480"/>
        <w:rPr>
          <w:rFonts w:ascii="宋体" w:hAnsi="宋体" w:cs="宋体"/>
          <w:color w:val="auto"/>
          <w:sz w:val="24"/>
          <w:highlight w:val="none"/>
          <w:u w:val="single"/>
        </w:rPr>
      </w:pPr>
    </w:p>
    <w:p>
      <w:pPr>
        <w:ind w:firstLine="480"/>
        <w:rPr>
          <w:rFonts w:ascii="宋体" w:hAnsi="宋体" w:cs="宋体"/>
          <w:color w:val="auto"/>
          <w:sz w:val="24"/>
          <w:highlight w:val="none"/>
          <w:u w:val="single"/>
        </w:rPr>
      </w:pPr>
      <w:r>
        <w:rPr>
          <w:rFonts w:hint="eastAsia" w:ascii="宋体" w:hAnsi="宋体" w:cs="宋体"/>
          <w:color w:val="auto"/>
          <w:sz w:val="24"/>
          <w:highlight w:val="none"/>
          <w:u w:val="single"/>
        </w:rPr>
        <w:t>2025</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日                   </w:t>
      </w:r>
      <w:r>
        <w:rPr>
          <w:rFonts w:hint="eastAsia" w:ascii="宋体" w:hAnsi="宋体" w:cs="宋体"/>
          <w:color w:val="auto"/>
          <w:sz w:val="24"/>
          <w:highlight w:val="none"/>
          <w:u w:val="single"/>
        </w:rPr>
        <w:t>2025</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snapToGrid w:val="0"/>
        <w:spacing w:line="360" w:lineRule="auto"/>
        <w:ind w:left="480" w:hanging="480" w:hangingChars="200"/>
        <w:rPr>
          <w:rFonts w:ascii="宋体" w:hAnsi="宋体"/>
          <w:color w:val="auto"/>
          <w:sz w:val="24"/>
          <w:highlight w:val="none"/>
        </w:rPr>
      </w:pPr>
    </w:p>
    <w:p>
      <w:pPr>
        <w:snapToGrid w:val="0"/>
        <w:spacing w:line="360" w:lineRule="auto"/>
        <w:jc w:val="left"/>
        <w:rPr>
          <w:rFonts w:ascii="宋体" w:hAnsi="宋体" w:eastAsia="宋体" w:cs="仿宋_GB2312"/>
          <w:bCs/>
          <w:color w:val="auto"/>
          <w:kern w:val="44"/>
          <w:sz w:val="44"/>
          <w:szCs w:val="44"/>
          <w:highlight w:val="none"/>
          <w:lang w:val="zh-CN"/>
        </w:rPr>
      </w:pPr>
      <w:r>
        <w:rPr>
          <w:rFonts w:ascii="宋体" w:hAnsi="宋体"/>
          <w:b/>
          <w:color w:val="auto"/>
          <w:sz w:val="24"/>
          <w:highlight w:val="none"/>
        </w:rPr>
        <w:br w:type="page"/>
      </w:r>
      <w:bookmarkStart w:id="177" w:name="_Toc31751"/>
      <w:bookmarkStart w:id="178" w:name="_Toc80205947"/>
    </w:p>
    <w:p>
      <w:pPr>
        <w:keepNext/>
        <w:keepLines/>
        <w:spacing w:before="340" w:after="330" w:line="578" w:lineRule="auto"/>
        <w:jc w:val="center"/>
        <w:outlineLvl w:val="0"/>
        <w:rPr>
          <w:rFonts w:ascii="宋体" w:hAnsi="宋体" w:eastAsia="宋体" w:cs="仿宋_GB2312"/>
          <w:bCs/>
          <w:color w:val="auto"/>
          <w:kern w:val="44"/>
          <w:sz w:val="44"/>
          <w:szCs w:val="44"/>
          <w:highlight w:val="none"/>
          <w:lang w:val="zh-CN"/>
        </w:rPr>
      </w:pPr>
    </w:p>
    <w:p>
      <w:pPr>
        <w:keepNext/>
        <w:keepLines/>
        <w:spacing w:before="340" w:after="330" w:line="578" w:lineRule="auto"/>
        <w:jc w:val="center"/>
        <w:outlineLvl w:val="0"/>
        <w:rPr>
          <w:rFonts w:ascii="宋体" w:hAnsi="宋体" w:eastAsia="宋体" w:cs="仿宋_GB2312"/>
          <w:b/>
          <w:bCs/>
          <w:color w:val="auto"/>
          <w:kern w:val="44"/>
          <w:sz w:val="44"/>
          <w:szCs w:val="44"/>
          <w:highlight w:val="none"/>
          <w:lang w:val="zh-CN"/>
        </w:rPr>
        <w:sectPr>
          <w:pgSz w:w="11910" w:h="16840"/>
          <w:pgMar w:top="1134" w:right="1134" w:bottom="1134" w:left="1134" w:header="720" w:footer="720" w:gutter="0"/>
          <w:cols w:space="720" w:num="1"/>
        </w:sectPr>
      </w:pPr>
      <w:bookmarkStart w:id="179" w:name="_Toc27629"/>
      <w:bookmarkStart w:id="180" w:name="_Toc24483"/>
      <w:bookmarkStart w:id="181" w:name="_Toc2169"/>
      <w:bookmarkStart w:id="182" w:name="_Toc25054"/>
      <w:bookmarkStart w:id="183" w:name="_Toc32254"/>
      <w:bookmarkStart w:id="184" w:name="_Toc6393"/>
      <w:bookmarkStart w:id="185" w:name="_Toc5523"/>
      <w:r>
        <w:rPr>
          <w:rFonts w:hint="eastAsia" w:ascii="宋体" w:hAnsi="宋体" w:eastAsia="宋体" w:cs="仿宋_GB2312"/>
          <w:bCs/>
          <w:color w:val="auto"/>
          <w:kern w:val="44"/>
          <w:sz w:val="44"/>
          <w:szCs w:val="44"/>
          <w:highlight w:val="none"/>
          <w:lang w:val="zh-CN"/>
        </w:rPr>
        <w:t>第七章 质疑、投诉材料格式</w:t>
      </w:r>
      <w:bookmarkEnd w:id="177"/>
      <w:bookmarkEnd w:id="178"/>
      <w:bookmarkEnd w:id="179"/>
      <w:bookmarkEnd w:id="180"/>
      <w:bookmarkEnd w:id="181"/>
      <w:bookmarkEnd w:id="182"/>
      <w:bookmarkEnd w:id="183"/>
      <w:bookmarkEnd w:id="184"/>
      <w:bookmarkEnd w:id="185"/>
    </w:p>
    <w:p>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质疑函（格式）</w:t>
      </w:r>
    </w:p>
    <w:p>
      <w:pPr>
        <w:spacing w:line="360" w:lineRule="auto"/>
        <w:ind w:firstLine="482" w:firstLineChars="200"/>
        <w:contextualSpacing/>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一、质疑供应商基本信息：</w:t>
      </w:r>
    </w:p>
    <w:p>
      <w:pPr>
        <w:spacing w:line="360" w:lineRule="auto"/>
        <w:ind w:firstLine="480" w:firstLineChars="200"/>
        <w:contextualSpacing/>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质疑供应商：</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联系电话</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授权代表：</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480" w:firstLineChars="200"/>
        <w:contextualSpacing/>
        <w:rPr>
          <w:rFonts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pacing w:line="360" w:lineRule="auto"/>
        <w:ind w:firstLine="482" w:firstLineChars="200"/>
        <w:contextualSpacing/>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二、质疑项目基本情况：</w:t>
      </w:r>
    </w:p>
    <w:p>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质疑</w:t>
      </w:r>
      <w:r>
        <w:rPr>
          <w:rFonts w:hint="eastAsia" w:ascii="宋体" w:hAnsi="宋体" w:eastAsia="宋体" w:cs="Times New Roman"/>
          <w:color w:val="auto"/>
          <w:kern w:val="0"/>
          <w:sz w:val="24"/>
          <w:szCs w:val="24"/>
          <w:highlight w:val="none"/>
          <w:lang w:val="zh-CN"/>
        </w:rPr>
        <w:t>项目的名称：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质疑</w:t>
      </w:r>
      <w:r>
        <w:rPr>
          <w:rFonts w:hint="eastAsia" w:ascii="宋体" w:hAnsi="宋体" w:eastAsia="宋体" w:cs="Times New Roman"/>
          <w:color w:val="auto"/>
          <w:kern w:val="0"/>
          <w:sz w:val="24"/>
          <w:szCs w:val="24"/>
          <w:highlight w:val="none"/>
          <w:lang w:val="zh-CN"/>
        </w:rPr>
        <w:t>项目的编号：</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采购人名称：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w:t>
      </w:r>
    </w:p>
    <w:p>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□采购文件   采购文件获取日期：</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 xml:space="preserve">□采购过程   </w:t>
      </w:r>
    </w:p>
    <w:p>
      <w:pPr>
        <w:spacing w:line="360" w:lineRule="auto"/>
        <w:ind w:left="25" w:leftChars="12" w:firstLine="352" w:firstLineChars="147"/>
        <w:contextualSpacing/>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 xml:space="preserve">□成交结果   </w:t>
      </w:r>
    </w:p>
    <w:p>
      <w:pPr>
        <w:spacing w:line="360" w:lineRule="auto"/>
        <w:ind w:left="25" w:leftChars="12" w:firstLine="472" w:firstLineChars="196"/>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三、质疑事项具体内容</w:t>
      </w:r>
    </w:p>
    <w:p>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质疑事项1：</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事实依据：</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法律依据：</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质疑事项2</w:t>
      </w:r>
    </w:p>
    <w:p>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ascii="宋体" w:hAnsi="宋体" w:eastAsia="宋体" w:cs="Times New Roman"/>
          <w:color w:val="auto"/>
          <w:kern w:val="0"/>
          <w:sz w:val="24"/>
          <w:szCs w:val="24"/>
          <w:highlight w:val="none"/>
          <w:lang w:val="zh-CN"/>
        </w:rPr>
        <w:t>……</w:t>
      </w:r>
    </w:p>
    <w:p>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四、与质疑事项相关的质疑请求：</w:t>
      </w:r>
    </w:p>
    <w:p>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请求：</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p>
    <w:p>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签字（签章）：                                       公章：</w:t>
      </w:r>
    </w:p>
    <w:p>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p>
    <w:p>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日期：</w:t>
      </w:r>
    </w:p>
    <w:p>
      <w:pPr>
        <w:spacing w:line="360" w:lineRule="auto"/>
        <w:contextualSpacing/>
        <w:rPr>
          <w:rFonts w:ascii="宋体" w:hAnsi="宋体" w:eastAsia="宋体" w:cs="Times New Roman"/>
          <w:b/>
          <w:color w:val="auto"/>
          <w:kern w:val="0"/>
          <w:sz w:val="24"/>
          <w:szCs w:val="24"/>
          <w:highlight w:val="none"/>
          <w:lang w:val="zh-CN"/>
        </w:rPr>
      </w:pPr>
    </w:p>
    <w:p>
      <w:pPr>
        <w:spacing w:line="360" w:lineRule="auto"/>
        <w:contextualSpacing/>
        <w:rPr>
          <w:rFonts w:ascii="宋体" w:hAnsi="宋体" w:eastAsia="宋体" w:cs="Times New Roman"/>
          <w:b/>
          <w:color w:val="auto"/>
          <w:kern w:val="0"/>
          <w:sz w:val="24"/>
          <w:szCs w:val="24"/>
          <w:highlight w:val="none"/>
          <w:lang w:val="zh-CN"/>
        </w:rPr>
      </w:pPr>
    </w:p>
    <w:p>
      <w:pPr>
        <w:spacing w:line="360" w:lineRule="auto"/>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说明：</w:t>
      </w:r>
    </w:p>
    <w:p>
      <w:pPr>
        <w:spacing w:line="360" w:lineRule="auto"/>
        <w:ind w:left="25" w:leftChars="12" w:firstLine="354" w:firstLineChars="147"/>
        <w:contextualSpacing/>
        <w:rPr>
          <w:rFonts w:ascii="宋体" w:hAnsi="宋体" w:eastAsia="宋体" w:cs="Times New Roman"/>
          <w:b/>
          <w:bCs/>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1.供应商提出质疑时，应提交质疑函和必要的证明材料</w:t>
      </w:r>
      <w:r>
        <w:rPr>
          <w:rFonts w:hint="eastAsia" w:ascii="宋体" w:hAnsi="宋体" w:eastAsia="宋体" w:cs="Times New Roman"/>
          <w:b/>
          <w:bCs/>
          <w:color w:val="auto"/>
          <w:kern w:val="0"/>
          <w:sz w:val="24"/>
          <w:szCs w:val="24"/>
          <w:highlight w:val="none"/>
          <w:lang w:val="zh-CN"/>
        </w:rPr>
        <w:t>。</w:t>
      </w:r>
    </w:p>
    <w:p>
      <w:pPr>
        <w:spacing w:line="360" w:lineRule="auto"/>
        <w:ind w:left="25" w:leftChars="12" w:firstLine="354" w:firstLineChars="147"/>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360" w:lineRule="auto"/>
        <w:ind w:left="25" w:leftChars="12" w:firstLine="354" w:firstLineChars="147"/>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3.质疑函的质疑事项应具体、明确，并有必要的事实依据和法律依据。</w:t>
      </w:r>
    </w:p>
    <w:p>
      <w:pPr>
        <w:spacing w:line="360" w:lineRule="auto"/>
        <w:ind w:left="25" w:leftChars="12" w:firstLine="354" w:firstLineChars="147"/>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4.质疑函的质疑请求应与质疑事项相关。</w:t>
      </w:r>
    </w:p>
    <w:p>
      <w:pPr>
        <w:spacing w:line="360" w:lineRule="auto"/>
        <w:ind w:left="25" w:leftChars="12" w:firstLine="354" w:firstLineChars="147"/>
        <w:contextualSpacing/>
        <w:rPr>
          <w:rFonts w:ascii="宋体" w:hAnsi="宋体" w:eastAsia="宋体" w:cs="Times New Roman"/>
          <w:b/>
          <w:color w:val="auto"/>
          <w:kern w:val="0"/>
          <w:sz w:val="20"/>
          <w:szCs w:val="21"/>
          <w:highlight w:val="none"/>
          <w:lang w:val="zh-CN"/>
        </w:rPr>
      </w:pPr>
      <w:r>
        <w:rPr>
          <w:rFonts w:hint="eastAsia" w:ascii="宋体" w:hAnsi="宋体" w:eastAsia="宋体" w:cs="Times New Roman"/>
          <w:b/>
          <w:color w:val="auto"/>
          <w:kern w:val="0"/>
          <w:sz w:val="24"/>
          <w:szCs w:val="24"/>
          <w:highlight w:val="none"/>
          <w:lang w:val="zh-CN"/>
        </w:rPr>
        <w:t>5.质疑供应商为法人或者其他组织的，质疑函应由法定代表人、主要负责人，或者其授权代表签字或者盖章，并加盖公章。</w:t>
      </w:r>
    </w:p>
    <w:p>
      <w:pPr>
        <w:snapToGrid w:val="0"/>
        <w:rPr>
          <w:rFonts w:ascii="宋体" w:hAnsi="Courier New" w:eastAsia="宋体" w:cs="Times New Roman"/>
          <w:b/>
          <w:color w:val="auto"/>
          <w:kern w:val="0"/>
          <w:sz w:val="24"/>
          <w:szCs w:val="24"/>
          <w:highlight w:val="none"/>
          <w:lang w:val="zh-CN"/>
        </w:rPr>
      </w:pPr>
    </w:p>
    <w:p>
      <w:pPr>
        <w:spacing w:line="460" w:lineRule="exact"/>
        <w:jc w:val="center"/>
        <w:rPr>
          <w:rFonts w:ascii="Times New Roman" w:hAnsi="Times New Roman" w:eastAsia="隶书" w:cs="Times New Roman"/>
          <w:color w:val="auto"/>
          <w:sz w:val="44"/>
          <w:szCs w:val="24"/>
          <w:highlight w:val="none"/>
        </w:rPr>
      </w:pPr>
      <w:r>
        <w:rPr>
          <w:rFonts w:ascii="Times New Roman" w:hAnsi="Times New Roman" w:eastAsia="隶书" w:cs="Times New Roman"/>
          <w:color w:val="auto"/>
          <w:sz w:val="44"/>
          <w:szCs w:val="24"/>
          <w:highlight w:val="none"/>
        </w:rPr>
        <w:br w:type="page"/>
      </w:r>
    </w:p>
    <w:p>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投诉书（格式）</w:t>
      </w:r>
    </w:p>
    <w:p>
      <w:pPr>
        <w:snapToGrid w:val="0"/>
        <w:spacing w:line="360" w:lineRule="auto"/>
        <w:ind w:firstLine="482" w:firstLineChars="200"/>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一、投诉相关主体基本情况：</w:t>
      </w:r>
    </w:p>
    <w:p>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供应商：</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法定代表人/主要负责人：</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联系电话</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授权代表：</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被投诉人1：</w:t>
      </w:r>
    </w:p>
    <w:p>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被投诉人2：</w:t>
      </w:r>
    </w:p>
    <w:p>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w:t>
      </w:r>
    </w:p>
    <w:p>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相关供应商：</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napToGrid w:val="0"/>
        <w:spacing w:line="360" w:lineRule="auto"/>
        <w:ind w:firstLine="482" w:firstLineChars="200"/>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二、投诉项目基本情况：</w:t>
      </w:r>
    </w:p>
    <w:p>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采购</w:t>
      </w:r>
      <w:r>
        <w:rPr>
          <w:rFonts w:hint="eastAsia" w:ascii="宋体" w:hAnsi="宋体" w:eastAsia="宋体" w:cs="Times New Roman"/>
          <w:color w:val="auto"/>
          <w:kern w:val="0"/>
          <w:sz w:val="24"/>
          <w:szCs w:val="24"/>
          <w:highlight w:val="none"/>
          <w:lang w:val="zh-CN"/>
        </w:rPr>
        <w:t>项目的名称：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rPr>
          <w:rFonts w:ascii="宋体" w:hAnsi="宋体" w:eastAsia="宋体" w:cs="Times New Roman"/>
          <w:color w:val="auto"/>
          <w:kern w:val="0"/>
          <w:sz w:val="24"/>
          <w:szCs w:val="24"/>
          <w:highlight w:val="none"/>
        </w:rPr>
      </w:pPr>
      <w:r>
        <w:rPr>
          <w:rFonts w:hint="eastAsia" w:ascii="宋体" w:hAnsi="宋体" w:eastAsia="宋体" w:cs="Times New Roman"/>
          <w:bCs/>
          <w:color w:val="auto"/>
          <w:kern w:val="0"/>
          <w:sz w:val="24"/>
          <w:szCs w:val="24"/>
          <w:highlight w:val="none"/>
          <w:lang w:val="zh-CN"/>
        </w:rPr>
        <w:t>采购</w:t>
      </w:r>
      <w:r>
        <w:rPr>
          <w:rFonts w:hint="eastAsia" w:ascii="宋体" w:hAnsi="宋体" w:eastAsia="宋体" w:cs="Times New Roman"/>
          <w:color w:val="auto"/>
          <w:kern w:val="0"/>
          <w:sz w:val="24"/>
          <w:szCs w:val="24"/>
          <w:highlight w:val="none"/>
          <w:lang w:val="zh-CN"/>
        </w:rPr>
        <w:t>项目的编号：</w:t>
      </w:r>
      <w:r>
        <w:rPr>
          <w:rFonts w:hint="eastAsia" w:ascii="宋体" w:hAnsi="宋体" w:eastAsia="宋体" w:cs="Times New Roman"/>
          <w:bCs/>
          <w:color w:val="auto"/>
          <w:kern w:val="0"/>
          <w:sz w:val="24"/>
          <w:szCs w:val="24"/>
          <w:highlight w:val="none"/>
          <w:u w:val="single"/>
        </w:rPr>
        <w:t xml:space="preserve">                 </w:t>
      </w:r>
    </w:p>
    <w:p>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采购人名称：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代理机构名称：</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rPr>
        <w:t>采购</w:t>
      </w:r>
      <w:r>
        <w:rPr>
          <w:rFonts w:hint="eastAsia" w:ascii="宋体" w:hAnsi="宋体" w:eastAsia="宋体" w:cs="Times New Roman"/>
          <w:bCs/>
          <w:color w:val="auto"/>
          <w:kern w:val="0"/>
          <w:sz w:val="24"/>
          <w:szCs w:val="24"/>
          <w:highlight w:val="none"/>
          <w:lang w:val="zh-CN"/>
        </w:rPr>
        <w:t>文件公告：</w:t>
      </w:r>
      <w:r>
        <w:rPr>
          <w:rFonts w:hint="eastAsia" w:ascii="宋体" w:hAnsi="宋体" w:eastAsia="宋体" w:cs="Times New Roman"/>
          <w:bCs/>
          <w:color w:val="auto"/>
          <w:kern w:val="0"/>
          <w:sz w:val="24"/>
          <w:szCs w:val="24"/>
          <w:highlight w:val="none"/>
          <w:u w:val="single"/>
          <w:lang w:val="zh-CN"/>
        </w:rPr>
        <w:t>是/否</w:t>
      </w:r>
      <w:r>
        <w:rPr>
          <w:rFonts w:hint="eastAsia" w:ascii="宋体" w:hAnsi="宋体" w:eastAsia="宋体" w:cs="Times New Roman"/>
          <w:bCs/>
          <w:color w:val="auto"/>
          <w:kern w:val="0"/>
          <w:sz w:val="24"/>
          <w:szCs w:val="24"/>
          <w:highlight w:val="none"/>
          <w:lang w:val="zh-CN"/>
        </w:rPr>
        <w:t>公告期限：</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rPr>
          <w:rFonts w:ascii="宋体" w:hAnsi="宋体" w:eastAsia="宋体" w:cs="Times New Roman"/>
          <w:b/>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采购结果公告：</w:t>
      </w:r>
      <w:r>
        <w:rPr>
          <w:rFonts w:hint="eastAsia" w:ascii="宋体" w:hAnsi="宋体" w:eastAsia="宋体" w:cs="Times New Roman"/>
          <w:bCs/>
          <w:color w:val="auto"/>
          <w:kern w:val="0"/>
          <w:sz w:val="24"/>
          <w:szCs w:val="24"/>
          <w:highlight w:val="none"/>
          <w:u w:val="single"/>
          <w:lang w:val="zh-CN"/>
        </w:rPr>
        <w:t>是/否</w:t>
      </w:r>
      <w:r>
        <w:rPr>
          <w:rFonts w:hint="eastAsia" w:ascii="宋体" w:hAnsi="宋体" w:eastAsia="宋体" w:cs="Times New Roman"/>
          <w:bCs/>
          <w:color w:val="auto"/>
          <w:kern w:val="0"/>
          <w:sz w:val="24"/>
          <w:szCs w:val="24"/>
          <w:highlight w:val="none"/>
          <w:lang w:val="zh-CN"/>
        </w:rPr>
        <w:t>公告期限：</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6"/>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三、质疑基本情况</w:t>
      </w:r>
    </w:p>
    <w:p>
      <w:pPr>
        <w:spacing w:line="360" w:lineRule="auto"/>
        <w:ind w:firstLine="480" w:firstLineChars="200"/>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投诉人于</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年</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月</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日，向</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提出质疑，质疑事项为：</w:t>
      </w:r>
    </w:p>
    <w:p>
      <w:pPr>
        <w:spacing w:line="360" w:lineRule="auto"/>
        <w:ind w:firstLine="241"/>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241"/>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480" w:firstLineChars="200"/>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u w:val="single"/>
          <w:lang w:val="zh-CN"/>
        </w:rPr>
        <w:t>采购人/代理机构</w:t>
      </w:r>
      <w:r>
        <w:rPr>
          <w:rFonts w:hint="eastAsia" w:ascii="宋体" w:hAnsi="宋体" w:eastAsia="宋体" w:cs="Times New Roman"/>
          <w:bCs/>
          <w:color w:val="auto"/>
          <w:kern w:val="0"/>
          <w:sz w:val="24"/>
          <w:szCs w:val="24"/>
          <w:highlight w:val="none"/>
          <w:lang w:val="zh-CN"/>
        </w:rPr>
        <w:t>于</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年</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月</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日，</w:t>
      </w:r>
      <w:r>
        <w:rPr>
          <w:rFonts w:hint="eastAsia" w:ascii="宋体" w:hAnsi="宋体" w:eastAsia="宋体" w:cs="Times New Roman"/>
          <w:bCs/>
          <w:color w:val="auto"/>
          <w:kern w:val="0"/>
          <w:sz w:val="24"/>
          <w:szCs w:val="24"/>
          <w:highlight w:val="none"/>
          <w:lang w:val="zh-CN"/>
        </w:rPr>
        <w:t xml:space="preserve">就质疑事项作出了答复/没有在法定期限内作出答复。                                                                                             </w:t>
      </w:r>
    </w:p>
    <w:p>
      <w:pPr>
        <w:spacing w:line="360" w:lineRule="auto"/>
        <w:ind w:left="25" w:leftChars="12" w:firstLine="472" w:firstLineChars="196"/>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四、投诉事项具体内容</w:t>
      </w:r>
    </w:p>
    <w:p>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投诉事项1：</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事实依据：</w:t>
      </w: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法律依据：</w:t>
      </w: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352" w:firstLineChars="14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rPr>
          <w:rFonts w:ascii="宋体" w:hAnsi="宋体" w:eastAsia="宋体" w:cs="Times New Roman"/>
          <w:bCs/>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 xml:space="preserve">投诉事项2  </w:t>
      </w:r>
      <w:r>
        <w:rPr>
          <w:rFonts w:hint="eastAsia" w:ascii="宋体" w:hAnsi="宋体" w:eastAsia="宋体" w:cs="Times New Roman"/>
          <w:bCs/>
          <w:color w:val="auto"/>
          <w:kern w:val="0"/>
          <w:sz w:val="24"/>
          <w:szCs w:val="24"/>
          <w:highlight w:val="none"/>
          <w:lang w:val="zh-CN"/>
        </w:rPr>
        <w:t xml:space="preserve">   </w:t>
      </w:r>
    </w:p>
    <w:p>
      <w:pPr>
        <w:spacing w:line="360" w:lineRule="auto"/>
        <w:ind w:left="25" w:leftChars="12" w:firstLine="472" w:firstLineChars="197"/>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w:t>
      </w:r>
    </w:p>
    <w:p>
      <w:pPr>
        <w:spacing w:line="360" w:lineRule="auto"/>
        <w:ind w:left="25" w:leftChars="12" w:firstLine="472" w:firstLineChars="196"/>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五、与投诉事项相关的投诉请求：</w:t>
      </w:r>
    </w:p>
    <w:p>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请求：</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352" w:firstLineChars="147"/>
        <w:rPr>
          <w:rFonts w:ascii="宋体" w:hAnsi="宋体" w:eastAsia="宋体" w:cs="Times New Roman"/>
          <w:color w:val="auto"/>
          <w:kern w:val="0"/>
          <w:sz w:val="24"/>
          <w:szCs w:val="24"/>
          <w:highlight w:val="none"/>
          <w:lang w:val="zh-CN"/>
        </w:rPr>
      </w:pPr>
    </w:p>
    <w:p>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签字（签章）：                                       公章：</w:t>
      </w:r>
    </w:p>
    <w:p>
      <w:pPr>
        <w:spacing w:line="360" w:lineRule="auto"/>
        <w:ind w:left="25" w:leftChars="12" w:firstLine="352" w:firstLineChars="147"/>
        <w:rPr>
          <w:rFonts w:ascii="宋体" w:hAnsi="宋体" w:eastAsia="宋体" w:cs="Times New Roman"/>
          <w:color w:val="auto"/>
          <w:kern w:val="0"/>
          <w:sz w:val="24"/>
          <w:szCs w:val="24"/>
          <w:highlight w:val="none"/>
          <w:lang w:val="zh-CN"/>
        </w:rPr>
      </w:pPr>
    </w:p>
    <w:p>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日期：</w:t>
      </w:r>
    </w:p>
    <w:p>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 xml:space="preserve">                                                                                 </w:t>
      </w:r>
    </w:p>
    <w:p>
      <w:pPr>
        <w:snapToGrid w:val="0"/>
        <w:spacing w:line="360" w:lineRule="auto"/>
        <w:rPr>
          <w:rFonts w:ascii="宋体" w:hAnsi="宋体" w:eastAsia="宋体" w:cs="Times New Roman"/>
          <w:b/>
          <w:color w:val="auto"/>
          <w:kern w:val="0"/>
          <w:sz w:val="24"/>
          <w:szCs w:val="24"/>
          <w:highlight w:val="none"/>
          <w:lang w:val="zh-CN"/>
        </w:rPr>
      </w:pPr>
    </w:p>
    <w:p>
      <w:pPr>
        <w:snapToGrid w:val="0"/>
        <w:spacing w:line="360" w:lineRule="auto"/>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说明：</w:t>
      </w:r>
    </w:p>
    <w:p>
      <w:pPr>
        <w:spacing w:line="360" w:lineRule="auto"/>
        <w:ind w:left="25" w:leftChars="12" w:firstLine="354" w:firstLineChars="147"/>
        <w:rPr>
          <w:rFonts w:ascii="宋体" w:hAnsi="宋体" w:eastAsia="宋体" w:cs="Times New Roman"/>
          <w:b/>
          <w:bCs/>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1.投诉人提起投诉时，应当提交投诉书和必要的证明材料，并按照被投诉人和与投诉事项有关的供应商数量提供投诉书副本</w:t>
      </w:r>
      <w:r>
        <w:rPr>
          <w:rFonts w:hint="eastAsia" w:ascii="宋体" w:hAnsi="宋体" w:eastAsia="宋体" w:cs="Times New Roman"/>
          <w:b/>
          <w:bCs/>
          <w:color w:val="auto"/>
          <w:kern w:val="0"/>
          <w:sz w:val="24"/>
          <w:szCs w:val="24"/>
          <w:highlight w:val="none"/>
          <w:lang w:val="zh-CN"/>
        </w:rPr>
        <w:t>。</w:t>
      </w:r>
    </w:p>
    <w:p>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3.投诉书应简要列明质疑事项，质疑函、质疑答复等作为附件材料提供。</w:t>
      </w:r>
    </w:p>
    <w:p>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4.投诉书的投诉事项应具体、明确，并有必要的事实依据和法律依据。</w:t>
      </w:r>
    </w:p>
    <w:p>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5.投诉书的投诉请求应与投诉事项相关。</w:t>
      </w:r>
    </w:p>
    <w:p>
      <w:pPr>
        <w:spacing w:line="360" w:lineRule="auto"/>
        <w:ind w:left="25" w:leftChars="12" w:firstLine="354" w:firstLineChars="147"/>
        <w:rPr>
          <w:rFonts w:ascii="宋体" w:hAnsi="宋体" w:eastAsia="宋体" w:cs="Times New Roman"/>
          <w:b/>
          <w:color w:val="auto"/>
          <w:kern w:val="0"/>
          <w:sz w:val="20"/>
          <w:szCs w:val="21"/>
          <w:highlight w:val="none"/>
          <w:lang w:val="zh-CN"/>
        </w:rPr>
      </w:pPr>
      <w:r>
        <w:rPr>
          <w:rFonts w:hint="eastAsia" w:ascii="宋体" w:hAnsi="宋体" w:eastAsia="宋体" w:cs="Times New Roman"/>
          <w:b/>
          <w:color w:val="auto"/>
          <w:kern w:val="0"/>
          <w:sz w:val="24"/>
          <w:szCs w:val="24"/>
          <w:highlight w:val="none"/>
          <w:lang w:val="zh-CN"/>
        </w:rPr>
        <w:t>6.投诉人为法人或者其他组织的，投诉书应由法定代表人、主要负责人，或者其授权代表签字或者盖章，并加盖公章。</w:t>
      </w:r>
    </w:p>
    <w:p>
      <w:pPr>
        <w:rPr>
          <w:rFonts w:ascii="Times New Roman" w:hAnsi="Times New Roman" w:eastAsia="宋体" w:cs="Times New Roman"/>
          <w:color w:val="auto"/>
          <w:szCs w:val="24"/>
          <w:highlight w:val="none"/>
          <w:lang w:val="zh-CN"/>
        </w:rPr>
      </w:pPr>
    </w:p>
    <w:p>
      <w:pPr>
        <w:rPr>
          <w:rFonts w:ascii="Times New Roman" w:hAnsi="Times New Roman" w:eastAsia="宋体" w:cs="Times New Roman"/>
          <w:color w:val="auto"/>
          <w:szCs w:val="24"/>
          <w:highlight w:val="none"/>
        </w:rPr>
      </w:pPr>
    </w:p>
    <w:p>
      <w:pPr>
        <w:rPr>
          <w:color w:val="auto"/>
          <w:highlight w:val="none"/>
        </w:rPr>
      </w:pPr>
    </w:p>
    <w:sectPr>
      <w:footerReference r:id="rId11" w:type="first"/>
      <w:footerReference r:id="rId10"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C8EC92E-6C45-409F-B12A-097CF8080B37}"/>
  </w:font>
  <w:font w:name="黑体">
    <w:panose1 w:val="02010609060101010101"/>
    <w:charset w:val="86"/>
    <w:family w:val="auto"/>
    <w:pitch w:val="default"/>
    <w:sig w:usb0="800002BF" w:usb1="38CF7CFA" w:usb2="00000016" w:usb3="00000000" w:csb0="00040001" w:csb1="00000000"/>
    <w:embedRegular r:id="rId2" w:fontKey="{294620D3-1499-4FBC-9E27-2F133E929E1E}"/>
  </w:font>
  <w:font w:name="Courier New">
    <w:panose1 w:val="02070309020205020404"/>
    <w:charset w:val="01"/>
    <w:family w:val="modern"/>
    <w:pitch w:val="default"/>
    <w:sig w:usb0="E0002EFF" w:usb1="C0007843" w:usb2="00000009" w:usb3="00000000" w:csb0="400001FF" w:csb1="FFFF0000"/>
    <w:embedRegular r:id="rId3" w:fontKey="{DED32395-1CDE-4676-BC33-D3B54583444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98B3176-B00C-4344-864A-CFB707D89803}"/>
  </w:font>
  <w:font w:name="Cambria">
    <w:panose1 w:val="02040503050406030204"/>
    <w:charset w:val="00"/>
    <w:family w:val="roman"/>
    <w:pitch w:val="default"/>
    <w:sig w:usb0="E00006FF" w:usb1="420024FF" w:usb2="02000000" w:usb3="00000000" w:csb0="2000019F" w:csb1="00000000"/>
    <w:embedRegular r:id="rId5" w:fontKey="{B84AAA76-E5C4-4898-96B0-6ED8CE262D1E}"/>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4EA2BDA3-C1FF-407F-B293-9BD7D49CDD6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7" w:fontKey="{E5CA8DC5-C44D-4C07-B724-7EDBFC709087}"/>
  </w:font>
  <w:font w:name="Arial Unicode MS">
    <w:panose1 w:val="020B0604020202020204"/>
    <w:charset w:val="86"/>
    <w:family w:val="swiss"/>
    <w:pitch w:val="default"/>
    <w:sig w:usb0="FFFFFFFF" w:usb1="E9FFFFFF" w:usb2="0000003F" w:usb3="00000000" w:csb0="603F01FF" w:csb1="FFFF0000"/>
    <w:embedRegular r:id="rId8" w:fontKey="{F7F42583-3A9D-4A32-8698-CD5418C90116}"/>
  </w:font>
  <w:font w:name="Wingdings 2">
    <w:panose1 w:val="05020102010507070707"/>
    <w:charset w:val="02"/>
    <w:family w:val="roman"/>
    <w:pitch w:val="default"/>
    <w:sig w:usb0="00000000" w:usb1="00000000" w:usb2="00000000" w:usb3="00000000" w:csb0="80000000" w:csb1="00000000"/>
    <w:embedRegular r:id="rId9" w:fontKey="{624BF713-9652-47E7-9D60-A5D8FDA0B4AA}"/>
  </w:font>
  <w:font w:name="Helvetica">
    <w:altName w:val="Arial"/>
    <w:panose1 w:val="020B0604020202020204"/>
    <w:charset w:val="00"/>
    <w:family w:val="swiss"/>
    <w:pitch w:val="default"/>
    <w:sig w:usb0="00000000" w:usb1="00000000" w:usb2="00000009" w:usb3="00000000" w:csb0="000001FF" w:csb1="00000000"/>
    <w:embedRegular r:id="rId10" w:fontKey="{800F3589-BC37-4BA1-9BEA-A05F5948A92C}"/>
  </w:font>
  <w:font w:name="方正小标宋简体">
    <w:panose1 w:val="02000000000000000000"/>
    <w:charset w:val="86"/>
    <w:family w:val="script"/>
    <w:pitch w:val="default"/>
    <w:sig w:usb0="00000001" w:usb1="08000000" w:usb2="00000000" w:usb3="00000000" w:csb0="00040000" w:csb1="00000000"/>
    <w:embedRegular r:id="rId11" w:fontKey="{90EB3059-B149-44BE-89D8-023081095C00}"/>
  </w:font>
  <w:font w:name="楷体">
    <w:panose1 w:val="02010609060101010101"/>
    <w:charset w:val="86"/>
    <w:family w:val="auto"/>
    <w:pitch w:val="default"/>
    <w:sig w:usb0="800002BF" w:usb1="38CF7CFA" w:usb2="00000016" w:usb3="00000000" w:csb0="00040001" w:csb1="00000000"/>
    <w:embedRegular r:id="rId12" w:fontKey="{79C2C8D8-D4B8-4E49-BCC8-52D8FED1FA09}"/>
  </w:font>
  <w:font w:name="Verdana">
    <w:panose1 w:val="020B0604030504040204"/>
    <w:charset w:val="00"/>
    <w:family w:val="swiss"/>
    <w:pitch w:val="default"/>
    <w:sig w:usb0="A00006FF" w:usb1="4000205B" w:usb2="00000010" w:usb3="00000000" w:csb0="2000019F" w:csb1="00000000"/>
    <w:embedRegular r:id="rId13" w:fontKey="{9472D9E9-213E-4DE2-B4BA-A06A8376174F}"/>
  </w:font>
  <w:font w:name="隶书">
    <w:panose1 w:val="02010509060101010101"/>
    <w:charset w:val="86"/>
    <w:family w:val="modern"/>
    <w:pitch w:val="default"/>
    <w:sig w:usb0="00000001" w:usb1="080E0000" w:usb2="00000000" w:usb3="00000000" w:csb0="00040000" w:csb1="00000000"/>
    <w:embedRegular r:id="rId14" w:fontKey="{B906E713-BB9A-46A3-8158-E0A90F05E4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439"/>
        <w:tab w:val="clear" w:pos="4153"/>
      </w:tabs>
      <w:jc w:val="both"/>
    </w:pP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439"/>
        <w:tab w:val="clear" w:pos="4153"/>
      </w:tabs>
    </w:pP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CGLlBtBQIAAAYEAAAOAAAAAAAAAAEAIAAAAB4BAABkcnMvZTJv&#10;RG9jLnhtbFBLBQYAAAAABgAGAFkBAACVBQAAAAA=&#10;">
              <v:fill on="f" focussize="0,0"/>
              <v:stroke on="f"/>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439"/>
        <w:tab w:val="clear" w:pos="4153"/>
      </w:tabs>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439"/>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Dc+5psEAgAABAQAAA4AAAAAAAAAAQAgAAAAHgEAAGRycy9lMm9E&#10;b2MueG1sUEsFBgAAAAAGAAYAWQEAAJQFAAAAAA==&#10;">
              <v:fill on="f" focussize="0,0"/>
              <v:stroke on="f"/>
              <v:imagedata o:title=""/>
              <o:lock v:ext="edit" aspectratio="f"/>
              <v:textbox inset="0mm,0mm,0mm,0mm" style="mso-fit-shape-to-text:t;">
                <w:txbxContent>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420" w:hanging="420"/>
      <w:jc w:val="center"/>
    </w:pP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2"/>
                            <w:ind w:left="420" w:hanging="420"/>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RJcnJAkCAAAUBAAADgAAAAAAAAABACAAAAAeAQAAZHJz&#10;L2Uyb0RvYy54bWxQSwUGAAAAAAYABgBZAQAAmQUAAAAA&#10;">
              <v:fill on="f" focussize="0,0"/>
              <v:stroke on="f"/>
              <v:imagedata o:title=""/>
              <o:lock v:ext="edit" aspectratio="f"/>
              <v:textbox inset="0mm,0mm,0mm,0mm" style="mso-fit-shape-to-text:t;">
                <w:txbxContent>
                  <w:p>
                    <w:pPr>
                      <w:pStyle w:val="2"/>
                      <w:ind w:left="420" w:hanging="420"/>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p>
    <w:pPr>
      <w:pStyle w:val="2"/>
      <w:ind w:left="420" w:hanging="4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2"/>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POGSwkCAAAUBAAADgAAAAAAAAABACAAAAAeAQAAZHJz&#10;L2Uyb0RvYy54bWxQSwUGAAAAAAYABgBZAQAAmQUAAAAA&#10;">
              <v:fill on="f" focussize="0,0"/>
              <v:stroke on="f"/>
              <v:imagedata o:title=""/>
              <o:lock v:ext="edit" aspectratio="f"/>
              <v:textbox inset="0mm,0mm,0mm,0mm" style="mso-fit-shape-to-text:t;">
                <w:txbxContent>
                  <w:p>
                    <w:pPr>
                      <w:pStyle w:val="2"/>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p>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gBt3wkCAAAUBAAADgAAAAAAAAABACAAAAAeAQAAZHJz&#10;L2Uyb0RvYy54bWxQSwUGAAAAAAYABgBZAQAAmQUAAAAA&#10;">
              <v:fill on="f" focussize="0,0"/>
              <v:stroke on="f"/>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5E3153A6"/>
    <w:multiLevelType w:val="multilevel"/>
    <w:tmpl w:val="5E3153A6"/>
    <w:lvl w:ilvl="0" w:tentative="0">
      <w:start w:val="1"/>
      <w:numFmt w:val="decimal"/>
      <w:lvlText w:val="%1、"/>
      <w:lvlJc w:val="left"/>
      <w:pPr>
        <w:tabs>
          <w:tab w:val="left" w:pos="0"/>
        </w:tabs>
        <w:ind w:left="795" w:hanging="360"/>
      </w:pPr>
      <w:rPr>
        <w:rFonts w:hint="default" w:ascii="Times New Roman" w:hAnsi="Times New Roman" w:cs="Times New Roman"/>
      </w:rPr>
    </w:lvl>
    <w:lvl w:ilvl="1" w:tentative="0">
      <w:start w:val="1"/>
      <w:numFmt w:val="lowerLetter"/>
      <w:lvlText w:val="%2)"/>
      <w:lvlJc w:val="left"/>
      <w:pPr>
        <w:tabs>
          <w:tab w:val="left" w:pos="0"/>
        </w:tabs>
        <w:ind w:left="1275" w:hanging="420"/>
      </w:pPr>
      <w:rPr>
        <w:rFonts w:hint="default" w:ascii="Times New Roman" w:hAnsi="Times New Roman" w:cs="Times New Roman"/>
      </w:rPr>
    </w:lvl>
    <w:lvl w:ilvl="2" w:tentative="0">
      <w:start w:val="1"/>
      <w:numFmt w:val="lowerRoman"/>
      <w:lvlText w:val="%3."/>
      <w:lvlJc w:val="right"/>
      <w:pPr>
        <w:tabs>
          <w:tab w:val="left" w:pos="0"/>
        </w:tabs>
        <w:ind w:left="1695" w:hanging="420"/>
      </w:pPr>
      <w:rPr>
        <w:rFonts w:hint="default" w:ascii="Times New Roman" w:hAnsi="Times New Roman" w:cs="Times New Roman"/>
      </w:rPr>
    </w:lvl>
    <w:lvl w:ilvl="3" w:tentative="0">
      <w:start w:val="1"/>
      <w:numFmt w:val="decimal"/>
      <w:lvlText w:val="%4."/>
      <w:lvlJc w:val="left"/>
      <w:pPr>
        <w:tabs>
          <w:tab w:val="left" w:pos="0"/>
        </w:tabs>
        <w:ind w:left="2115" w:hanging="420"/>
      </w:pPr>
      <w:rPr>
        <w:rFonts w:hint="default" w:ascii="Times New Roman" w:hAnsi="Times New Roman" w:cs="Times New Roman"/>
      </w:rPr>
    </w:lvl>
    <w:lvl w:ilvl="4" w:tentative="0">
      <w:start w:val="1"/>
      <w:numFmt w:val="lowerLetter"/>
      <w:lvlText w:val="%5)"/>
      <w:lvlJc w:val="left"/>
      <w:pPr>
        <w:tabs>
          <w:tab w:val="left" w:pos="0"/>
        </w:tabs>
        <w:ind w:left="2535" w:hanging="420"/>
      </w:pPr>
      <w:rPr>
        <w:rFonts w:hint="default" w:ascii="Times New Roman" w:hAnsi="Times New Roman" w:cs="Times New Roman"/>
      </w:rPr>
    </w:lvl>
    <w:lvl w:ilvl="5" w:tentative="0">
      <w:start w:val="1"/>
      <w:numFmt w:val="lowerRoman"/>
      <w:lvlText w:val="%6."/>
      <w:lvlJc w:val="right"/>
      <w:pPr>
        <w:tabs>
          <w:tab w:val="left" w:pos="0"/>
        </w:tabs>
        <w:ind w:left="2955" w:hanging="420"/>
      </w:pPr>
      <w:rPr>
        <w:rFonts w:hint="default" w:ascii="Times New Roman" w:hAnsi="Times New Roman" w:cs="Times New Roman"/>
      </w:rPr>
    </w:lvl>
    <w:lvl w:ilvl="6" w:tentative="0">
      <w:start w:val="1"/>
      <w:numFmt w:val="decimal"/>
      <w:lvlText w:val="%7."/>
      <w:lvlJc w:val="left"/>
      <w:pPr>
        <w:tabs>
          <w:tab w:val="left" w:pos="0"/>
        </w:tabs>
        <w:ind w:left="3375" w:hanging="420"/>
      </w:pPr>
      <w:rPr>
        <w:rFonts w:hint="default" w:ascii="Times New Roman" w:hAnsi="Times New Roman" w:cs="Times New Roman"/>
      </w:rPr>
    </w:lvl>
    <w:lvl w:ilvl="7" w:tentative="0">
      <w:start w:val="1"/>
      <w:numFmt w:val="lowerLetter"/>
      <w:lvlText w:val="%8)"/>
      <w:lvlJc w:val="left"/>
      <w:pPr>
        <w:tabs>
          <w:tab w:val="left" w:pos="0"/>
        </w:tabs>
        <w:ind w:left="3795" w:hanging="420"/>
      </w:pPr>
      <w:rPr>
        <w:rFonts w:hint="default" w:ascii="Times New Roman" w:hAnsi="Times New Roman" w:cs="Times New Roman"/>
      </w:rPr>
    </w:lvl>
    <w:lvl w:ilvl="8" w:tentative="0">
      <w:start w:val="1"/>
      <w:numFmt w:val="lowerRoman"/>
      <w:lvlText w:val="%9."/>
      <w:lvlJc w:val="right"/>
      <w:pPr>
        <w:tabs>
          <w:tab w:val="left" w:pos="0"/>
        </w:tabs>
        <w:ind w:left="4215" w:hanging="420"/>
      </w:pPr>
      <w:rPr>
        <w:rFonts w:hint="default"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NhODFkODNlNjgyOGRiZjM0NGExMDlhMzkzODVlZDMifQ=="/>
  </w:docVars>
  <w:rsids>
    <w:rsidRoot w:val="00172A27"/>
    <w:rsid w:val="00013A77"/>
    <w:rsid w:val="000822E4"/>
    <w:rsid w:val="000903CF"/>
    <w:rsid w:val="002620F4"/>
    <w:rsid w:val="00293058"/>
    <w:rsid w:val="003C468C"/>
    <w:rsid w:val="00523EB0"/>
    <w:rsid w:val="005C088A"/>
    <w:rsid w:val="0075194C"/>
    <w:rsid w:val="007C21E9"/>
    <w:rsid w:val="008C20B8"/>
    <w:rsid w:val="009511CD"/>
    <w:rsid w:val="009B5C60"/>
    <w:rsid w:val="00A24FC2"/>
    <w:rsid w:val="00A612AB"/>
    <w:rsid w:val="00A67D58"/>
    <w:rsid w:val="00C91C98"/>
    <w:rsid w:val="00DA616D"/>
    <w:rsid w:val="00F306B7"/>
    <w:rsid w:val="00F97CDD"/>
    <w:rsid w:val="00FF1901"/>
    <w:rsid w:val="011D075F"/>
    <w:rsid w:val="01574459"/>
    <w:rsid w:val="019E3125"/>
    <w:rsid w:val="01B7243B"/>
    <w:rsid w:val="01C34939"/>
    <w:rsid w:val="01C56903"/>
    <w:rsid w:val="01CB02C6"/>
    <w:rsid w:val="01DE3F57"/>
    <w:rsid w:val="01E07299"/>
    <w:rsid w:val="01FF46E4"/>
    <w:rsid w:val="02217A18"/>
    <w:rsid w:val="024457B0"/>
    <w:rsid w:val="0250392C"/>
    <w:rsid w:val="02700A12"/>
    <w:rsid w:val="027F4BED"/>
    <w:rsid w:val="02C1531D"/>
    <w:rsid w:val="02D81677"/>
    <w:rsid w:val="02F33579"/>
    <w:rsid w:val="03036BF9"/>
    <w:rsid w:val="03214847"/>
    <w:rsid w:val="036B6560"/>
    <w:rsid w:val="0372245E"/>
    <w:rsid w:val="037F62D3"/>
    <w:rsid w:val="03930F0A"/>
    <w:rsid w:val="03A74512"/>
    <w:rsid w:val="03AF786B"/>
    <w:rsid w:val="03B60BF9"/>
    <w:rsid w:val="03E301C6"/>
    <w:rsid w:val="03FB16C0"/>
    <w:rsid w:val="04206237"/>
    <w:rsid w:val="044F16F0"/>
    <w:rsid w:val="045126D0"/>
    <w:rsid w:val="05304A58"/>
    <w:rsid w:val="054D6AF6"/>
    <w:rsid w:val="055A4D20"/>
    <w:rsid w:val="055C132D"/>
    <w:rsid w:val="05827A6F"/>
    <w:rsid w:val="05B10123"/>
    <w:rsid w:val="05BA0F6E"/>
    <w:rsid w:val="05C85B6F"/>
    <w:rsid w:val="05CF2A51"/>
    <w:rsid w:val="05D45367"/>
    <w:rsid w:val="05F17190"/>
    <w:rsid w:val="05F55A06"/>
    <w:rsid w:val="05FD56D0"/>
    <w:rsid w:val="0616772D"/>
    <w:rsid w:val="061C77CE"/>
    <w:rsid w:val="065B47F7"/>
    <w:rsid w:val="06695A20"/>
    <w:rsid w:val="06712BB6"/>
    <w:rsid w:val="068407F0"/>
    <w:rsid w:val="06852C34"/>
    <w:rsid w:val="06B45B9F"/>
    <w:rsid w:val="06C511BF"/>
    <w:rsid w:val="06E717BD"/>
    <w:rsid w:val="0701218C"/>
    <w:rsid w:val="07032602"/>
    <w:rsid w:val="07087A4C"/>
    <w:rsid w:val="07435ABD"/>
    <w:rsid w:val="07707311"/>
    <w:rsid w:val="078556FE"/>
    <w:rsid w:val="07CA30A1"/>
    <w:rsid w:val="07E278AB"/>
    <w:rsid w:val="08162E97"/>
    <w:rsid w:val="08165323"/>
    <w:rsid w:val="08841649"/>
    <w:rsid w:val="0892386F"/>
    <w:rsid w:val="0896540B"/>
    <w:rsid w:val="08A72DDC"/>
    <w:rsid w:val="08C01BD2"/>
    <w:rsid w:val="08DB7137"/>
    <w:rsid w:val="08E40B8D"/>
    <w:rsid w:val="08F5187C"/>
    <w:rsid w:val="090B3A39"/>
    <w:rsid w:val="094521FA"/>
    <w:rsid w:val="096F5B1B"/>
    <w:rsid w:val="09786076"/>
    <w:rsid w:val="098004AE"/>
    <w:rsid w:val="098E29CC"/>
    <w:rsid w:val="09A233BC"/>
    <w:rsid w:val="09AF056B"/>
    <w:rsid w:val="09BC6684"/>
    <w:rsid w:val="09CF3FB8"/>
    <w:rsid w:val="0A0124A3"/>
    <w:rsid w:val="0A0B1817"/>
    <w:rsid w:val="0A2D2358"/>
    <w:rsid w:val="0A303492"/>
    <w:rsid w:val="0A4D49DC"/>
    <w:rsid w:val="0A7D2FA4"/>
    <w:rsid w:val="0AD007F3"/>
    <w:rsid w:val="0AEA2F37"/>
    <w:rsid w:val="0B097343"/>
    <w:rsid w:val="0B254482"/>
    <w:rsid w:val="0B2D703C"/>
    <w:rsid w:val="0B3231DB"/>
    <w:rsid w:val="0B4A3976"/>
    <w:rsid w:val="0B5551FE"/>
    <w:rsid w:val="0B7E6E21"/>
    <w:rsid w:val="0B925AA8"/>
    <w:rsid w:val="0BC843BD"/>
    <w:rsid w:val="0BEA62BE"/>
    <w:rsid w:val="0C023496"/>
    <w:rsid w:val="0C423B4C"/>
    <w:rsid w:val="0C6754D4"/>
    <w:rsid w:val="0CA6632A"/>
    <w:rsid w:val="0CBC262F"/>
    <w:rsid w:val="0CC61B2F"/>
    <w:rsid w:val="0CDF4D1D"/>
    <w:rsid w:val="0CE57E5A"/>
    <w:rsid w:val="0D1A3FA7"/>
    <w:rsid w:val="0D22418C"/>
    <w:rsid w:val="0D442DD2"/>
    <w:rsid w:val="0D982CF5"/>
    <w:rsid w:val="0DBA1896"/>
    <w:rsid w:val="0E015DD7"/>
    <w:rsid w:val="0E411532"/>
    <w:rsid w:val="0E4214FE"/>
    <w:rsid w:val="0E4A4226"/>
    <w:rsid w:val="0E752256"/>
    <w:rsid w:val="0E8F15F0"/>
    <w:rsid w:val="0E9915AA"/>
    <w:rsid w:val="0E9D4D60"/>
    <w:rsid w:val="0EAE428B"/>
    <w:rsid w:val="0EBB5316"/>
    <w:rsid w:val="0EBF4080"/>
    <w:rsid w:val="0ECA4573"/>
    <w:rsid w:val="0ED4798D"/>
    <w:rsid w:val="0F2C2E76"/>
    <w:rsid w:val="0F4C0664"/>
    <w:rsid w:val="0F580DB7"/>
    <w:rsid w:val="0F6A1F1A"/>
    <w:rsid w:val="0F7C513B"/>
    <w:rsid w:val="0F7E6819"/>
    <w:rsid w:val="0FB55CA2"/>
    <w:rsid w:val="1018013C"/>
    <w:rsid w:val="101F264D"/>
    <w:rsid w:val="10240EAE"/>
    <w:rsid w:val="10267F1F"/>
    <w:rsid w:val="107E2A9F"/>
    <w:rsid w:val="10914580"/>
    <w:rsid w:val="109E1CBC"/>
    <w:rsid w:val="10CF7081"/>
    <w:rsid w:val="10D3604C"/>
    <w:rsid w:val="11074842"/>
    <w:rsid w:val="110765F0"/>
    <w:rsid w:val="110B3F03"/>
    <w:rsid w:val="113B0990"/>
    <w:rsid w:val="113E5504"/>
    <w:rsid w:val="113F075A"/>
    <w:rsid w:val="11534D38"/>
    <w:rsid w:val="11694069"/>
    <w:rsid w:val="116C2CA8"/>
    <w:rsid w:val="119D4B96"/>
    <w:rsid w:val="119E326A"/>
    <w:rsid w:val="11A56003"/>
    <w:rsid w:val="11AB207C"/>
    <w:rsid w:val="11AE4D38"/>
    <w:rsid w:val="11B56492"/>
    <w:rsid w:val="11EA5308"/>
    <w:rsid w:val="11FA1551"/>
    <w:rsid w:val="121543C9"/>
    <w:rsid w:val="12290F0E"/>
    <w:rsid w:val="12296A3A"/>
    <w:rsid w:val="12412737"/>
    <w:rsid w:val="12415A70"/>
    <w:rsid w:val="12620197"/>
    <w:rsid w:val="126F0578"/>
    <w:rsid w:val="12753A2E"/>
    <w:rsid w:val="12802254"/>
    <w:rsid w:val="128E5246"/>
    <w:rsid w:val="12B14A74"/>
    <w:rsid w:val="12B17E78"/>
    <w:rsid w:val="12EF2845"/>
    <w:rsid w:val="12FC28BE"/>
    <w:rsid w:val="13117BFA"/>
    <w:rsid w:val="13264E55"/>
    <w:rsid w:val="13675A6C"/>
    <w:rsid w:val="13813795"/>
    <w:rsid w:val="139E2CE4"/>
    <w:rsid w:val="147D4F72"/>
    <w:rsid w:val="14847F58"/>
    <w:rsid w:val="148A3D0B"/>
    <w:rsid w:val="1497248C"/>
    <w:rsid w:val="149C28BF"/>
    <w:rsid w:val="14A45FB0"/>
    <w:rsid w:val="14A6243D"/>
    <w:rsid w:val="14B06F9F"/>
    <w:rsid w:val="14B3682E"/>
    <w:rsid w:val="14CB1AD4"/>
    <w:rsid w:val="150A39A3"/>
    <w:rsid w:val="15412561"/>
    <w:rsid w:val="155234DD"/>
    <w:rsid w:val="156A7853"/>
    <w:rsid w:val="158E19C1"/>
    <w:rsid w:val="159C4EFE"/>
    <w:rsid w:val="15A113D0"/>
    <w:rsid w:val="15A24B3A"/>
    <w:rsid w:val="15A46B04"/>
    <w:rsid w:val="15A85EC8"/>
    <w:rsid w:val="15B912F9"/>
    <w:rsid w:val="15C60DCC"/>
    <w:rsid w:val="15D942D4"/>
    <w:rsid w:val="16082FC8"/>
    <w:rsid w:val="162F52A8"/>
    <w:rsid w:val="16493163"/>
    <w:rsid w:val="165401BC"/>
    <w:rsid w:val="167F30CD"/>
    <w:rsid w:val="16931028"/>
    <w:rsid w:val="16C14BCE"/>
    <w:rsid w:val="16D01B7A"/>
    <w:rsid w:val="16E46F14"/>
    <w:rsid w:val="16E87E3D"/>
    <w:rsid w:val="16F342B3"/>
    <w:rsid w:val="16F46E3D"/>
    <w:rsid w:val="17120F22"/>
    <w:rsid w:val="17191730"/>
    <w:rsid w:val="171E2B79"/>
    <w:rsid w:val="172B12F3"/>
    <w:rsid w:val="17332B1E"/>
    <w:rsid w:val="179C641F"/>
    <w:rsid w:val="17B86748"/>
    <w:rsid w:val="17BA0187"/>
    <w:rsid w:val="17C47764"/>
    <w:rsid w:val="17E413A1"/>
    <w:rsid w:val="17FD65D0"/>
    <w:rsid w:val="18023817"/>
    <w:rsid w:val="18495740"/>
    <w:rsid w:val="18882852"/>
    <w:rsid w:val="18975246"/>
    <w:rsid w:val="18A336A5"/>
    <w:rsid w:val="18AF432C"/>
    <w:rsid w:val="18BD6E20"/>
    <w:rsid w:val="18DD6D5C"/>
    <w:rsid w:val="18DF0FE7"/>
    <w:rsid w:val="18E5190D"/>
    <w:rsid w:val="19241D0A"/>
    <w:rsid w:val="19406B43"/>
    <w:rsid w:val="194128BC"/>
    <w:rsid w:val="19793E03"/>
    <w:rsid w:val="197A3F9A"/>
    <w:rsid w:val="198E56A0"/>
    <w:rsid w:val="1992381E"/>
    <w:rsid w:val="19AA594A"/>
    <w:rsid w:val="19C21A99"/>
    <w:rsid w:val="19C40971"/>
    <w:rsid w:val="19F17C09"/>
    <w:rsid w:val="1A0E41E2"/>
    <w:rsid w:val="1A1839A8"/>
    <w:rsid w:val="1A1B57CD"/>
    <w:rsid w:val="1A557565"/>
    <w:rsid w:val="1A7D169C"/>
    <w:rsid w:val="1AA94BBC"/>
    <w:rsid w:val="1AB33A4E"/>
    <w:rsid w:val="1AC71182"/>
    <w:rsid w:val="1AE64D67"/>
    <w:rsid w:val="1B382423"/>
    <w:rsid w:val="1B41346E"/>
    <w:rsid w:val="1B4E247D"/>
    <w:rsid w:val="1B5003D3"/>
    <w:rsid w:val="1B597FF7"/>
    <w:rsid w:val="1B6612C9"/>
    <w:rsid w:val="1BA05BD2"/>
    <w:rsid w:val="1BC53330"/>
    <w:rsid w:val="1BF64E38"/>
    <w:rsid w:val="1C0F2192"/>
    <w:rsid w:val="1C3D560A"/>
    <w:rsid w:val="1C4A28E3"/>
    <w:rsid w:val="1C533032"/>
    <w:rsid w:val="1C642B1A"/>
    <w:rsid w:val="1C830837"/>
    <w:rsid w:val="1C8B2EA7"/>
    <w:rsid w:val="1CA053AF"/>
    <w:rsid w:val="1CAB5E94"/>
    <w:rsid w:val="1CB75DAF"/>
    <w:rsid w:val="1D232A04"/>
    <w:rsid w:val="1D5860E0"/>
    <w:rsid w:val="1D7853F7"/>
    <w:rsid w:val="1D9D1A60"/>
    <w:rsid w:val="1DAF7A74"/>
    <w:rsid w:val="1DB409DB"/>
    <w:rsid w:val="1DC34DD9"/>
    <w:rsid w:val="1DD44CD6"/>
    <w:rsid w:val="1DE541AF"/>
    <w:rsid w:val="1E0C3498"/>
    <w:rsid w:val="1E162569"/>
    <w:rsid w:val="1E415936"/>
    <w:rsid w:val="1E831280"/>
    <w:rsid w:val="1E9544FA"/>
    <w:rsid w:val="1EB7105D"/>
    <w:rsid w:val="1EB81009"/>
    <w:rsid w:val="1F002B00"/>
    <w:rsid w:val="1F2A0E70"/>
    <w:rsid w:val="1F526FB3"/>
    <w:rsid w:val="1F7D662F"/>
    <w:rsid w:val="1F852C37"/>
    <w:rsid w:val="1F906AC3"/>
    <w:rsid w:val="1F9F7F10"/>
    <w:rsid w:val="1FC73078"/>
    <w:rsid w:val="1FC9696C"/>
    <w:rsid w:val="20000DDB"/>
    <w:rsid w:val="20682955"/>
    <w:rsid w:val="206F45D9"/>
    <w:rsid w:val="20720C33"/>
    <w:rsid w:val="20A22E61"/>
    <w:rsid w:val="20AA183D"/>
    <w:rsid w:val="20D11800"/>
    <w:rsid w:val="20D17529"/>
    <w:rsid w:val="20DF35F5"/>
    <w:rsid w:val="20E60491"/>
    <w:rsid w:val="20F71370"/>
    <w:rsid w:val="210431F4"/>
    <w:rsid w:val="214B077B"/>
    <w:rsid w:val="215C59D3"/>
    <w:rsid w:val="218E49DB"/>
    <w:rsid w:val="21DA13C0"/>
    <w:rsid w:val="21DB5AB4"/>
    <w:rsid w:val="21DE294A"/>
    <w:rsid w:val="220B2862"/>
    <w:rsid w:val="220B3A67"/>
    <w:rsid w:val="225B1540"/>
    <w:rsid w:val="22883309"/>
    <w:rsid w:val="229F6CCB"/>
    <w:rsid w:val="22A10409"/>
    <w:rsid w:val="22AD570A"/>
    <w:rsid w:val="231E655E"/>
    <w:rsid w:val="233F18A9"/>
    <w:rsid w:val="237130FB"/>
    <w:rsid w:val="237A74F0"/>
    <w:rsid w:val="237F7B4B"/>
    <w:rsid w:val="238306FE"/>
    <w:rsid w:val="23902B66"/>
    <w:rsid w:val="239B7D19"/>
    <w:rsid w:val="23E85BCA"/>
    <w:rsid w:val="23F173A1"/>
    <w:rsid w:val="23F83D03"/>
    <w:rsid w:val="23FE0D78"/>
    <w:rsid w:val="24367BD5"/>
    <w:rsid w:val="2446522A"/>
    <w:rsid w:val="245B23CF"/>
    <w:rsid w:val="24603FA7"/>
    <w:rsid w:val="24945F95"/>
    <w:rsid w:val="24963CCF"/>
    <w:rsid w:val="24986210"/>
    <w:rsid w:val="24B81ED1"/>
    <w:rsid w:val="24BC52F1"/>
    <w:rsid w:val="24E753E1"/>
    <w:rsid w:val="25290C20"/>
    <w:rsid w:val="25644CFB"/>
    <w:rsid w:val="25CA3B82"/>
    <w:rsid w:val="26037C97"/>
    <w:rsid w:val="26062336"/>
    <w:rsid w:val="26380B80"/>
    <w:rsid w:val="263F5510"/>
    <w:rsid w:val="2641436D"/>
    <w:rsid w:val="26650CFE"/>
    <w:rsid w:val="266F5212"/>
    <w:rsid w:val="26866639"/>
    <w:rsid w:val="26931184"/>
    <w:rsid w:val="26991B1E"/>
    <w:rsid w:val="26B17E46"/>
    <w:rsid w:val="26B40B71"/>
    <w:rsid w:val="26D82824"/>
    <w:rsid w:val="27042BD3"/>
    <w:rsid w:val="27261C55"/>
    <w:rsid w:val="275A1718"/>
    <w:rsid w:val="27996369"/>
    <w:rsid w:val="279F1523"/>
    <w:rsid w:val="27A060EE"/>
    <w:rsid w:val="27A83535"/>
    <w:rsid w:val="27B839C1"/>
    <w:rsid w:val="27D35203"/>
    <w:rsid w:val="27F62352"/>
    <w:rsid w:val="27F70088"/>
    <w:rsid w:val="27F80870"/>
    <w:rsid w:val="28033475"/>
    <w:rsid w:val="284E416D"/>
    <w:rsid w:val="285E1230"/>
    <w:rsid w:val="286B40D0"/>
    <w:rsid w:val="288D2BA7"/>
    <w:rsid w:val="28A36273"/>
    <w:rsid w:val="28A56D74"/>
    <w:rsid w:val="28A90122"/>
    <w:rsid w:val="28CA5E86"/>
    <w:rsid w:val="29095871"/>
    <w:rsid w:val="29095FDB"/>
    <w:rsid w:val="290C539D"/>
    <w:rsid w:val="29230B26"/>
    <w:rsid w:val="295335C6"/>
    <w:rsid w:val="297665B1"/>
    <w:rsid w:val="29824F56"/>
    <w:rsid w:val="298E4DCE"/>
    <w:rsid w:val="2999028F"/>
    <w:rsid w:val="29A309EE"/>
    <w:rsid w:val="29BF7193"/>
    <w:rsid w:val="29D61C04"/>
    <w:rsid w:val="29D84B76"/>
    <w:rsid w:val="29E1562F"/>
    <w:rsid w:val="2A046273"/>
    <w:rsid w:val="2A077C31"/>
    <w:rsid w:val="2A0C4820"/>
    <w:rsid w:val="2A1566FD"/>
    <w:rsid w:val="2A3A313B"/>
    <w:rsid w:val="2A4223DA"/>
    <w:rsid w:val="2A4C1CBA"/>
    <w:rsid w:val="2A6F0F88"/>
    <w:rsid w:val="2A88659C"/>
    <w:rsid w:val="2A9767DF"/>
    <w:rsid w:val="2AA07BC7"/>
    <w:rsid w:val="2ABE6CA5"/>
    <w:rsid w:val="2AD01E8E"/>
    <w:rsid w:val="2AEA63A2"/>
    <w:rsid w:val="2B08148B"/>
    <w:rsid w:val="2B55197B"/>
    <w:rsid w:val="2B564195"/>
    <w:rsid w:val="2B5A7FF7"/>
    <w:rsid w:val="2BC90C1A"/>
    <w:rsid w:val="2BE74F7F"/>
    <w:rsid w:val="2BFF15D3"/>
    <w:rsid w:val="2C0408BB"/>
    <w:rsid w:val="2C17787B"/>
    <w:rsid w:val="2C50160E"/>
    <w:rsid w:val="2C526025"/>
    <w:rsid w:val="2C5741F8"/>
    <w:rsid w:val="2C8D7E9A"/>
    <w:rsid w:val="2CA912D0"/>
    <w:rsid w:val="2CB814C7"/>
    <w:rsid w:val="2CFC7DA1"/>
    <w:rsid w:val="2D354F55"/>
    <w:rsid w:val="2D404F0C"/>
    <w:rsid w:val="2D586C07"/>
    <w:rsid w:val="2D957504"/>
    <w:rsid w:val="2DB17BB8"/>
    <w:rsid w:val="2DCA2A28"/>
    <w:rsid w:val="2DD6761F"/>
    <w:rsid w:val="2E1A19B8"/>
    <w:rsid w:val="2E267AAE"/>
    <w:rsid w:val="2E8C61DA"/>
    <w:rsid w:val="2EBC5ED0"/>
    <w:rsid w:val="2EDF2503"/>
    <w:rsid w:val="2EE43201"/>
    <w:rsid w:val="2F163D01"/>
    <w:rsid w:val="2F28021B"/>
    <w:rsid w:val="2F4460DD"/>
    <w:rsid w:val="2F546A5B"/>
    <w:rsid w:val="2F6061FA"/>
    <w:rsid w:val="2F754C15"/>
    <w:rsid w:val="2FAE1719"/>
    <w:rsid w:val="2FBE480E"/>
    <w:rsid w:val="300050D2"/>
    <w:rsid w:val="300A2253"/>
    <w:rsid w:val="300F463E"/>
    <w:rsid w:val="30275F10"/>
    <w:rsid w:val="3038636F"/>
    <w:rsid w:val="30446AC1"/>
    <w:rsid w:val="304C5976"/>
    <w:rsid w:val="304F5A47"/>
    <w:rsid w:val="30643430"/>
    <w:rsid w:val="307A7FB1"/>
    <w:rsid w:val="307C438B"/>
    <w:rsid w:val="30905E99"/>
    <w:rsid w:val="30915A7F"/>
    <w:rsid w:val="30F56C6E"/>
    <w:rsid w:val="31013CC3"/>
    <w:rsid w:val="31172076"/>
    <w:rsid w:val="31306402"/>
    <w:rsid w:val="31396EFD"/>
    <w:rsid w:val="31647AAC"/>
    <w:rsid w:val="31876C3F"/>
    <w:rsid w:val="31B95D43"/>
    <w:rsid w:val="31C75679"/>
    <w:rsid w:val="31E56082"/>
    <w:rsid w:val="32077110"/>
    <w:rsid w:val="32096215"/>
    <w:rsid w:val="3216323D"/>
    <w:rsid w:val="3220221C"/>
    <w:rsid w:val="323B2880"/>
    <w:rsid w:val="32AA4AAD"/>
    <w:rsid w:val="32C963C0"/>
    <w:rsid w:val="32DA429C"/>
    <w:rsid w:val="32F6543D"/>
    <w:rsid w:val="33072028"/>
    <w:rsid w:val="332018FF"/>
    <w:rsid w:val="333F343F"/>
    <w:rsid w:val="335C4EDA"/>
    <w:rsid w:val="33722773"/>
    <w:rsid w:val="33813B89"/>
    <w:rsid w:val="339006F2"/>
    <w:rsid w:val="33C5268F"/>
    <w:rsid w:val="33DB529E"/>
    <w:rsid w:val="33DE56E7"/>
    <w:rsid w:val="33FE6BEC"/>
    <w:rsid w:val="342437A7"/>
    <w:rsid w:val="34317897"/>
    <w:rsid w:val="34613F15"/>
    <w:rsid w:val="3463243E"/>
    <w:rsid w:val="34743D26"/>
    <w:rsid w:val="348273D4"/>
    <w:rsid w:val="349067FB"/>
    <w:rsid w:val="34AE07E1"/>
    <w:rsid w:val="34C71A6F"/>
    <w:rsid w:val="34E071A9"/>
    <w:rsid w:val="34F37EB7"/>
    <w:rsid w:val="35012BCA"/>
    <w:rsid w:val="351773B6"/>
    <w:rsid w:val="3538471B"/>
    <w:rsid w:val="353941E1"/>
    <w:rsid w:val="35447101"/>
    <w:rsid w:val="35480275"/>
    <w:rsid w:val="359C3F8A"/>
    <w:rsid w:val="36062A6B"/>
    <w:rsid w:val="364C4922"/>
    <w:rsid w:val="36710F4D"/>
    <w:rsid w:val="368C11C2"/>
    <w:rsid w:val="368D08AD"/>
    <w:rsid w:val="368F2BEB"/>
    <w:rsid w:val="36AB5593"/>
    <w:rsid w:val="36D13CC6"/>
    <w:rsid w:val="36E4661C"/>
    <w:rsid w:val="37006F53"/>
    <w:rsid w:val="3717778E"/>
    <w:rsid w:val="371F5976"/>
    <w:rsid w:val="3747202B"/>
    <w:rsid w:val="37AC1F65"/>
    <w:rsid w:val="37E54FA0"/>
    <w:rsid w:val="37E6666B"/>
    <w:rsid w:val="37EB3B9D"/>
    <w:rsid w:val="37F47234"/>
    <w:rsid w:val="37FD2E72"/>
    <w:rsid w:val="380A6CA1"/>
    <w:rsid w:val="38312FD9"/>
    <w:rsid w:val="384E79F8"/>
    <w:rsid w:val="385A55DE"/>
    <w:rsid w:val="385F2FBF"/>
    <w:rsid w:val="386629E9"/>
    <w:rsid w:val="38845E7E"/>
    <w:rsid w:val="38A3375B"/>
    <w:rsid w:val="38A70067"/>
    <w:rsid w:val="38AD71CE"/>
    <w:rsid w:val="38D60B41"/>
    <w:rsid w:val="390B4155"/>
    <w:rsid w:val="39195460"/>
    <w:rsid w:val="392A049E"/>
    <w:rsid w:val="3970374E"/>
    <w:rsid w:val="39886599"/>
    <w:rsid w:val="39894A1A"/>
    <w:rsid w:val="398A077C"/>
    <w:rsid w:val="398A732C"/>
    <w:rsid w:val="399D0FAB"/>
    <w:rsid w:val="39A122D0"/>
    <w:rsid w:val="39AB655A"/>
    <w:rsid w:val="39B95146"/>
    <w:rsid w:val="39EA2F5F"/>
    <w:rsid w:val="39F03604"/>
    <w:rsid w:val="39F634E7"/>
    <w:rsid w:val="3A1C285D"/>
    <w:rsid w:val="3A3D5DAF"/>
    <w:rsid w:val="3A3E0A2D"/>
    <w:rsid w:val="3A4B3142"/>
    <w:rsid w:val="3A5A096E"/>
    <w:rsid w:val="3A5B056F"/>
    <w:rsid w:val="3A6A4AE7"/>
    <w:rsid w:val="3A6F521E"/>
    <w:rsid w:val="3A756C76"/>
    <w:rsid w:val="3A8F1281"/>
    <w:rsid w:val="3A9C74FA"/>
    <w:rsid w:val="3AC52EF5"/>
    <w:rsid w:val="3ADD73C6"/>
    <w:rsid w:val="3B283915"/>
    <w:rsid w:val="3B5509C6"/>
    <w:rsid w:val="3B7010B2"/>
    <w:rsid w:val="3BA260E2"/>
    <w:rsid w:val="3C0C409C"/>
    <w:rsid w:val="3C187054"/>
    <w:rsid w:val="3C99459C"/>
    <w:rsid w:val="3CFF4663"/>
    <w:rsid w:val="3D1837B0"/>
    <w:rsid w:val="3D3B536E"/>
    <w:rsid w:val="3D47564F"/>
    <w:rsid w:val="3D9866A6"/>
    <w:rsid w:val="3DB135FF"/>
    <w:rsid w:val="3DB339C8"/>
    <w:rsid w:val="3DB51BFC"/>
    <w:rsid w:val="3E082B8C"/>
    <w:rsid w:val="3E351BF4"/>
    <w:rsid w:val="3E5C28BB"/>
    <w:rsid w:val="3E646774"/>
    <w:rsid w:val="3E736717"/>
    <w:rsid w:val="3E862809"/>
    <w:rsid w:val="3EC84D62"/>
    <w:rsid w:val="3EF732F4"/>
    <w:rsid w:val="3F060785"/>
    <w:rsid w:val="3F0D73C5"/>
    <w:rsid w:val="3F1B55DB"/>
    <w:rsid w:val="3F1C70CA"/>
    <w:rsid w:val="3F302E94"/>
    <w:rsid w:val="3F3514F6"/>
    <w:rsid w:val="3F3538AF"/>
    <w:rsid w:val="3F646EED"/>
    <w:rsid w:val="3F6D0A65"/>
    <w:rsid w:val="3F967FAC"/>
    <w:rsid w:val="3FAB5C1E"/>
    <w:rsid w:val="3FB670F9"/>
    <w:rsid w:val="3FB70DDA"/>
    <w:rsid w:val="3FC1296F"/>
    <w:rsid w:val="3FC83D82"/>
    <w:rsid w:val="3FCE45FA"/>
    <w:rsid w:val="3FE17866"/>
    <w:rsid w:val="3FFB07ED"/>
    <w:rsid w:val="40073668"/>
    <w:rsid w:val="402B37FA"/>
    <w:rsid w:val="403F2197"/>
    <w:rsid w:val="40493C80"/>
    <w:rsid w:val="406E7B8B"/>
    <w:rsid w:val="40853C52"/>
    <w:rsid w:val="409D1F9F"/>
    <w:rsid w:val="40E55E64"/>
    <w:rsid w:val="40F21E30"/>
    <w:rsid w:val="410459C4"/>
    <w:rsid w:val="412A4DF8"/>
    <w:rsid w:val="412C0C24"/>
    <w:rsid w:val="41480BFA"/>
    <w:rsid w:val="416750F2"/>
    <w:rsid w:val="41C64225"/>
    <w:rsid w:val="421D4EA6"/>
    <w:rsid w:val="42383FAC"/>
    <w:rsid w:val="42786A9F"/>
    <w:rsid w:val="427F1068"/>
    <w:rsid w:val="42876CE2"/>
    <w:rsid w:val="42993D4D"/>
    <w:rsid w:val="42F05AF9"/>
    <w:rsid w:val="430239C6"/>
    <w:rsid w:val="431E13F4"/>
    <w:rsid w:val="432A5A06"/>
    <w:rsid w:val="4335673E"/>
    <w:rsid w:val="436037BB"/>
    <w:rsid w:val="436446AC"/>
    <w:rsid w:val="436808C1"/>
    <w:rsid w:val="43777787"/>
    <w:rsid w:val="43853578"/>
    <w:rsid w:val="43923B90"/>
    <w:rsid w:val="43B35FE0"/>
    <w:rsid w:val="43D227C4"/>
    <w:rsid w:val="43E268C5"/>
    <w:rsid w:val="43FA0D9A"/>
    <w:rsid w:val="44310D3A"/>
    <w:rsid w:val="4436276D"/>
    <w:rsid w:val="443A225E"/>
    <w:rsid w:val="44473DD4"/>
    <w:rsid w:val="446C3689"/>
    <w:rsid w:val="4497149C"/>
    <w:rsid w:val="44CE4B84"/>
    <w:rsid w:val="44F00076"/>
    <w:rsid w:val="44F22B38"/>
    <w:rsid w:val="44FC5BF6"/>
    <w:rsid w:val="45386DA3"/>
    <w:rsid w:val="457635EC"/>
    <w:rsid w:val="45863281"/>
    <w:rsid w:val="45A271CF"/>
    <w:rsid w:val="45C04752"/>
    <w:rsid w:val="45F54D27"/>
    <w:rsid w:val="45F778F0"/>
    <w:rsid w:val="461F5BAF"/>
    <w:rsid w:val="4624449B"/>
    <w:rsid w:val="462B75C2"/>
    <w:rsid w:val="468948B3"/>
    <w:rsid w:val="468A75E6"/>
    <w:rsid w:val="46B57629"/>
    <w:rsid w:val="46C14906"/>
    <w:rsid w:val="46CB0A6B"/>
    <w:rsid w:val="46CE73EA"/>
    <w:rsid w:val="471823D7"/>
    <w:rsid w:val="471A10D7"/>
    <w:rsid w:val="472C05EE"/>
    <w:rsid w:val="472C440A"/>
    <w:rsid w:val="4762121A"/>
    <w:rsid w:val="47937301"/>
    <w:rsid w:val="479E2B03"/>
    <w:rsid w:val="47C8182E"/>
    <w:rsid w:val="47DC362C"/>
    <w:rsid w:val="47EC192A"/>
    <w:rsid w:val="47F409BD"/>
    <w:rsid w:val="47FB3498"/>
    <w:rsid w:val="47FC6B7A"/>
    <w:rsid w:val="48182364"/>
    <w:rsid w:val="48483C88"/>
    <w:rsid w:val="485052D8"/>
    <w:rsid w:val="48C72033"/>
    <w:rsid w:val="48CF747F"/>
    <w:rsid w:val="48FA2A51"/>
    <w:rsid w:val="491403CF"/>
    <w:rsid w:val="49156D95"/>
    <w:rsid w:val="491D321B"/>
    <w:rsid w:val="493424A6"/>
    <w:rsid w:val="49441489"/>
    <w:rsid w:val="4955729B"/>
    <w:rsid w:val="496074EF"/>
    <w:rsid w:val="498F1A34"/>
    <w:rsid w:val="49965291"/>
    <w:rsid w:val="49CC5CF4"/>
    <w:rsid w:val="49D8660C"/>
    <w:rsid w:val="49DF4588"/>
    <w:rsid w:val="49E014E1"/>
    <w:rsid w:val="4A1258A3"/>
    <w:rsid w:val="4A1743C6"/>
    <w:rsid w:val="4A3009D4"/>
    <w:rsid w:val="4A4E23DD"/>
    <w:rsid w:val="4A581C9D"/>
    <w:rsid w:val="4A730C3E"/>
    <w:rsid w:val="4AA046CC"/>
    <w:rsid w:val="4ADD32B8"/>
    <w:rsid w:val="4AE61714"/>
    <w:rsid w:val="4B10107A"/>
    <w:rsid w:val="4B1B05A1"/>
    <w:rsid w:val="4B241572"/>
    <w:rsid w:val="4B29541F"/>
    <w:rsid w:val="4B46773A"/>
    <w:rsid w:val="4B5B5F59"/>
    <w:rsid w:val="4B651054"/>
    <w:rsid w:val="4B745B24"/>
    <w:rsid w:val="4B790C73"/>
    <w:rsid w:val="4BB626BF"/>
    <w:rsid w:val="4BF52E1B"/>
    <w:rsid w:val="4C336E5A"/>
    <w:rsid w:val="4C353356"/>
    <w:rsid w:val="4C3F6109"/>
    <w:rsid w:val="4C4A325A"/>
    <w:rsid w:val="4C5127F9"/>
    <w:rsid w:val="4C8A0551"/>
    <w:rsid w:val="4C9E5CED"/>
    <w:rsid w:val="4CB56D37"/>
    <w:rsid w:val="4CE4720A"/>
    <w:rsid w:val="4CF4135C"/>
    <w:rsid w:val="4D075106"/>
    <w:rsid w:val="4D1C2E8A"/>
    <w:rsid w:val="4D4A034A"/>
    <w:rsid w:val="4D5D5E3B"/>
    <w:rsid w:val="4D767F1E"/>
    <w:rsid w:val="4D8F32A0"/>
    <w:rsid w:val="4DC1754C"/>
    <w:rsid w:val="4DD059E1"/>
    <w:rsid w:val="4DD16A27"/>
    <w:rsid w:val="4E0D7324"/>
    <w:rsid w:val="4E1A512D"/>
    <w:rsid w:val="4E1B3100"/>
    <w:rsid w:val="4E2509D2"/>
    <w:rsid w:val="4E374B25"/>
    <w:rsid w:val="4E4C49A1"/>
    <w:rsid w:val="4E614C78"/>
    <w:rsid w:val="4E6605CA"/>
    <w:rsid w:val="4E7A08D1"/>
    <w:rsid w:val="4E8C5DAC"/>
    <w:rsid w:val="4EA64975"/>
    <w:rsid w:val="4EAB0114"/>
    <w:rsid w:val="4EB2609A"/>
    <w:rsid w:val="4EC21D09"/>
    <w:rsid w:val="4EE96625"/>
    <w:rsid w:val="4F044D97"/>
    <w:rsid w:val="4F1B2C8C"/>
    <w:rsid w:val="4F4F29EA"/>
    <w:rsid w:val="4F522C31"/>
    <w:rsid w:val="4F654F68"/>
    <w:rsid w:val="4F8F6D42"/>
    <w:rsid w:val="4FA908D9"/>
    <w:rsid w:val="500408DE"/>
    <w:rsid w:val="500A7FBC"/>
    <w:rsid w:val="50163486"/>
    <w:rsid w:val="503C2CE4"/>
    <w:rsid w:val="5080374E"/>
    <w:rsid w:val="5095081C"/>
    <w:rsid w:val="50A14F50"/>
    <w:rsid w:val="50B27017"/>
    <w:rsid w:val="50B9391E"/>
    <w:rsid w:val="50BB2978"/>
    <w:rsid w:val="50C6631B"/>
    <w:rsid w:val="50D61560"/>
    <w:rsid w:val="50E13A61"/>
    <w:rsid w:val="51037E7B"/>
    <w:rsid w:val="51083745"/>
    <w:rsid w:val="516850BA"/>
    <w:rsid w:val="516F3258"/>
    <w:rsid w:val="51776B62"/>
    <w:rsid w:val="518C2C3D"/>
    <w:rsid w:val="51A01538"/>
    <w:rsid w:val="51DB39B9"/>
    <w:rsid w:val="522A6F3E"/>
    <w:rsid w:val="5247070E"/>
    <w:rsid w:val="5257234F"/>
    <w:rsid w:val="52720BC3"/>
    <w:rsid w:val="527A2805"/>
    <w:rsid w:val="52922181"/>
    <w:rsid w:val="52965D29"/>
    <w:rsid w:val="52A22E8C"/>
    <w:rsid w:val="52AB41DD"/>
    <w:rsid w:val="52B14033"/>
    <w:rsid w:val="52CF6267"/>
    <w:rsid w:val="52E0467E"/>
    <w:rsid w:val="5302488E"/>
    <w:rsid w:val="53070C6E"/>
    <w:rsid w:val="532924FD"/>
    <w:rsid w:val="53746B8D"/>
    <w:rsid w:val="538C78B4"/>
    <w:rsid w:val="53980D4F"/>
    <w:rsid w:val="53BE59EE"/>
    <w:rsid w:val="53C4320D"/>
    <w:rsid w:val="53CD6ECD"/>
    <w:rsid w:val="541F6F1A"/>
    <w:rsid w:val="547436E0"/>
    <w:rsid w:val="54AD202B"/>
    <w:rsid w:val="54B20A58"/>
    <w:rsid w:val="54B836B4"/>
    <w:rsid w:val="54E258CE"/>
    <w:rsid w:val="55382BA4"/>
    <w:rsid w:val="55514833"/>
    <w:rsid w:val="556F2587"/>
    <w:rsid w:val="55706236"/>
    <w:rsid w:val="55A1249C"/>
    <w:rsid w:val="55A62B8A"/>
    <w:rsid w:val="55BA1450"/>
    <w:rsid w:val="55DF61D7"/>
    <w:rsid w:val="566E6EB5"/>
    <w:rsid w:val="567B1298"/>
    <w:rsid w:val="568D7B85"/>
    <w:rsid w:val="56BF0CF1"/>
    <w:rsid w:val="56D45B12"/>
    <w:rsid w:val="56E66275"/>
    <w:rsid w:val="56F125AB"/>
    <w:rsid w:val="56F67C83"/>
    <w:rsid w:val="57061B4B"/>
    <w:rsid w:val="5736758D"/>
    <w:rsid w:val="57515444"/>
    <w:rsid w:val="57560E52"/>
    <w:rsid w:val="57607DD5"/>
    <w:rsid w:val="5766386C"/>
    <w:rsid w:val="57670253"/>
    <w:rsid w:val="57757558"/>
    <w:rsid w:val="57775CAB"/>
    <w:rsid w:val="577949F3"/>
    <w:rsid w:val="579040FA"/>
    <w:rsid w:val="57AB500F"/>
    <w:rsid w:val="57CD7318"/>
    <w:rsid w:val="57E30AE1"/>
    <w:rsid w:val="580C6D7B"/>
    <w:rsid w:val="58127246"/>
    <w:rsid w:val="581773FE"/>
    <w:rsid w:val="58311AAA"/>
    <w:rsid w:val="58363036"/>
    <w:rsid w:val="58733B38"/>
    <w:rsid w:val="587B10A4"/>
    <w:rsid w:val="58984351"/>
    <w:rsid w:val="58AF1DF6"/>
    <w:rsid w:val="58F921A1"/>
    <w:rsid w:val="58FA76E7"/>
    <w:rsid w:val="592438F8"/>
    <w:rsid w:val="59465FF6"/>
    <w:rsid w:val="596078FE"/>
    <w:rsid w:val="59674D3E"/>
    <w:rsid w:val="597F637D"/>
    <w:rsid w:val="59882C3D"/>
    <w:rsid w:val="59AC7302"/>
    <w:rsid w:val="59B04FE8"/>
    <w:rsid w:val="59BF56A8"/>
    <w:rsid w:val="59D16D68"/>
    <w:rsid w:val="59D4035A"/>
    <w:rsid w:val="59D538CC"/>
    <w:rsid w:val="59E756D3"/>
    <w:rsid w:val="5A107157"/>
    <w:rsid w:val="5A1233D7"/>
    <w:rsid w:val="5A2426EB"/>
    <w:rsid w:val="5A501676"/>
    <w:rsid w:val="5AAC1340"/>
    <w:rsid w:val="5AC039E7"/>
    <w:rsid w:val="5B0A12CC"/>
    <w:rsid w:val="5B2B24A8"/>
    <w:rsid w:val="5B2C167F"/>
    <w:rsid w:val="5B4C010D"/>
    <w:rsid w:val="5B673AB6"/>
    <w:rsid w:val="5B835D00"/>
    <w:rsid w:val="5BB406F0"/>
    <w:rsid w:val="5BCF5517"/>
    <w:rsid w:val="5BD61BB0"/>
    <w:rsid w:val="5C2A2760"/>
    <w:rsid w:val="5C33344D"/>
    <w:rsid w:val="5C353B57"/>
    <w:rsid w:val="5C38462F"/>
    <w:rsid w:val="5C441A74"/>
    <w:rsid w:val="5C47491A"/>
    <w:rsid w:val="5CA5043C"/>
    <w:rsid w:val="5CB94636"/>
    <w:rsid w:val="5CC4676D"/>
    <w:rsid w:val="5D0329F7"/>
    <w:rsid w:val="5D293D84"/>
    <w:rsid w:val="5D3662B3"/>
    <w:rsid w:val="5D6A7321"/>
    <w:rsid w:val="5D82193F"/>
    <w:rsid w:val="5DA64068"/>
    <w:rsid w:val="5DBC2E9F"/>
    <w:rsid w:val="5DF262C7"/>
    <w:rsid w:val="5DFB56B0"/>
    <w:rsid w:val="5E006713"/>
    <w:rsid w:val="5E326B7D"/>
    <w:rsid w:val="5E4173F2"/>
    <w:rsid w:val="5E493FE8"/>
    <w:rsid w:val="5E6C6963"/>
    <w:rsid w:val="5EA00D2C"/>
    <w:rsid w:val="5ECB4F8C"/>
    <w:rsid w:val="5ED30E8D"/>
    <w:rsid w:val="5ED5673A"/>
    <w:rsid w:val="5ED57CA3"/>
    <w:rsid w:val="5EEE5B65"/>
    <w:rsid w:val="5F082B32"/>
    <w:rsid w:val="5F5B21D3"/>
    <w:rsid w:val="5F76621D"/>
    <w:rsid w:val="5FC03B07"/>
    <w:rsid w:val="5FD21DA9"/>
    <w:rsid w:val="600F33B6"/>
    <w:rsid w:val="601E3E49"/>
    <w:rsid w:val="602D199B"/>
    <w:rsid w:val="60711F15"/>
    <w:rsid w:val="607169C6"/>
    <w:rsid w:val="607B1C93"/>
    <w:rsid w:val="60866FE9"/>
    <w:rsid w:val="60A42C31"/>
    <w:rsid w:val="60C166EF"/>
    <w:rsid w:val="60EE5A75"/>
    <w:rsid w:val="614E60D8"/>
    <w:rsid w:val="616E7E24"/>
    <w:rsid w:val="61734C5D"/>
    <w:rsid w:val="619C7C5C"/>
    <w:rsid w:val="61E01682"/>
    <w:rsid w:val="61FD59BC"/>
    <w:rsid w:val="621C6E31"/>
    <w:rsid w:val="621D659D"/>
    <w:rsid w:val="623C31ED"/>
    <w:rsid w:val="62585A7C"/>
    <w:rsid w:val="626C1757"/>
    <w:rsid w:val="62AF39BF"/>
    <w:rsid w:val="62B65BC3"/>
    <w:rsid w:val="62EE71CA"/>
    <w:rsid w:val="63403FBC"/>
    <w:rsid w:val="6350137D"/>
    <w:rsid w:val="63624336"/>
    <w:rsid w:val="63BC0D27"/>
    <w:rsid w:val="63C37C63"/>
    <w:rsid w:val="63C811DC"/>
    <w:rsid w:val="63D43630"/>
    <w:rsid w:val="63E241AA"/>
    <w:rsid w:val="63F0428F"/>
    <w:rsid w:val="64083C3F"/>
    <w:rsid w:val="64117515"/>
    <w:rsid w:val="64183574"/>
    <w:rsid w:val="64300CED"/>
    <w:rsid w:val="64857D05"/>
    <w:rsid w:val="649474DD"/>
    <w:rsid w:val="64B77BC7"/>
    <w:rsid w:val="64D375A3"/>
    <w:rsid w:val="64FC3B9A"/>
    <w:rsid w:val="653D1B90"/>
    <w:rsid w:val="655D015B"/>
    <w:rsid w:val="65901B77"/>
    <w:rsid w:val="659B7170"/>
    <w:rsid w:val="65DA6397"/>
    <w:rsid w:val="65E5782A"/>
    <w:rsid w:val="65FD47A4"/>
    <w:rsid w:val="66052F39"/>
    <w:rsid w:val="660A0B49"/>
    <w:rsid w:val="66635961"/>
    <w:rsid w:val="666B47EA"/>
    <w:rsid w:val="6677718C"/>
    <w:rsid w:val="668A4D5C"/>
    <w:rsid w:val="66952ECC"/>
    <w:rsid w:val="669E0F91"/>
    <w:rsid w:val="67045800"/>
    <w:rsid w:val="670D5158"/>
    <w:rsid w:val="671958AB"/>
    <w:rsid w:val="671D52AD"/>
    <w:rsid w:val="67303947"/>
    <w:rsid w:val="67424E02"/>
    <w:rsid w:val="674C6803"/>
    <w:rsid w:val="675237C7"/>
    <w:rsid w:val="67855FB8"/>
    <w:rsid w:val="67C1666E"/>
    <w:rsid w:val="67E81E4D"/>
    <w:rsid w:val="682F280A"/>
    <w:rsid w:val="68552E02"/>
    <w:rsid w:val="687F6274"/>
    <w:rsid w:val="68D96000"/>
    <w:rsid w:val="68EC2B74"/>
    <w:rsid w:val="69054339"/>
    <w:rsid w:val="690D6941"/>
    <w:rsid w:val="691D6BEF"/>
    <w:rsid w:val="692270F9"/>
    <w:rsid w:val="69333C1F"/>
    <w:rsid w:val="693C3AD3"/>
    <w:rsid w:val="69E85B59"/>
    <w:rsid w:val="69F148BD"/>
    <w:rsid w:val="6A083C8B"/>
    <w:rsid w:val="6A310ACA"/>
    <w:rsid w:val="6A475C3C"/>
    <w:rsid w:val="6A762D68"/>
    <w:rsid w:val="6A7F2149"/>
    <w:rsid w:val="6ACB2D3F"/>
    <w:rsid w:val="6AF26B3F"/>
    <w:rsid w:val="6B072B94"/>
    <w:rsid w:val="6B7226E0"/>
    <w:rsid w:val="6B7227BC"/>
    <w:rsid w:val="6B7554DF"/>
    <w:rsid w:val="6BA81731"/>
    <w:rsid w:val="6BBC39AC"/>
    <w:rsid w:val="6BC05C7A"/>
    <w:rsid w:val="6BDA195D"/>
    <w:rsid w:val="6BDA2004"/>
    <w:rsid w:val="6BF37332"/>
    <w:rsid w:val="6BF863D7"/>
    <w:rsid w:val="6C800049"/>
    <w:rsid w:val="6CD21729"/>
    <w:rsid w:val="6CD8269F"/>
    <w:rsid w:val="6CDB6E8A"/>
    <w:rsid w:val="6D311F7D"/>
    <w:rsid w:val="6D39117E"/>
    <w:rsid w:val="6D556E3C"/>
    <w:rsid w:val="6D59581D"/>
    <w:rsid w:val="6D5D2B62"/>
    <w:rsid w:val="6D6745F5"/>
    <w:rsid w:val="6D8117F8"/>
    <w:rsid w:val="6DB56881"/>
    <w:rsid w:val="6DBE5BA3"/>
    <w:rsid w:val="6DDD7632"/>
    <w:rsid w:val="6E0923D8"/>
    <w:rsid w:val="6E482931"/>
    <w:rsid w:val="6E6648EE"/>
    <w:rsid w:val="6E7243FD"/>
    <w:rsid w:val="6E8610ED"/>
    <w:rsid w:val="6EF528DD"/>
    <w:rsid w:val="6F2B261F"/>
    <w:rsid w:val="6F41302D"/>
    <w:rsid w:val="6F42354B"/>
    <w:rsid w:val="6F610C1F"/>
    <w:rsid w:val="6F767D3E"/>
    <w:rsid w:val="6F9D5714"/>
    <w:rsid w:val="6FCE7735"/>
    <w:rsid w:val="6FD263D0"/>
    <w:rsid w:val="6FE16D2C"/>
    <w:rsid w:val="6FE264A0"/>
    <w:rsid w:val="7036571F"/>
    <w:rsid w:val="705A50F3"/>
    <w:rsid w:val="70765B1C"/>
    <w:rsid w:val="707B198B"/>
    <w:rsid w:val="708B7819"/>
    <w:rsid w:val="70BB6549"/>
    <w:rsid w:val="70C8462E"/>
    <w:rsid w:val="70D9311B"/>
    <w:rsid w:val="71140069"/>
    <w:rsid w:val="71290211"/>
    <w:rsid w:val="71593CED"/>
    <w:rsid w:val="71762C26"/>
    <w:rsid w:val="719426FE"/>
    <w:rsid w:val="71A0693C"/>
    <w:rsid w:val="71BA427F"/>
    <w:rsid w:val="71CC23C9"/>
    <w:rsid w:val="71CD6690"/>
    <w:rsid w:val="71DD152F"/>
    <w:rsid w:val="71E068B0"/>
    <w:rsid w:val="71E36583"/>
    <w:rsid w:val="71EC182A"/>
    <w:rsid w:val="72080DF0"/>
    <w:rsid w:val="722331A5"/>
    <w:rsid w:val="72295052"/>
    <w:rsid w:val="724B7A6D"/>
    <w:rsid w:val="725C1317"/>
    <w:rsid w:val="72C429AD"/>
    <w:rsid w:val="72D73503"/>
    <w:rsid w:val="73007C3A"/>
    <w:rsid w:val="730D1CCA"/>
    <w:rsid w:val="73281380"/>
    <w:rsid w:val="73293018"/>
    <w:rsid w:val="735143BA"/>
    <w:rsid w:val="736425A4"/>
    <w:rsid w:val="737F23C2"/>
    <w:rsid w:val="73814F04"/>
    <w:rsid w:val="73956BEF"/>
    <w:rsid w:val="73CD4ED4"/>
    <w:rsid w:val="73EF6ABA"/>
    <w:rsid w:val="73F11447"/>
    <w:rsid w:val="73F54682"/>
    <w:rsid w:val="741572BE"/>
    <w:rsid w:val="741E4D72"/>
    <w:rsid w:val="743254BC"/>
    <w:rsid w:val="744637BC"/>
    <w:rsid w:val="747E5633"/>
    <w:rsid w:val="748A2B38"/>
    <w:rsid w:val="74C97E89"/>
    <w:rsid w:val="74F5031E"/>
    <w:rsid w:val="753D2E6F"/>
    <w:rsid w:val="754444B6"/>
    <w:rsid w:val="758449E9"/>
    <w:rsid w:val="758E4672"/>
    <w:rsid w:val="75B66ADA"/>
    <w:rsid w:val="75D73501"/>
    <w:rsid w:val="762C3780"/>
    <w:rsid w:val="764D6A4B"/>
    <w:rsid w:val="767E397C"/>
    <w:rsid w:val="768B2013"/>
    <w:rsid w:val="769F05AF"/>
    <w:rsid w:val="76EA5389"/>
    <w:rsid w:val="772103AE"/>
    <w:rsid w:val="773D41E7"/>
    <w:rsid w:val="7765236E"/>
    <w:rsid w:val="77775D89"/>
    <w:rsid w:val="77865594"/>
    <w:rsid w:val="779C20FF"/>
    <w:rsid w:val="779C7574"/>
    <w:rsid w:val="77A7245B"/>
    <w:rsid w:val="780C2EA6"/>
    <w:rsid w:val="78166FF5"/>
    <w:rsid w:val="781C68DB"/>
    <w:rsid w:val="78674783"/>
    <w:rsid w:val="786848AD"/>
    <w:rsid w:val="78685C72"/>
    <w:rsid w:val="78A52233"/>
    <w:rsid w:val="78B673FD"/>
    <w:rsid w:val="78FE3DD4"/>
    <w:rsid w:val="791315C3"/>
    <w:rsid w:val="79447889"/>
    <w:rsid w:val="7949458C"/>
    <w:rsid w:val="79606AA8"/>
    <w:rsid w:val="7966655A"/>
    <w:rsid w:val="799C62EB"/>
    <w:rsid w:val="79AB4A88"/>
    <w:rsid w:val="79AF1C2F"/>
    <w:rsid w:val="79C74800"/>
    <w:rsid w:val="79DA7170"/>
    <w:rsid w:val="7A1C7E11"/>
    <w:rsid w:val="7A2A3030"/>
    <w:rsid w:val="7A396538"/>
    <w:rsid w:val="7A6016BC"/>
    <w:rsid w:val="7A952101"/>
    <w:rsid w:val="7AA97D3A"/>
    <w:rsid w:val="7ABB2A50"/>
    <w:rsid w:val="7AD0558D"/>
    <w:rsid w:val="7B1623D5"/>
    <w:rsid w:val="7B307F57"/>
    <w:rsid w:val="7B3F19BB"/>
    <w:rsid w:val="7B46197D"/>
    <w:rsid w:val="7B690757"/>
    <w:rsid w:val="7BB75966"/>
    <w:rsid w:val="7C194312"/>
    <w:rsid w:val="7C1973BE"/>
    <w:rsid w:val="7C1E5415"/>
    <w:rsid w:val="7C247CA2"/>
    <w:rsid w:val="7C2B36FC"/>
    <w:rsid w:val="7C4618BD"/>
    <w:rsid w:val="7C5400E1"/>
    <w:rsid w:val="7C74092F"/>
    <w:rsid w:val="7C824FF2"/>
    <w:rsid w:val="7CF3413E"/>
    <w:rsid w:val="7D336427"/>
    <w:rsid w:val="7D4E40A8"/>
    <w:rsid w:val="7D61609A"/>
    <w:rsid w:val="7D7D2BE0"/>
    <w:rsid w:val="7DA94EE7"/>
    <w:rsid w:val="7DC66335"/>
    <w:rsid w:val="7E213C36"/>
    <w:rsid w:val="7E3E1F98"/>
    <w:rsid w:val="7E3F68A0"/>
    <w:rsid w:val="7E4075FF"/>
    <w:rsid w:val="7E576F8D"/>
    <w:rsid w:val="7E600DC3"/>
    <w:rsid w:val="7E694279"/>
    <w:rsid w:val="7E765D97"/>
    <w:rsid w:val="7E77229F"/>
    <w:rsid w:val="7E7E700C"/>
    <w:rsid w:val="7EA50B70"/>
    <w:rsid w:val="7EB97C47"/>
    <w:rsid w:val="7EC47289"/>
    <w:rsid w:val="7EEB5927"/>
    <w:rsid w:val="7EEF0E7A"/>
    <w:rsid w:val="7EFD0989"/>
    <w:rsid w:val="7F0251EE"/>
    <w:rsid w:val="7F1430D0"/>
    <w:rsid w:val="7F4436EB"/>
    <w:rsid w:val="7F5C31CD"/>
    <w:rsid w:val="7F6B5095"/>
    <w:rsid w:val="7FA147C6"/>
    <w:rsid w:val="7FC17032"/>
    <w:rsid w:val="7FE50115"/>
    <w:rsid w:val="7FEE66E4"/>
    <w:rsid w:val="7FEF0C9A"/>
    <w:rsid w:val="7FF96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9"/>
    <w:autoRedefine/>
    <w:qFormat/>
    <w:uiPriority w:val="9"/>
    <w:pPr>
      <w:keepNext/>
      <w:keepLines/>
      <w:spacing w:before="340" w:after="330" w:line="578" w:lineRule="auto"/>
      <w:outlineLvl w:val="0"/>
    </w:pPr>
    <w:rPr>
      <w:rFonts w:ascii="Times New Roman" w:hAnsi="Times New Roman" w:eastAsia="宋体" w:cs="Times New Roman"/>
      <w:b/>
      <w:bCs/>
      <w:kern w:val="44"/>
      <w:sz w:val="44"/>
      <w:szCs w:val="44"/>
      <w:lang w:val="zh-CN"/>
    </w:rPr>
  </w:style>
  <w:style w:type="paragraph" w:styleId="4">
    <w:name w:val="heading 2"/>
    <w:basedOn w:val="1"/>
    <w:next w:val="1"/>
    <w:link w:val="41"/>
    <w:autoRedefine/>
    <w:qFormat/>
    <w:uiPriority w:val="9"/>
    <w:pPr>
      <w:keepNext/>
      <w:keepLines/>
      <w:spacing w:before="260" w:after="260" w:line="416" w:lineRule="auto"/>
      <w:outlineLvl w:val="1"/>
    </w:pPr>
    <w:rPr>
      <w:rFonts w:ascii="Cambria" w:hAnsi="Cambria" w:eastAsia="宋体" w:cs="Times New Roman"/>
      <w:b/>
      <w:bCs/>
      <w:sz w:val="32"/>
      <w:szCs w:val="32"/>
      <w:lang w:val="zh-CN"/>
    </w:rPr>
  </w:style>
  <w:style w:type="paragraph" w:styleId="5">
    <w:name w:val="heading 3"/>
    <w:basedOn w:val="1"/>
    <w:next w:val="1"/>
    <w:link w:val="40"/>
    <w:autoRedefine/>
    <w:qFormat/>
    <w:uiPriority w:val="9"/>
    <w:pPr>
      <w:keepNext/>
      <w:keepLines/>
      <w:spacing w:before="260" w:after="260" w:line="416" w:lineRule="auto"/>
      <w:outlineLvl w:val="2"/>
    </w:pPr>
    <w:rPr>
      <w:rFonts w:ascii="Times New Roman" w:hAnsi="Times New Roman" w:eastAsia="宋体" w:cs="Times New Roman"/>
      <w:b/>
      <w:bCs/>
      <w:sz w:val="32"/>
      <w:szCs w:val="32"/>
      <w:lang w:val="zh-CN"/>
    </w:rPr>
  </w:style>
  <w:style w:type="paragraph" w:styleId="6">
    <w:name w:val="heading 4"/>
    <w:basedOn w:val="1"/>
    <w:next w:val="1"/>
    <w:autoRedefine/>
    <w:qFormat/>
    <w:uiPriority w:val="0"/>
    <w:pPr>
      <w:keepNext/>
      <w:keepLines/>
      <w:widowControl/>
      <w:spacing w:line="360" w:lineRule="auto"/>
      <w:jc w:val="left"/>
      <w:outlineLvl w:val="3"/>
    </w:pPr>
    <w:rPr>
      <w:rFonts w:ascii="Arial" w:hAnsi="Arial" w:eastAsia="黑体"/>
      <w:kern w:val="0"/>
      <w:sz w:val="28"/>
      <w:szCs w:val="20"/>
    </w:rPr>
  </w:style>
  <w:style w:type="paragraph" w:styleId="7">
    <w:name w:val="heading 5"/>
    <w:basedOn w:val="1"/>
    <w:next w:val="8"/>
    <w:link w:val="48"/>
    <w:autoRedefine/>
    <w:qFormat/>
    <w:uiPriority w:val="9"/>
    <w:pPr>
      <w:keepNext/>
      <w:keepLines/>
      <w:spacing w:before="280" w:after="290" w:line="376" w:lineRule="auto"/>
      <w:outlineLvl w:val="4"/>
    </w:pPr>
    <w:rPr>
      <w:rFonts w:ascii="Times New Roman" w:hAnsi="Times New Roman" w:eastAsia="宋体" w:cs="Times New Roman"/>
      <w:b/>
      <w:bCs/>
      <w:sz w:val="28"/>
      <w:szCs w:val="28"/>
      <w:lang w:val="zh-CN"/>
    </w:rPr>
  </w:style>
  <w:style w:type="paragraph" w:styleId="9">
    <w:name w:val="heading 8"/>
    <w:basedOn w:val="1"/>
    <w:next w:val="1"/>
    <w:link w:val="49"/>
    <w:autoRedefine/>
    <w:qFormat/>
    <w:uiPriority w:val="9"/>
    <w:pPr>
      <w:keepNext/>
      <w:keepLines/>
      <w:spacing w:before="240" w:after="64" w:line="320" w:lineRule="auto"/>
      <w:outlineLvl w:val="7"/>
    </w:pPr>
    <w:rPr>
      <w:rFonts w:ascii="等线 Light" w:hAnsi="等线 Light" w:eastAsia="等线 Light" w:cs="Times New Roman"/>
      <w:sz w:val="24"/>
      <w:szCs w:val="24"/>
      <w:lang w:val="zh-CN"/>
    </w:rPr>
  </w:style>
  <w:style w:type="paragraph" w:styleId="10">
    <w:name w:val="heading 9"/>
    <w:basedOn w:val="1"/>
    <w:next w:val="1"/>
    <w:link w:val="50"/>
    <w:autoRedefine/>
    <w:qFormat/>
    <w:uiPriority w:val="9"/>
    <w:pPr>
      <w:keepNext/>
      <w:keepLines/>
      <w:spacing w:before="240" w:after="64" w:line="320" w:lineRule="auto"/>
      <w:outlineLvl w:val="8"/>
    </w:pPr>
    <w:rPr>
      <w:rFonts w:ascii="Cambria" w:hAnsi="Cambria" w:eastAsia="宋体" w:cs="Times New Roman"/>
      <w:szCs w:val="21"/>
      <w:lang w:val="zh-CN"/>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next w:val="1"/>
    <w:link w:val="67"/>
    <w:autoRedefine/>
    <w:unhideWhenUsed/>
    <w:qFormat/>
    <w:uiPriority w:val="0"/>
    <w:pPr>
      <w:tabs>
        <w:tab w:val="center" w:pos="4153"/>
        <w:tab w:val="right" w:pos="8306"/>
      </w:tabs>
      <w:snapToGrid w:val="0"/>
      <w:jc w:val="left"/>
    </w:pPr>
    <w:rPr>
      <w:rFonts w:ascii="Times New Roman" w:hAnsi="Times New Roman" w:eastAsia="宋体" w:cs="Times New Roman"/>
      <w:kern w:val="0"/>
      <w:sz w:val="18"/>
      <w:szCs w:val="18"/>
      <w:lang w:val="zh-CN"/>
    </w:rPr>
  </w:style>
  <w:style w:type="paragraph" w:styleId="8">
    <w:name w:val="Normal Indent"/>
    <w:basedOn w:val="1"/>
    <w:autoRedefine/>
    <w:qFormat/>
    <w:uiPriority w:val="0"/>
    <w:pPr>
      <w:ind w:firstLine="420"/>
    </w:pPr>
    <w:rPr>
      <w:rFonts w:ascii="Times New Roman" w:hAnsi="Times New Roman" w:eastAsia="宋体" w:cs="Times New Roman"/>
      <w:szCs w:val="20"/>
    </w:rPr>
  </w:style>
  <w:style w:type="paragraph" w:styleId="11">
    <w:name w:val="index 8"/>
    <w:basedOn w:val="1"/>
    <w:next w:val="1"/>
    <w:autoRedefine/>
    <w:qFormat/>
    <w:uiPriority w:val="0"/>
    <w:pPr>
      <w:ind w:left="2940"/>
    </w:pPr>
  </w:style>
  <w:style w:type="paragraph" w:styleId="12">
    <w:name w:val="List Number"/>
    <w:basedOn w:val="1"/>
    <w:autoRedefine/>
    <w:qFormat/>
    <w:uiPriority w:val="0"/>
    <w:pPr>
      <w:widowControl/>
      <w:tabs>
        <w:tab w:val="left" w:pos="454"/>
        <w:tab w:val="left" w:pos="720"/>
        <w:tab w:val="left" w:pos="840"/>
      </w:tabs>
      <w:spacing w:after="50" w:afterLines="50"/>
      <w:ind w:left="454" w:hanging="284"/>
      <w:jc w:val="left"/>
    </w:pPr>
    <w:rPr>
      <w:rFonts w:ascii="Times New Roman" w:hAnsi="Times New Roman" w:eastAsia="宋体" w:cs="Times New Roman"/>
      <w:kern w:val="0"/>
      <w:sz w:val="24"/>
      <w:szCs w:val="20"/>
    </w:rPr>
  </w:style>
  <w:style w:type="paragraph" w:styleId="13">
    <w:name w:val="annotation text"/>
    <w:basedOn w:val="1"/>
    <w:link w:val="52"/>
    <w:autoRedefine/>
    <w:qFormat/>
    <w:uiPriority w:val="0"/>
    <w:pPr>
      <w:jc w:val="left"/>
    </w:pPr>
    <w:rPr>
      <w:rFonts w:ascii="Times New Roman" w:hAnsi="Times New Roman" w:eastAsia="宋体" w:cs="Times New Roman"/>
      <w:szCs w:val="24"/>
      <w:lang w:val="zh-CN"/>
    </w:rPr>
  </w:style>
  <w:style w:type="paragraph" w:styleId="14">
    <w:name w:val="Body Text 3"/>
    <w:basedOn w:val="1"/>
    <w:link w:val="54"/>
    <w:autoRedefine/>
    <w:unhideWhenUsed/>
    <w:qFormat/>
    <w:uiPriority w:val="99"/>
    <w:pPr>
      <w:spacing w:after="120"/>
    </w:pPr>
    <w:rPr>
      <w:rFonts w:ascii="Times New Roman" w:hAnsi="Times New Roman" w:eastAsia="宋体" w:cs="Times New Roman"/>
      <w:sz w:val="16"/>
      <w:szCs w:val="16"/>
      <w:lang w:val="zh-CN"/>
    </w:rPr>
  </w:style>
  <w:style w:type="paragraph" w:styleId="15">
    <w:name w:val="Body Text"/>
    <w:basedOn w:val="1"/>
    <w:link w:val="56"/>
    <w:autoRedefine/>
    <w:unhideWhenUsed/>
    <w:qFormat/>
    <w:uiPriority w:val="0"/>
    <w:pPr>
      <w:spacing w:after="120"/>
    </w:pPr>
    <w:rPr>
      <w:rFonts w:ascii="Times New Roman" w:hAnsi="Times New Roman" w:eastAsia="宋体" w:cs="Times New Roman"/>
      <w:szCs w:val="24"/>
      <w:lang w:val="zh-CN"/>
    </w:rPr>
  </w:style>
  <w:style w:type="paragraph" w:styleId="16">
    <w:name w:val="Body Text Indent"/>
    <w:basedOn w:val="1"/>
    <w:link w:val="58"/>
    <w:autoRedefine/>
    <w:qFormat/>
    <w:uiPriority w:val="0"/>
    <w:pPr>
      <w:ind w:firstLine="830" w:firstLineChars="352"/>
    </w:pPr>
    <w:rPr>
      <w:rFonts w:ascii="仿宋_GB2312" w:hAnsi="Times New Roman" w:eastAsia="仿宋_GB2312" w:cs="Times New Roman"/>
      <w:kern w:val="0"/>
      <w:sz w:val="32"/>
      <w:szCs w:val="20"/>
      <w:lang w:val="zh-CN"/>
    </w:rPr>
  </w:style>
  <w:style w:type="paragraph" w:styleId="17">
    <w:name w:val="List 2"/>
    <w:basedOn w:val="1"/>
    <w:autoRedefine/>
    <w:unhideWhenUsed/>
    <w:qFormat/>
    <w:uiPriority w:val="99"/>
    <w:pPr>
      <w:ind w:left="100" w:leftChars="200" w:hanging="200" w:hangingChars="200"/>
      <w:contextualSpacing/>
    </w:pPr>
    <w:rPr>
      <w:rFonts w:ascii="Times New Roman" w:hAnsi="Times New Roman" w:eastAsia="宋体" w:cs="Times New Roman"/>
      <w:szCs w:val="24"/>
    </w:rPr>
  </w:style>
  <w:style w:type="paragraph" w:styleId="18">
    <w:name w:val="toc 3"/>
    <w:basedOn w:val="1"/>
    <w:next w:val="1"/>
    <w:autoRedefine/>
    <w:semiHidden/>
    <w:unhideWhenUsed/>
    <w:qFormat/>
    <w:uiPriority w:val="39"/>
    <w:pPr>
      <w:ind w:left="840" w:leftChars="400"/>
    </w:pPr>
  </w:style>
  <w:style w:type="paragraph" w:styleId="19">
    <w:name w:val="Plain Text"/>
    <w:basedOn w:val="1"/>
    <w:next w:val="6"/>
    <w:link w:val="62"/>
    <w:autoRedefine/>
    <w:qFormat/>
    <w:uiPriority w:val="0"/>
    <w:rPr>
      <w:rFonts w:ascii="宋体" w:hAnsi="Courier New" w:eastAsia="宋体" w:cs="Times New Roman"/>
      <w:kern w:val="0"/>
      <w:sz w:val="20"/>
      <w:szCs w:val="21"/>
      <w:lang w:val="zh-CN"/>
    </w:rPr>
  </w:style>
  <w:style w:type="paragraph" w:styleId="20">
    <w:name w:val="Date"/>
    <w:basedOn w:val="1"/>
    <w:next w:val="1"/>
    <w:link w:val="64"/>
    <w:autoRedefine/>
    <w:unhideWhenUsed/>
    <w:qFormat/>
    <w:uiPriority w:val="99"/>
    <w:pPr>
      <w:ind w:left="100" w:leftChars="2500"/>
    </w:pPr>
    <w:rPr>
      <w:rFonts w:ascii="Times New Roman" w:hAnsi="Times New Roman" w:eastAsia="宋体" w:cs="Times New Roman"/>
      <w:szCs w:val="24"/>
      <w:lang w:val="zh-CN"/>
    </w:rPr>
  </w:style>
  <w:style w:type="paragraph" w:styleId="21">
    <w:name w:val="Balloon Text"/>
    <w:basedOn w:val="1"/>
    <w:link w:val="100"/>
    <w:autoRedefine/>
    <w:semiHidden/>
    <w:qFormat/>
    <w:uiPriority w:val="0"/>
    <w:rPr>
      <w:rFonts w:ascii="Times New Roman" w:hAnsi="Times New Roman" w:eastAsia="宋体" w:cs="Times New Roman"/>
      <w:sz w:val="18"/>
      <w:szCs w:val="18"/>
    </w:rPr>
  </w:style>
  <w:style w:type="paragraph" w:styleId="22">
    <w:name w:val="header"/>
    <w:basedOn w:val="1"/>
    <w:link w:val="69"/>
    <w:autoRedefine/>
    <w:unhideWhenUsed/>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lang w:val="zh-CN"/>
    </w:rPr>
  </w:style>
  <w:style w:type="paragraph" w:styleId="23">
    <w:name w:val="toc 1"/>
    <w:basedOn w:val="1"/>
    <w:next w:val="1"/>
    <w:autoRedefine/>
    <w:semiHidden/>
    <w:unhideWhenUsed/>
    <w:qFormat/>
    <w:uiPriority w:val="39"/>
  </w:style>
  <w:style w:type="paragraph" w:styleId="24">
    <w:name w:val="List"/>
    <w:basedOn w:val="1"/>
    <w:autoRedefine/>
    <w:unhideWhenUsed/>
    <w:qFormat/>
    <w:uiPriority w:val="99"/>
    <w:pPr>
      <w:ind w:left="200" w:hanging="200" w:hangingChars="200"/>
      <w:contextualSpacing/>
    </w:pPr>
    <w:rPr>
      <w:rFonts w:ascii="Times New Roman" w:hAnsi="Times New Roman" w:eastAsia="宋体" w:cs="Times New Roman"/>
      <w:szCs w:val="24"/>
    </w:rPr>
  </w:style>
  <w:style w:type="paragraph" w:styleId="25">
    <w:name w:val="toc 2"/>
    <w:basedOn w:val="1"/>
    <w:next w:val="1"/>
    <w:autoRedefine/>
    <w:semiHidden/>
    <w:unhideWhenUsed/>
    <w:qFormat/>
    <w:uiPriority w:val="39"/>
    <w:pPr>
      <w:ind w:left="420" w:leftChars="200"/>
    </w:pPr>
  </w:style>
  <w:style w:type="paragraph" w:styleId="26">
    <w:name w:val="Normal (Web)"/>
    <w:basedOn w:val="1"/>
    <w:autoRedefine/>
    <w:unhideWhenUsed/>
    <w:qFormat/>
    <w:uiPriority w:val="99"/>
    <w:rPr>
      <w:rFonts w:ascii="Calibri" w:hAnsi="Calibri" w:eastAsia="宋体" w:cs="Times New Roman"/>
      <w:kern w:val="0"/>
      <w:sz w:val="24"/>
      <w:szCs w:val="24"/>
    </w:rPr>
  </w:style>
  <w:style w:type="paragraph" w:styleId="27">
    <w:name w:val="Title"/>
    <w:basedOn w:val="1"/>
    <w:next w:val="1"/>
    <w:link w:val="71"/>
    <w:autoRedefine/>
    <w:qFormat/>
    <w:uiPriority w:val="10"/>
    <w:pPr>
      <w:widowControl/>
      <w:overflowPunct w:val="0"/>
      <w:autoSpaceDE w:val="0"/>
      <w:autoSpaceDN w:val="0"/>
      <w:adjustRightInd w:val="0"/>
      <w:jc w:val="center"/>
      <w:textAlignment w:val="baseline"/>
    </w:pPr>
    <w:rPr>
      <w:rFonts w:ascii="Cambria" w:hAnsi="Cambria" w:eastAsia="宋体" w:cs="Times New Roman"/>
      <w:b/>
      <w:bCs/>
      <w:sz w:val="32"/>
      <w:szCs w:val="32"/>
      <w:lang w:val="zh-CN"/>
    </w:rPr>
  </w:style>
  <w:style w:type="paragraph" w:styleId="28">
    <w:name w:val="annotation subject"/>
    <w:basedOn w:val="13"/>
    <w:next w:val="13"/>
    <w:link w:val="73"/>
    <w:autoRedefine/>
    <w:qFormat/>
    <w:uiPriority w:val="99"/>
    <w:rPr>
      <w:b/>
      <w:bCs/>
    </w:rPr>
  </w:style>
  <w:style w:type="paragraph" w:styleId="29">
    <w:name w:val="Body Text First Indent 2"/>
    <w:basedOn w:val="1"/>
    <w:link w:val="109"/>
    <w:autoRedefine/>
    <w:semiHidden/>
    <w:unhideWhenUsed/>
    <w:qFormat/>
    <w:uiPriority w:val="99"/>
    <w:pPr>
      <w:spacing w:after="120"/>
      <w:ind w:left="420" w:leftChars="200" w:firstLine="420" w:firstLineChars="200"/>
    </w:pPr>
    <w:rPr>
      <w:rFonts w:ascii="Times New Roman" w:eastAsia="宋体"/>
      <w:szCs w:val="24"/>
    </w:rPr>
  </w:style>
  <w:style w:type="table" w:styleId="31">
    <w:name w:val="Table Grid"/>
    <w:basedOn w:val="30"/>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3">
    <w:name w:val="Strong"/>
    <w:basedOn w:val="32"/>
    <w:autoRedefine/>
    <w:qFormat/>
    <w:uiPriority w:val="0"/>
    <w:rPr>
      <w:b/>
    </w:rPr>
  </w:style>
  <w:style w:type="character" w:styleId="34">
    <w:name w:val="endnote reference"/>
    <w:autoRedefine/>
    <w:unhideWhenUsed/>
    <w:qFormat/>
    <w:uiPriority w:val="99"/>
    <w:rPr>
      <w:vertAlign w:val="superscript"/>
    </w:rPr>
  </w:style>
  <w:style w:type="character" w:styleId="35">
    <w:name w:val="page number"/>
    <w:autoRedefine/>
    <w:qFormat/>
    <w:uiPriority w:val="0"/>
    <w:rPr>
      <w:rFonts w:ascii="Arial" w:hAnsi="Arial" w:eastAsia="黑体" w:cs="Arial"/>
      <w:snapToGrid w:val="0"/>
      <w:kern w:val="0"/>
      <w:szCs w:val="21"/>
    </w:rPr>
  </w:style>
  <w:style w:type="character" w:styleId="36">
    <w:name w:val="FollowedHyperlink"/>
    <w:basedOn w:val="32"/>
    <w:autoRedefine/>
    <w:unhideWhenUsed/>
    <w:qFormat/>
    <w:uiPriority w:val="99"/>
    <w:rPr>
      <w:color w:val="800080"/>
      <w:u w:val="single"/>
    </w:rPr>
  </w:style>
  <w:style w:type="character" w:styleId="37">
    <w:name w:val="Hyperlink"/>
    <w:autoRedefine/>
    <w:unhideWhenUsed/>
    <w:qFormat/>
    <w:uiPriority w:val="99"/>
    <w:rPr>
      <w:color w:val="0000FF"/>
      <w:u w:val="single"/>
    </w:rPr>
  </w:style>
  <w:style w:type="character" w:styleId="38">
    <w:name w:val="annotation reference"/>
    <w:autoRedefine/>
    <w:qFormat/>
    <w:uiPriority w:val="99"/>
    <w:rPr>
      <w:sz w:val="21"/>
      <w:szCs w:val="21"/>
    </w:rPr>
  </w:style>
  <w:style w:type="character" w:customStyle="1" w:styleId="39">
    <w:name w:val="标题 1 字符"/>
    <w:link w:val="3"/>
    <w:autoRedefine/>
    <w:qFormat/>
    <w:uiPriority w:val="9"/>
    <w:rPr>
      <w:rFonts w:ascii="Times New Roman" w:hAnsi="Times New Roman" w:eastAsia="宋体" w:cs="Times New Roman"/>
      <w:b/>
      <w:bCs/>
      <w:kern w:val="44"/>
      <w:sz w:val="44"/>
      <w:szCs w:val="44"/>
      <w:lang w:val="zh-CN" w:eastAsia="zh-CN"/>
    </w:rPr>
  </w:style>
  <w:style w:type="character" w:customStyle="1" w:styleId="40">
    <w:name w:val="标题 3 字符"/>
    <w:link w:val="5"/>
    <w:autoRedefine/>
    <w:qFormat/>
    <w:uiPriority w:val="9"/>
    <w:rPr>
      <w:rFonts w:ascii="Times New Roman" w:hAnsi="Times New Roman" w:eastAsia="宋体" w:cs="Times New Roman"/>
      <w:b/>
      <w:bCs/>
      <w:sz w:val="32"/>
      <w:szCs w:val="32"/>
      <w:lang w:val="zh-CN" w:eastAsia="zh-CN"/>
    </w:rPr>
  </w:style>
  <w:style w:type="character" w:customStyle="1" w:styleId="41">
    <w:name w:val="标题 2 字符"/>
    <w:link w:val="4"/>
    <w:autoRedefine/>
    <w:qFormat/>
    <w:uiPriority w:val="9"/>
    <w:rPr>
      <w:rFonts w:ascii="Cambria" w:hAnsi="Cambria" w:eastAsia="宋体" w:cs="Times New Roman"/>
      <w:b/>
      <w:bCs/>
      <w:sz w:val="32"/>
      <w:szCs w:val="32"/>
      <w:lang w:val="zh-CN" w:eastAsia="zh-CN"/>
    </w:rPr>
  </w:style>
  <w:style w:type="character" w:customStyle="1" w:styleId="42">
    <w:name w:val="标题 1 Char"/>
    <w:basedOn w:val="32"/>
    <w:autoRedefine/>
    <w:qFormat/>
    <w:uiPriority w:val="9"/>
    <w:rPr>
      <w:b/>
      <w:bCs/>
      <w:kern w:val="44"/>
      <w:sz w:val="44"/>
      <w:szCs w:val="44"/>
    </w:rPr>
  </w:style>
  <w:style w:type="character" w:customStyle="1" w:styleId="43">
    <w:name w:val="标题 2 Char"/>
    <w:basedOn w:val="32"/>
    <w:autoRedefine/>
    <w:qFormat/>
    <w:uiPriority w:val="9"/>
    <w:rPr>
      <w:rFonts w:asciiTheme="majorHAnsi" w:hAnsiTheme="majorHAnsi" w:eastAsiaTheme="majorEastAsia" w:cstheme="majorBidi"/>
      <w:b/>
      <w:bCs/>
      <w:sz w:val="32"/>
      <w:szCs w:val="32"/>
    </w:rPr>
  </w:style>
  <w:style w:type="character" w:customStyle="1" w:styleId="44">
    <w:name w:val="标题 3 Char"/>
    <w:basedOn w:val="32"/>
    <w:autoRedefine/>
    <w:qFormat/>
    <w:uiPriority w:val="9"/>
    <w:rPr>
      <w:b/>
      <w:bCs/>
      <w:sz w:val="32"/>
      <w:szCs w:val="32"/>
    </w:rPr>
  </w:style>
  <w:style w:type="character" w:customStyle="1" w:styleId="45">
    <w:name w:val="标题 5 Char"/>
    <w:basedOn w:val="32"/>
    <w:autoRedefine/>
    <w:qFormat/>
    <w:uiPriority w:val="9"/>
    <w:rPr>
      <w:b/>
      <w:bCs/>
      <w:sz w:val="28"/>
      <w:szCs w:val="28"/>
    </w:rPr>
  </w:style>
  <w:style w:type="character" w:customStyle="1" w:styleId="46">
    <w:name w:val="标题 8 Char"/>
    <w:basedOn w:val="32"/>
    <w:autoRedefine/>
    <w:qFormat/>
    <w:uiPriority w:val="0"/>
    <w:rPr>
      <w:rFonts w:asciiTheme="majorHAnsi" w:hAnsiTheme="majorHAnsi" w:eastAsiaTheme="majorEastAsia" w:cstheme="majorBidi"/>
      <w:sz w:val="24"/>
      <w:szCs w:val="24"/>
    </w:rPr>
  </w:style>
  <w:style w:type="character" w:customStyle="1" w:styleId="47">
    <w:name w:val="标题 9 Char"/>
    <w:basedOn w:val="32"/>
    <w:autoRedefine/>
    <w:semiHidden/>
    <w:qFormat/>
    <w:uiPriority w:val="9"/>
    <w:rPr>
      <w:rFonts w:asciiTheme="majorHAnsi" w:hAnsiTheme="majorHAnsi" w:eastAsiaTheme="majorEastAsia" w:cstheme="majorBidi"/>
      <w:szCs w:val="21"/>
    </w:rPr>
  </w:style>
  <w:style w:type="character" w:customStyle="1" w:styleId="48">
    <w:name w:val="标题 5 字符"/>
    <w:link w:val="7"/>
    <w:autoRedefine/>
    <w:qFormat/>
    <w:uiPriority w:val="9"/>
    <w:rPr>
      <w:rFonts w:ascii="Times New Roman" w:hAnsi="Times New Roman" w:eastAsia="宋体" w:cs="Times New Roman"/>
      <w:b/>
      <w:bCs/>
      <w:sz w:val="28"/>
      <w:szCs w:val="28"/>
      <w:lang w:val="zh-CN" w:eastAsia="zh-CN"/>
    </w:rPr>
  </w:style>
  <w:style w:type="character" w:customStyle="1" w:styleId="49">
    <w:name w:val="标题 8 字符"/>
    <w:link w:val="9"/>
    <w:autoRedefine/>
    <w:qFormat/>
    <w:uiPriority w:val="9"/>
    <w:rPr>
      <w:rFonts w:ascii="等线 Light" w:hAnsi="等线 Light" w:eastAsia="等线 Light" w:cs="Times New Roman"/>
      <w:sz w:val="24"/>
      <w:szCs w:val="24"/>
      <w:lang w:val="zh-CN" w:eastAsia="zh-CN"/>
    </w:rPr>
  </w:style>
  <w:style w:type="character" w:customStyle="1" w:styleId="50">
    <w:name w:val="标题 9 字符"/>
    <w:link w:val="10"/>
    <w:autoRedefine/>
    <w:qFormat/>
    <w:uiPriority w:val="9"/>
    <w:rPr>
      <w:rFonts w:ascii="Cambria" w:hAnsi="Cambria" w:eastAsia="宋体" w:cs="Times New Roman"/>
      <w:szCs w:val="21"/>
      <w:lang w:val="zh-CN" w:eastAsia="zh-CN"/>
    </w:rPr>
  </w:style>
  <w:style w:type="character" w:customStyle="1" w:styleId="51">
    <w:name w:val="批注文字 Char"/>
    <w:basedOn w:val="32"/>
    <w:autoRedefine/>
    <w:qFormat/>
    <w:uiPriority w:val="0"/>
  </w:style>
  <w:style w:type="character" w:customStyle="1" w:styleId="52">
    <w:name w:val="批注文字 字符2"/>
    <w:link w:val="13"/>
    <w:autoRedefine/>
    <w:qFormat/>
    <w:uiPriority w:val="0"/>
    <w:rPr>
      <w:rFonts w:ascii="Times New Roman" w:hAnsi="Times New Roman" w:eastAsia="宋体" w:cs="Times New Roman"/>
      <w:szCs w:val="24"/>
      <w:lang w:val="zh-CN" w:eastAsia="zh-CN"/>
    </w:rPr>
  </w:style>
  <w:style w:type="character" w:customStyle="1" w:styleId="53">
    <w:name w:val="正文文本 3 Char"/>
    <w:basedOn w:val="32"/>
    <w:autoRedefine/>
    <w:qFormat/>
    <w:uiPriority w:val="99"/>
    <w:rPr>
      <w:sz w:val="16"/>
      <w:szCs w:val="16"/>
    </w:rPr>
  </w:style>
  <w:style w:type="character" w:customStyle="1" w:styleId="54">
    <w:name w:val="正文文本 3 字符"/>
    <w:link w:val="14"/>
    <w:autoRedefine/>
    <w:qFormat/>
    <w:uiPriority w:val="99"/>
    <w:rPr>
      <w:rFonts w:ascii="Times New Roman" w:hAnsi="Times New Roman" w:eastAsia="宋体" w:cs="Times New Roman"/>
      <w:sz w:val="16"/>
      <w:szCs w:val="16"/>
      <w:lang w:val="zh-CN" w:eastAsia="zh-CN"/>
    </w:rPr>
  </w:style>
  <w:style w:type="character" w:customStyle="1" w:styleId="55">
    <w:name w:val="正文文本 Char"/>
    <w:basedOn w:val="32"/>
    <w:autoRedefine/>
    <w:qFormat/>
    <w:uiPriority w:val="0"/>
  </w:style>
  <w:style w:type="character" w:customStyle="1" w:styleId="56">
    <w:name w:val="正文文本 字符1"/>
    <w:link w:val="15"/>
    <w:autoRedefine/>
    <w:qFormat/>
    <w:uiPriority w:val="0"/>
    <w:rPr>
      <w:rFonts w:ascii="Times New Roman" w:hAnsi="Times New Roman" w:eastAsia="宋体" w:cs="Times New Roman"/>
      <w:szCs w:val="24"/>
      <w:lang w:val="zh-CN" w:eastAsia="zh-CN"/>
    </w:rPr>
  </w:style>
  <w:style w:type="character" w:customStyle="1" w:styleId="57">
    <w:name w:val="正文文本缩进 Char"/>
    <w:basedOn w:val="32"/>
    <w:autoRedefine/>
    <w:qFormat/>
    <w:uiPriority w:val="0"/>
  </w:style>
  <w:style w:type="character" w:customStyle="1" w:styleId="58">
    <w:name w:val="正文文本缩进 字符1"/>
    <w:link w:val="16"/>
    <w:autoRedefine/>
    <w:qFormat/>
    <w:uiPriority w:val="0"/>
    <w:rPr>
      <w:rFonts w:ascii="仿宋_GB2312" w:hAnsi="Times New Roman" w:eastAsia="仿宋_GB2312" w:cs="Times New Roman"/>
      <w:kern w:val="0"/>
      <w:sz w:val="32"/>
      <w:szCs w:val="20"/>
      <w:lang w:val="zh-CN" w:eastAsia="zh-CN"/>
    </w:rPr>
  </w:style>
  <w:style w:type="paragraph" w:customStyle="1" w:styleId="59">
    <w:name w:val="_Style 36"/>
    <w:basedOn w:val="1"/>
    <w:next w:val="60"/>
    <w:autoRedefine/>
    <w:qFormat/>
    <w:uiPriority w:val="99"/>
    <w:pPr>
      <w:ind w:firstLine="420" w:firstLineChars="200"/>
    </w:pPr>
    <w:rPr>
      <w:rFonts w:ascii="Times New Roman" w:hAnsi="Times New Roman" w:eastAsia="宋体" w:cs="Times New Roman"/>
      <w:szCs w:val="24"/>
    </w:rPr>
  </w:style>
  <w:style w:type="paragraph" w:styleId="60">
    <w:name w:val="List Paragraph"/>
    <w:basedOn w:val="1"/>
    <w:autoRedefine/>
    <w:qFormat/>
    <w:uiPriority w:val="34"/>
    <w:pPr>
      <w:ind w:firstLine="420" w:firstLineChars="200"/>
    </w:pPr>
    <w:rPr>
      <w:rFonts w:ascii="Times New Roman" w:hAnsi="Times New Roman" w:eastAsia="宋体" w:cs="Times New Roman"/>
      <w:szCs w:val="24"/>
    </w:rPr>
  </w:style>
  <w:style w:type="character" w:customStyle="1" w:styleId="61">
    <w:name w:val="纯文本 Char"/>
    <w:basedOn w:val="32"/>
    <w:autoRedefine/>
    <w:qFormat/>
    <w:uiPriority w:val="0"/>
    <w:rPr>
      <w:rFonts w:ascii="宋体" w:hAnsi="Courier New" w:eastAsia="宋体" w:cs="Courier New"/>
      <w:szCs w:val="21"/>
    </w:rPr>
  </w:style>
  <w:style w:type="character" w:customStyle="1" w:styleId="62">
    <w:name w:val="纯文本 字符3"/>
    <w:link w:val="19"/>
    <w:autoRedefine/>
    <w:qFormat/>
    <w:uiPriority w:val="0"/>
    <w:rPr>
      <w:rFonts w:ascii="宋体" w:hAnsi="Courier New" w:eastAsia="宋体" w:cs="Times New Roman"/>
      <w:kern w:val="0"/>
      <w:sz w:val="20"/>
      <w:szCs w:val="21"/>
      <w:lang w:val="zh-CN" w:eastAsia="zh-CN"/>
    </w:rPr>
  </w:style>
  <w:style w:type="character" w:customStyle="1" w:styleId="63">
    <w:name w:val="日期 Char"/>
    <w:basedOn w:val="32"/>
    <w:autoRedefine/>
    <w:qFormat/>
    <w:uiPriority w:val="99"/>
  </w:style>
  <w:style w:type="character" w:customStyle="1" w:styleId="64">
    <w:name w:val="日期 字符"/>
    <w:link w:val="20"/>
    <w:autoRedefine/>
    <w:qFormat/>
    <w:uiPriority w:val="99"/>
    <w:rPr>
      <w:rFonts w:ascii="Times New Roman" w:hAnsi="Times New Roman" w:eastAsia="宋体" w:cs="Times New Roman"/>
      <w:szCs w:val="24"/>
      <w:lang w:val="zh-CN" w:eastAsia="zh-CN"/>
    </w:rPr>
  </w:style>
  <w:style w:type="character" w:customStyle="1" w:styleId="65">
    <w:name w:val="批注框文本 Char"/>
    <w:basedOn w:val="32"/>
    <w:autoRedefine/>
    <w:semiHidden/>
    <w:qFormat/>
    <w:uiPriority w:val="0"/>
    <w:rPr>
      <w:sz w:val="18"/>
      <w:szCs w:val="18"/>
    </w:rPr>
  </w:style>
  <w:style w:type="character" w:customStyle="1" w:styleId="66">
    <w:name w:val="页脚 Char"/>
    <w:basedOn w:val="32"/>
    <w:autoRedefine/>
    <w:qFormat/>
    <w:uiPriority w:val="99"/>
    <w:rPr>
      <w:sz w:val="18"/>
      <w:szCs w:val="18"/>
    </w:rPr>
  </w:style>
  <w:style w:type="character" w:customStyle="1" w:styleId="67">
    <w:name w:val="页脚 字符"/>
    <w:link w:val="2"/>
    <w:autoRedefine/>
    <w:qFormat/>
    <w:uiPriority w:val="0"/>
    <w:rPr>
      <w:rFonts w:ascii="Times New Roman" w:hAnsi="Times New Roman" w:eastAsia="宋体" w:cs="Times New Roman"/>
      <w:kern w:val="0"/>
      <w:sz w:val="18"/>
      <w:szCs w:val="18"/>
      <w:lang w:val="zh-CN" w:eastAsia="zh-CN"/>
    </w:rPr>
  </w:style>
  <w:style w:type="character" w:customStyle="1" w:styleId="68">
    <w:name w:val="页眉 Char"/>
    <w:basedOn w:val="32"/>
    <w:autoRedefine/>
    <w:qFormat/>
    <w:uiPriority w:val="99"/>
    <w:rPr>
      <w:sz w:val="18"/>
      <w:szCs w:val="18"/>
    </w:rPr>
  </w:style>
  <w:style w:type="character" w:customStyle="1" w:styleId="69">
    <w:name w:val="页眉 字符"/>
    <w:link w:val="22"/>
    <w:autoRedefine/>
    <w:qFormat/>
    <w:uiPriority w:val="0"/>
    <w:rPr>
      <w:rFonts w:ascii="Times New Roman" w:hAnsi="Times New Roman" w:eastAsia="宋体" w:cs="Times New Roman"/>
      <w:kern w:val="0"/>
      <w:sz w:val="18"/>
      <w:szCs w:val="18"/>
      <w:lang w:val="zh-CN" w:eastAsia="zh-CN"/>
    </w:rPr>
  </w:style>
  <w:style w:type="character" w:customStyle="1" w:styleId="70">
    <w:name w:val="标题 Char"/>
    <w:basedOn w:val="32"/>
    <w:autoRedefine/>
    <w:qFormat/>
    <w:uiPriority w:val="10"/>
    <w:rPr>
      <w:rFonts w:eastAsia="宋体" w:asciiTheme="majorHAnsi" w:hAnsiTheme="majorHAnsi" w:cstheme="majorBidi"/>
      <w:b/>
      <w:bCs/>
      <w:sz w:val="32"/>
      <w:szCs w:val="32"/>
    </w:rPr>
  </w:style>
  <w:style w:type="character" w:customStyle="1" w:styleId="71">
    <w:name w:val="标题 字符"/>
    <w:link w:val="27"/>
    <w:autoRedefine/>
    <w:qFormat/>
    <w:uiPriority w:val="10"/>
    <w:rPr>
      <w:rFonts w:ascii="Cambria" w:hAnsi="Cambria" w:eastAsia="宋体" w:cs="Times New Roman"/>
      <w:b/>
      <w:bCs/>
      <w:sz w:val="32"/>
      <w:szCs w:val="32"/>
      <w:lang w:val="zh-CN" w:eastAsia="zh-CN"/>
    </w:rPr>
  </w:style>
  <w:style w:type="character" w:customStyle="1" w:styleId="72">
    <w:name w:val="批注主题 Char"/>
    <w:basedOn w:val="51"/>
    <w:autoRedefine/>
    <w:qFormat/>
    <w:uiPriority w:val="99"/>
    <w:rPr>
      <w:b/>
      <w:bCs/>
    </w:rPr>
  </w:style>
  <w:style w:type="character" w:customStyle="1" w:styleId="73">
    <w:name w:val="批注主题 字符"/>
    <w:link w:val="28"/>
    <w:autoRedefine/>
    <w:qFormat/>
    <w:uiPriority w:val="99"/>
    <w:rPr>
      <w:rFonts w:ascii="Times New Roman" w:hAnsi="Times New Roman" w:eastAsia="宋体" w:cs="Times New Roman"/>
      <w:b/>
      <w:bCs/>
      <w:szCs w:val="24"/>
      <w:lang w:val="zh-CN" w:eastAsia="zh-CN"/>
    </w:rPr>
  </w:style>
  <w:style w:type="character" w:customStyle="1" w:styleId="74">
    <w:name w:val="正文文本首行缩进 2 字符"/>
    <w:autoRedefine/>
    <w:qFormat/>
    <w:uiPriority w:val="99"/>
    <w:rPr>
      <w:kern w:val="2"/>
      <w:sz w:val="21"/>
      <w:szCs w:val="24"/>
    </w:rPr>
  </w:style>
  <w:style w:type="character" w:customStyle="1" w:styleId="75">
    <w:name w:val="标题 Char1"/>
    <w:autoRedefine/>
    <w:qFormat/>
    <w:uiPriority w:val="0"/>
    <w:rPr>
      <w:rFonts w:ascii="Calibri" w:hAnsi="Calibri"/>
      <w:b/>
      <w:sz w:val="24"/>
      <w:lang w:val="en-GB"/>
    </w:rPr>
  </w:style>
  <w:style w:type="character" w:customStyle="1" w:styleId="76">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7">
    <w:name w:val="正文文本 字符"/>
    <w:autoRedefine/>
    <w:qFormat/>
    <w:uiPriority w:val="0"/>
    <w:rPr>
      <w:rFonts w:ascii="Times New Roman" w:hAnsi="Times New Roman"/>
      <w:kern w:val="2"/>
      <w:sz w:val="21"/>
      <w:szCs w:val="24"/>
    </w:rPr>
  </w:style>
  <w:style w:type="character" w:customStyle="1" w:styleId="78">
    <w:name w:val="批注文字 字符1"/>
    <w:autoRedefine/>
    <w:qFormat/>
    <w:uiPriority w:val="0"/>
    <w:rPr>
      <w:rFonts w:ascii="Times New Roman" w:hAnsi="Times New Roman"/>
      <w:kern w:val="2"/>
      <w:sz w:val="21"/>
      <w:szCs w:val="24"/>
    </w:rPr>
  </w:style>
  <w:style w:type="character" w:customStyle="1" w:styleId="79">
    <w:name w:val="批注文字 字符"/>
    <w:autoRedefine/>
    <w:qFormat/>
    <w:uiPriority w:val="0"/>
    <w:rPr>
      <w:rFonts w:ascii="Times New Roman" w:hAnsi="Times New Roman"/>
      <w:kern w:val="2"/>
      <w:sz w:val="21"/>
      <w:szCs w:val="24"/>
    </w:rPr>
  </w:style>
  <w:style w:type="character" w:customStyle="1" w:styleId="80">
    <w:name w:val="未处理的提及1"/>
    <w:autoRedefine/>
    <w:unhideWhenUsed/>
    <w:qFormat/>
    <w:uiPriority w:val="99"/>
    <w:rPr>
      <w:color w:val="605E5C"/>
      <w:shd w:val="clear" w:color="auto" w:fill="E1DFDD"/>
    </w:rPr>
  </w:style>
  <w:style w:type="character" w:customStyle="1" w:styleId="81">
    <w:name w:val="apple-style-span"/>
    <w:autoRedefine/>
    <w:qFormat/>
    <w:uiPriority w:val="0"/>
  </w:style>
  <w:style w:type="character" w:customStyle="1" w:styleId="82">
    <w:name w:val="纯文本 字符2"/>
    <w:autoRedefine/>
    <w:qFormat/>
    <w:uiPriority w:val="0"/>
    <w:rPr>
      <w:rFonts w:ascii="宋体" w:hAnsi="Courier New" w:eastAsia="宋体" w:cs="Courier New"/>
      <w:szCs w:val="21"/>
    </w:rPr>
  </w:style>
  <w:style w:type="character" w:customStyle="1" w:styleId="83">
    <w:name w:val="textcontents"/>
    <w:autoRedefine/>
    <w:qFormat/>
    <w:uiPriority w:val="0"/>
  </w:style>
  <w:style w:type="character" w:customStyle="1" w:styleId="84">
    <w:name w:val="纯文本 字符1"/>
    <w:autoRedefine/>
    <w:qFormat/>
    <w:uiPriority w:val="0"/>
    <w:rPr>
      <w:rFonts w:ascii="宋体" w:hAnsi="Courier New"/>
    </w:rPr>
  </w:style>
  <w:style w:type="character" w:customStyle="1" w:styleId="85">
    <w:name w:val="标题 1 字符1"/>
    <w:autoRedefine/>
    <w:qFormat/>
    <w:uiPriority w:val="0"/>
    <w:rPr>
      <w:b/>
      <w:bCs/>
      <w:kern w:val="44"/>
      <w:sz w:val="44"/>
      <w:szCs w:val="44"/>
    </w:rPr>
  </w:style>
  <w:style w:type="character" w:customStyle="1" w:styleId="86">
    <w:name w:val="纯文本 字符"/>
    <w:autoRedefine/>
    <w:qFormat/>
    <w:uiPriority w:val="0"/>
    <w:rPr>
      <w:rFonts w:ascii="宋体" w:hAnsi="Courier New" w:eastAsia="宋体" w:cs="Courier New"/>
      <w:szCs w:val="21"/>
    </w:rPr>
  </w:style>
  <w:style w:type="paragraph" w:customStyle="1" w:styleId="87">
    <w:name w:val="Char Char Char Char"/>
    <w:basedOn w:val="1"/>
    <w:autoRedefine/>
    <w:qFormat/>
    <w:uiPriority w:val="0"/>
    <w:pPr>
      <w:widowControl/>
      <w:spacing w:after="160" w:line="240" w:lineRule="exact"/>
      <w:jc w:val="left"/>
    </w:pPr>
    <w:rPr>
      <w:rFonts w:ascii="Times New Roman" w:hAnsi="Times New Roman" w:eastAsia="宋体" w:cs="Times New Roman"/>
      <w:szCs w:val="24"/>
    </w:rPr>
  </w:style>
  <w:style w:type="paragraph" w:customStyle="1" w:styleId="8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89">
    <w:name w:val="TOC 标题1"/>
    <w:basedOn w:val="3"/>
    <w:next w:val="1"/>
    <w:autoRedefine/>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lang w:val="en-US"/>
    </w:rPr>
  </w:style>
  <w:style w:type="paragraph" w:customStyle="1" w:styleId="90">
    <w:name w:val="表内文字"/>
    <w:basedOn w:val="1"/>
    <w:autoRedefine/>
    <w:qFormat/>
    <w:uiPriority w:val="0"/>
    <w:pPr>
      <w:snapToGrid w:val="0"/>
      <w:spacing w:before="50" w:after="50"/>
      <w:jc w:val="center"/>
    </w:pPr>
    <w:rPr>
      <w:rFonts w:ascii="仿宋_GB2312" w:hAnsi="宋体" w:eastAsia="仿宋_GB2312" w:cs="Times New Roman"/>
      <w:b/>
      <w:color w:val="000000"/>
      <w:sz w:val="32"/>
      <w:szCs w:val="32"/>
    </w:rPr>
  </w:style>
  <w:style w:type="paragraph" w:customStyle="1" w:styleId="91">
    <w:name w:val="Table Paragraph"/>
    <w:basedOn w:val="1"/>
    <w:autoRedefine/>
    <w:qFormat/>
    <w:uiPriority w:val="1"/>
    <w:pPr>
      <w:jc w:val="left"/>
    </w:pPr>
    <w:rPr>
      <w:rFonts w:ascii="Calibri" w:hAnsi="Calibri" w:eastAsia="宋体" w:cs="Times New Roman"/>
      <w:kern w:val="0"/>
      <w:sz w:val="22"/>
      <w:lang w:eastAsia="en-US"/>
    </w:rPr>
  </w:style>
  <w:style w:type="character" w:customStyle="1" w:styleId="92">
    <w:name w:val="正文文本缩进 字符"/>
    <w:autoRedefine/>
    <w:qFormat/>
    <w:uiPriority w:val="0"/>
    <w:rPr>
      <w:rFonts w:ascii="仿宋_GB2312" w:hAnsi="Times New Roman" w:eastAsia="仿宋_GB2312" w:cs="Times New Roman"/>
      <w:sz w:val="32"/>
      <w:szCs w:val="20"/>
    </w:rPr>
  </w:style>
  <w:style w:type="character" w:customStyle="1" w:styleId="93">
    <w:name w:val="正文2 Char Char"/>
    <w:link w:val="94"/>
    <w:autoRedefine/>
    <w:qFormat/>
    <w:uiPriority w:val="0"/>
    <w:rPr>
      <w:sz w:val="24"/>
    </w:rPr>
  </w:style>
  <w:style w:type="paragraph" w:customStyle="1" w:styleId="94">
    <w:name w:val="正文2"/>
    <w:basedOn w:val="1"/>
    <w:link w:val="93"/>
    <w:autoRedefine/>
    <w:qFormat/>
    <w:uiPriority w:val="0"/>
    <w:pPr>
      <w:adjustRightInd w:val="0"/>
      <w:spacing w:before="156" w:line="360" w:lineRule="auto"/>
      <w:ind w:firstLine="510" w:firstLineChars="200"/>
    </w:pPr>
    <w:rPr>
      <w:sz w:val="24"/>
    </w:rPr>
  </w:style>
  <w:style w:type="character" w:customStyle="1" w:styleId="95">
    <w:name w:val="纯文本 Char2"/>
    <w:autoRedefine/>
    <w:qFormat/>
    <w:uiPriority w:val="0"/>
    <w:rPr>
      <w:rFonts w:ascii="宋体" w:hAnsi="Courier New" w:cs="Arial"/>
      <w:snapToGrid w:val="0"/>
      <w:szCs w:val="21"/>
    </w:rPr>
  </w:style>
  <w:style w:type="paragraph" w:customStyle="1" w:styleId="96">
    <w:name w:val="表格文字"/>
    <w:basedOn w:val="16"/>
    <w:autoRedefine/>
    <w:qFormat/>
    <w:uiPriority w:val="0"/>
    <w:pPr>
      <w:adjustRightInd w:val="0"/>
      <w:spacing w:line="420" w:lineRule="atLeast"/>
      <w:jc w:val="left"/>
      <w:textAlignment w:val="baseline"/>
    </w:pPr>
    <w:rPr>
      <w:rFonts w:ascii="Times New Roman" w:hAnsi="Times New Roman" w:eastAsia="宋体" w:cs="Times New Roman"/>
      <w:kern w:val="0"/>
      <w:szCs w:val="24"/>
    </w:rPr>
  </w:style>
  <w:style w:type="paragraph" w:customStyle="1" w:styleId="97">
    <w:name w:val="样式5"/>
    <w:basedOn w:val="1"/>
    <w:autoRedefine/>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98">
    <w:name w:val="正文缩进1"/>
    <w:basedOn w:val="1"/>
    <w:next w:val="16"/>
    <w:autoRedefine/>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character" w:customStyle="1" w:styleId="99">
    <w:name w:val="NormalCharacter"/>
    <w:autoRedefine/>
    <w:qFormat/>
    <w:uiPriority w:val="0"/>
  </w:style>
  <w:style w:type="character" w:customStyle="1" w:styleId="100">
    <w:name w:val="批注框文本 字符"/>
    <w:link w:val="21"/>
    <w:autoRedefine/>
    <w:semiHidden/>
    <w:qFormat/>
    <w:uiPriority w:val="0"/>
    <w:rPr>
      <w:rFonts w:ascii="Times New Roman" w:hAnsi="Times New Roman" w:eastAsia="宋体" w:cs="Times New Roman"/>
      <w:sz w:val="18"/>
      <w:szCs w:val="18"/>
    </w:rPr>
  </w:style>
  <w:style w:type="character" w:customStyle="1" w:styleId="101">
    <w:name w:val="正文首行缩进 2 字符"/>
    <w:autoRedefine/>
    <w:qFormat/>
    <w:uiPriority w:val="99"/>
    <w:rPr>
      <w:rFonts w:ascii="仿宋_GB2312" w:hAnsi="Times New Roman" w:eastAsia="仿宋_GB2312" w:cs="Times New Roman"/>
      <w:kern w:val="2"/>
      <w:sz w:val="21"/>
      <w:szCs w:val="24"/>
    </w:rPr>
  </w:style>
  <w:style w:type="character" w:customStyle="1" w:styleId="102">
    <w:name w:val="纯文本 Char1"/>
    <w:autoRedefine/>
    <w:qFormat/>
    <w:uiPriority w:val="0"/>
    <w:rPr>
      <w:rFonts w:ascii="宋体" w:hAnsi="Courier New" w:eastAsia="宋体" w:cs="Times New Roman"/>
      <w:kern w:val="0"/>
      <w:sz w:val="20"/>
      <w:szCs w:val="21"/>
    </w:rPr>
  </w:style>
  <w:style w:type="character" w:customStyle="1" w:styleId="103">
    <w:name w:val="标题 2 Char1"/>
    <w:autoRedefine/>
    <w:qFormat/>
    <w:uiPriority w:val="9"/>
    <w:rPr>
      <w:rFonts w:ascii="Cambria" w:hAnsi="Cambria"/>
      <w:b/>
      <w:bCs/>
      <w:kern w:val="2"/>
      <w:sz w:val="32"/>
      <w:szCs w:val="32"/>
      <w:lang w:val="zh-CN" w:eastAsia="zh-CN"/>
    </w:rPr>
  </w:style>
  <w:style w:type="character" w:customStyle="1" w:styleId="104">
    <w:name w:val="标题 8 Char1"/>
    <w:autoRedefine/>
    <w:qFormat/>
    <w:uiPriority w:val="9"/>
    <w:rPr>
      <w:rFonts w:ascii="等线 Light" w:hAnsi="等线 Light" w:eastAsia="等线 Light"/>
      <w:kern w:val="2"/>
      <w:sz w:val="24"/>
      <w:szCs w:val="24"/>
      <w:lang w:val="zh-CN" w:eastAsia="zh-CN"/>
    </w:rPr>
  </w:style>
  <w:style w:type="character" w:customStyle="1" w:styleId="105">
    <w:name w:val="批注文字 Char1"/>
    <w:autoRedefine/>
    <w:qFormat/>
    <w:uiPriority w:val="0"/>
    <w:rPr>
      <w:kern w:val="2"/>
      <w:sz w:val="21"/>
      <w:szCs w:val="24"/>
      <w:lang w:val="zh-CN" w:eastAsia="zh-CN"/>
    </w:rPr>
  </w:style>
  <w:style w:type="character" w:customStyle="1" w:styleId="106">
    <w:name w:val="正文文本 Char1"/>
    <w:autoRedefine/>
    <w:qFormat/>
    <w:uiPriority w:val="0"/>
    <w:rPr>
      <w:kern w:val="2"/>
      <w:sz w:val="21"/>
      <w:szCs w:val="24"/>
      <w:lang w:val="zh-CN" w:eastAsia="zh-CN"/>
    </w:rPr>
  </w:style>
  <w:style w:type="character" w:customStyle="1" w:styleId="107">
    <w:name w:val="正文首行缩进 2 字符1"/>
    <w:autoRedefine/>
    <w:semiHidden/>
    <w:qFormat/>
    <w:uiPriority w:val="99"/>
    <w:rPr>
      <w:rFonts w:ascii="仿宋_GB2312" w:hAnsi="Times New Roman" w:eastAsia="仿宋_GB2312" w:cs="Times New Roman"/>
      <w:kern w:val="2"/>
      <w:sz w:val="21"/>
      <w:szCs w:val="24"/>
      <w:lang w:val="zh-CN" w:eastAsia="zh-CN"/>
    </w:rPr>
  </w:style>
  <w:style w:type="character" w:customStyle="1" w:styleId="108">
    <w:name w:val="正文首行缩进 2 字符2"/>
    <w:autoRedefine/>
    <w:semiHidden/>
    <w:qFormat/>
    <w:uiPriority w:val="99"/>
    <w:rPr>
      <w:rFonts w:ascii="仿宋_GB2312" w:hAnsi="Times New Roman" w:eastAsia="仿宋_GB2312" w:cs="Times New Roman"/>
      <w:kern w:val="2"/>
      <w:sz w:val="21"/>
      <w:szCs w:val="24"/>
      <w:lang w:val="zh-CN" w:eastAsia="zh-CN"/>
    </w:rPr>
  </w:style>
  <w:style w:type="character" w:customStyle="1" w:styleId="109">
    <w:name w:val="正文文本首行缩进 2 字符1"/>
    <w:basedOn w:val="57"/>
    <w:link w:val="29"/>
    <w:autoRedefine/>
    <w:semiHidden/>
    <w:qFormat/>
    <w:uiPriority w:val="99"/>
    <w:rPr>
      <w:rFonts w:ascii="Times New Roman" w:hAnsi="Times New Roman" w:eastAsia="宋体" w:cs="Times New Roman"/>
      <w:szCs w:val="24"/>
    </w:rPr>
  </w:style>
  <w:style w:type="paragraph" w:customStyle="1" w:styleId="110">
    <w:name w:val="Heading2"/>
    <w:basedOn w:val="1"/>
    <w:next w:val="1"/>
    <w:autoRedefine/>
    <w:qFormat/>
    <w:uiPriority w:val="0"/>
    <w:pPr>
      <w:keepNext/>
      <w:keepLines/>
      <w:spacing w:before="260" w:after="260" w:line="416" w:lineRule="auto"/>
    </w:pPr>
    <w:rPr>
      <w:rFonts w:ascii="Arial" w:hAnsi="Arial" w:eastAsia="黑体" w:cs="Times New Roman"/>
      <w:b/>
      <w:bCs/>
      <w:kern w:val="0"/>
      <w:sz w:val="32"/>
      <w:szCs w:val="32"/>
    </w:rPr>
  </w:style>
  <w:style w:type="paragraph" w:customStyle="1" w:styleId="111">
    <w:name w:val="列表段落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83</Pages>
  <Words>7783</Words>
  <Characters>8698</Characters>
  <Lines>440</Lines>
  <Paragraphs>124</Paragraphs>
  <TotalTime>0</TotalTime>
  <ScaleCrop>false</ScaleCrop>
  <LinksUpToDate>false</LinksUpToDate>
  <CharactersWithSpaces>8827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2025-04-17T08:18:00Z</dcterms:created>
  <dc:creator>个人用户</dc:creator>
  <cp:lastModifiedBy>韦</cp:lastModifiedBy>
  <dcterms:modified xsi:type="dcterms:W3CDTF">2025-12-23T10:29:10Z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E0D490F8F0534906B7D0A76A074A2379_13</vt:lpwstr>
  </property>
  <property fmtid="{D5CDD505-2E9C-101B-9397-08002B2CF9AE}" pid="4" name="KSOTemplateDocerSaveRecord">
    <vt:lpwstr>eyJoZGlkIjoiNjIxYjVlZjBiYTRlN2Y3YTNhNzAyNGNjMTRjNWNhZWYiLCJ1c2VySWQiOiIxNTkyMzIxODc0In0=</vt:lpwstr>
  </property>
</Properties>
</file>