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rFonts w:hAnsi="宋体" w:cs="宋体"/>
          <w:b/>
          <w:bCs/>
          <w:color w:val="000000" w:themeColor="text1"/>
          <w:sz w:val="72"/>
          <w:szCs w:val="72"/>
          <w14:textFill>
            <w14:solidFill>
              <w14:schemeClr w14:val="tx1"/>
            </w14:solidFill>
          </w14:textFill>
        </w:rPr>
      </w:pPr>
    </w:p>
    <w:p>
      <w:pPr>
        <w:pStyle w:val="17"/>
        <w:jc w:val="center"/>
        <w:rPr>
          <w:rFonts w:hAnsi="宋体" w:cs="宋体"/>
          <w:b/>
          <w:bCs/>
          <w:color w:val="000000" w:themeColor="text1"/>
          <w:sz w:val="72"/>
          <w:szCs w:val="72"/>
          <w14:textFill>
            <w14:solidFill>
              <w14:schemeClr w14:val="tx1"/>
            </w14:solidFill>
          </w14:textFill>
        </w:rPr>
      </w:pPr>
      <w:r>
        <w:rPr>
          <w:rFonts w:hint="eastAsia" w:hAnsi="宋体" w:cs="宋体"/>
          <w:b/>
          <w:bCs/>
          <w:color w:val="000000" w:themeColor="text1"/>
          <w:sz w:val="72"/>
          <w:szCs w:val="72"/>
          <w14:textFill>
            <w14:solidFill>
              <w14:schemeClr w14:val="tx1"/>
            </w14:solidFill>
          </w14:textFill>
        </w:rPr>
        <w:t>竞争性谈判采购文件</w:t>
      </w:r>
    </w:p>
    <w:p>
      <w:pPr>
        <w:spacing w:before="318" w:beforeLines="100" w:after="159" w:afterLines="50"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（全流程电子化评标）</w:t>
      </w:r>
    </w:p>
    <w:p>
      <w:pPr>
        <w:snapToGrid w:val="0"/>
        <w:spacing w:line="360" w:lineRule="auto"/>
        <w:rPr>
          <w:rFonts w:ascii="宋体" w:hAnsi="宋体" w:cs="宋体"/>
          <w:color w:val="000000" w:themeColor="text1"/>
          <w:sz w:val="30"/>
          <w:szCs w:val="72"/>
          <w14:textFill>
            <w14:solidFill>
              <w14:schemeClr w14:val="tx1"/>
            </w14:solidFill>
          </w14:textFill>
        </w:rPr>
      </w:pPr>
    </w:p>
    <w:p>
      <w:pPr>
        <w:pStyle w:val="17"/>
        <w:ind w:firstLine="2108" w:firstLineChars="700"/>
        <w:jc w:val="left"/>
        <w:rPr>
          <w:rFonts w:hAnsi="宋体" w:cs="宋体"/>
          <w:b/>
          <w:color w:val="000000" w:themeColor="text1"/>
          <w:sz w:val="30"/>
          <w:szCs w:val="72"/>
          <w14:textFill>
            <w14:solidFill>
              <w14:schemeClr w14:val="tx1"/>
            </w14:solidFill>
          </w14:textFill>
        </w:rPr>
      </w:pPr>
    </w:p>
    <w:p>
      <w:pPr>
        <w:pStyle w:val="17"/>
        <w:jc w:val="center"/>
        <w:rPr>
          <w:rFonts w:hAnsi="宋体" w:cs="宋体"/>
          <w:b/>
          <w:color w:val="000000" w:themeColor="text1"/>
          <w:sz w:val="30"/>
          <w:szCs w:val="72"/>
          <w14:textFill>
            <w14:solidFill>
              <w14:schemeClr w14:val="tx1"/>
            </w14:solidFill>
          </w14:textFill>
        </w:rPr>
      </w:pPr>
      <w:r>
        <w:rPr>
          <w:rFonts w:hint="eastAsia" w:hAnsi="宋体" w:cs="宋体"/>
          <w:b/>
          <w:color w:val="000000" w:themeColor="text1"/>
          <w:sz w:val="30"/>
          <w:szCs w:val="72"/>
          <w14:textFill>
            <w14:solidFill>
              <w14:schemeClr w14:val="tx1"/>
            </w14:solidFill>
          </w14:textFill>
        </w:rPr>
        <w:t xml:space="preserve">    项目名称：</w:t>
      </w:r>
      <w:bookmarkStart w:id="0" w:name="OLE_LINK2"/>
      <w:r>
        <w:rPr>
          <w:rFonts w:hint="eastAsia" w:hAnsi="宋体" w:cs="宋体"/>
          <w:b/>
          <w:color w:val="000000" w:themeColor="text1"/>
          <w:sz w:val="30"/>
          <w:szCs w:val="72"/>
          <w14:textFill>
            <w14:solidFill>
              <w14:schemeClr w14:val="tx1"/>
            </w14:solidFill>
          </w14:textFill>
        </w:rPr>
        <w:t>广西大学物理学院C座8楼洁净实验室建设</w:t>
      </w:r>
      <w:bookmarkEnd w:id="0"/>
    </w:p>
    <w:p>
      <w:pPr>
        <w:pStyle w:val="17"/>
        <w:jc w:val="center"/>
        <w:rPr>
          <w:rFonts w:hAnsi="宋体" w:cs="宋体"/>
          <w:b/>
          <w:color w:val="000000" w:themeColor="text1"/>
          <w:sz w:val="30"/>
          <w:szCs w:val="72"/>
          <w14:textFill>
            <w14:solidFill>
              <w14:schemeClr w14:val="tx1"/>
            </w14:solidFill>
          </w14:textFill>
        </w:rPr>
      </w:pPr>
      <w:r>
        <w:rPr>
          <w:rFonts w:hint="eastAsia" w:hAnsi="宋体" w:cs="宋体"/>
          <w:b/>
          <w:color w:val="000000" w:themeColor="text1"/>
          <w:sz w:val="30"/>
          <w:szCs w:val="72"/>
          <w14:textFill>
            <w14:solidFill>
              <w14:schemeClr w14:val="tx1"/>
            </w14:solidFill>
          </w14:textFill>
        </w:rPr>
        <w:t>项目编号：</w:t>
      </w:r>
      <w:r>
        <w:rPr>
          <w:b/>
          <w:color w:val="000000" w:themeColor="text1"/>
          <w:sz w:val="32"/>
          <w:szCs w:val="32"/>
          <w14:textFill>
            <w14:solidFill>
              <w14:schemeClr w14:val="tx1"/>
            </w14:solidFill>
          </w14:textFill>
        </w:rPr>
        <w:t>GXZC</w:t>
      </w:r>
      <w:r>
        <w:rPr>
          <w:rFonts w:hint="eastAsia"/>
          <w:b/>
          <w:color w:val="000000" w:themeColor="text1"/>
          <w:sz w:val="32"/>
          <w:szCs w:val="32"/>
          <w14:textFill>
            <w14:solidFill>
              <w14:schemeClr w14:val="tx1"/>
            </w14:solidFill>
          </w14:textFill>
        </w:rPr>
        <w:t>2026</w:t>
      </w:r>
      <w:r>
        <w:rPr>
          <w:b/>
          <w:color w:val="000000" w:themeColor="text1"/>
          <w:sz w:val="32"/>
          <w:szCs w:val="32"/>
          <w14:textFill>
            <w14:solidFill>
              <w14:schemeClr w14:val="tx1"/>
            </w14:solidFill>
          </w14:textFill>
        </w:rPr>
        <w:t>-J1-</w:t>
      </w:r>
      <w:r>
        <w:rPr>
          <w:rFonts w:hint="eastAsia"/>
          <w:b/>
          <w:color w:val="000000" w:themeColor="text1"/>
          <w:sz w:val="32"/>
          <w:szCs w:val="32"/>
          <w:lang w:val="en-US" w:eastAsia="zh-CN"/>
          <w14:textFill>
            <w14:solidFill>
              <w14:schemeClr w14:val="tx1"/>
            </w14:solidFill>
          </w14:textFill>
        </w:rPr>
        <w:t>000505</w:t>
      </w:r>
      <w:r>
        <w:rPr>
          <w:b/>
          <w:color w:val="000000" w:themeColor="text1"/>
          <w:sz w:val="32"/>
          <w:szCs w:val="32"/>
          <w14:textFill>
            <w14:solidFill>
              <w14:schemeClr w14:val="tx1"/>
            </w14:solidFill>
          </w14:textFill>
        </w:rPr>
        <w:t>-</w:t>
      </w:r>
      <w:r>
        <w:rPr>
          <w:rFonts w:hint="eastAsia"/>
          <w:b/>
          <w:color w:val="000000" w:themeColor="text1"/>
          <w:sz w:val="32"/>
          <w:szCs w:val="32"/>
          <w14:textFill>
            <w14:solidFill>
              <w14:schemeClr w14:val="tx1"/>
            </w14:solidFill>
          </w14:textFill>
        </w:rPr>
        <w:t>GXKL</w:t>
      </w:r>
    </w:p>
    <w:p>
      <w:pPr>
        <w:pStyle w:val="17"/>
        <w:ind w:firstLine="2108" w:firstLineChars="700"/>
        <w:jc w:val="center"/>
        <w:rPr>
          <w:rFonts w:hAnsi="宋体" w:cs="宋体"/>
          <w:b/>
          <w:color w:val="000000" w:themeColor="text1"/>
          <w:sz w:val="30"/>
          <w:szCs w:val="72"/>
          <w14:textFill>
            <w14:solidFill>
              <w14:schemeClr w14:val="tx1"/>
            </w14:solidFill>
          </w14:textFill>
        </w:rPr>
      </w:pPr>
    </w:p>
    <w:p>
      <w:pPr>
        <w:pStyle w:val="5"/>
        <w:rPr>
          <w:color w:val="000000" w:themeColor="text1"/>
          <w14:textFill>
            <w14:solidFill>
              <w14:schemeClr w14:val="tx1"/>
            </w14:solidFill>
          </w14:textFill>
        </w:rPr>
      </w:pPr>
    </w:p>
    <w:p>
      <w:pPr>
        <w:pStyle w:val="17"/>
        <w:jc w:val="center"/>
        <w:rPr>
          <w:rFonts w:hAnsi="宋体" w:cs="宋体"/>
          <w:b/>
          <w:color w:val="000000" w:themeColor="text1"/>
          <w:sz w:val="30"/>
          <w:szCs w:val="72"/>
          <w14:textFill>
            <w14:solidFill>
              <w14:schemeClr w14:val="tx1"/>
            </w14:solidFill>
          </w14:textFill>
        </w:rPr>
      </w:pPr>
      <w:r>
        <w:rPr>
          <w:rFonts w:hint="eastAsia" w:hAnsi="宋体" w:cs="宋体"/>
          <w:b/>
          <w:color w:val="000000" w:themeColor="text1"/>
          <w:sz w:val="30"/>
          <w:szCs w:val="72"/>
          <w14:textFill>
            <w14:solidFill>
              <w14:schemeClr w14:val="tx1"/>
            </w14:solidFill>
          </w14:textFill>
        </w:rPr>
        <w:t>采购单位：广西大学</w:t>
      </w:r>
    </w:p>
    <w:p>
      <w:pPr>
        <w:pStyle w:val="17"/>
        <w:jc w:val="center"/>
        <w:rPr>
          <w:rFonts w:hAnsi="宋体" w:cs="宋体"/>
          <w:b/>
          <w:color w:val="000000" w:themeColor="text1"/>
          <w:sz w:val="30"/>
          <w:szCs w:val="72"/>
          <w14:textFill>
            <w14:solidFill>
              <w14:schemeClr w14:val="tx1"/>
            </w14:solidFill>
          </w14:textFill>
        </w:rPr>
      </w:pPr>
      <w:r>
        <w:rPr>
          <w:rFonts w:hint="eastAsia" w:hAnsi="宋体" w:cs="宋体"/>
          <w:b/>
          <w:color w:val="000000" w:themeColor="text1"/>
          <w:sz w:val="30"/>
          <w:szCs w:val="72"/>
          <w14:textFill>
            <w14:solidFill>
              <w14:schemeClr w14:val="tx1"/>
            </w14:solidFill>
          </w14:textFill>
        </w:rPr>
        <w:t>采购代理机构：</w:t>
      </w:r>
      <w:r>
        <w:rPr>
          <w:b/>
          <w:color w:val="000000" w:themeColor="text1"/>
          <w:sz w:val="32"/>
          <w:szCs w:val="32"/>
          <w14:textFill>
            <w14:solidFill>
              <w14:schemeClr w14:val="tx1"/>
            </w14:solidFill>
          </w14:textFill>
        </w:rPr>
        <w:t>广西科联招标中心有限公司</w:t>
      </w:r>
    </w:p>
    <w:p>
      <w:pPr>
        <w:pStyle w:val="5"/>
        <w:rPr>
          <w:color w:val="000000" w:themeColor="text1"/>
          <w14:textFill>
            <w14:solidFill>
              <w14:schemeClr w14:val="tx1"/>
            </w14:solidFill>
          </w14:textFill>
        </w:rPr>
      </w:pPr>
    </w:p>
    <w:p>
      <w:pPr>
        <w:pStyle w:val="17"/>
        <w:jc w:val="center"/>
        <w:rPr>
          <w:rFonts w:hAnsi="宋体" w:cs="宋体"/>
          <w:color w:val="000000" w:themeColor="text1"/>
          <w14:textFill>
            <w14:solidFill>
              <w14:schemeClr w14:val="tx1"/>
            </w14:solidFill>
          </w14:textFill>
        </w:rPr>
        <w:sectPr>
          <w:headerReference r:id="rId3" w:type="default"/>
          <w:footerReference r:id="rId4" w:type="default"/>
          <w:footerReference r:id="rId5" w:type="even"/>
          <w:pgSz w:w="11905" w:h="16838"/>
          <w:pgMar w:top="1417" w:right="1417" w:bottom="1417" w:left="1417" w:header="850" w:footer="992" w:gutter="0"/>
          <w:pgNumType w:start="0"/>
          <w:cols w:space="720" w:num="1"/>
          <w:titlePg/>
          <w:docGrid w:type="lines" w:linePitch="318" w:charSpace="0"/>
        </w:sectPr>
      </w:pPr>
      <w:r>
        <w:rPr>
          <w:rFonts w:hint="eastAsia" w:hAnsi="宋体" w:cs="宋体"/>
          <w:b/>
          <w:color w:val="000000" w:themeColor="text1"/>
          <w:sz w:val="30"/>
          <w:szCs w:val="72"/>
          <w14:textFill>
            <w14:solidFill>
              <w14:schemeClr w14:val="tx1"/>
            </w14:solidFill>
          </w14:textFill>
        </w:rPr>
        <w:t>2026年</w:t>
      </w:r>
      <w:r>
        <w:rPr>
          <w:rFonts w:hint="eastAsia" w:hAnsi="宋体" w:cs="宋体"/>
          <w:b/>
          <w:color w:val="000000" w:themeColor="text1"/>
          <w:sz w:val="30"/>
          <w:szCs w:val="72"/>
          <w:lang w:val="en-US" w:eastAsia="zh-CN"/>
          <w14:textFill>
            <w14:solidFill>
              <w14:schemeClr w14:val="tx1"/>
            </w14:solidFill>
          </w14:textFill>
        </w:rPr>
        <w:t>3</w:t>
      </w:r>
      <w:r>
        <w:rPr>
          <w:rFonts w:hint="eastAsia" w:hAnsi="宋体" w:cs="宋体"/>
          <w:b/>
          <w:color w:val="000000" w:themeColor="text1"/>
          <w:sz w:val="30"/>
          <w:szCs w:val="72"/>
          <w14:textFill>
            <w14:solidFill>
              <w14:schemeClr w14:val="tx1"/>
            </w14:solidFill>
          </w14:textFill>
        </w:rPr>
        <w:t>月</w:t>
      </w:r>
      <w:r>
        <w:rPr>
          <w:rFonts w:hint="eastAsia" w:hAnsi="宋体" w:cs="宋体"/>
          <w:b/>
          <w:color w:val="000000" w:themeColor="text1"/>
          <w:sz w:val="30"/>
          <w:szCs w:val="72"/>
          <w:lang w:val="en-US" w:eastAsia="zh-CN"/>
          <w14:textFill>
            <w14:solidFill>
              <w14:schemeClr w14:val="tx1"/>
            </w14:solidFill>
          </w14:textFill>
        </w:rPr>
        <w:t>17</w:t>
      </w:r>
      <w:r>
        <w:rPr>
          <w:rFonts w:hint="eastAsia" w:hAnsi="宋体" w:cs="宋体"/>
          <w:b/>
          <w:color w:val="000000" w:themeColor="text1"/>
          <w:sz w:val="30"/>
          <w:szCs w:val="72"/>
          <w14:textFill>
            <w14:solidFill>
              <w14:schemeClr w14:val="tx1"/>
            </w14:solidFill>
          </w14:textFill>
        </w:rPr>
        <w:t>日</w:t>
      </w:r>
      <w:r>
        <w:rPr>
          <w:rFonts w:hAnsi="宋体" w:cs="宋体"/>
          <w:b/>
          <w:color w:val="000000" w:themeColor="text1"/>
          <w:sz w:val="30"/>
          <w:szCs w:val="72"/>
          <w14:textFill>
            <w14:solidFill>
              <w14:schemeClr w14:val="tx1"/>
            </w14:solidFill>
          </w14:textFill>
        </w:rPr>
        <w:t xml:space="preserve">  </w:t>
      </w:r>
    </w:p>
    <w:p>
      <w:pPr>
        <w:spacing w:line="360" w:lineRule="auto"/>
        <w:rPr>
          <w:rFonts w:ascii="宋体" w:hAnsi="宋体" w:cs="宋体"/>
          <w:b/>
          <w:color w:val="000000" w:themeColor="text1"/>
          <w:sz w:val="44"/>
          <w:szCs w:val="44"/>
          <w14:textFill>
            <w14:solidFill>
              <w14:schemeClr w14:val="tx1"/>
            </w14:solidFill>
          </w14:textFill>
        </w:rPr>
      </w:pPr>
    </w:p>
    <w:p>
      <w:pPr>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目  录</w:t>
      </w:r>
    </w:p>
    <w:p>
      <w:pPr>
        <w:spacing w:line="400" w:lineRule="exact"/>
        <w:jc w:val="center"/>
        <w:rPr>
          <w:rFonts w:ascii="宋体" w:hAnsi="宋体" w:cs="宋体"/>
          <w:b/>
          <w:color w:val="000000" w:themeColor="text1"/>
          <w:sz w:val="44"/>
          <w:szCs w:val="44"/>
          <w14:textFill>
            <w14:solidFill>
              <w14:schemeClr w14:val="tx1"/>
            </w14:solidFill>
          </w14:textFill>
        </w:rPr>
      </w:pPr>
    </w:p>
    <w:p>
      <w:pPr>
        <w:pStyle w:val="22"/>
        <w:tabs>
          <w:tab w:val="right" w:leader="dot" w:pos="8730"/>
        </w:tabs>
        <w:spacing w:before="120" w:after="120"/>
        <w:ind w:firstLine="241" w:firstLineChars="100"/>
        <w:jc w:val="left"/>
        <w:rPr>
          <w:rFonts w:ascii="宋体" w:hAnsi="宋体"/>
          <w:b/>
          <w:bCs/>
          <w:cap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fldChar w:fldCharType="begin"/>
      </w:r>
      <w:r>
        <w:rPr>
          <w:rFonts w:hint="eastAsia" w:ascii="宋体" w:hAnsi="宋体" w:cs="宋体"/>
          <w:b/>
          <w:color w:val="000000" w:themeColor="text1"/>
          <w:sz w:val="24"/>
          <w14:textFill>
            <w14:solidFill>
              <w14:schemeClr w14:val="tx1"/>
            </w14:solidFill>
          </w14:textFill>
        </w:rPr>
        <w:instrText xml:space="preserve"> TOC \o "1-3" \h \z \u </w:instrText>
      </w:r>
      <w:r>
        <w:rPr>
          <w:rFonts w:hint="eastAsia" w:ascii="宋体" w:hAnsi="宋体" w:cs="宋体"/>
          <w:b/>
          <w:color w:val="000000" w:themeColor="text1"/>
          <w:sz w:val="24"/>
          <w14:textFill>
            <w14:solidFill>
              <w14:schemeClr w14:val="tx1"/>
            </w14:solidFill>
          </w14:textFill>
        </w:rPr>
        <w:fldChar w:fldCharType="separate"/>
      </w:r>
      <w:r>
        <w:rPr>
          <w:rFonts w:hint="eastAsia" w:ascii="宋体" w:hAnsi="宋体" w:cs="宋体"/>
          <w:b/>
          <w:color w:val="000000" w:themeColor="text1"/>
          <w:sz w:val="24"/>
          <w14:textFill>
            <w14:solidFill>
              <w14:schemeClr w14:val="tx1"/>
            </w14:solidFill>
          </w14:textFill>
        </w:rPr>
        <w:fldChar w:fldCharType="begin"/>
      </w:r>
      <w:r>
        <w:rPr>
          <w:rFonts w:hint="eastAsia" w:ascii="宋体" w:hAnsi="宋体" w:cs="宋体"/>
          <w:b/>
          <w:color w:val="000000" w:themeColor="text1"/>
          <w:sz w:val="24"/>
          <w14:textFill>
            <w14:solidFill>
              <w14:schemeClr w14:val="tx1"/>
            </w14:solidFill>
          </w14:textFill>
        </w:rPr>
        <w:instrText xml:space="preserve"> TOC \o "1-3" \h \z \u </w:instrText>
      </w:r>
      <w:r>
        <w:rPr>
          <w:rFonts w:hint="eastAsia" w:ascii="宋体" w:hAnsi="宋体" w:cs="宋体"/>
          <w:b/>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"_Toc74322008" </w:instrText>
      </w:r>
      <w:r>
        <w:rPr>
          <w:color w:val="000000" w:themeColor="text1"/>
          <w14:textFill>
            <w14:solidFill>
              <w14:schemeClr w14:val="tx1"/>
            </w14:solidFill>
          </w14:textFill>
        </w:rPr>
        <w:fldChar w:fldCharType="separate"/>
      </w:r>
      <w:r>
        <w:rPr>
          <w:rFonts w:hint="eastAsia" w:ascii="宋体" w:hAnsi="宋体"/>
          <w:b/>
          <w:bCs/>
          <w:caps/>
          <w:color w:val="000000" w:themeColor="text1"/>
          <w:sz w:val="24"/>
          <w14:textFill>
            <w14:solidFill>
              <w14:schemeClr w14:val="tx1"/>
            </w14:solidFill>
          </w14:textFill>
        </w:rPr>
        <w:t>第一章 竞争性谈判公告</w:t>
      </w:r>
      <w:r>
        <w:rPr>
          <w:rFonts w:hint="eastAsia" w:ascii="宋体" w:hAnsi="宋体"/>
          <w:b/>
          <w:bCs/>
          <w:caps/>
          <w:color w:val="000000" w:themeColor="text1"/>
          <w:sz w:val="24"/>
          <w14:textFill>
            <w14:solidFill>
              <w14:schemeClr w14:val="tx1"/>
            </w14:solidFill>
          </w14:textFill>
        </w:rPr>
        <w:fldChar w:fldCharType="end"/>
      </w:r>
      <w:r>
        <w:rPr>
          <w:rFonts w:hint="eastAsia" w:ascii="宋体" w:hAnsi="宋体"/>
          <w:b/>
          <w:bCs/>
          <w:caps/>
          <w:color w:val="000000" w:themeColor="text1"/>
          <w:sz w:val="24"/>
          <w14:textFill>
            <w14:solidFill>
              <w14:schemeClr w14:val="tx1"/>
            </w14:solidFill>
          </w14:textFill>
        </w:rPr>
        <w:t>……………………………………………………</w:t>
      </w:r>
      <w:r>
        <w:rPr>
          <w:rFonts w:ascii="宋体" w:hAnsi="宋体"/>
          <w:b/>
          <w:bCs/>
          <w:caps/>
          <w:color w:val="000000" w:themeColor="text1"/>
          <w:sz w:val="24"/>
          <w14:textFill>
            <w14:solidFill>
              <w14:schemeClr w14:val="tx1"/>
            </w14:solidFill>
          </w14:textFill>
        </w:rPr>
        <w:t>1</w:t>
      </w:r>
    </w:p>
    <w:p>
      <w:pPr>
        <w:pStyle w:val="22"/>
        <w:tabs>
          <w:tab w:val="right" w:leader="dot" w:pos="8730"/>
        </w:tabs>
        <w:spacing w:before="120" w:after="120"/>
        <w:ind w:firstLine="210" w:firstLineChars="100"/>
        <w:jc w:val="left"/>
        <w:rPr>
          <w:rFonts w:ascii="宋体" w:hAnsi="宋体"/>
          <w:b/>
          <w:bCs/>
          <w:cap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"_Toc74322009" </w:instrText>
      </w:r>
      <w:r>
        <w:rPr>
          <w:color w:val="000000" w:themeColor="text1"/>
          <w14:textFill>
            <w14:solidFill>
              <w14:schemeClr w14:val="tx1"/>
            </w14:solidFill>
          </w14:textFill>
        </w:rPr>
        <w:fldChar w:fldCharType="separate"/>
      </w:r>
      <w:r>
        <w:rPr>
          <w:rFonts w:hint="eastAsia" w:ascii="宋体" w:hAnsi="宋体"/>
          <w:b/>
          <w:bCs/>
          <w:caps/>
          <w:color w:val="000000" w:themeColor="text1"/>
          <w:sz w:val="24"/>
          <w14:textFill>
            <w14:solidFill>
              <w14:schemeClr w14:val="tx1"/>
            </w14:solidFill>
          </w14:textFill>
        </w:rPr>
        <w:t>第二章 供应商须知</w:t>
      </w:r>
      <w:r>
        <w:rPr>
          <w:rFonts w:hint="eastAsia" w:ascii="宋体" w:hAnsi="宋体"/>
          <w:b/>
          <w:bCs/>
          <w:caps/>
          <w:color w:val="000000" w:themeColor="text1"/>
          <w:sz w:val="24"/>
          <w14:textFill>
            <w14:solidFill>
              <w14:schemeClr w14:val="tx1"/>
            </w14:solidFill>
          </w14:textFill>
        </w:rPr>
        <w:fldChar w:fldCharType="end"/>
      </w:r>
      <w:r>
        <w:rPr>
          <w:rFonts w:hint="eastAsia" w:ascii="宋体" w:hAnsi="宋体"/>
          <w:b/>
          <w:bCs/>
          <w:caps/>
          <w:color w:val="000000" w:themeColor="text1"/>
          <w:sz w:val="24"/>
          <w14:textFill>
            <w14:solidFill>
              <w14:schemeClr w14:val="tx1"/>
            </w14:solidFill>
          </w14:textFill>
        </w:rPr>
        <w:t>…………………………………………………………6</w:t>
      </w:r>
    </w:p>
    <w:p>
      <w:pPr>
        <w:pStyle w:val="22"/>
        <w:tabs>
          <w:tab w:val="right" w:leader="dot" w:pos="8730"/>
        </w:tabs>
        <w:spacing w:before="120" w:after="120"/>
        <w:ind w:firstLine="210" w:firstLineChars="100"/>
        <w:jc w:val="left"/>
        <w:rPr>
          <w:rFonts w:hint="default" w:ascii="宋体" w:hAnsi="宋体" w:eastAsia="宋体"/>
          <w:b/>
          <w:bCs/>
          <w:caps/>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"_Toc74322010" </w:instrText>
      </w:r>
      <w:r>
        <w:rPr>
          <w:color w:val="000000" w:themeColor="text1"/>
          <w14:textFill>
            <w14:solidFill>
              <w14:schemeClr w14:val="tx1"/>
            </w14:solidFill>
          </w14:textFill>
        </w:rPr>
        <w:fldChar w:fldCharType="separate"/>
      </w:r>
      <w:r>
        <w:rPr>
          <w:rFonts w:hint="eastAsia" w:ascii="宋体" w:hAnsi="宋体"/>
          <w:b/>
          <w:bCs/>
          <w:caps/>
          <w:color w:val="000000" w:themeColor="text1"/>
          <w:sz w:val="24"/>
          <w14:textFill>
            <w14:solidFill>
              <w14:schemeClr w14:val="tx1"/>
            </w14:solidFill>
          </w14:textFill>
        </w:rPr>
        <w:t>第三章 采购需求</w:t>
      </w:r>
      <w:r>
        <w:rPr>
          <w:rFonts w:hint="eastAsia" w:ascii="宋体" w:hAnsi="宋体"/>
          <w:b/>
          <w:bCs/>
          <w:caps/>
          <w:color w:val="000000" w:themeColor="text1"/>
          <w:sz w:val="24"/>
          <w14:textFill>
            <w14:solidFill>
              <w14:schemeClr w14:val="tx1"/>
            </w14:solidFill>
          </w14:textFill>
        </w:rPr>
        <w:fldChar w:fldCharType="end"/>
      </w:r>
      <w:r>
        <w:rPr>
          <w:rFonts w:hint="eastAsia" w:ascii="宋体" w:hAnsi="宋体"/>
          <w:b/>
          <w:bCs/>
          <w:caps/>
          <w:color w:val="000000" w:themeColor="text1"/>
          <w:sz w:val="24"/>
          <w14:textFill>
            <w14:solidFill>
              <w14:schemeClr w14:val="tx1"/>
            </w14:solidFill>
          </w14:textFill>
        </w:rPr>
        <w:t>……………………………………………………………</w:t>
      </w:r>
      <w:r>
        <w:rPr>
          <w:rFonts w:hint="eastAsia" w:ascii="宋体" w:hAnsi="宋体"/>
          <w:b/>
          <w:bCs/>
          <w:caps/>
          <w:color w:val="000000" w:themeColor="text1"/>
          <w:sz w:val="24"/>
          <w:lang w:val="en-US" w:eastAsia="zh-CN"/>
          <w14:textFill>
            <w14:solidFill>
              <w14:schemeClr w14:val="tx1"/>
            </w14:solidFill>
          </w14:textFill>
        </w:rPr>
        <w:t>29</w:t>
      </w:r>
    </w:p>
    <w:p>
      <w:pPr>
        <w:pStyle w:val="22"/>
        <w:tabs>
          <w:tab w:val="right" w:leader="dot" w:pos="8730"/>
        </w:tabs>
        <w:spacing w:before="120" w:after="120"/>
        <w:ind w:firstLine="210" w:firstLineChars="100"/>
        <w:jc w:val="left"/>
        <w:rPr>
          <w:rFonts w:hint="default" w:ascii="宋体" w:hAnsi="宋体" w:eastAsia="宋体"/>
          <w:b/>
          <w:bCs/>
          <w:caps/>
          <w:color w:val="000000" w:themeColor="text1"/>
          <w:sz w:val="24"/>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"_Toc74322011" </w:instrText>
      </w:r>
      <w:r>
        <w:rPr>
          <w:color w:val="000000" w:themeColor="text1"/>
          <w14:textFill>
            <w14:solidFill>
              <w14:schemeClr w14:val="tx1"/>
            </w14:solidFill>
          </w14:textFill>
        </w:rPr>
        <w:fldChar w:fldCharType="separate"/>
      </w:r>
      <w:r>
        <w:rPr>
          <w:rFonts w:hint="eastAsia" w:ascii="宋体" w:hAnsi="宋体"/>
          <w:b/>
          <w:bCs/>
          <w:caps/>
          <w:color w:val="000000" w:themeColor="text1"/>
          <w:sz w:val="24"/>
          <w14:textFill>
            <w14:solidFill>
              <w14:schemeClr w14:val="tx1"/>
            </w14:solidFill>
          </w14:textFill>
        </w:rPr>
        <w:t>第四章 评审程序和评定成交的标准</w:t>
      </w:r>
      <w:r>
        <w:rPr>
          <w:rFonts w:hint="eastAsia" w:ascii="宋体" w:hAnsi="宋体"/>
          <w:b/>
          <w:bCs/>
          <w:caps/>
          <w:color w:val="000000" w:themeColor="text1"/>
          <w:sz w:val="24"/>
          <w14:textFill>
            <w14:solidFill>
              <w14:schemeClr w14:val="tx1"/>
            </w14:solidFill>
          </w14:textFill>
        </w:rPr>
        <w:fldChar w:fldCharType="end"/>
      </w:r>
      <w:r>
        <w:rPr>
          <w:rFonts w:hint="eastAsia" w:ascii="宋体" w:hAnsi="宋体"/>
          <w:b/>
          <w:bCs/>
          <w:caps/>
          <w:color w:val="000000" w:themeColor="text1"/>
          <w:sz w:val="24"/>
          <w14:textFill>
            <w14:solidFill>
              <w14:schemeClr w14:val="tx1"/>
            </w14:solidFill>
          </w14:textFill>
        </w:rPr>
        <w:t>………………………………………</w:t>
      </w:r>
      <w:r>
        <w:rPr>
          <w:rFonts w:hint="eastAsia" w:ascii="宋体" w:hAnsi="宋体"/>
          <w:b/>
          <w:bCs/>
          <w:caps/>
          <w:color w:val="000000" w:themeColor="text1"/>
          <w:sz w:val="24"/>
          <w:lang w:val="en-US" w:eastAsia="zh-CN"/>
          <w14:textFill>
            <w14:solidFill>
              <w14:schemeClr w14:val="tx1"/>
            </w14:solidFill>
          </w14:textFill>
        </w:rPr>
        <w:t>59</w:t>
      </w:r>
    </w:p>
    <w:p>
      <w:pPr>
        <w:pStyle w:val="22"/>
        <w:tabs>
          <w:tab w:val="right" w:leader="dot" w:pos="8730"/>
        </w:tabs>
        <w:spacing w:before="120" w:after="120"/>
        <w:ind w:firstLine="210" w:firstLineChars="100"/>
        <w:jc w:val="left"/>
        <w:rPr>
          <w:rFonts w:hint="eastAsia" w:ascii="宋体" w:hAnsi="宋体" w:eastAsia="宋体"/>
          <w:b/>
          <w:bCs/>
          <w:caps/>
          <w:color w:val="000000" w:themeColor="text1"/>
          <w:sz w:val="24"/>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"_Toc74322012" </w:instrText>
      </w:r>
      <w:r>
        <w:rPr>
          <w:color w:val="000000" w:themeColor="text1"/>
          <w14:textFill>
            <w14:solidFill>
              <w14:schemeClr w14:val="tx1"/>
            </w14:solidFill>
          </w14:textFill>
        </w:rPr>
        <w:fldChar w:fldCharType="separate"/>
      </w:r>
      <w:r>
        <w:rPr>
          <w:rFonts w:hint="eastAsia" w:ascii="宋体" w:hAnsi="宋体"/>
          <w:b/>
          <w:bCs/>
          <w:caps/>
          <w:color w:val="000000" w:themeColor="text1"/>
          <w:sz w:val="24"/>
          <w14:textFill>
            <w14:solidFill>
              <w14:schemeClr w14:val="tx1"/>
            </w14:solidFill>
          </w14:textFill>
        </w:rPr>
        <w:t>第五章 响应文件格式</w:t>
      </w:r>
      <w:r>
        <w:rPr>
          <w:rFonts w:hint="eastAsia" w:ascii="宋体" w:hAnsi="宋体"/>
          <w:b/>
          <w:bCs/>
          <w:caps/>
          <w:color w:val="000000" w:themeColor="text1"/>
          <w:sz w:val="24"/>
          <w14:textFill>
            <w14:solidFill>
              <w14:schemeClr w14:val="tx1"/>
            </w14:solidFill>
          </w14:textFill>
        </w:rPr>
        <w:fldChar w:fldCharType="end"/>
      </w:r>
      <w:r>
        <w:rPr>
          <w:rFonts w:hint="eastAsia" w:ascii="宋体" w:hAnsi="宋体"/>
          <w:b/>
          <w:bCs/>
          <w:caps/>
          <w:color w:val="000000" w:themeColor="text1"/>
          <w:sz w:val="24"/>
          <w14:textFill>
            <w14:solidFill>
              <w14:schemeClr w14:val="tx1"/>
            </w14:solidFill>
          </w14:textFill>
        </w:rPr>
        <w:t>………………………………………………………6</w:t>
      </w:r>
      <w:r>
        <w:rPr>
          <w:rFonts w:hint="eastAsia" w:ascii="宋体" w:hAnsi="宋体"/>
          <w:b/>
          <w:bCs/>
          <w:caps/>
          <w:color w:val="000000" w:themeColor="text1"/>
          <w:sz w:val="24"/>
          <w:lang w:val="en-US" w:eastAsia="zh-CN"/>
          <w14:textFill>
            <w14:solidFill>
              <w14:schemeClr w14:val="tx1"/>
            </w14:solidFill>
          </w14:textFill>
        </w:rPr>
        <w:t>6</w:t>
      </w:r>
    </w:p>
    <w:p>
      <w:pPr>
        <w:pStyle w:val="22"/>
        <w:tabs>
          <w:tab w:val="right" w:leader="dot" w:pos="8730"/>
        </w:tabs>
        <w:spacing w:before="120" w:after="120"/>
        <w:ind w:firstLine="210" w:firstLineChars="100"/>
        <w:jc w:val="left"/>
        <w:rPr>
          <w:rFonts w:hint="eastAsia" w:ascii="宋体" w:hAnsi="宋体" w:eastAsia="宋体"/>
          <w:b/>
          <w:bCs/>
          <w:caps/>
          <w:color w:val="000000" w:themeColor="text1"/>
          <w:sz w:val="24"/>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"_Toc74322013" </w:instrText>
      </w:r>
      <w:r>
        <w:rPr>
          <w:color w:val="000000" w:themeColor="text1"/>
          <w14:textFill>
            <w14:solidFill>
              <w14:schemeClr w14:val="tx1"/>
            </w14:solidFill>
          </w14:textFill>
        </w:rPr>
        <w:fldChar w:fldCharType="separate"/>
      </w:r>
      <w:r>
        <w:rPr>
          <w:rFonts w:hint="eastAsia" w:ascii="宋体" w:hAnsi="宋体"/>
          <w:b/>
          <w:bCs/>
          <w:caps/>
          <w:color w:val="000000" w:themeColor="text1"/>
          <w:sz w:val="24"/>
          <w14:textFill>
            <w14:solidFill>
              <w14:schemeClr w14:val="tx1"/>
            </w14:solidFill>
          </w14:textFill>
        </w:rPr>
        <w:t>第六章 合同文本</w:t>
      </w:r>
      <w:r>
        <w:rPr>
          <w:rFonts w:hint="eastAsia" w:ascii="宋体" w:hAnsi="宋体"/>
          <w:b/>
          <w:bCs/>
          <w:caps/>
          <w:color w:val="000000" w:themeColor="text1"/>
          <w:sz w:val="24"/>
          <w14:textFill>
            <w14:solidFill>
              <w14:schemeClr w14:val="tx1"/>
            </w14:solidFill>
          </w14:textFill>
        </w:rPr>
        <w:fldChar w:fldCharType="end"/>
      </w:r>
      <w:r>
        <w:rPr>
          <w:rFonts w:hint="eastAsia" w:ascii="宋体" w:hAnsi="宋体"/>
          <w:b/>
          <w:bCs/>
          <w:caps/>
          <w:color w:val="000000" w:themeColor="text1"/>
          <w:sz w:val="24"/>
          <w14:textFill>
            <w14:solidFill>
              <w14:schemeClr w14:val="tx1"/>
            </w14:solidFill>
          </w14:textFill>
        </w:rPr>
        <w:t>……………………………………………………………9</w:t>
      </w:r>
      <w:r>
        <w:rPr>
          <w:rFonts w:hint="eastAsia" w:ascii="宋体" w:hAnsi="宋体"/>
          <w:b/>
          <w:bCs/>
          <w:caps/>
          <w:color w:val="000000" w:themeColor="text1"/>
          <w:sz w:val="24"/>
          <w:lang w:val="en-US" w:eastAsia="zh-CN"/>
          <w14:textFill>
            <w14:solidFill>
              <w14:schemeClr w14:val="tx1"/>
            </w14:solidFill>
          </w14:textFill>
        </w:rPr>
        <w:t>2</w:t>
      </w:r>
    </w:p>
    <w:p>
      <w:pPr>
        <w:pStyle w:val="22"/>
        <w:tabs>
          <w:tab w:val="right" w:leader="dot" w:pos="8869"/>
        </w:tabs>
        <w:snapToGrid w:val="0"/>
        <w:spacing w:line="500" w:lineRule="atLeast"/>
        <w:ind w:firstLine="1484" w:firstLineChars="616"/>
        <w:rPr>
          <w:rFonts w:ascii="宋体" w:hAnsi="宋体" w:cs="宋体"/>
          <w:b/>
          <w:color w:val="000000" w:themeColor="text1"/>
          <w:sz w:val="24"/>
          <w14:textFill>
            <w14:solidFill>
              <w14:schemeClr w14:val="tx1"/>
            </w14:solidFill>
          </w14:textFill>
        </w:rPr>
      </w:pPr>
    </w:p>
    <w:p>
      <w:pPr>
        <w:pStyle w:val="22"/>
        <w:tabs>
          <w:tab w:val="right" w:leader="dot" w:pos="8869"/>
        </w:tabs>
        <w:snapToGrid w:val="0"/>
        <w:spacing w:line="500" w:lineRule="atLeast"/>
        <w:ind w:firstLine="1484" w:firstLineChars="616"/>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fldChar w:fldCharType="end"/>
      </w:r>
    </w:p>
    <w:p>
      <w:pPr>
        <w:pStyle w:val="23"/>
        <w:tabs>
          <w:tab w:val="right" w:leader="dot" w:pos="8931"/>
          <w:tab w:val="clear" w:pos="8296"/>
        </w:tabs>
        <w:snapToGrid w:val="0"/>
        <w:spacing w:line="500" w:lineRule="atLeast"/>
        <w:ind w:left="0" w:leftChars="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fldChar w:fldCharType="end"/>
      </w:r>
    </w:p>
    <w:p>
      <w:pPr>
        <w:spacing w:line="400" w:lineRule="exact"/>
        <w:jc w:val="left"/>
        <w:rPr>
          <w:rFonts w:ascii="宋体" w:hAnsi="宋体" w:cs="宋体"/>
          <w:b/>
          <w:color w:val="000000" w:themeColor="text1"/>
          <w:sz w:val="32"/>
          <w:szCs w:val="32"/>
          <w14:textFill>
            <w14:solidFill>
              <w14:schemeClr w14:val="tx1"/>
            </w14:solidFill>
          </w14:textFill>
        </w:rPr>
      </w:pPr>
    </w:p>
    <w:p>
      <w:pPr>
        <w:spacing w:line="400" w:lineRule="exact"/>
        <w:jc w:val="center"/>
        <w:rPr>
          <w:rFonts w:ascii="宋体" w:hAnsi="宋体" w:cs="宋体"/>
          <w:b/>
          <w:color w:val="000000" w:themeColor="text1"/>
          <w:sz w:val="32"/>
          <w:szCs w:val="32"/>
          <w14:textFill>
            <w14:solidFill>
              <w14:schemeClr w14:val="tx1"/>
            </w14:solidFill>
          </w14:textFill>
        </w:rPr>
      </w:pPr>
    </w:p>
    <w:p>
      <w:pPr>
        <w:spacing w:line="400" w:lineRule="exact"/>
        <w:jc w:val="center"/>
        <w:rPr>
          <w:rFonts w:ascii="宋体" w:hAnsi="宋体" w:cs="宋体"/>
          <w:b/>
          <w:color w:val="000000" w:themeColor="text1"/>
          <w:sz w:val="32"/>
          <w:szCs w:val="32"/>
          <w14:textFill>
            <w14:solidFill>
              <w14:schemeClr w14:val="tx1"/>
            </w14:solidFill>
          </w14:textFill>
        </w:rPr>
      </w:pPr>
    </w:p>
    <w:p>
      <w:pPr>
        <w:spacing w:line="400" w:lineRule="exact"/>
        <w:jc w:val="center"/>
        <w:rPr>
          <w:rFonts w:ascii="宋体" w:hAnsi="宋体" w:cs="宋体"/>
          <w:b/>
          <w:color w:val="000000" w:themeColor="text1"/>
          <w:sz w:val="32"/>
          <w:szCs w:val="32"/>
          <w14:textFill>
            <w14:solidFill>
              <w14:schemeClr w14:val="tx1"/>
            </w14:solidFill>
          </w14:textFill>
        </w:rPr>
      </w:pPr>
    </w:p>
    <w:p>
      <w:pPr>
        <w:spacing w:line="400" w:lineRule="exact"/>
        <w:jc w:val="center"/>
        <w:rPr>
          <w:rFonts w:ascii="宋体" w:hAnsi="宋体" w:cs="宋体"/>
          <w:b/>
          <w:color w:val="000000" w:themeColor="text1"/>
          <w:sz w:val="32"/>
          <w:szCs w:val="32"/>
          <w14:textFill>
            <w14:solidFill>
              <w14:schemeClr w14:val="tx1"/>
            </w14:solidFill>
          </w14:textFill>
        </w:rPr>
      </w:pPr>
    </w:p>
    <w:p>
      <w:pPr>
        <w:spacing w:line="400" w:lineRule="exact"/>
        <w:rPr>
          <w:rFonts w:ascii="宋体" w:hAnsi="宋体" w:cs="宋体"/>
          <w:b/>
          <w:color w:val="000000" w:themeColor="text1"/>
          <w:sz w:val="32"/>
          <w:szCs w:val="32"/>
          <w14:textFill>
            <w14:solidFill>
              <w14:schemeClr w14:val="tx1"/>
            </w14:solidFill>
          </w14:textFill>
        </w:rPr>
        <w:sectPr>
          <w:headerReference r:id="rId6" w:type="default"/>
          <w:footerReference r:id="rId7" w:type="default"/>
          <w:pgSz w:w="11905" w:h="16838"/>
          <w:pgMar w:top="1417" w:right="1417" w:bottom="1417" w:left="1417" w:header="850" w:footer="992" w:gutter="0"/>
          <w:pgNumType w:start="0"/>
          <w:cols w:space="720" w:num="1"/>
          <w:titlePg/>
          <w:docGrid w:type="lines" w:linePitch="318" w:charSpace="0"/>
        </w:sectPr>
      </w:pPr>
    </w:p>
    <w:p>
      <w:pPr>
        <w:pStyle w:val="3"/>
        <w:numPr>
          <w:ilvl w:val="0"/>
          <w:numId w:val="1"/>
        </w:numPr>
        <w:spacing w:before="0" w:after="0" w:line="240" w:lineRule="auto"/>
        <w:ind w:firstLine="883"/>
        <w:jc w:val="center"/>
        <w:rPr>
          <w:rFonts w:ascii="宋体" w:hAnsi="宋体" w:cs="宋体"/>
          <w:color w:val="000000" w:themeColor="text1"/>
          <w14:textFill>
            <w14:solidFill>
              <w14:schemeClr w14:val="tx1"/>
            </w14:solidFill>
          </w14:textFill>
        </w:rPr>
      </w:pPr>
      <w:bookmarkStart w:id="1" w:name="_Toc74322008"/>
      <w:r>
        <w:rPr>
          <w:rFonts w:hint="eastAsia" w:ascii="宋体" w:hAnsi="宋体" w:cs="宋体"/>
          <w:color w:val="000000" w:themeColor="text1"/>
          <w14:textFill>
            <w14:solidFill>
              <w14:schemeClr w14:val="tx1"/>
            </w14:solidFill>
          </w14:textFill>
        </w:rPr>
        <w:t>竞争性谈判公告</w:t>
      </w:r>
      <w:bookmarkEnd w:id="1"/>
    </w:p>
    <w:p>
      <w:pPr>
        <w:rPr>
          <w:color w:val="000000" w:themeColor="text1"/>
          <w14:textFill>
            <w14:solidFill>
              <w14:schemeClr w14:val="tx1"/>
            </w14:solidFill>
          </w14:textFill>
        </w:rPr>
      </w:pPr>
    </w:p>
    <w:p>
      <w:pPr>
        <w:pStyle w:val="17"/>
        <w:ind w:firstLine="643"/>
        <w:jc w:val="center"/>
        <w:rPr>
          <w:rFonts w:hAnsi="宋体" w:cs="宋体"/>
          <w:b/>
          <w:color w:val="000000" w:themeColor="text1"/>
          <w:sz w:val="36"/>
          <w:szCs w:val="36"/>
          <w14:textFill>
            <w14:solidFill>
              <w14:schemeClr w14:val="tx1"/>
            </w14:solidFill>
          </w14:textFill>
        </w:rPr>
      </w:pPr>
      <w:r>
        <w:rPr>
          <w:b/>
          <w:color w:val="000000" w:themeColor="text1"/>
          <w:sz w:val="32"/>
          <w:szCs w:val="32"/>
          <w14:textFill>
            <w14:solidFill>
              <w14:schemeClr w14:val="tx1"/>
            </w14:solidFill>
          </w14:textFill>
        </w:rPr>
        <w:t>广西科联招标中心有限公司</w:t>
      </w:r>
    </w:p>
    <w:p>
      <w:pPr>
        <w:ind w:firstLine="602"/>
        <w:jc w:val="center"/>
        <w:rPr>
          <w:rFonts w:hAnsi="宋体" w:cs="宋体"/>
          <w:b/>
          <w:color w:val="000000" w:themeColor="text1"/>
          <w:sz w:val="30"/>
          <w:szCs w:val="72"/>
          <w14:textFill>
            <w14:solidFill>
              <w14:schemeClr w14:val="tx1"/>
            </w14:solidFill>
          </w14:textFill>
        </w:rPr>
      </w:pPr>
      <w:r>
        <w:rPr>
          <w:rFonts w:hint="eastAsia" w:hAnsi="宋体" w:cs="宋体"/>
          <w:b/>
          <w:color w:val="000000" w:themeColor="text1"/>
          <w:sz w:val="30"/>
          <w:szCs w:val="72"/>
          <w14:textFill>
            <w14:solidFill>
              <w14:schemeClr w14:val="tx1"/>
            </w14:solidFill>
          </w14:textFill>
        </w:rPr>
        <w:t>广西大学物理学院C座8楼洁净实验室建设</w:t>
      </w:r>
    </w:p>
    <w:p>
      <w:pPr>
        <w:ind w:firstLine="723"/>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w:t>
      </w:r>
      <w:r>
        <w:rPr>
          <w:b/>
          <w:color w:val="000000" w:themeColor="text1"/>
          <w:sz w:val="32"/>
          <w:szCs w:val="32"/>
          <w14:textFill>
            <w14:solidFill>
              <w14:schemeClr w14:val="tx1"/>
            </w14:solidFill>
          </w14:textFill>
        </w:rPr>
        <w:t>GXZC</w:t>
      </w:r>
      <w:r>
        <w:rPr>
          <w:rFonts w:hint="eastAsia"/>
          <w:b/>
          <w:color w:val="000000" w:themeColor="text1"/>
          <w:sz w:val="32"/>
          <w:szCs w:val="32"/>
          <w14:textFill>
            <w14:solidFill>
              <w14:schemeClr w14:val="tx1"/>
            </w14:solidFill>
          </w14:textFill>
        </w:rPr>
        <w:t>2026</w:t>
      </w:r>
      <w:r>
        <w:rPr>
          <w:b/>
          <w:color w:val="000000" w:themeColor="text1"/>
          <w:sz w:val="32"/>
          <w:szCs w:val="32"/>
          <w14:textFill>
            <w14:solidFill>
              <w14:schemeClr w14:val="tx1"/>
            </w14:solidFill>
          </w14:textFill>
        </w:rPr>
        <w:t>-J1-</w:t>
      </w:r>
      <w:r>
        <w:rPr>
          <w:rFonts w:hint="eastAsia"/>
          <w:b/>
          <w:color w:val="000000" w:themeColor="text1"/>
          <w:sz w:val="32"/>
          <w:szCs w:val="32"/>
          <w:lang w:val="en-US" w:eastAsia="zh-CN"/>
          <w14:textFill>
            <w14:solidFill>
              <w14:schemeClr w14:val="tx1"/>
            </w14:solidFill>
          </w14:textFill>
        </w:rPr>
        <w:t>000505</w:t>
      </w:r>
      <w:r>
        <w:rPr>
          <w:b/>
          <w:color w:val="000000" w:themeColor="text1"/>
          <w:sz w:val="32"/>
          <w:szCs w:val="32"/>
          <w14:textFill>
            <w14:solidFill>
              <w14:schemeClr w14:val="tx1"/>
            </w14:solidFill>
          </w14:textFill>
        </w:rPr>
        <w:t>-</w:t>
      </w:r>
      <w:r>
        <w:rPr>
          <w:rFonts w:hint="eastAsia"/>
          <w:b/>
          <w:color w:val="000000" w:themeColor="text1"/>
          <w:sz w:val="32"/>
          <w:szCs w:val="32"/>
          <w14:textFill>
            <w14:solidFill>
              <w14:schemeClr w14:val="tx1"/>
            </w14:solidFill>
          </w14:textFill>
        </w:rPr>
        <w:t>GXKL</w:t>
      </w:r>
      <w:r>
        <w:rPr>
          <w:rFonts w:hint="eastAsia" w:ascii="宋体" w:hAnsi="宋体" w:cs="宋体"/>
          <w:b/>
          <w:bCs/>
          <w:color w:val="000000" w:themeColor="text1"/>
          <w:sz w:val="36"/>
          <w:szCs w:val="36"/>
          <w14:textFill>
            <w14:solidFill>
              <w14:schemeClr w14:val="tx1"/>
            </w14:solidFill>
          </w14:textFill>
        </w:rPr>
        <w:t>）</w:t>
      </w:r>
    </w:p>
    <w:p>
      <w:pPr>
        <w:ind w:firstLine="723"/>
        <w:jc w:val="center"/>
        <w:rPr>
          <w:color w:val="000000" w:themeColor="text1"/>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竞争性谈判公告</w:t>
      </w:r>
    </w:p>
    <w:p>
      <w:pPr>
        <w:pStyle w:val="36"/>
        <w:rPr>
          <w:color w:val="000000" w:themeColor="text1"/>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14:textFill>
            <w14:solidFill>
              <w14:schemeClr w14:val="tx1"/>
            </w14:solidFill>
          </w14:textFill>
        </w:rPr>
      </w:pPr>
      <w:bookmarkStart w:id="2" w:name="_Hlk37430271"/>
      <w:r>
        <w:rPr>
          <w:rFonts w:hint="eastAsia" w:ascii="宋体" w:hAnsi="宋体" w:cs="宋体"/>
          <w:color w:val="000000" w:themeColor="text1"/>
          <w:sz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广西大学物理学院C座8楼洁净实验室建设</w:t>
      </w:r>
      <w:r>
        <w:rPr>
          <w:rFonts w:hint="eastAsia" w:ascii="宋体" w:hAnsi="宋体" w:cs="宋体"/>
          <w:color w:val="000000" w:themeColor="text1"/>
          <w:sz w:val="24"/>
          <w14:textFill>
            <w14:solidFill>
              <w14:schemeClr w14:val="tx1"/>
            </w14:solidFill>
          </w14:textFill>
        </w:rPr>
        <w:t>项目的潜在供应商应在广西政府采购云平台（https://www.gcy.zfcg.gxzf.gov.cn/）获取（下载）竞争性谈判采购文件，并于2026年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 xml:space="preserve"> 日9时0分</w:t>
      </w:r>
      <w:r>
        <w:rPr>
          <w:rFonts w:hint="eastAsia" w:ascii="宋体" w:hAnsi="宋体" w:cs="宋体"/>
          <w:bCs/>
          <w:color w:val="000000" w:themeColor="text1"/>
          <w:sz w:val="24"/>
          <w14:textFill>
            <w14:solidFill>
              <w14:schemeClr w14:val="tx1"/>
            </w14:solidFill>
          </w14:textFill>
        </w:rPr>
        <w:t>（北京时间）前提交响应文件</w:t>
      </w:r>
      <w:r>
        <w:rPr>
          <w:rFonts w:hint="eastAsia" w:ascii="宋体" w:hAnsi="宋体" w:cs="宋体"/>
          <w:color w:val="000000" w:themeColor="text1"/>
          <w:sz w:val="24"/>
          <w14:textFill>
            <w14:solidFill>
              <w14:schemeClr w14:val="tx1"/>
            </w14:solidFill>
          </w14:textFill>
        </w:rPr>
        <w:t>。</w:t>
      </w:r>
    </w:p>
    <w:p>
      <w:pPr>
        <w:spacing w:line="360" w:lineRule="auto"/>
        <w:ind w:firstLine="361" w:firstLineChars="150"/>
        <w:rPr>
          <w:rFonts w:ascii="宋体" w:hAnsi="宋体" w:cs="宋体"/>
          <w:b/>
          <w:bCs/>
          <w:color w:val="000000" w:themeColor="text1"/>
          <w:sz w:val="24"/>
          <w14:textFill>
            <w14:solidFill>
              <w14:schemeClr w14:val="tx1"/>
            </w14:solidFill>
          </w14:textFill>
        </w:rPr>
      </w:pPr>
      <w:bookmarkStart w:id="3" w:name="_Toc71365369"/>
      <w:bookmarkStart w:id="4" w:name="_Toc35393636"/>
      <w:bookmarkStart w:id="5" w:name="_Toc35393805"/>
      <w:bookmarkStart w:id="6" w:name="_Toc28359018"/>
      <w:bookmarkStart w:id="7" w:name="_Toc71366047"/>
      <w:bookmarkStart w:id="8" w:name="_Toc28359095"/>
      <w:r>
        <w:rPr>
          <w:rFonts w:hint="eastAsia" w:ascii="宋体" w:hAnsi="宋体" w:cs="宋体"/>
          <w:b/>
          <w:bCs/>
          <w:color w:val="000000" w:themeColor="text1"/>
          <w:sz w:val="24"/>
          <w14:textFill>
            <w14:solidFill>
              <w14:schemeClr w14:val="tx1"/>
            </w14:solidFill>
          </w14:textFill>
        </w:rPr>
        <w:t>一、项目基本情况</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bookmarkStart w:id="9" w:name="OLE_LINK8"/>
      <w:r>
        <w:rPr>
          <w:rFonts w:hint="eastAsia" w:ascii="宋体" w:hAnsi="宋体" w:cs="宋体"/>
          <w:color w:val="000000" w:themeColor="text1"/>
          <w:sz w:val="24"/>
          <w14:textFill>
            <w14:solidFill>
              <w14:schemeClr w14:val="tx1"/>
            </w14:solidFill>
          </w14:textFill>
        </w:rPr>
        <w:t>广西大学物理学院C座8楼洁净实验室建设</w:t>
      </w:r>
      <w:bookmarkEnd w:id="9"/>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项目编号：GXZC2026-J1-000505-GXKL</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采购计划编号： 广西政采[2025]12120号</w:t>
      </w:r>
    </w:p>
    <w:p>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预算金额（人民币）：</w:t>
      </w:r>
      <w:r>
        <w:rPr>
          <w:rFonts w:hint="eastAsia" w:ascii="宋体" w:hAnsi="宋体" w:cs="宋体"/>
          <w:bCs/>
          <w:color w:val="000000" w:themeColor="text1"/>
          <w:sz w:val="24"/>
          <w14:textFill>
            <w14:solidFill>
              <w14:schemeClr w14:val="tx1"/>
            </w14:solidFill>
          </w14:textFill>
        </w:rPr>
        <w:t>贰佰伍拾肆万玖仟零叁拾伍元整（¥2549035.00）</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最高限价（人民币）：贰佰肆拾肆万柒仟叁佰壹拾肆元零叁分（¥</w:t>
      </w:r>
      <w:r>
        <w:rPr>
          <w:rFonts w:ascii="宋体" w:hAnsi="宋体" w:cs="宋体"/>
          <w:color w:val="000000" w:themeColor="text1"/>
          <w:sz w:val="24"/>
          <w14:textFill>
            <w14:solidFill>
              <w14:schemeClr w14:val="tx1"/>
            </w14:solidFill>
          </w14:textFill>
        </w:rPr>
        <w:t>2447314.0</w:t>
      </w:r>
      <w:r>
        <w:rPr>
          <w:rFonts w:hint="eastAsia" w:ascii="宋体" w:hAnsi="宋体" w:cs="宋体"/>
          <w:color w:val="000000" w:themeColor="text1"/>
          <w:sz w:val="24"/>
          <w14:textFill>
            <w14:solidFill>
              <w14:schemeClr w14:val="tx1"/>
            </w14:solidFill>
          </w14:textFill>
        </w:rPr>
        <w:t>3）</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采购需求：</w:t>
      </w:r>
    </w:p>
    <w:tbl>
      <w:tblPr>
        <w:tblStyle w:val="27"/>
        <w:tblW w:w="9840" w:type="dxa"/>
        <w:jc w:val="center"/>
        <w:tblLayout w:type="fixed"/>
        <w:tblCellMar>
          <w:top w:w="0" w:type="dxa"/>
          <w:left w:w="108" w:type="dxa"/>
          <w:bottom w:w="0" w:type="dxa"/>
          <w:right w:w="108" w:type="dxa"/>
        </w:tblCellMar>
      </w:tblPr>
      <w:tblGrid>
        <w:gridCol w:w="634"/>
        <w:gridCol w:w="1186"/>
        <w:gridCol w:w="765"/>
        <w:gridCol w:w="974"/>
        <w:gridCol w:w="3447"/>
        <w:gridCol w:w="1417"/>
        <w:gridCol w:w="1417"/>
      </w:tblGrid>
      <w:tr>
        <w:tblPrEx>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标的名称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数量</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单位</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简要技术需求</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最高限价单价（万元/人民币）</w:t>
            </w:r>
          </w:p>
        </w:tc>
        <w:tc>
          <w:tcPr>
            <w:tcW w:w="1417"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单项最高限价合计（万元/人民币）</w:t>
            </w:r>
          </w:p>
        </w:tc>
      </w:tr>
      <w:tr>
        <w:tblPrEx>
          <w:tblCellMar>
            <w:top w:w="0" w:type="dxa"/>
            <w:left w:w="108" w:type="dxa"/>
            <w:bottom w:w="0" w:type="dxa"/>
            <w:right w:w="108" w:type="dxa"/>
          </w:tblCellMar>
        </w:tblPrEx>
        <w:trPr>
          <w:trHeight w:val="3485"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广西大学物理学院C座8楼洁净实验室建设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含实验室净化除湿空调系统、洁净实验室环境配套、实验室配套设备、土建改造、实验室电路改造、实验室网络、原C803及C805风口移位至走廊和前厅、原有消防设备设施对接、新增洁净实验室消防设备设施、实验室隔断及水电安装。详见采购文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2447314.03</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2447314.03</w:t>
            </w:r>
          </w:p>
        </w:tc>
      </w:tr>
      <w:tr>
        <w:tblPrEx>
          <w:tblCellMar>
            <w:top w:w="0" w:type="dxa"/>
            <w:left w:w="108" w:type="dxa"/>
            <w:bottom w:w="0" w:type="dxa"/>
            <w:right w:w="108" w:type="dxa"/>
          </w:tblCellMar>
        </w:tblPrEx>
        <w:trPr>
          <w:trHeight w:val="90" w:hRule="atLeast"/>
          <w:jc w:val="center"/>
        </w:trPr>
        <w:tc>
          <w:tcPr>
            <w:tcW w:w="98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最高限价合计金额：</w:t>
            </w:r>
            <w:r>
              <w:rPr>
                <w:rFonts w:hint="eastAsia" w:ascii="宋体" w:hAnsi="宋体" w:cs="宋体"/>
                <w:bCs/>
                <w:color w:val="000000" w:themeColor="text1"/>
                <w:sz w:val="24"/>
                <w14:textFill>
                  <w14:solidFill>
                    <w14:schemeClr w14:val="tx1"/>
                  </w14:solidFill>
                </w14:textFill>
              </w:rPr>
              <w:t>贰佰肆拾肆万柒仟叁佰壹拾肆元零叁分（¥2447314.03）</w:t>
            </w:r>
          </w:p>
        </w:tc>
      </w:tr>
    </w:tbl>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详见采购需求表。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合同履行期限：详见采购文件。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本项目是否接受联合体：否。</w:t>
      </w:r>
    </w:p>
    <w:p>
      <w:pPr>
        <w:spacing w:line="360" w:lineRule="auto"/>
        <w:ind w:firstLine="361" w:firstLineChars="15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二、申请人的资格条件：</w:t>
      </w:r>
    </w:p>
    <w:p>
      <w:pPr>
        <w:spacing w:line="360" w:lineRule="auto"/>
        <w:ind w:firstLine="480" w:firstLineChars="200"/>
        <w:rPr>
          <w:rFonts w:ascii="宋体" w:hAnsi="宋体" w:cs="宋体"/>
          <w:color w:val="000000" w:themeColor="text1"/>
          <w:sz w:val="24"/>
          <w14:textFill>
            <w14:solidFill>
              <w14:schemeClr w14:val="tx1"/>
            </w14:solidFill>
          </w14:textFill>
        </w:rPr>
      </w:pPr>
      <w:bookmarkStart w:id="10" w:name="_Hlk51746371"/>
      <w:r>
        <w:rPr>
          <w:rFonts w:hint="eastAsia" w:ascii="宋体" w:hAnsi="宋体" w:cs="宋体"/>
          <w:color w:val="000000" w:themeColor="text1"/>
          <w:sz w:val="24"/>
          <w14:textFill>
            <w14:solidFill>
              <w14:schemeClr w14:val="tx1"/>
            </w14:solidFill>
          </w14:textFill>
        </w:rPr>
        <w:t>1.满足《中华人民共和国政府采购法》第二十二条规定；</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2.落实政府采购政策需满足的资格要求：</w:t>
      </w:r>
      <w:r>
        <w:rPr>
          <w:rFonts w:hint="eastAsia" w:ascii="宋体" w:hAnsi="宋体"/>
          <w:color w:val="000000" w:themeColor="text1"/>
          <w:sz w:val="24"/>
          <w14:textFill>
            <w14:solidFill>
              <w14:schemeClr w14:val="tx1"/>
            </w14:solidFill>
          </w14:textFill>
        </w:rPr>
        <w:t>专门面向中小企业采购（</w:t>
      </w:r>
      <w:r>
        <w:rPr>
          <w:rFonts w:hint="eastAsia" w:ascii="宋体" w:hAnsi="宋体"/>
          <w:color w:val="000000" w:themeColor="text1"/>
          <w:sz w:val="24"/>
          <w14:textFill>
            <w14:solidFill>
              <w14:schemeClr w14:val="tx1"/>
            </w14:solidFill>
          </w14:textFill>
        </w:rPr>
        <w:sym w:font="Wingdings" w:char="00A8"/>
      </w:r>
      <w:r>
        <w:rPr>
          <w:rFonts w:hint="eastAsia" w:ascii="宋体" w:hAnsi="宋体"/>
          <w:color w:val="000000" w:themeColor="text1"/>
          <w:sz w:val="24"/>
          <w14:textFill>
            <w14:solidFill>
              <w14:schemeClr w14:val="tx1"/>
            </w14:solidFill>
          </w14:textFill>
        </w:rPr>
        <w:t>是</w:t>
      </w:r>
      <w:r>
        <w:rPr>
          <w:rFonts w:hint="eastAsia" w:ascii="宋体" w:hAnsi="宋体"/>
          <w:color w:val="000000" w:themeColor="text1"/>
          <w:sz w:val="24"/>
          <w14:textFill>
            <w14:solidFill>
              <w14:schemeClr w14:val="tx1"/>
            </w14:solidFill>
          </w14:textFill>
        </w:rPr>
        <w:sym w:font="Wingdings" w:char="00FE"/>
      </w:r>
      <w:r>
        <w:rPr>
          <w:rFonts w:hint="eastAsia" w:ascii="宋体" w:hAnsi="宋体"/>
          <w:color w:val="000000" w:themeColor="text1"/>
          <w:sz w:val="24"/>
          <w14:textFill>
            <w14:solidFill>
              <w14:schemeClr w14:val="tx1"/>
            </w14:solidFill>
          </w14:textFill>
        </w:rPr>
        <w:t>否）；</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3.本项目的特定资格要求：</w:t>
      </w:r>
      <w:bookmarkEnd w:id="10"/>
      <w:r>
        <w:rPr>
          <w:rFonts w:hint="eastAsia" w:ascii="宋体" w:hAnsi="宋体" w:cs="宋体"/>
          <w:color w:val="000000" w:themeColor="text1"/>
          <w:sz w:val="24"/>
          <w14:textFill>
            <w14:solidFill>
              <w14:schemeClr w14:val="tx1"/>
            </w14:solidFill>
          </w14:textFill>
        </w:rPr>
        <w:t>无。</w:t>
      </w:r>
    </w:p>
    <w:p>
      <w:pPr>
        <w:spacing w:line="360" w:lineRule="auto"/>
        <w:ind w:firstLine="361" w:firstLineChars="15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三、获取竞争性谈判采购文件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时间：2026年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日至2026年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日，每天上午00:00至12:00 ，下午12:00至23:59（北京时间，法定节假日除外）</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地点：广西政府采购云平台（https://www.gcy.zfcg.gxzf.gov.cn/）。</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方式：网上下载。本项目不发放纸质文件，供应商应自行在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广西政府采购云平台（https://www.gcy.zfcg.gxzf.gov.cn/）下载竞争性谈判采购文件（操作路径：登录广西政府采购云平台-项目采购-获取采购文件-找到本项目-点击“申请获取采购文件”），电子响应文件制作需要基于广西政府采购云平台获取的竞争性谈判采购文件编制。</w:t>
      </w:r>
    </w:p>
    <w:p>
      <w:pPr>
        <w:spacing w:line="360" w:lineRule="auto"/>
        <w:ind w:firstLine="840" w:firstLineChars="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售价：0元。</w:t>
      </w:r>
    </w:p>
    <w:p>
      <w:pPr>
        <w:spacing w:line="360" w:lineRule="auto"/>
        <w:ind w:firstLine="361" w:firstLineChars="15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四、响应文件提交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1.首次响应文件提交截止时间：2026年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日9点00分（北京时间）</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2.地点：通过广西政府采购云平台在线提交。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为全流程电子化项目，没有现场递交响应文件及现场开标环节，通过广西政府采购云平台（https://www.gcy.zfcg.gxzf.gov.cn/）实行在线电子投标，供应商应先安装“广西政府采购云平台投标客户端”（请自行前往广西政府采购云平台进行下载），并按照本项目采购文件和广西政府采购云平台的要求使用CA认证编制、加密响应文件后在首次响应文件提交截止时间前上传至 广西政府采购云平台，供应商在广西政府采购云平台提交电子版响应文件时，请填写参加远程开标活动经办人联系方式，如在谈判评审过程中有电子询标，应在规定的时间内对电子询标函进行澄清回复。</w:t>
      </w:r>
    </w:p>
    <w:p>
      <w:pPr>
        <w:spacing w:line="360" w:lineRule="auto"/>
        <w:ind w:firstLine="361" w:firstLineChars="15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五、开启</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1.首次响应文件开启时间：2026年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日9点00分（北京时间）</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2.地点：本项目将在广西政府采购云平台电子开标大厅解密、开启。</w:t>
      </w:r>
    </w:p>
    <w:p>
      <w:pPr>
        <w:spacing w:line="360" w:lineRule="auto"/>
        <w:ind w:firstLine="361" w:firstLineChars="15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六、公告期限</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自本公告发布之日起3个工作日。</w:t>
      </w:r>
    </w:p>
    <w:p>
      <w:pPr>
        <w:spacing w:line="360" w:lineRule="auto"/>
        <w:ind w:firstLine="361" w:firstLineChars="15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七、其他补充事宜</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3.网上查询地址：</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（1）中国政府采购网（www.ccgp.gov.cn）</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（2）广西政府采购网（zfcg.gxzf.gov.cn）</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（3）中国招标投标公共服务平台（http://www.cebpubservice.com）</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（4）广西壮族自治区招标投标公共服务平台（http://zbtb.gxi.gov.cn:9000</w:t>
      </w:r>
      <w:r>
        <w:rPr>
          <w:rFonts w:hint="eastAsia" w:ascii="宋体" w:hAnsi="宋体" w:cs="宋体"/>
          <w:color w:val="000000" w:themeColor="text1"/>
          <w:sz w:val="24"/>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4.本项目需要落实的政府采购政策：</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（1）政府采购促进中小企业发展。</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（2）政府采购支持采用本国产品的政策。</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（3）强制采购节能产品；优先采购节能产品、环境标志产品。</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（4）政府采购促进残疾人就业政策。</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（5）政府采购支持监狱企业发展。</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（6）扶持不发达地区和少数民族地区政策</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（7）在政府采购中实施本国产品标准及相关政策</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5.谈判注意事项：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提交方式：本项目为全流程电子化政府采购项目，通过广西政府采购云平台（https://www.gcy.zfcg.gxzf.gov.cn/）实行在线电子竞争性谈判，供应商应先安装“广西政府采购云平台电子交易客户端”（请自行前往广西政府采购云平台进行下载），并按照本项目竞争性谈判采购文件和广西政府采购云平台的要求编制、加密后在首次响应文件提交截止时间前通过网络上传至广西政府采购云平台，</w:t>
      </w:r>
      <w:r>
        <w:rPr>
          <w:rFonts w:hint="eastAsia" w:ascii="宋体" w:hAnsi="宋体" w:cs="宋体"/>
          <w:b/>
          <w:color w:val="000000" w:themeColor="text1"/>
          <w:sz w:val="24"/>
          <w14:textFill>
            <w14:solidFill>
              <w14:schemeClr w14:val="tx1"/>
            </w14:solidFill>
          </w14:textFill>
        </w:rPr>
        <w:t>供应商在广西政府采购云平台提交电子版响应文件时，请填写参加远程开标活动经办人联系方式。</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（4）为确保网上操作合法、有效和安全，请供应商确保在参与电子竞争性谈判过程中能够对相关数据电文进行加密和使用电子签章，妥善保管CA数字证书并使用有效的CA数字证书参与整个采购活动。</w:t>
      </w:r>
    </w:p>
    <w:p>
      <w:pPr>
        <w:spacing w:line="360" w:lineRule="auto"/>
        <w:ind w:firstLine="482" w:firstLineChars="200"/>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6.CA证书在线解密：首次响应文件开启时，须要供应商携带制作响应文件时用来加密的有效数字证书（CA认证）登录广西政府采购云平台电子开标大厅现场按规定时间对加密的响应文件进行解密，否则后果自负。</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7.供应商需要在具备有摄像头及语音功能且互联网网络状况良好的电脑登录广西政府采购云平台远程开标大厅参与本次谈判，否则后果自负。</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8.若对项目采购电子交易系统操作有疑问，可登录广西政府采购云平台（https://www.gcy.zfcg.gxzf.gov.cn/），点击右侧咨询小采，获取采小蜜智能服务管家帮助，或拨打广西政府采购云平台服务热线</w:t>
      </w:r>
      <w:r>
        <w:rPr>
          <w:rFonts w:ascii="宋体" w:hAnsi="宋体" w:cs="宋体"/>
          <w:color w:val="000000" w:themeColor="text1"/>
          <w:sz w:val="24"/>
          <w14:textFill>
            <w14:solidFill>
              <w14:schemeClr w14:val="tx1"/>
            </w14:solidFill>
          </w14:textFill>
        </w:rPr>
        <w:t>95763</w:t>
      </w:r>
      <w:r>
        <w:rPr>
          <w:rFonts w:hint="eastAsia" w:ascii="宋体" w:hAnsi="宋体" w:cs="宋体"/>
          <w:color w:val="000000" w:themeColor="text1"/>
          <w:sz w:val="24"/>
          <w14:textFill>
            <w14:solidFill>
              <w14:schemeClr w14:val="tx1"/>
            </w14:solidFill>
          </w14:textFill>
        </w:rPr>
        <w:t>获取热线服务帮助。</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p>
    <w:p>
      <w:pPr>
        <w:spacing w:line="360" w:lineRule="auto"/>
        <w:ind w:firstLine="361" w:firstLineChars="15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八、凡对本次采购提出询问，请按以下方式联系。</w:t>
      </w:r>
      <w:bookmarkEnd w:id="3"/>
      <w:bookmarkEnd w:id="4"/>
      <w:bookmarkEnd w:id="5"/>
      <w:bookmarkEnd w:id="6"/>
      <w:bookmarkEnd w:id="7"/>
      <w:bookmarkEnd w:id="8"/>
    </w:p>
    <w:p>
      <w:pPr>
        <w:spacing w:line="360" w:lineRule="auto"/>
        <w:ind w:firstLine="482" w:firstLineChars="200"/>
        <w:rPr>
          <w:rFonts w:ascii="宋体" w:hAnsi="宋体" w:cs="宋体"/>
          <w:b/>
          <w:bCs/>
          <w:color w:val="000000" w:themeColor="text1"/>
          <w:sz w:val="24"/>
          <w14:textFill>
            <w14:solidFill>
              <w14:schemeClr w14:val="tx1"/>
            </w14:solidFill>
          </w14:textFill>
        </w:rPr>
      </w:pPr>
      <w:bookmarkStart w:id="11" w:name="_Toc28359019"/>
      <w:bookmarkStart w:id="12" w:name="_Toc35393806"/>
      <w:bookmarkStart w:id="13" w:name="_Toc35393637"/>
      <w:bookmarkStart w:id="14" w:name="_Toc28359096"/>
      <w:r>
        <w:rPr>
          <w:rFonts w:hint="eastAsia" w:ascii="宋体" w:hAnsi="宋体" w:cs="宋体"/>
          <w:b/>
          <w:bCs/>
          <w:color w:val="000000" w:themeColor="text1"/>
          <w:sz w:val="24"/>
          <w14:textFill>
            <w14:solidFill>
              <w14:schemeClr w14:val="tx1"/>
            </w14:solidFill>
          </w14:textFill>
        </w:rPr>
        <w:t>1.采购人信息</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称：广西大学</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地址：广西壮族自治区南宁市大学东路100号</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联系人：肖老师</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，联系电话：0771-3274121</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2.采购代理机构信息</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名 称：广西科联招标中心有限公司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址：广西壮族自治区南宁市大学东路170号</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联系人：杨工   联系电话：0771-3486236 </w:t>
      </w:r>
      <w:r>
        <w:rPr>
          <w:rFonts w:ascii="宋体" w:hAnsi="宋体" w:cs="宋体"/>
          <w:color w:val="000000" w:themeColor="text1"/>
          <w:sz w:val="24"/>
          <w14:textFill>
            <w14:solidFill>
              <w14:schemeClr w14:val="tx1"/>
            </w14:solidFill>
          </w14:textFill>
        </w:rPr>
        <w:t xml:space="preserve">  </w:t>
      </w:r>
    </w:p>
    <w:p>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3.项目联系方式</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项目联系人：杨工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电　话：</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0771-3486236</w:t>
      </w:r>
      <w:r>
        <w:rPr>
          <w:rFonts w:ascii="宋体" w:hAnsi="宋体" w:cs="宋体"/>
          <w:color w:val="000000" w:themeColor="text1"/>
          <w:sz w:val="24"/>
          <w14:textFill>
            <w14:solidFill>
              <w14:schemeClr w14:val="tx1"/>
            </w14:solidFill>
          </w14:textFill>
        </w:rPr>
        <w:t xml:space="preserve">  </w:t>
      </w:r>
    </w:p>
    <w:p>
      <w:pPr>
        <w:spacing w:line="360" w:lineRule="auto"/>
        <w:ind w:firstLine="840" w:firstLineChars="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bookmarkEnd w:id="11"/>
      <w:bookmarkEnd w:id="12"/>
      <w:bookmarkEnd w:id="13"/>
      <w:bookmarkEnd w:id="14"/>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广西科联招标中心有限公司</w:t>
      </w:r>
    </w:p>
    <w:bookmarkEnd w:id="2"/>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2026年</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日</w:t>
      </w:r>
      <w:bookmarkStart w:id="15" w:name="_Toc74322009"/>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sz w:val="44"/>
          <w:szCs w:val="44"/>
          <w14:textFill>
            <w14:solidFill>
              <w14:schemeClr w14:val="tx1"/>
            </w14:solidFill>
          </w14:textFill>
        </w:rPr>
        <w:t>第二章 供应商须知</w:t>
      </w:r>
      <w:bookmarkEnd w:id="15"/>
    </w:p>
    <w:p>
      <w:pPr>
        <w:spacing w:line="400" w:lineRule="exact"/>
        <w:ind w:firstLine="643"/>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供应商须知前附表</w:t>
      </w:r>
    </w:p>
    <w:p>
      <w:pPr>
        <w:spacing w:line="400" w:lineRule="exact"/>
        <w:ind w:firstLine="643"/>
        <w:jc w:val="center"/>
        <w:rPr>
          <w:rFonts w:ascii="宋体" w:hAnsi="宋体" w:cs="宋体"/>
          <w:b/>
          <w:color w:val="000000" w:themeColor="text1"/>
          <w:sz w:val="32"/>
          <w:szCs w:val="32"/>
          <w14:textFill>
            <w14:solidFill>
              <w14:schemeClr w14:val="tx1"/>
            </w14:solidFill>
          </w14:textFill>
        </w:rPr>
      </w:pPr>
    </w:p>
    <w:tbl>
      <w:tblPr>
        <w:tblStyle w:val="27"/>
        <w:tblW w:w="9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8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pPr>
              <w:spacing w:line="50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8181" w:type="dxa"/>
            <w:vAlign w:val="center"/>
          </w:tcPr>
          <w:p>
            <w:pPr>
              <w:spacing w:line="500" w:lineRule="exact"/>
              <w:ind w:firstLine="482"/>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8181" w:type="dxa"/>
            <w:vAlign w:val="center"/>
          </w:tcPr>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供应商的资格条件：详见竞争性谈判公告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w:t>
            </w:r>
          </w:p>
        </w:tc>
        <w:tc>
          <w:tcPr>
            <w:tcW w:w="8181" w:type="dxa"/>
            <w:vAlign w:val="center"/>
          </w:tcPr>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是否接受联合体参与: 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w:t>
            </w:r>
          </w:p>
        </w:tc>
        <w:tc>
          <w:tcPr>
            <w:tcW w:w="8181" w:type="dxa"/>
            <w:vAlign w:val="center"/>
          </w:tcPr>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如接受联合体参与，要求如下：</w:t>
            </w:r>
          </w:p>
          <w:p>
            <w:pPr>
              <w:autoSpaceDE w:val="0"/>
              <w:autoSpaceDN w:val="0"/>
              <w:snapToGrid w:val="0"/>
              <w:spacing w:line="500" w:lineRule="exact"/>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两个以上供应商可以组成一个联合体，以一个供应商的身份共同参与竞争性谈判，联合体供应商的名称应统一按“XXX 公司与 XXX 公司的联合体”的规则填写。</w:t>
            </w:r>
            <w:r>
              <w:rPr>
                <w:rFonts w:hint="eastAsia" w:ascii="宋体" w:hAnsi="宋体" w:cs="宋体"/>
                <w:color w:val="000000" w:themeColor="text1"/>
                <w:sz w:val="24"/>
                <w14:textFill>
                  <w14:solidFill>
                    <w14:schemeClr w14:val="tx1"/>
                  </w14:solidFill>
                </w14:textFill>
              </w:rPr>
              <w:tab/>
            </w:r>
          </w:p>
          <w:p>
            <w:pPr>
              <w:autoSpaceDE w:val="0"/>
              <w:autoSpaceDN w:val="0"/>
              <w:snapToGrid w:val="0"/>
              <w:spacing w:line="500" w:lineRule="exact"/>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联合体形式参与竞争性谈判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谈判公告“申请人的资格条件”第3点 “3、本项目的特定资格要求”的要求。</w:t>
            </w:r>
          </w:p>
          <w:p>
            <w:pPr>
              <w:autoSpaceDE w:val="0"/>
              <w:autoSpaceDN w:val="0"/>
              <w:snapToGrid w:val="0"/>
              <w:spacing w:line="500" w:lineRule="exact"/>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联合体参与竞争性谈判的，须提供《联合体参与竞争性谈判协议书》（格式后附），协议书必须明确主体方（或者牵头方）并明确约定联合体各方承担的工作和相应的责任（各方承担责任与义务的分工必须符合采购需求，否则，联合体响应无效），并将《联合体参与竞争性谈判协议书》放入响应文件。联合体各方必须共同与采购人签订采购合同，就采购合同约定的事项对采购人承担连带责任。</w:t>
            </w:r>
            <w:r>
              <w:rPr>
                <w:rFonts w:hint="eastAsia" w:ascii="宋体" w:hAnsi="宋体" w:cs="宋体"/>
                <w:color w:val="000000" w:themeColor="text1"/>
                <w:sz w:val="24"/>
                <w14:textFill>
                  <w14:solidFill>
                    <w14:schemeClr w14:val="tx1"/>
                  </w14:solidFill>
                </w14:textFill>
              </w:rPr>
              <w:tab/>
            </w:r>
          </w:p>
          <w:p>
            <w:pPr>
              <w:autoSpaceDE w:val="0"/>
              <w:autoSpaceDN w:val="0"/>
              <w:snapToGrid w:val="0"/>
              <w:spacing w:line="500" w:lineRule="exact"/>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p>
          <w:p>
            <w:pPr>
              <w:autoSpaceDE w:val="0"/>
              <w:autoSpaceDN w:val="0"/>
              <w:snapToGrid w:val="0"/>
              <w:spacing w:line="500" w:lineRule="exact"/>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联合体中有同类资质的供应商按照联合体分工承担相同工作的，应当按照资质等级较低的供应商确定资质等级。</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p>
          <w:p>
            <w:pPr>
              <w:autoSpaceDE w:val="0"/>
              <w:autoSpaceDN w:val="0"/>
              <w:snapToGrid w:val="0"/>
              <w:spacing w:line="500" w:lineRule="exact"/>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联合体参与竞争性谈判的业绩、履约能力按照联合体各方其中较高的一方认定并计算（竞争性谈判采购文件另有规定的除外）。</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联合体各方均应按照竞争性谈判采购文件的规定提交资格证明文件。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w:t>
            </w:r>
          </w:p>
        </w:tc>
        <w:tc>
          <w:tcPr>
            <w:tcW w:w="8181" w:type="dxa"/>
            <w:vAlign w:val="center"/>
          </w:tcPr>
          <w:p>
            <w:pPr>
              <w:pStyle w:val="10"/>
              <w:spacing w:line="500" w:lineRule="exact"/>
              <w:jc w:val="both"/>
              <w:rPr>
                <w:color w:val="000000" w:themeColor="text1"/>
                <w:sz w:val="24"/>
                <w14:textFill>
                  <w14:solidFill>
                    <w14:schemeClr w14:val="tx1"/>
                  </w14:solidFill>
                </w14:textFill>
              </w:rPr>
            </w:pPr>
            <w:bookmarkStart w:id="16" w:name="PO_3000001871_PM044"/>
            <w:r>
              <w:rPr>
                <w:rFonts w:hint="eastAsia"/>
                <w:color w:val="000000" w:themeColor="text1"/>
                <w:sz w:val="24"/>
                <w14:textFill>
                  <w14:solidFill>
                    <w14:schemeClr w14:val="tx1"/>
                  </w14:solidFill>
                </w14:textFill>
              </w:rPr>
              <w:t>□不允许分包</w:t>
            </w:r>
            <w:bookmarkEnd w:id="16"/>
          </w:p>
          <w:p>
            <w:pPr>
              <w:pStyle w:val="10"/>
              <w:spacing w:line="500" w:lineRule="exact"/>
              <w:jc w:val="both"/>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☑允许分包</w:t>
            </w:r>
          </w:p>
          <w:p>
            <w:pPr>
              <w:pStyle w:val="10"/>
              <w:spacing w:line="500" w:lineRule="exact"/>
              <w:jc w:val="both"/>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分包内容：“建筑业”标的允许分包给具有建筑装修装饰工程专业承包资质的企业，供应商如进行分包，在响应文件中提供承诺函并加盖公章。</w:t>
            </w:r>
          </w:p>
          <w:p>
            <w:pPr>
              <w:pStyle w:val="10"/>
              <w:spacing w:line="500" w:lineRule="exact"/>
              <w:jc w:val="both"/>
              <w:rPr>
                <w:color w:val="000000" w:themeColor="text1"/>
                <w:u w:val="single"/>
                <w14:textFill>
                  <w14:solidFill>
                    <w14:schemeClr w14:val="tx1"/>
                  </w14:solidFill>
                </w14:textFill>
              </w:rPr>
            </w:pPr>
            <w:r>
              <w:rPr>
                <w:rFonts w:hint="eastAsia"/>
                <w:color w:val="000000" w:themeColor="text1"/>
                <w:sz w:val="24"/>
                <w14:textFill>
                  <w14:solidFill>
                    <w14:schemeClr w14:val="tx1"/>
                  </w14:solidFill>
                </w14:textFill>
              </w:rPr>
              <w:t>采购人仅对成交供应商结算，成交供应商如有分包给其它供应商的，自行结算，与采购人无关。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12.1.1</w:t>
            </w:r>
          </w:p>
        </w:tc>
        <w:tc>
          <w:tcPr>
            <w:tcW w:w="8181" w:type="dxa"/>
            <w:vAlign w:val="center"/>
          </w:tcPr>
          <w:p>
            <w:pPr>
              <w:snapToGrid w:val="0"/>
              <w:spacing w:line="500" w:lineRule="exact"/>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资格证明文件</w:t>
            </w:r>
          </w:p>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bookmarkStart w:id="17" w:name="OLE_LINK10"/>
            <w:r>
              <w:rPr>
                <w:rFonts w:hint="eastAsia" w:ascii="宋体" w:hAnsi="宋体" w:cs="宋体"/>
                <w:color w:val="000000" w:themeColor="text1"/>
                <w:sz w:val="24"/>
                <w14:textFill>
                  <w14:solidFill>
                    <w14:schemeClr w14:val="tx1"/>
                  </w14:solidFill>
                </w14:textFill>
              </w:rPr>
              <w:t>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bookmarkEnd w:id="17"/>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必须提供，否则响应文件按无效响应处理</w:t>
            </w:r>
            <w:r>
              <w:rPr>
                <w:rFonts w:hint="eastAsia" w:ascii="宋体" w:hAnsi="宋体" w:cs="宋体"/>
                <w:color w:val="000000" w:themeColor="text1"/>
                <w:sz w:val="24"/>
                <w14:textFill>
                  <w14:solidFill>
                    <w14:schemeClr w14:val="tx1"/>
                  </w14:solidFill>
                </w14:textFill>
              </w:rPr>
              <w:t>）</w:t>
            </w:r>
          </w:p>
          <w:p>
            <w:pPr>
              <w:spacing w:line="50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w:t>
            </w:r>
            <w:bookmarkStart w:id="18" w:name="OLE_LINK11"/>
            <w:r>
              <w:rPr>
                <w:rFonts w:hint="eastAsia" w:ascii="宋体" w:hAnsi="宋体" w:cs="宋体"/>
                <w:color w:val="000000" w:themeColor="text1"/>
                <w:sz w:val="24"/>
                <w14:textFill>
                  <w14:solidFill>
                    <w14:schemeClr w14:val="tx1"/>
                  </w14:solidFill>
                </w14:textFill>
              </w:rPr>
              <w:t>供应商依法缴纳税收的相关材料（截至首次响应文件提交截止之日半年内连续三个月的依法缴纳税收的凭据复印件；依法免税的，必须提供相应文件证明。从成立之日起到首次响应文件提交截止之日不足要求月数的，只需提供从成立之日起的依法缴纳税收相应证明文件）</w:t>
            </w:r>
            <w:bookmarkEnd w:id="18"/>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必须提供，否则响应文件按无效响应处理</w:t>
            </w:r>
            <w:r>
              <w:rPr>
                <w:rFonts w:hint="eastAsia" w:ascii="宋体" w:hAnsi="宋体" w:cs="宋体"/>
                <w:color w:val="000000" w:themeColor="text1"/>
                <w:sz w:val="24"/>
                <w14:textFill>
                  <w14:solidFill>
                    <w14:schemeClr w14:val="tx1"/>
                  </w14:solidFill>
                </w14:textFill>
              </w:rPr>
              <w:t>）</w:t>
            </w:r>
          </w:p>
          <w:p>
            <w:pPr>
              <w:spacing w:line="50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w:t>
            </w:r>
            <w:bookmarkStart w:id="19" w:name="OLE_LINK12"/>
            <w:r>
              <w:rPr>
                <w:rFonts w:hint="eastAsia" w:ascii="宋体" w:hAnsi="宋体" w:cs="宋体"/>
                <w:color w:val="000000" w:themeColor="text1"/>
                <w:sz w:val="24"/>
                <w14:textFill>
                  <w14:solidFill>
                    <w14:schemeClr w14:val="tx1"/>
                  </w14:solidFill>
                </w14:textFill>
              </w:rPr>
              <w:t>供应商依法缴纳社会保障资金的相关材料（截至首次响应文件提交截止之日半年内连续三个月的依法缴纳社会保障资金的缴费凭证（专用收据或者社会保险缴纳清单）复印件；依法不需要缴纳社会保障资金的，必须提供相应文件证明。从成立之日起到首次响应文件提交截止之日不足要求月数的只需提供从成立之日起一个月的依法缴纳社会保障资金的相应证明文件）</w:t>
            </w:r>
            <w:bookmarkEnd w:id="19"/>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必须提供，否则响应文件按无效响应处理</w:t>
            </w:r>
            <w:r>
              <w:rPr>
                <w:rFonts w:hint="eastAsia" w:ascii="宋体" w:hAnsi="宋体" w:cs="宋体"/>
                <w:color w:val="000000" w:themeColor="text1"/>
                <w:sz w:val="24"/>
                <w14:textFill>
                  <w14:solidFill>
                    <w14:schemeClr w14:val="tx1"/>
                  </w14:solidFill>
                </w14:textFill>
              </w:rPr>
              <w:t>）</w:t>
            </w:r>
          </w:p>
          <w:p>
            <w:pPr>
              <w:spacing w:line="500" w:lineRule="exact"/>
              <w:contextualSpacing/>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w:t>
            </w:r>
            <w:bookmarkStart w:id="20" w:name="OLE_LINK13"/>
            <w:r>
              <w:rPr>
                <w:rFonts w:hint="eastAsia" w:ascii="宋体" w:hAnsi="宋体" w:cs="宋体"/>
                <w:color w:val="000000" w:themeColor="text1"/>
                <w:sz w:val="24"/>
                <w14:textFill>
                  <w14:solidFill>
                    <w14:schemeClr w14:val="tx1"/>
                  </w14:solidFill>
                </w14:textFill>
              </w:rPr>
              <w:t>供应商财务状况报告（提供2024年财务状况报告复印件，或者银行出具的资信证明（资信证明应在有效期内，未注明有效期的，银行出具时间至首次响应文件提交截止之日不超过一年）；</w:t>
            </w:r>
            <w:r>
              <w:rPr>
                <w:rFonts w:hint="eastAsia" w:ascii="宋体" w:hAnsi="宋体"/>
                <w:color w:val="000000" w:themeColor="text1"/>
                <w:sz w:val="24"/>
                <w14:textFill>
                  <w14:solidFill>
                    <w14:schemeClr w14:val="tx1"/>
                  </w14:solidFill>
                </w14:textFill>
              </w:rPr>
              <w:t>供应商成立不满一年的应按提供首次响应文件提交截止之日上一个月的财务状况报告复印件</w:t>
            </w:r>
            <w:r>
              <w:rPr>
                <w:rFonts w:hint="eastAsia" w:ascii="宋体" w:hAnsi="宋体" w:cs="宋体"/>
                <w:color w:val="000000" w:themeColor="text1"/>
                <w:sz w:val="24"/>
                <w14:textFill>
                  <w14:solidFill>
                    <w14:schemeClr w14:val="tx1"/>
                  </w14:solidFill>
                </w14:textFill>
              </w:rPr>
              <w:t>）</w:t>
            </w:r>
            <w:bookmarkEnd w:id="20"/>
            <w:r>
              <w:rPr>
                <w:rFonts w:hint="eastAsia" w:ascii="宋体" w:hAnsi="宋体" w:cs="宋体"/>
                <w:bCs/>
                <w:color w:val="000000" w:themeColor="text1"/>
                <w:sz w:val="24"/>
                <w14:textFill>
                  <w14:solidFill>
                    <w14:schemeClr w14:val="tx1"/>
                  </w14:solidFill>
                </w14:textFill>
              </w:rPr>
              <w:t>（</w:t>
            </w:r>
            <w:bookmarkStart w:id="21" w:name="OLE_LINK3"/>
            <w:r>
              <w:rPr>
                <w:rFonts w:hint="eastAsia" w:ascii="宋体" w:hAnsi="宋体" w:cs="宋体"/>
                <w:b/>
                <w:color w:val="000000" w:themeColor="text1"/>
                <w:sz w:val="24"/>
                <w14:textFill>
                  <w14:solidFill>
                    <w14:schemeClr w14:val="tx1"/>
                  </w14:solidFill>
                </w14:textFill>
              </w:rPr>
              <w:t>除自然人外</w:t>
            </w:r>
            <w:bookmarkEnd w:id="21"/>
            <w:r>
              <w:rPr>
                <w:rFonts w:hint="eastAsia" w:ascii="宋体" w:hAnsi="宋体" w:cs="宋体"/>
                <w:b/>
                <w:color w:val="000000" w:themeColor="text1"/>
                <w:sz w:val="24"/>
                <w14:textFill>
                  <w14:solidFill>
                    <w14:schemeClr w14:val="tx1"/>
                  </w14:solidFill>
                </w14:textFill>
              </w:rPr>
              <w:t>必须提供，否则响应文件按无效响应处理</w:t>
            </w:r>
            <w:r>
              <w:rPr>
                <w:rFonts w:hint="eastAsia" w:ascii="宋体" w:hAnsi="宋体" w:cs="宋体"/>
                <w:bCs/>
                <w:color w:val="000000" w:themeColor="text1"/>
                <w:sz w:val="24"/>
                <w14:textFill>
                  <w14:solidFill>
                    <w14:schemeClr w14:val="tx1"/>
                  </w14:solidFill>
                </w14:textFill>
              </w:rPr>
              <w:t>）</w:t>
            </w:r>
          </w:p>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供应商直接控股、管理关系信息表（格式后附）；（</w:t>
            </w:r>
            <w:r>
              <w:rPr>
                <w:rFonts w:hint="eastAsia" w:ascii="宋体" w:hAnsi="宋体" w:cs="宋体"/>
                <w:b/>
                <w:color w:val="000000" w:themeColor="text1"/>
                <w:sz w:val="24"/>
                <w14:textFill>
                  <w14:solidFill>
                    <w14:schemeClr w14:val="tx1"/>
                  </w14:solidFill>
                </w14:textFill>
              </w:rPr>
              <w:t>必须提供，否则响应文件按无效响应处理</w:t>
            </w:r>
            <w:r>
              <w:rPr>
                <w:rFonts w:hint="eastAsia" w:ascii="宋体" w:hAnsi="宋体" w:cs="宋体"/>
                <w:color w:val="000000" w:themeColor="text1"/>
                <w:sz w:val="24"/>
                <w14:textFill>
                  <w14:solidFill>
                    <w14:schemeClr w14:val="tx1"/>
                  </w14:solidFill>
                </w14:textFill>
              </w:rPr>
              <w:t>）</w:t>
            </w:r>
          </w:p>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参与竞争性谈判声明（格式后附）；（</w:t>
            </w:r>
            <w:r>
              <w:rPr>
                <w:rFonts w:hint="eastAsia" w:ascii="宋体" w:hAnsi="宋体" w:cs="宋体"/>
                <w:b/>
                <w:color w:val="000000" w:themeColor="text1"/>
                <w:sz w:val="24"/>
                <w14:textFill>
                  <w14:solidFill>
                    <w14:schemeClr w14:val="tx1"/>
                  </w14:solidFill>
                </w14:textFill>
              </w:rPr>
              <w:t>必须提供，否则响应文件按无效响应处理</w:t>
            </w:r>
            <w:r>
              <w:rPr>
                <w:rFonts w:hint="eastAsia" w:ascii="宋体" w:hAnsi="宋体" w:cs="宋体"/>
                <w:color w:val="000000" w:themeColor="text1"/>
                <w:sz w:val="24"/>
                <w14:textFill>
                  <w14:solidFill>
                    <w14:schemeClr w14:val="tx1"/>
                  </w14:solidFill>
                </w14:textFill>
              </w:rPr>
              <w:t>）</w:t>
            </w:r>
          </w:p>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联合体参与竞争性谈判协议书（格式后附）；（</w:t>
            </w:r>
            <w:r>
              <w:rPr>
                <w:rFonts w:hint="eastAsia" w:ascii="宋体" w:hAnsi="宋体" w:cs="宋体"/>
                <w:b/>
                <w:color w:val="000000" w:themeColor="text1"/>
                <w:sz w:val="24"/>
                <w14:textFill>
                  <w14:solidFill>
                    <w14:schemeClr w14:val="tx1"/>
                  </w14:solidFill>
                </w14:textFill>
              </w:rPr>
              <w:t>联合体</w:t>
            </w:r>
            <w:r>
              <w:rPr>
                <w:rFonts w:hint="eastAsia" w:ascii="宋体" w:hAnsi="宋体" w:cs="宋体"/>
                <w:color w:val="000000" w:themeColor="text1"/>
                <w:sz w:val="24"/>
                <w14:textFill>
                  <w14:solidFill>
                    <w14:schemeClr w14:val="tx1"/>
                  </w14:solidFill>
                </w14:textFill>
              </w:rPr>
              <w:t>参与竞争性谈判</w:t>
            </w:r>
            <w:r>
              <w:rPr>
                <w:rFonts w:hint="eastAsia" w:ascii="宋体" w:hAnsi="宋体" w:cs="宋体"/>
                <w:b/>
                <w:color w:val="000000" w:themeColor="text1"/>
                <w:sz w:val="24"/>
                <w14:textFill>
                  <w14:solidFill>
                    <w14:schemeClr w14:val="tx1"/>
                  </w14:solidFill>
                </w14:textFill>
              </w:rPr>
              <w:t>时必须提供，否则响应文件按无效响应处理</w:t>
            </w:r>
            <w:r>
              <w:rPr>
                <w:rFonts w:hint="eastAsia" w:ascii="宋体" w:hAnsi="宋体" w:cs="宋体"/>
                <w:color w:val="000000" w:themeColor="text1"/>
                <w:sz w:val="24"/>
                <w14:textFill>
                  <w14:solidFill>
                    <w14:schemeClr w14:val="tx1"/>
                  </w14:solidFill>
                </w14:textFill>
              </w:rPr>
              <w:t>）</w:t>
            </w:r>
          </w:p>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竞争性谈判公告中特定资格要求的资格证明材料；（</w:t>
            </w:r>
            <w:r>
              <w:rPr>
                <w:rFonts w:hint="eastAsia" w:ascii="宋体" w:hAnsi="宋体" w:cs="宋体"/>
                <w:b/>
                <w:bCs/>
                <w:color w:val="000000" w:themeColor="text1"/>
                <w:sz w:val="24"/>
                <w14:textFill>
                  <w14:solidFill>
                    <w14:schemeClr w14:val="tx1"/>
                  </w14:solidFill>
                </w14:textFill>
              </w:rPr>
              <w:t>公告如有则必</w:t>
            </w:r>
            <w:r>
              <w:rPr>
                <w:rFonts w:hint="eastAsia" w:ascii="宋体" w:hAnsi="宋体" w:cs="宋体"/>
                <w:b/>
                <w:color w:val="000000" w:themeColor="text1"/>
                <w:sz w:val="24"/>
                <w14:textFill>
                  <w14:solidFill>
                    <w14:schemeClr w14:val="tx1"/>
                  </w14:solidFill>
                </w14:textFill>
              </w:rPr>
              <w:t>须提供，否则响应文件按无效响应处理</w:t>
            </w:r>
            <w:r>
              <w:rPr>
                <w:rFonts w:hint="eastAsia" w:ascii="宋体" w:hAnsi="宋体" w:cs="宋体"/>
                <w:color w:val="000000" w:themeColor="text1"/>
                <w:sz w:val="24"/>
                <w14:textFill>
                  <w14:solidFill>
                    <w14:schemeClr w14:val="tx1"/>
                  </w14:solidFill>
                </w14:textFill>
              </w:rPr>
              <w:t>）</w:t>
            </w:r>
          </w:p>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除谈判文件规定必须提供以外，供应商认为需要提供的其他证明材料。</w:t>
            </w:r>
          </w:p>
          <w:p>
            <w:pPr>
              <w:snapToGrid w:val="0"/>
              <w:spacing w:line="500" w:lineRule="exact"/>
              <w:ind w:firstLine="482"/>
              <w:rPr>
                <w:rFonts w:ascii="楷体" w:hAnsi="楷体" w:eastAsia="楷体" w:cs="宋体"/>
                <w:bCs/>
                <w:color w:val="000000" w:themeColor="text1"/>
                <w:sz w:val="24"/>
                <w14:textFill>
                  <w14:solidFill>
                    <w14:schemeClr w14:val="tx1"/>
                  </w14:solidFill>
                </w14:textFill>
              </w:rPr>
            </w:pPr>
            <w:r>
              <w:rPr>
                <w:rFonts w:hint="eastAsia" w:ascii="楷体" w:hAnsi="楷体" w:eastAsia="楷体" w:cs="宋体"/>
                <w:b/>
                <w:bCs/>
                <w:color w:val="000000" w:themeColor="text1"/>
                <w:sz w:val="24"/>
                <w14:textFill>
                  <w14:solidFill>
                    <w14:schemeClr w14:val="tx1"/>
                  </w14:solidFill>
                </w14:textFill>
              </w:rPr>
              <w:t>【注】</w:t>
            </w:r>
            <w:r>
              <w:rPr>
                <w:rFonts w:ascii="楷体" w:hAnsi="楷体" w:eastAsia="楷体" w:cs="宋体"/>
                <w:bCs/>
                <w:color w:val="000000" w:themeColor="text1"/>
                <w:sz w:val="24"/>
                <w14:textFill>
                  <w14:solidFill>
                    <w14:schemeClr w14:val="tx1"/>
                  </w14:solidFill>
                </w14:textFill>
              </w:rPr>
              <w:t>1.以上标明“必须提供”的材料属于复印件的，必须加盖供应商公章，否则响应文件按无效响应处理。</w:t>
            </w:r>
          </w:p>
          <w:p>
            <w:pPr>
              <w:snapToGrid w:val="0"/>
              <w:spacing w:line="500" w:lineRule="exact"/>
              <w:rPr>
                <w:rFonts w:ascii="楷体" w:hAnsi="楷体" w:eastAsia="楷体" w:cs="宋体"/>
                <w:bCs/>
                <w:color w:val="000000" w:themeColor="text1"/>
                <w:sz w:val="24"/>
                <w14:textFill>
                  <w14:solidFill>
                    <w14:schemeClr w14:val="tx1"/>
                  </w14:solidFill>
                </w14:textFill>
              </w:rPr>
            </w:pPr>
            <w:r>
              <w:rPr>
                <w:rFonts w:ascii="楷体" w:hAnsi="楷体" w:eastAsia="楷体" w:cs="宋体"/>
                <w:bCs/>
                <w:color w:val="000000" w:themeColor="text1"/>
                <w:sz w:val="24"/>
                <w14:textFill>
                  <w14:solidFill>
                    <w14:schemeClr w14:val="tx1"/>
                  </w14:solidFill>
                </w14:textFill>
              </w:rPr>
              <w:t>2.</w:t>
            </w:r>
            <w:r>
              <w:rPr>
                <w:rFonts w:hint="eastAsia" w:ascii="楷体" w:hAnsi="楷体" w:eastAsia="楷体" w:cs="宋体"/>
                <w:bCs/>
                <w:color w:val="000000" w:themeColor="text1"/>
                <w:sz w:val="24"/>
                <w14:textFill>
                  <w14:solidFill>
                    <w14:schemeClr w14:val="tx1"/>
                  </w14:solidFill>
                </w14:textFill>
              </w:rPr>
              <w:t>参与竞争性谈判</w:t>
            </w:r>
            <w:r>
              <w:rPr>
                <w:rFonts w:ascii="楷体" w:hAnsi="楷体" w:eastAsia="楷体" w:cs="宋体"/>
                <w:bCs/>
                <w:color w:val="000000" w:themeColor="text1"/>
                <w:sz w:val="24"/>
                <w14:textFill>
                  <w14:solidFill>
                    <w14:schemeClr w14:val="tx1"/>
                  </w14:solidFill>
                </w14:textFill>
              </w:rPr>
              <w:t>声明必须由法定代表人在规定签章处逐一签字并加盖供应商公章，否则响应文件按无效响应处理。</w:t>
            </w:r>
          </w:p>
          <w:p>
            <w:pPr>
              <w:snapToGrid w:val="0"/>
              <w:spacing w:line="500" w:lineRule="exact"/>
              <w:rPr>
                <w:rFonts w:ascii="楷体" w:hAnsi="楷体" w:eastAsia="楷体" w:cs="宋体"/>
                <w:bCs/>
                <w:color w:val="000000" w:themeColor="text1"/>
                <w:sz w:val="24"/>
                <w14:textFill>
                  <w14:solidFill>
                    <w14:schemeClr w14:val="tx1"/>
                  </w14:solidFill>
                </w14:textFill>
              </w:rPr>
            </w:pPr>
            <w:r>
              <w:rPr>
                <w:rFonts w:ascii="楷体" w:hAnsi="楷体" w:eastAsia="楷体" w:cs="宋体"/>
                <w:bCs/>
                <w:color w:val="000000" w:themeColor="text1"/>
                <w:sz w:val="24"/>
                <w14:textFill>
                  <w14:solidFill>
                    <w14:schemeClr w14:val="tx1"/>
                  </w14:solidFill>
                </w14:textFill>
              </w:rPr>
              <w:t>3.供应商直接控股、管理关系信息表必须由法定代表人或者委托代理人在规定签章处逐一签字并加盖供应商公章，否则响应文件按无效响应处理。</w:t>
            </w:r>
          </w:p>
          <w:p>
            <w:pPr>
              <w:snapToGrid w:val="0"/>
              <w:spacing w:line="500" w:lineRule="exact"/>
              <w:rPr>
                <w:rFonts w:ascii="楷体" w:hAnsi="楷体" w:eastAsia="楷体" w:cs="宋体"/>
                <w:bCs/>
                <w:color w:val="000000" w:themeColor="text1"/>
                <w:sz w:val="24"/>
                <w14:textFill>
                  <w14:solidFill>
                    <w14:schemeClr w14:val="tx1"/>
                  </w14:solidFill>
                </w14:textFill>
              </w:rPr>
            </w:pPr>
            <w:r>
              <w:rPr>
                <w:rFonts w:ascii="楷体" w:hAnsi="楷体" w:eastAsia="楷体" w:cs="宋体"/>
                <w:bCs/>
                <w:color w:val="000000" w:themeColor="text1"/>
                <w:sz w:val="24"/>
                <w14:textFill>
                  <w14:solidFill>
                    <w14:schemeClr w14:val="tx1"/>
                  </w14:solidFill>
                </w14:textFill>
              </w:rPr>
              <w:t>4.联合体</w:t>
            </w:r>
            <w:r>
              <w:rPr>
                <w:rFonts w:hint="eastAsia" w:ascii="楷体" w:hAnsi="楷体" w:eastAsia="楷体" w:cs="宋体"/>
                <w:bCs/>
                <w:color w:val="000000" w:themeColor="text1"/>
                <w:sz w:val="24"/>
                <w14:textFill>
                  <w14:solidFill>
                    <w14:schemeClr w14:val="tx1"/>
                  </w14:solidFill>
                </w14:textFill>
              </w:rPr>
              <w:t>参与竞争性谈判</w:t>
            </w:r>
            <w:r>
              <w:rPr>
                <w:rFonts w:ascii="楷体" w:hAnsi="楷体" w:eastAsia="楷体" w:cs="宋体"/>
                <w:bCs/>
                <w:color w:val="000000" w:themeColor="text1"/>
                <w:sz w:val="24"/>
                <w14:textFill>
                  <w14:solidFill>
                    <w14:schemeClr w14:val="tx1"/>
                  </w14:solidFill>
                </w14:textFill>
              </w:rPr>
              <w:t>时，</w:t>
            </w:r>
            <w:r>
              <w:rPr>
                <w:rFonts w:hint="eastAsia" w:ascii="楷体" w:hAnsi="楷体" w:eastAsia="楷体" w:cs="宋体"/>
                <w:bCs/>
                <w:color w:val="000000" w:themeColor="text1"/>
                <w:sz w:val="24"/>
                <w14:textFill>
                  <w14:solidFill>
                    <w14:schemeClr w14:val="tx1"/>
                  </w14:solidFill>
                </w14:textFill>
              </w:rPr>
              <w:t>以上第</w:t>
            </w:r>
            <w:r>
              <w:rPr>
                <w:rFonts w:ascii="楷体" w:hAnsi="楷体" w:eastAsia="楷体" w:cs="宋体"/>
                <w:bCs/>
                <w:color w:val="000000" w:themeColor="text1"/>
                <w:sz w:val="24"/>
                <w14:textFill>
                  <w14:solidFill>
                    <w14:schemeClr w14:val="tx1"/>
                  </w14:solidFill>
                </w14:textFill>
              </w:rPr>
              <w:t>1-5项资格证明文件联合体各方均必须分别提供，联合体各方分别按格式要求盖章或签字，否则响应文件按无效响应处理。</w:t>
            </w:r>
          </w:p>
          <w:p>
            <w:pPr>
              <w:snapToGrid w:val="0"/>
              <w:spacing w:line="500" w:lineRule="exact"/>
              <w:rPr>
                <w:rFonts w:ascii="宋体" w:hAnsi="宋体" w:cs="宋体"/>
                <w:b/>
                <w:color w:val="000000" w:themeColor="text1"/>
                <w:sz w:val="24"/>
                <w14:textFill>
                  <w14:solidFill>
                    <w14:schemeClr w14:val="tx1"/>
                  </w14:solidFill>
                </w14:textFill>
              </w:rPr>
            </w:pPr>
            <w:r>
              <w:rPr>
                <w:rFonts w:ascii="楷体" w:hAnsi="楷体" w:eastAsia="楷体" w:cs="宋体"/>
                <w:bCs/>
                <w:color w:val="000000" w:themeColor="text1"/>
                <w:sz w:val="24"/>
                <w14:textFill>
                  <w14:solidFill>
                    <w14:schemeClr w14:val="tx1"/>
                  </w14:solidFill>
                </w14:textFill>
              </w:rPr>
              <w:t>5.分公司参加</w:t>
            </w:r>
            <w:r>
              <w:rPr>
                <w:rFonts w:hint="eastAsia" w:ascii="楷体" w:hAnsi="楷体" w:eastAsia="楷体" w:cs="宋体"/>
                <w:bCs/>
                <w:color w:val="000000" w:themeColor="text1"/>
                <w:sz w:val="24"/>
                <w14:textFill>
                  <w14:solidFill>
                    <w14:schemeClr w14:val="tx1"/>
                  </w14:solidFill>
                </w14:textFill>
              </w:rPr>
              <w:t>参与竞争性谈判</w:t>
            </w:r>
            <w:r>
              <w:rPr>
                <w:rFonts w:ascii="楷体" w:hAnsi="楷体" w:eastAsia="楷体" w:cs="宋体"/>
                <w:bCs/>
                <w:color w:val="000000" w:themeColor="text1"/>
                <w:sz w:val="24"/>
                <w14:textFill>
                  <w14:solidFill>
                    <w14:schemeClr w14:val="tx1"/>
                  </w14:solidFill>
                </w14:textFill>
              </w:rPr>
              <w:t>的，应当取得总公司授权，否则响应文件按无效响应处理</w:t>
            </w:r>
            <w:r>
              <w:rPr>
                <w:rFonts w:hint="eastAsia" w:ascii="楷体" w:hAnsi="楷体" w:eastAsia="楷体" w:cs="宋体"/>
                <w:b/>
                <w:color w:val="000000" w:themeColor="text1"/>
                <w:sz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Merge w:val="restart"/>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12.1.2</w:t>
            </w:r>
          </w:p>
        </w:tc>
        <w:tc>
          <w:tcPr>
            <w:tcW w:w="8181" w:type="dxa"/>
            <w:vAlign w:val="center"/>
          </w:tcPr>
          <w:p>
            <w:pPr>
              <w:spacing w:line="50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报价文件</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无串通参与竞争性谈判行为的承诺函（格式后附）；（</w:t>
            </w:r>
            <w:r>
              <w:rPr>
                <w:rFonts w:hint="eastAsia" w:ascii="宋体" w:hAnsi="宋体" w:cs="宋体"/>
                <w:b/>
                <w:color w:val="000000" w:themeColor="text1"/>
                <w:sz w:val="24"/>
                <w14:textFill>
                  <w14:solidFill>
                    <w14:schemeClr w14:val="tx1"/>
                  </w14:solidFill>
                </w14:textFill>
              </w:rPr>
              <w:t>必须提供，否则响应文件按无效响应处理</w:t>
            </w:r>
            <w:r>
              <w:rPr>
                <w:rFonts w:hint="eastAsia" w:ascii="宋体" w:hAnsi="宋体" w:cs="宋体"/>
                <w:color w:val="000000" w:themeColor="text1"/>
                <w:sz w:val="24"/>
                <w14:textFill>
                  <w14:solidFill>
                    <w14:schemeClr w14:val="tx1"/>
                  </w14:solidFill>
                </w14:textFill>
              </w:rPr>
              <w:t>）</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竞争性谈判报价表（格式后附）；（</w:t>
            </w:r>
            <w:r>
              <w:rPr>
                <w:rFonts w:hint="eastAsia" w:ascii="宋体" w:hAnsi="宋体" w:cs="宋体"/>
                <w:b/>
                <w:color w:val="000000" w:themeColor="text1"/>
                <w:sz w:val="24"/>
                <w14:textFill>
                  <w14:solidFill>
                    <w14:schemeClr w14:val="tx1"/>
                  </w14:solidFill>
                </w14:textFill>
              </w:rPr>
              <w:t>必须提供，否则响应文件按无效响应处理</w:t>
            </w:r>
            <w:r>
              <w:rPr>
                <w:rFonts w:hint="eastAsia" w:ascii="宋体" w:hAnsi="宋体" w:cs="宋体"/>
                <w:color w:val="000000" w:themeColor="text1"/>
                <w:sz w:val="24"/>
                <w14:textFill>
                  <w14:solidFill>
                    <w14:schemeClr w14:val="tx1"/>
                  </w14:solidFill>
                </w14:textFill>
              </w:rPr>
              <w:t>）</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中小企业声明函（或残疾人福利性单位声明函或监狱企业声明函，残疾人福利性单位或监狱企业视同小微企业）（格式后附）；</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针对报价需要说明的其他文件和说明（格式自拟）。</w:t>
            </w:r>
          </w:p>
          <w:p>
            <w:pPr>
              <w:spacing w:line="500" w:lineRule="exact"/>
              <w:ind w:firstLine="482"/>
              <w:rPr>
                <w:rFonts w:ascii="楷体" w:hAnsi="楷体" w:eastAsia="楷体" w:cs="宋体"/>
                <w:bCs/>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注</w:t>
            </w:r>
            <w:r>
              <w:rPr>
                <w:rFonts w:hint="eastAsia" w:ascii="楷体" w:hAnsi="楷体" w:eastAsia="楷体" w:cs="宋体"/>
                <w:color w:val="000000" w:themeColor="text1"/>
                <w:sz w:val="24"/>
                <w14:textFill>
                  <w14:solidFill>
                    <w14:schemeClr w14:val="tx1"/>
                  </w14:solidFill>
                </w14:textFill>
              </w:rPr>
              <w:t>：以上标明“必须提供”材料复印件的，必须加盖供应商公章，否则响应文件按无效响应处理。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991" w:type="dxa"/>
            <w:vMerge w:val="continue"/>
            <w:vAlign w:val="center"/>
          </w:tcPr>
          <w:p>
            <w:pPr>
              <w:spacing w:line="500" w:lineRule="exact"/>
              <w:jc w:val="center"/>
              <w:rPr>
                <w:rFonts w:ascii="宋体" w:hAnsi="宋体" w:cs="宋体"/>
                <w:color w:val="000000" w:themeColor="text1"/>
                <w:sz w:val="24"/>
                <w14:textFill>
                  <w14:solidFill>
                    <w14:schemeClr w14:val="tx1"/>
                  </w14:solidFill>
                </w14:textFill>
              </w:rPr>
            </w:pPr>
          </w:p>
        </w:tc>
        <w:tc>
          <w:tcPr>
            <w:tcW w:w="8181" w:type="dxa"/>
            <w:vAlign w:val="center"/>
          </w:tcPr>
          <w:p>
            <w:pPr>
              <w:spacing w:line="50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商务技术文件</w:t>
            </w:r>
          </w:p>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法定代表人身份证明及法定代表人有效身份证正反面复印件（格式后附）；（</w:t>
            </w:r>
            <w:r>
              <w:rPr>
                <w:rFonts w:hint="eastAsia" w:ascii="宋体" w:hAnsi="宋体" w:cs="宋体"/>
                <w:b/>
                <w:color w:val="000000" w:themeColor="text1"/>
                <w:sz w:val="24"/>
                <w14:textFill>
                  <w14:solidFill>
                    <w14:schemeClr w14:val="tx1"/>
                  </w14:solidFill>
                </w14:textFill>
              </w:rPr>
              <w:t>必须提供，否则响应文件按无效响应处理</w:t>
            </w:r>
            <w:r>
              <w:rPr>
                <w:rFonts w:hint="eastAsia" w:ascii="宋体" w:hAnsi="宋体" w:cs="宋体"/>
                <w:color w:val="000000" w:themeColor="text1"/>
                <w:sz w:val="24"/>
                <w14:textFill>
                  <w14:solidFill>
                    <w14:schemeClr w14:val="tx1"/>
                  </w14:solidFill>
                </w14:textFill>
              </w:rPr>
              <w:t>）</w:t>
            </w:r>
          </w:p>
          <w:p>
            <w:pPr>
              <w:spacing w:line="500" w:lineRule="exact"/>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授权委托书及委托代理人有效身份证正反面复印件（格式后附）；（</w:t>
            </w:r>
            <w:r>
              <w:rPr>
                <w:rFonts w:hint="eastAsia" w:ascii="宋体" w:hAnsi="宋体" w:cs="宋体"/>
                <w:b/>
                <w:color w:val="000000" w:themeColor="text1"/>
                <w:sz w:val="24"/>
                <w14:textFill>
                  <w14:solidFill>
                    <w14:schemeClr w14:val="tx1"/>
                  </w14:solidFill>
                </w14:textFill>
              </w:rPr>
              <w:t>委托时必须提供，否则响应文件按无效响应处理</w:t>
            </w:r>
            <w:r>
              <w:rPr>
                <w:rFonts w:hint="eastAsia" w:ascii="宋体" w:hAnsi="宋体" w:cs="宋体"/>
                <w:color w:val="000000" w:themeColor="text1"/>
                <w:sz w:val="24"/>
                <w14:textFill>
                  <w14:solidFill>
                    <w14:schemeClr w14:val="tx1"/>
                  </w14:solidFill>
                </w14:textFill>
              </w:rPr>
              <w:t>）</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谈判保证金提交凭证；（</w:t>
            </w:r>
            <w:r>
              <w:rPr>
                <w:rFonts w:hint="eastAsia" w:ascii="宋体" w:hAnsi="宋体" w:cs="宋体"/>
                <w:b/>
                <w:bCs/>
                <w:color w:val="000000" w:themeColor="text1"/>
                <w:sz w:val="24"/>
                <w14:textFill>
                  <w14:solidFill>
                    <w14:schemeClr w14:val="tx1"/>
                  </w14:solidFill>
                </w14:textFill>
              </w:rPr>
              <w:t>如要求提交谈判保证金的则必须提供</w:t>
            </w:r>
            <w:r>
              <w:rPr>
                <w:rFonts w:hint="eastAsia" w:ascii="宋体" w:hAnsi="宋体" w:cs="宋体"/>
                <w:b/>
                <w:color w:val="000000" w:themeColor="text1"/>
                <w:sz w:val="24"/>
                <w14:textFill>
                  <w14:solidFill>
                    <w14:schemeClr w14:val="tx1"/>
                  </w14:solidFill>
                </w14:textFill>
              </w:rPr>
              <w:t>，否则响应文件按无效响应处理</w:t>
            </w:r>
            <w:r>
              <w:rPr>
                <w:rFonts w:hint="eastAsia" w:ascii="宋体" w:hAnsi="宋体" w:cs="宋体"/>
                <w:color w:val="000000" w:themeColor="text1"/>
                <w:sz w:val="24"/>
                <w14:textFill>
                  <w14:solidFill>
                    <w14:schemeClr w14:val="tx1"/>
                  </w14:solidFill>
                </w14:textFill>
              </w:rPr>
              <w:t>）</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商务要求偏离表（格式后附）；（</w:t>
            </w:r>
            <w:r>
              <w:rPr>
                <w:rFonts w:hint="eastAsia" w:ascii="宋体" w:hAnsi="宋体" w:cs="宋体"/>
                <w:b/>
                <w:color w:val="000000" w:themeColor="text1"/>
                <w:sz w:val="24"/>
                <w14:textFill>
                  <w14:solidFill>
                    <w14:schemeClr w14:val="tx1"/>
                  </w14:solidFill>
                </w14:textFill>
              </w:rPr>
              <w:t>必须提供，否则响应文件按无效响应处理</w:t>
            </w:r>
            <w:r>
              <w:rPr>
                <w:rFonts w:hint="eastAsia" w:ascii="宋体" w:hAnsi="宋体" w:cs="宋体"/>
                <w:color w:val="000000" w:themeColor="text1"/>
                <w:sz w:val="24"/>
                <w14:textFill>
                  <w14:solidFill>
                    <w14:schemeClr w14:val="tx1"/>
                  </w14:solidFill>
                </w14:textFill>
              </w:rPr>
              <w:t>）</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售后服务承诺（格式自拟）；（</w:t>
            </w:r>
            <w:r>
              <w:rPr>
                <w:rFonts w:hint="eastAsia" w:ascii="宋体" w:hAnsi="宋体" w:cs="宋体"/>
                <w:b/>
                <w:color w:val="000000" w:themeColor="text1"/>
                <w:sz w:val="24"/>
                <w14:textFill>
                  <w14:solidFill>
                    <w14:schemeClr w14:val="tx1"/>
                  </w14:solidFill>
                </w14:textFill>
              </w:rPr>
              <w:t>必须提供，否则响应文件按无效响应处理</w:t>
            </w:r>
            <w:r>
              <w:rPr>
                <w:rFonts w:hint="eastAsia" w:ascii="宋体" w:hAnsi="宋体" w:cs="宋体"/>
                <w:color w:val="000000" w:themeColor="text1"/>
                <w:sz w:val="24"/>
                <w14:textFill>
                  <w14:solidFill>
                    <w14:schemeClr w14:val="tx1"/>
                  </w14:solidFill>
                </w14:textFill>
              </w:rPr>
              <w:t>）</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货物配置清单（均不含报价）（格式后附）；（</w:t>
            </w:r>
            <w:r>
              <w:rPr>
                <w:rFonts w:hint="eastAsia" w:ascii="宋体" w:hAnsi="宋体" w:cs="宋体"/>
                <w:b/>
                <w:color w:val="000000" w:themeColor="text1"/>
                <w:sz w:val="24"/>
                <w14:textFill>
                  <w14:solidFill>
                    <w14:schemeClr w14:val="tx1"/>
                  </w14:solidFill>
                </w14:textFill>
              </w:rPr>
              <w:t>必须提供，否则响应文件按无效响应处理</w:t>
            </w:r>
            <w:r>
              <w:rPr>
                <w:rFonts w:hint="eastAsia" w:ascii="宋体" w:hAnsi="宋体" w:cs="宋体"/>
                <w:color w:val="000000" w:themeColor="text1"/>
                <w:sz w:val="24"/>
                <w14:textFill>
                  <w14:solidFill>
                    <w14:schemeClr w14:val="tx1"/>
                  </w14:solidFill>
                </w14:textFill>
              </w:rPr>
              <w:t>）</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技术要求偏离表（格式后附）；（</w:t>
            </w:r>
            <w:r>
              <w:rPr>
                <w:rFonts w:hint="eastAsia" w:ascii="宋体" w:hAnsi="宋体" w:cs="宋体"/>
                <w:b/>
                <w:color w:val="000000" w:themeColor="text1"/>
                <w:sz w:val="24"/>
                <w14:textFill>
                  <w14:solidFill>
                    <w14:schemeClr w14:val="tx1"/>
                  </w14:solidFill>
                </w14:textFill>
              </w:rPr>
              <w:t>必须提供，否则响应文件按无效响应处理</w:t>
            </w:r>
            <w:r>
              <w:rPr>
                <w:rFonts w:hint="eastAsia" w:ascii="宋体" w:hAnsi="宋体" w:cs="宋体"/>
                <w:color w:val="000000" w:themeColor="text1"/>
                <w:sz w:val="24"/>
                <w14:textFill>
                  <w14:solidFill>
                    <w14:schemeClr w14:val="tx1"/>
                  </w14:solidFill>
                </w14:textFill>
              </w:rPr>
              <w:t>）</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对应采购需求的技术要求、商务要求提供的其他文件资料（格式自拟）；</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供应商认为需要提供的其他有关资料。</w:t>
            </w:r>
          </w:p>
          <w:p>
            <w:pPr>
              <w:spacing w:line="500" w:lineRule="exact"/>
              <w:ind w:firstLine="482"/>
              <w:rPr>
                <w:rFonts w:ascii="楷体" w:hAnsi="楷体" w:eastAsia="楷体" w:cs="宋体"/>
                <w:color w:val="000000" w:themeColor="text1"/>
                <w:sz w:val="24"/>
                <w14:textFill>
                  <w14:solidFill>
                    <w14:schemeClr w14:val="tx1"/>
                  </w14:solidFill>
                </w14:textFill>
              </w:rPr>
            </w:pPr>
            <w:r>
              <w:rPr>
                <w:rFonts w:hint="eastAsia" w:ascii="楷体" w:hAnsi="楷体" w:eastAsia="楷体" w:cs="宋体"/>
                <w:b/>
                <w:bCs/>
                <w:color w:val="000000" w:themeColor="text1"/>
                <w:sz w:val="24"/>
                <w14:textFill>
                  <w14:solidFill>
                    <w14:schemeClr w14:val="tx1"/>
                  </w14:solidFill>
                </w14:textFill>
              </w:rPr>
              <w:t>【注】</w:t>
            </w:r>
            <w:r>
              <w:rPr>
                <w:rFonts w:ascii="楷体" w:hAnsi="楷体" w:eastAsia="楷体" w:cs="宋体"/>
                <w:color w:val="000000" w:themeColor="text1"/>
                <w:sz w:val="24"/>
                <w14:textFill>
                  <w14:solidFill>
                    <w14:schemeClr w14:val="tx1"/>
                  </w14:solidFill>
                </w14:textFill>
              </w:rPr>
              <w:t>1.法定代表人授权委托书必须由法定代表人及委托代理人签字，并加盖</w:t>
            </w:r>
            <w:r>
              <w:rPr>
                <w:rFonts w:hint="eastAsia" w:ascii="楷体" w:hAnsi="楷体" w:eastAsia="楷体" w:cs="宋体"/>
                <w:color w:val="000000" w:themeColor="text1"/>
                <w:sz w:val="24"/>
                <w14:textFill>
                  <w14:solidFill>
                    <w14:schemeClr w14:val="tx1"/>
                  </w14:solidFill>
                </w14:textFill>
              </w:rPr>
              <w:t>供应商公章，否则做无效响应处理。</w:t>
            </w:r>
          </w:p>
          <w:p>
            <w:pPr>
              <w:spacing w:line="500" w:lineRule="exact"/>
              <w:rPr>
                <w:rFonts w:ascii="宋体" w:hAnsi="宋体" w:cs="宋体"/>
                <w:b/>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2.</w:t>
            </w:r>
            <w:r>
              <w:rPr>
                <w:rFonts w:hint="eastAsia" w:ascii="楷体" w:hAnsi="楷体" w:eastAsia="楷体" w:cs="宋体"/>
                <w:color w:val="000000" w:themeColor="text1"/>
                <w:sz w:val="24"/>
                <w14:textFill>
                  <w14:solidFill>
                    <w14:schemeClr w14:val="tx1"/>
                  </w14:solidFill>
                </w14:textFill>
              </w:rPr>
              <w:t>以上标明“必须提供”材料复印件的，必须加盖供应商公章，否则响应文件按无效响应处理。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p>
        </w:tc>
        <w:tc>
          <w:tcPr>
            <w:tcW w:w="8181" w:type="dxa"/>
            <w:vAlign w:val="center"/>
          </w:tcPr>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竞争性谈判报价包含设备、随配附件、备品备件、辅助材料、工具、运抵指定交货地点、材料运输及人工搬运费、垃圾清理及排放、保险、现场安装、培训调试及验收的各种费用和售后服务、人工费、税费及其他所有成本费用的总和，成交供应商必须自行考虑项目需要的其他设备和材料，合同履行过程中，采购人不再支付合同以外的其他费用。（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8181" w:type="dxa"/>
            <w:vAlign w:val="center"/>
          </w:tcPr>
          <w:p>
            <w:pPr>
              <w:pStyle w:val="9"/>
              <w:widowControl w:val="0"/>
              <w:tabs>
                <w:tab w:val="clear" w:pos="454"/>
              </w:tabs>
              <w:snapToGrid w:val="0"/>
              <w:spacing w:after="0" w:afterLines="0" w:line="500" w:lineRule="exact"/>
              <w:ind w:left="324" w:hanging="324" w:hangingChars="135"/>
              <w:jc w:val="both"/>
              <w:rPr>
                <w:rFonts w:ascii="宋体" w:hAnsi="宋体" w:cs="宋体"/>
                <w:color w:val="000000" w:themeColor="text1"/>
                <w:kern w:val="2"/>
                <w:szCs w:val="24"/>
                <w14:textFill>
                  <w14:solidFill>
                    <w14:schemeClr w14:val="tx1"/>
                  </w14:solidFill>
                </w14:textFill>
              </w:rPr>
            </w:pPr>
            <w:r>
              <w:rPr>
                <w:rFonts w:hint="eastAsia" w:ascii="宋体" w:hAnsi="宋体" w:cs="宋体"/>
                <w:color w:val="000000" w:themeColor="text1"/>
                <w:kern w:val="2"/>
                <w:szCs w:val="24"/>
                <w14:textFill>
                  <w14:solidFill>
                    <w14:schemeClr w14:val="tx1"/>
                  </w14:solidFill>
                </w14:textFill>
              </w:rPr>
              <w:t xml:space="preserve">竞争性谈判有效期：首次响应文件提交截止之日起60天内。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4"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8181" w:type="dxa"/>
            <w:vAlign w:val="center"/>
          </w:tcPr>
          <w:p>
            <w:pPr>
              <w:autoSpaceDE w:val="0"/>
              <w:autoSpaceDN w:val="0"/>
              <w:snapToGrid w:val="0"/>
              <w:spacing w:line="500" w:lineRule="exact"/>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本项目不收取谈判保证金。</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本项目收取谈判保证金。</w:t>
            </w:r>
          </w:p>
          <w:p>
            <w:pPr>
              <w:pStyle w:val="77"/>
              <w:jc w:val="left"/>
              <w:rPr>
                <w:rFonts w:ascii="宋体" w:hAnsi="宋体" w:eastAsia="宋体" w:cs="宋体"/>
                <w:b w:val="0"/>
                <w:color w:val="000000" w:themeColor="text1"/>
                <w:kern w:val="0"/>
                <w:sz w:val="24"/>
                <w14:textFill>
                  <w14:solidFill>
                    <w14:schemeClr w14:val="tx1"/>
                  </w14:solidFill>
                </w14:textFill>
              </w:rPr>
            </w:pPr>
            <w:r>
              <w:rPr>
                <w:rFonts w:hint="eastAsia" w:ascii="宋体" w:hAnsi="宋体" w:eastAsia="宋体" w:cs="宋体"/>
                <w:b w:val="0"/>
                <w:color w:val="000000" w:themeColor="text1"/>
                <w:kern w:val="0"/>
                <w:sz w:val="24"/>
                <w14:textFill>
                  <w14:solidFill>
                    <w14:schemeClr w14:val="tx1"/>
                  </w14:solidFill>
                </w14:textFill>
              </w:rPr>
              <w:t>谈判保证金（人民币）：24000元</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保证金专用银行账号：</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开户名称：广西科联招标中心有限公司</w:t>
            </w:r>
          </w:p>
          <w:p>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开户银行：招商银行南宁市金浦路支行</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银行账号：7719011969103333000011697 </w:t>
            </w:r>
          </w:p>
          <w:p>
            <w:pPr>
              <w:snapToGrid w:val="0"/>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谈判保证金的交纳方式：银行转账或者银行出具的保函，禁止采用现钞方式。采用银行转账方式的，在响应文件提交截止时间前交至指定账户并且到账；采用保函方式的，在响应文件提交截止时间前，供应商必须提交保函原件。否则视为无效谈判保证金。</w:t>
            </w:r>
          </w:p>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相关要求：</w:t>
            </w:r>
          </w:p>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1.谈判保证金采用银行转账交纳方式的，在响应文件提交截止时间前交至指定账户并且到账，供应商应将银行转账底单的复印件作为谈判保证金提交凭证，放置于报价商务技术文件中，</w:t>
            </w:r>
            <w:r>
              <w:rPr>
                <w:rFonts w:hint="eastAsia" w:ascii="宋体" w:hAnsi="宋体" w:cs="宋体"/>
                <w:b/>
                <w:color w:val="000000" w:themeColor="text1"/>
                <w:sz w:val="24"/>
                <w14:textFill>
                  <w14:solidFill>
                    <w14:schemeClr w14:val="tx1"/>
                  </w14:solidFill>
                </w14:textFill>
              </w:rPr>
              <w:t>否则响应文件按无效响应处理</w:t>
            </w:r>
            <w:r>
              <w:rPr>
                <w:rFonts w:hint="eastAsia" w:ascii="宋体" w:hAnsi="宋体" w:cs="宋体"/>
                <w:color w:val="000000" w:themeColor="text1"/>
                <w:sz w:val="24"/>
                <w14:textFill>
                  <w14:solidFill>
                    <w14:schemeClr w14:val="tx1"/>
                  </w14:solidFill>
                </w14:textFill>
              </w:rPr>
              <w:t>。</w:t>
            </w:r>
          </w:p>
          <w:p>
            <w:pPr>
              <w:snapToGrid w:val="0"/>
              <w:spacing w:line="500" w:lineRule="exact"/>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2.谈判保证金采用银行出具的保函交纳方式的，供应商应将保函的复印件作为谈判保证金提交凭证，放置于报价商务技术文件中，</w:t>
            </w:r>
            <w:r>
              <w:rPr>
                <w:rFonts w:hint="eastAsia" w:ascii="宋体" w:hAnsi="宋体" w:cs="宋体"/>
                <w:b/>
                <w:color w:val="000000" w:themeColor="text1"/>
                <w:sz w:val="24"/>
                <w14:textFill>
                  <w14:solidFill>
                    <w14:schemeClr w14:val="tx1"/>
                  </w14:solidFill>
                </w14:textFill>
              </w:rPr>
              <w:t>否则响应文件按无效响应处理</w:t>
            </w:r>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供应商必须在首次响应文件提交截止时间前将保函原件提交给采购代理机构（电子保函除外），由采购代理机构向供应商出具回执，并妥善保管。</w:t>
            </w:r>
          </w:p>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3.供应商为联合体的，可以由联合体中的一方或者多方共同交纳谈判保证金，其交纳的保证金对联合体各方均具有约束力。</w:t>
            </w:r>
          </w:p>
          <w:p>
            <w:pPr>
              <w:snapToGrid w:val="0"/>
              <w:spacing w:line="500" w:lineRule="exact"/>
              <w:ind w:firstLine="482"/>
              <w:rPr>
                <w:rFonts w:ascii="楷体" w:hAnsi="楷体" w:eastAsia="楷体" w:cs="宋体"/>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【备注】</w:t>
            </w:r>
            <w:r>
              <w:rPr>
                <w:rFonts w:ascii="楷体" w:hAnsi="楷体" w:eastAsia="楷体" w:cs="宋体"/>
                <w:color w:val="000000" w:themeColor="text1"/>
                <w:sz w:val="24"/>
                <w14:textFill>
                  <w14:solidFill>
                    <w14:schemeClr w14:val="tx1"/>
                  </w14:solidFill>
                </w14:textFill>
              </w:rPr>
              <w:t>1.</w:t>
            </w:r>
            <w:r>
              <w:rPr>
                <w:rFonts w:hint="eastAsia" w:ascii="楷体" w:hAnsi="楷体" w:eastAsia="楷体" w:cs="宋体"/>
                <w:color w:val="000000" w:themeColor="text1"/>
                <w:sz w:val="24"/>
                <w14:textFill>
                  <w14:solidFill>
                    <w14:schemeClr w14:val="tx1"/>
                  </w14:solidFill>
                </w14:textFill>
              </w:rPr>
              <w:t>首次响应文件提交截止时间后提交的，或者未足额交纳的，或者保函额度不足的，视为无效谈判保证金。</w:t>
            </w:r>
          </w:p>
          <w:p>
            <w:pPr>
              <w:snapToGrid w:val="0"/>
              <w:spacing w:line="500" w:lineRule="exact"/>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2.供应商采用现钞方式或者从个人账户（自然人</w:t>
            </w:r>
            <w:r>
              <w:rPr>
                <w:rFonts w:hint="eastAsia" w:ascii="楷体" w:hAnsi="楷体" w:eastAsia="楷体" w:cs="宋体"/>
                <w:color w:val="000000" w:themeColor="text1"/>
                <w:sz w:val="24"/>
                <w14:textFill>
                  <w14:solidFill>
                    <w14:schemeClr w14:val="tx1"/>
                  </w14:solidFill>
                </w14:textFill>
              </w:rPr>
              <w:t>参与竞争性谈判</w:t>
            </w:r>
            <w:r>
              <w:rPr>
                <w:rFonts w:ascii="楷体" w:hAnsi="楷体" w:eastAsia="楷体" w:cs="宋体"/>
                <w:color w:val="000000" w:themeColor="text1"/>
                <w:sz w:val="24"/>
                <w14:textFill>
                  <w14:solidFill>
                    <w14:schemeClr w14:val="tx1"/>
                  </w14:solidFill>
                </w14:textFill>
              </w:rPr>
              <w:t>除外）转出的</w:t>
            </w:r>
            <w:r>
              <w:rPr>
                <w:rFonts w:hint="eastAsia" w:ascii="楷体" w:hAnsi="楷体" w:eastAsia="楷体" w:cs="宋体"/>
                <w:color w:val="000000" w:themeColor="text1"/>
                <w:sz w:val="24"/>
                <w14:textFill>
                  <w14:solidFill>
                    <w14:schemeClr w14:val="tx1"/>
                  </w14:solidFill>
                </w14:textFill>
              </w:rPr>
              <w:t>谈判</w:t>
            </w:r>
            <w:r>
              <w:rPr>
                <w:rFonts w:ascii="楷体" w:hAnsi="楷体" w:eastAsia="楷体" w:cs="宋体"/>
                <w:color w:val="000000" w:themeColor="text1"/>
                <w:sz w:val="24"/>
                <w14:textFill>
                  <w14:solidFill>
                    <w14:schemeClr w14:val="tx1"/>
                  </w14:solidFill>
                </w14:textFill>
              </w:rPr>
              <w:t>保证金，视为无效</w:t>
            </w:r>
            <w:r>
              <w:rPr>
                <w:rFonts w:hint="eastAsia" w:ascii="楷体" w:hAnsi="楷体" w:eastAsia="楷体" w:cs="宋体"/>
                <w:color w:val="000000" w:themeColor="text1"/>
                <w:sz w:val="24"/>
                <w14:textFill>
                  <w14:solidFill>
                    <w14:schemeClr w14:val="tx1"/>
                  </w14:solidFill>
                </w14:textFill>
              </w:rPr>
              <w:t>谈判</w:t>
            </w:r>
            <w:r>
              <w:rPr>
                <w:rFonts w:ascii="楷体" w:hAnsi="楷体" w:eastAsia="楷体" w:cs="宋体"/>
                <w:color w:val="000000" w:themeColor="text1"/>
                <w:sz w:val="24"/>
                <w14:textFill>
                  <w14:solidFill>
                    <w14:schemeClr w14:val="tx1"/>
                  </w14:solidFill>
                </w14:textFill>
              </w:rPr>
              <w:t>保证金。</w:t>
            </w:r>
          </w:p>
          <w:p>
            <w:pPr>
              <w:snapToGrid w:val="0"/>
              <w:spacing w:line="500" w:lineRule="exact"/>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3.保函有效期</w:t>
            </w:r>
            <w:r>
              <w:rPr>
                <w:rFonts w:hint="eastAsia" w:ascii="楷体" w:hAnsi="楷体" w:eastAsia="楷体" w:cs="宋体"/>
                <w:color w:val="000000" w:themeColor="text1"/>
                <w:sz w:val="24"/>
                <w14:textFill>
                  <w14:solidFill>
                    <w14:schemeClr w14:val="tx1"/>
                  </w14:solidFill>
                </w14:textFill>
              </w:rPr>
              <w:t>短</w:t>
            </w:r>
            <w:r>
              <w:rPr>
                <w:rFonts w:ascii="楷体" w:hAnsi="楷体" w:eastAsia="楷体" w:cs="宋体"/>
                <w:color w:val="000000" w:themeColor="text1"/>
                <w:sz w:val="24"/>
                <w14:textFill>
                  <w14:solidFill>
                    <w14:schemeClr w14:val="tx1"/>
                  </w14:solidFill>
                </w14:textFill>
              </w:rPr>
              <w:t>于</w:t>
            </w:r>
            <w:r>
              <w:rPr>
                <w:rFonts w:hint="eastAsia" w:ascii="楷体" w:hAnsi="楷体" w:eastAsia="楷体" w:cs="宋体"/>
                <w:color w:val="000000" w:themeColor="text1"/>
                <w:sz w:val="24"/>
                <w14:textFill>
                  <w14:solidFill>
                    <w14:schemeClr w14:val="tx1"/>
                  </w14:solidFill>
                </w14:textFill>
              </w:rPr>
              <w:t>竞争性谈判</w:t>
            </w:r>
            <w:r>
              <w:rPr>
                <w:rFonts w:ascii="楷体" w:hAnsi="楷体" w:eastAsia="楷体" w:cs="宋体"/>
                <w:color w:val="000000" w:themeColor="text1"/>
                <w:sz w:val="24"/>
                <w14:textFill>
                  <w14:solidFill>
                    <w14:schemeClr w14:val="tx1"/>
                  </w14:solidFill>
                </w14:textFill>
              </w:rPr>
              <w:t>有效期的，视为无效</w:t>
            </w:r>
            <w:r>
              <w:rPr>
                <w:rFonts w:hint="eastAsia" w:ascii="楷体" w:hAnsi="楷体" w:eastAsia="楷体" w:cs="宋体"/>
                <w:color w:val="000000" w:themeColor="text1"/>
                <w:sz w:val="24"/>
                <w14:textFill>
                  <w14:solidFill>
                    <w14:schemeClr w14:val="tx1"/>
                  </w14:solidFill>
                </w14:textFill>
              </w:rPr>
              <w:t>谈判</w:t>
            </w:r>
            <w:r>
              <w:rPr>
                <w:rFonts w:ascii="楷体" w:hAnsi="楷体" w:eastAsia="楷体" w:cs="宋体"/>
                <w:color w:val="000000" w:themeColor="text1"/>
                <w:sz w:val="24"/>
                <w14:textFill>
                  <w14:solidFill>
                    <w14:schemeClr w14:val="tx1"/>
                  </w14:solidFill>
                </w14:textFill>
              </w:rPr>
              <w:t>保证金。</w:t>
            </w:r>
          </w:p>
          <w:p>
            <w:pPr>
              <w:snapToGrid w:val="0"/>
              <w:spacing w:line="500" w:lineRule="exact"/>
              <w:rPr>
                <w:rFonts w:ascii="宋体" w:hAnsi="宋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4.</w:t>
            </w:r>
            <w:r>
              <w:rPr>
                <w:rFonts w:hint="eastAsia" w:ascii="楷体" w:hAnsi="楷体" w:eastAsia="楷体" w:cs="宋体"/>
                <w:color w:val="000000" w:themeColor="text1"/>
                <w:sz w:val="24"/>
                <w14:textFill>
                  <w14:solidFill>
                    <w14:schemeClr w14:val="tx1"/>
                  </w14:solidFill>
                </w14:textFill>
              </w:rPr>
              <w:t>谈判</w:t>
            </w:r>
            <w:r>
              <w:rPr>
                <w:rFonts w:ascii="楷体" w:hAnsi="楷体" w:eastAsia="楷体" w:cs="宋体"/>
                <w:color w:val="000000" w:themeColor="text1"/>
                <w:sz w:val="24"/>
                <w14:textFill>
                  <w14:solidFill>
                    <w14:schemeClr w14:val="tx1"/>
                  </w14:solidFill>
                </w14:textFill>
              </w:rPr>
              <w:t>保证金采用保函为有条件保函的，视为无效</w:t>
            </w:r>
            <w:r>
              <w:rPr>
                <w:rFonts w:hint="eastAsia" w:ascii="楷体" w:hAnsi="楷体" w:eastAsia="楷体" w:cs="宋体"/>
                <w:color w:val="000000" w:themeColor="text1"/>
                <w:sz w:val="24"/>
                <w14:textFill>
                  <w14:solidFill>
                    <w14:schemeClr w14:val="tx1"/>
                  </w14:solidFill>
                </w14:textFill>
              </w:rPr>
              <w:t>谈判</w:t>
            </w:r>
            <w:r>
              <w:rPr>
                <w:rFonts w:ascii="楷体" w:hAnsi="楷体" w:eastAsia="楷体" w:cs="宋体"/>
                <w:color w:val="000000" w:themeColor="text1"/>
                <w:sz w:val="24"/>
                <w14:textFill>
                  <w14:solidFill>
                    <w14:schemeClr w14:val="tx1"/>
                  </w14:solidFill>
                </w14:textFill>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w:t>
            </w:r>
          </w:p>
        </w:tc>
        <w:tc>
          <w:tcPr>
            <w:tcW w:w="8181" w:type="dxa"/>
            <w:vAlign w:val="center"/>
          </w:tcPr>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响应文件应按资格证明文件、报价商务技术文件分别编制，</w:t>
            </w:r>
            <w:r>
              <w:rPr>
                <w:rFonts w:hint="eastAsia" w:ascii="宋体" w:hAnsi="宋体" w:cs="宋体"/>
                <w:color w:val="000000" w:themeColor="text1"/>
                <w:sz w:val="24"/>
                <w:lang w:bidi="ar"/>
                <w14:textFill>
                  <w14:solidFill>
                    <w14:schemeClr w14:val="tx1"/>
                  </w14:solidFill>
                </w14:textFill>
              </w:rPr>
              <w:t>并按广西政府采购云平台的要求编制、加密、上传。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20.1</w:t>
            </w:r>
          </w:p>
        </w:tc>
        <w:tc>
          <w:tcPr>
            <w:tcW w:w="8181" w:type="dxa"/>
            <w:vAlign w:val="center"/>
          </w:tcPr>
          <w:p>
            <w:pPr>
              <w:spacing w:line="500" w:lineRule="exact"/>
              <w:contextualSpacing/>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首次响应文件提交截止时间：详见竞争性谈判公告。</w:t>
            </w:r>
          </w:p>
          <w:p>
            <w:pPr>
              <w:spacing w:line="50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首次响应文件提交地点：详见竞争性谈判公告。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w:t>
            </w:r>
          </w:p>
        </w:tc>
        <w:tc>
          <w:tcPr>
            <w:tcW w:w="8181" w:type="dxa"/>
            <w:vAlign w:val="center"/>
          </w:tcPr>
          <w:p>
            <w:pPr>
              <w:snapToGrid w:val="0"/>
              <w:spacing w:line="50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谈判小组的人数：3人。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w:t>
            </w:r>
          </w:p>
        </w:tc>
        <w:tc>
          <w:tcPr>
            <w:tcW w:w="8181" w:type="dxa"/>
            <w:vAlign w:val="center"/>
          </w:tcPr>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采购代理机构将依托电子交易平台发起开始解密指令，</w:t>
            </w:r>
            <w:r>
              <w:rPr>
                <w:rFonts w:hint="eastAsia" w:ascii="宋体" w:hAnsi="宋体" w:cs="宋体"/>
                <w:b/>
                <w:color w:val="000000" w:themeColor="text1"/>
                <w:sz w:val="24"/>
                <w14:textFill>
                  <w14:solidFill>
                    <w14:schemeClr w14:val="tx1"/>
                  </w14:solidFill>
                </w14:textFill>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000000" w:themeColor="text1"/>
                <w:sz w:val="24"/>
                <w14:textFill>
                  <w14:solidFill>
                    <w14:schemeClr w14:val="tx1"/>
                  </w14:solidFill>
                </w14:textFill>
              </w:rPr>
              <w:t>响应文件未按时解密的，视为响应文件无效。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restart"/>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w:t>
            </w:r>
          </w:p>
        </w:tc>
        <w:tc>
          <w:tcPr>
            <w:tcW w:w="8181" w:type="dxa"/>
            <w:vAlign w:val="center"/>
          </w:tcPr>
          <w:p>
            <w:pPr>
              <w:snapToGrid w:val="0"/>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商务要求评审中允许负偏离的条款数为0项。</w:t>
            </w:r>
          </w:p>
          <w:p>
            <w:pPr>
              <w:snapToGrid w:val="0"/>
              <w:spacing w:line="5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技术要求评审中允许负偏离的条款数为6项。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91" w:type="dxa"/>
            <w:vMerge w:val="continue"/>
            <w:vAlign w:val="center"/>
          </w:tcPr>
          <w:p>
            <w:pPr>
              <w:spacing w:line="500" w:lineRule="exact"/>
              <w:jc w:val="center"/>
              <w:rPr>
                <w:rFonts w:ascii="宋体" w:hAnsi="宋体" w:cs="宋体"/>
                <w:color w:val="000000" w:themeColor="text1"/>
                <w:sz w:val="24"/>
                <w14:textFill>
                  <w14:solidFill>
                    <w14:schemeClr w14:val="tx1"/>
                  </w14:solidFill>
                </w14:textFill>
              </w:rPr>
            </w:pPr>
          </w:p>
        </w:tc>
        <w:tc>
          <w:tcPr>
            <w:tcW w:w="8181" w:type="dxa"/>
            <w:vAlign w:val="center"/>
          </w:tcPr>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谈判的顺序：按“广西政府采购云平台”系统自动提取的顺序。</w:t>
            </w:r>
          </w:p>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符合谈判资格的供应商必须在接到谈判通知后规定时间内参加谈判，未在规定时间内参加谈判的视同放弃参加谈判权利，其响应文件按无效响应处理。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Merge w:val="continue"/>
            <w:vAlign w:val="center"/>
          </w:tcPr>
          <w:p>
            <w:pPr>
              <w:spacing w:line="500" w:lineRule="exact"/>
              <w:jc w:val="center"/>
              <w:rPr>
                <w:rFonts w:ascii="宋体" w:hAnsi="宋体" w:cs="宋体"/>
                <w:color w:val="000000" w:themeColor="text1"/>
                <w:sz w:val="24"/>
                <w14:textFill>
                  <w14:solidFill>
                    <w14:schemeClr w14:val="tx1"/>
                  </w14:solidFill>
                </w14:textFill>
              </w:rPr>
            </w:pPr>
          </w:p>
        </w:tc>
        <w:tc>
          <w:tcPr>
            <w:tcW w:w="8181" w:type="dxa"/>
            <w:vAlign w:val="center"/>
          </w:tcPr>
          <w:p>
            <w:pPr>
              <w:spacing w:line="500" w:lineRule="exact"/>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评审价相同时，按照最后报价由低到高顺序依次推荐；最后报价相同的，按以下原则确定成交候选人的顺序：</w:t>
            </w:r>
          </w:p>
          <w:p>
            <w:pPr>
              <w:spacing w:line="500" w:lineRule="exact"/>
              <w:contextualSpacing/>
              <w:rPr>
                <w:rFonts w:ascii="宋体" w:hAnsi="宋体" w:cs="宋体"/>
                <w:color w:val="000000" w:themeColor="text1"/>
                <w:sz w:val="24"/>
                <w14:textFill>
                  <w14:solidFill>
                    <w14:schemeClr w14:val="tx1"/>
                  </w14:solidFill>
                </w14:textFill>
              </w:rPr>
            </w:pPr>
            <w:r>
              <w:rPr>
                <w:rFonts w:ascii="Segoe UI Symbol" w:hAnsi="Segoe UI Symbol" w:cs="Segoe UI Symbol"/>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依次按带“▲”的实质性要求正偏离项数多的优先、均无正偏离或者正偏离项数一致时负偏离项数少的优先、质量保证期长优先、交货期短优先、故障响应时间短优先、节能环保产品累计金额多的优先的顺序排列。</w:t>
            </w:r>
          </w:p>
          <w:p>
            <w:pPr>
              <w:spacing w:line="500" w:lineRule="exact"/>
              <w:contextualSpacing/>
              <w:rPr>
                <w:color w:val="000000" w:themeColor="text1"/>
                <w14:textFill>
                  <w14:solidFill>
                    <w14:schemeClr w14:val="tx1"/>
                  </w14:solidFill>
                </w14:textFill>
              </w:rPr>
            </w:pPr>
            <w:r>
              <w:rPr>
                <w:rFonts w:hint="eastAsia" w:ascii="Segoe UI Symbol" w:hAnsi="Segoe UI Symbol" w:cs="Segoe UI Symbol"/>
                <w:color w:val="000000" w:themeColor="text1"/>
                <w:sz w:val="24"/>
                <w14:textFill>
                  <w14:solidFill>
                    <w14:schemeClr w14:val="tx1"/>
                  </w14:solidFill>
                </w14:textFill>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w:t>
            </w:r>
          </w:p>
        </w:tc>
        <w:tc>
          <w:tcPr>
            <w:tcW w:w="8181" w:type="dxa"/>
            <w:vAlign w:val="center"/>
          </w:tcPr>
          <w:p>
            <w:pPr>
              <w:autoSpaceDE w:val="0"/>
              <w:autoSpaceDN w:val="0"/>
              <w:snapToGrid w:val="0"/>
              <w:spacing w:line="500" w:lineRule="exact"/>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本项目不收取履约保证金。</w:t>
            </w:r>
          </w:p>
          <w:p>
            <w:pPr>
              <w:pStyle w:val="1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sym w:font="Wingdings" w:char="00FE"/>
            </w:r>
            <w:r>
              <w:rPr>
                <w:rFonts w:hint="eastAsia"/>
                <w:color w:val="000000" w:themeColor="text1"/>
                <w:sz w:val="24"/>
                <w14:textFill>
                  <w14:solidFill>
                    <w14:schemeClr w14:val="tx1"/>
                  </w14:solidFill>
                </w14:textFill>
              </w:rPr>
              <w:t>本项目收取履约保证金：详见商务条款。</w:t>
            </w:r>
          </w:p>
          <w:p>
            <w:pPr>
              <w:autoSpaceDE w:val="0"/>
              <w:autoSpaceDN w:val="0"/>
              <w:snapToGrid w:val="0"/>
              <w:spacing w:line="360" w:lineRule="auto"/>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履约保证金递交方式：详见商务条款。</w:t>
            </w:r>
          </w:p>
          <w:p>
            <w:pPr>
              <w:autoSpaceDE w:val="0"/>
              <w:autoSpaceDN w:val="0"/>
              <w:snapToGrid w:val="0"/>
              <w:spacing w:line="360" w:lineRule="auto"/>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履约保证金退付方式、时间及条件详见商务条款。</w:t>
            </w:r>
          </w:p>
          <w:p>
            <w:pPr>
              <w:autoSpaceDE w:val="0"/>
              <w:autoSpaceDN w:val="0"/>
              <w:snapToGrid w:val="0"/>
              <w:spacing w:line="360" w:lineRule="auto"/>
              <w:ind w:firstLine="482"/>
              <w:textAlignment w:val="bottom"/>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【备注】</w:t>
            </w:r>
          </w:p>
          <w:p>
            <w:pPr>
              <w:autoSpaceDE w:val="0"/>
              <w:autoSpaceDN w:val="0"/>
              <w:snapToGrid w:val="0"/>
              <w:spacing w:line="360" w:lineRule="auto"/>
              <w:ind w:firstLine="482"/>
              <w:textAlignment w:val="bottom"/>
              <w:rPr>
                <w:rFonts w:ascii="楷体" w:hAnsi="楷体" w:eastAsia="楷体" w:cs="宋体"/>
                <w:b/>
                <w:color w:val="000000" w:themeColor="text1"/>
                <w:sz w:val="24"/>
                <w14:textFill>
                  <w14:solidFill>
                    <w14:schemeClr w14:val="tx1"/>
                  </w14:solidFill>
                </w14:textFill>
              </w:rPr>
            </w:pPr>
            <w:r>
              <w:rPr>
                <w:rFonts w:ascii="楷体" w:hAnsi="楷体" w:eastAsia="楷体" w:cs="宋体"/>
                <w:b/>
                <w:color w:val="000000" w:themeColor="text1"/>
                <w:sz w:val="24"/>
                <w14:textFill>
                  <w14:solidFill>
                    <w14:schemeClr w14:val="tx1"/>
                  </w14:solidFill>
                </w14:textFill>
              </w:rPr>
              <w:t>1.</w:t>
            </w:r>
            <w:r>
              <w:rPr>
                <w:rFonts w:hint="eastAsia" w:ascii="楷体" w:hAnsi="楷体" w:eastAsia="楷体" w:cs="宋体"/>
                <w:b/>
                <w:color w:val="000000" w:themeColor="text1"/>
                <w:sz w:val="24"/>
                <w14:textFill>
                  <w14:solidFill>
                    <w14:schemeClr w14:val="tx1"/>
                  </w14:solidFill>
                </w14:textFill>
              </w:rPr>
              <w:t>根据《广西壮族自治区财政厅关于持续优化政府采购营商环境推动高质量发展的通知》（桂财采〔2024〕55号），采购文件要求中标人或者成交供应商提交履约保证金的，履约保证金数额不得超过政府采购合同金额的5%，对中小企业收取的履约保证金数额不得超过政府采购合同金额的2%。</w:t>
            </w:r>
          </w:p>
          <w:p>
            <w:pPr>
              <w:autoSpaceDE w:val="0"/>
              <w:autoSpaceDN w:val="0"/>
              <w:snapToGrid w:val="0"/>
              <w:spacing w:line="360" w:lineRule="auto"/>
              <w:ind w:firstLine="482"/>
              <w:textAlignment w:val="bottom"/>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2.履约保证金必须足额缴纳，或出具的保函额度必须足额且保函有效期不能低于合同履行期限（即签订采购合同之日起至履行完合同约定的权利及义务之日止），否则视为无效履约保证金。</w:t>
            </w:r>
          </w:p>
          <w:p>
            <w:pPr>
              <w:autoSpaceDE w:val="0"/>
              <w:autoSpaceDN w:val="0"/>
              <w:snapToGrid w:val="0"/>
              <w:spacing w:line="360" w:lineRule="auto"/>
              <w:ind w:firstLine="482"/>
              <w:textAlignment w:val="bottom"/>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3.采用保函的，必须为无条件保函，否则视为无效履约保证金。</w:t>
            </w:r>
          </w:p>
          <w:p>
            <w:pPr>
              <w:autoSpaceDE w:val="0"/>
              <w:autoSpaceDN w:val="0"/>
              <w:snapToGrid w:val="0"/>
              <w:spacing w:line="360" w:lineRule="auto"/>
              <w:ind w:firstLine="482"/>
              <w:textAlignment w:val="bottom"/>
              <w:rPr>
                <w:rFonts w:ascii="宋体" w:hAnsi="宋体" w:cs="宋体"/>
                <w:color w:val="000000" w:themeColor="text1"/>
                <w:sz w:val="24"/>
                <w14:textFill>
                  <w14:solidFill>
                    <w14:schemeClr w14:val="tx1"/>
                  </w14:solidFill>
                </w14:textFill>
              </w:rPr>
            </w:pPr>
            <w:r>
              <w:rPr>
                <w:rFonts w:ascii="楷体" w:hAnsi="楷体" w:eastAsia="楷体" w:cs="宋体"/>
                <w:b/>
                <w:color w:val="000000" w:themeColor="text1"/>
                <w:sz w:val="24"/>
                <w14:textFill>
                  <w14:solidFill>
                    <w14:schemeClr w14:val="tx1"/>
                  </w14:solidFill>
                </w14:textFill>
              </w:rPr>
              <w:t>4.供应商为联合体的，由联合体任意一方按规定提交的履约保证金，视为有效履约保证金。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29.1</w:t>
            </w:r>
          </w:p>
        </w:tc>
        <w:tc>
          <w:tcPr>
            <w:tcW w:w="8181" w:type="dxa"/>
            <w:vAlign w:val="center"/>
          </w:tcPr>
          <w:p>
            <w:pPr>
              <w:autoSpaceDE w:val="0"/>
              <w:autoSpaceDN w:val="0"/>
              <w:snapToGrid w:val="0"/>
              <w:spacing w:line="500" w:lineRule="exact"/>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签订合同携带的证明材料： </w:t>
            </w:r>
          </w:p>
          <w:p>
            <w:pPr>
              <w:autoSpaceDE w:val="0"/>
              <w:autoSpaceDN w:val="0"/>
              <w:snapToGrid w:val="0"/>
              <w:spacing w:line="500" w:lineRule="exact"/>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委托代理人负责签订合同的，须携带授权委托书及委托代理人身份证原件等其他资格证件。</w:t>
            </w:r>
          </w:p>
          <w:p>
            <w:pPr>
              <w:snapToGrid w:val="0"/>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w:t>
            </w:r>
          </w:p>
        </w:tc>
        <w:tc>
          <w:tcPr>
            <w:tcW w:w="8181" w:type="dxa"/>
            <w:vAlign w:val="center"/>
          </w:tcPr>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递交质疑函的联系事项：</w:t>
            </w:r>
          </w:p>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广西科联招标中心有限公司（采购代理机构）一楼102室</w:t>
            </w:r>
          </w:p>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联系电话：0771-3486228    </w:t>
            </w:r>
          </w:p>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地址：广西南宁市大学东路170号</w:t>
            </w:r>
          </w:p>
          <w:p>
            <w:pPr>
              <w:pStyle w:val="17"/>
              <w:snapToGrid w:val="0"/>
              <w:spacing w:line="500" w:lineRule="exact"/>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供应商如有质疑，需在法定质疑期内一次性提出针对同一采购程序环节的质疑。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w:t>
            </w:r>
          </w:p>
        </w:tc>
        <w:tc>
          <w:tcPr>
            <w:tcW w:w="8181" w:type="dxa"/>
            <w:vAlign w:val="center"/>
          </w:tcPr>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成交服务费：成交服务费按国家发展计划委员会《招标代理服务费管理暂行办法》（计价格[2002]1980号）货物类收费标准向成交人收取。签订合同前，成交人应向采购代理机构以下账户一次付清成交服务费。</w:t>
            </w:r>
          </w:p>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代理服务费收费标准：</w:t>
            </w:r>
          </w:p>
          <w:tbl>
            <w:tblPr>
              <w:tblStyle w:val="27"/>
              <w:tblW w:w="585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4"/>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764" w:type="dxa"/>
                  <w:vAlign w:val="center"/>
                </w:tcPr>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某分标成交金额（万元）</w:t>
                  </w:r>
                </w:p>
              </w:tc>
              <w:tc>
                <w:tcPr>
                  <w:tcW w:w="3090" w:type="dxa"/>
                  <w:vAlign w:val="center"/>
                </w:tcPr>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费  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764" w:type="dxa"/>
                </w:tcPr>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100以下</w:t>
                  </w:r>
                </w:p>
              </w:tc>
              <w:tc>
                <w:tcPr>
                  <w:tcW w:w="3090" w:type="dxa"/>
                </w:tcPr>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100-500</w:t>
                  </w:r>
                </w:p>
              </w:tc>
              <w:tc>
                <w:tcPr>
                  <w:tcW w:w="3090" w:type="dxa"/>
                </w:tcPr>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w:t>
                  </w:r>
                </w:p>
              </w:tc>
            </w:tr>
          </w:tbl>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注：招标代理服务费按差额定率累进法计算。</w:t>
            </w:r>
          </w:p>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开户名称：广西科联招标中心有限公司</w:t>
            </w:r>
          </w:p>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开户银行：</w:t>
            </w:r>
            <w:r>
              <w:rPr>
                <w:rFonts w:hint="eastAsia" w:hAnsi="宋体" w:cs="宋体"/>
                <w:color w:val="000000" w:themeColor="text1"/>
                <w:sz w:val="24"/>
                <w14:textFill>
                  <w14:solidFill>
                    <w14:schemeClr w14:val="tx1"/>
                  </w14:solidFill>
                </w14:textFill>
              </w:rPr>
              <w:t>中国工商银行南宁市高新科技支行</w:t>
            </w:r>
          </w:p>
          <w:p>
            <w:pPr>
              <w:pStyle w:val="17"/>
              <w:snapToGrid w:val="0"/>
              <w:spacing w:line="500" w:lineRule="exac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银行账号：2102111229300032105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w:t>
            </w:r>
          </w:p>
        </w:tc>
        <w:tc>
          <w:tcPr>
            <w:tcW w:w="8181" w:type="dxa"/>
            <w:vAlign w:val="center"/>
          </w:tcPr>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解释：构成本谈判文件的各个组成文件应互为解释，互为说明；除谈判文件中有特别规定外，仅适用于竞争性谈判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jc w:val="center"/>
        </w:trPr>
        <w:tc>
          <w:tcPr>
            <w:tcW w:w="991" w:type="dxa"/>
            <w:vAlign w:val="center"/>
          </w:tcPr>
          <w:p>
            <w:pPr>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33.2</w:t>
            </w:r>
          </w:p>
        </w:tc>
        <w:tc>
          <w:tcPr>
            <w:tcW w:w="8181" w:type="dxa"/>
            <w:vAlign w:val="center"/>
          </w:tcPr>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本谈判文件中描述供应商的“公章”是指根据我国对公章的管理规定，用供应商法定主体名称制作的印章或供应商通过指定电子化政府采购平台办理数字证书（CA认证）获得的以法定主体名称制作的电子印章。除本谈判文件有特殊规定外，供应商的财务章、部门章、分公司章、工会章、合同章、竞争性谈判专用章、业务专用章及银行的转账章、现金收讫章、现金付讫章等其他形式印章均不能代替公章。</w:t>
            </w:r>
          </w:p>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2.供应商为其他组织或者自然人时，本谈判文件规定的法定代表人指负责人或者自然人。本谈判文件所称负责人是指参加竞争性谈判的其他组织</w:t>
            </w:r>
            <w:r>
              <w:rPr>
                <w:rFonts w:hint="eastAsia" w:hAnsi="宋体" w:cs="宋体"/>
                <w:bCs/>
                <w:color w:val="000000" w:themeColor="text1"/>
                <w:sz w:val="24"/>
                <w:szCs w:val="24"/>
                <w14:textFill>
                  <w14:solidFill>
                    <w14:schemeClr w14:val="tx1"/>
                  </w14:solidFill>
                </w14:textFill>
              </w:rPr>
              <w:t>营业执照或者执业许可证等证照上</w:t>
            </w:r>
            <w:r>
              <w:rPr>
                <w:rFonts w:hint="eastAsia" w:hAnsi="宋体" w:cs="宋体"/>
                <w:color w:val="000000" w:themeColor="text1"/>
                <w:sz w:val="24"/>
                <w:szCs w:val="24"/>
                <w14:textFill>
                  <w14:solidFill>
                    <w14:schemeClr w14:val="tx1"/>
                  </w14:solidFill>
                </w14:textFill>
              </w:rPr>
              <w:t>的负责人，本谈判文件所称自然人指参与竞争性谈判的自然人本人，</w:t>
            </w:r>
            <w:r>
              <w:rPr>
                <w:rFonts w:hint="eastAsia" w:hAnsi="宋体" w:cs="宋体"/>
                <w:bCs/>
                <w:color w:val="000000" w:themeColor="text1"/>
                <w:sz w:val="24"/>
                <w:szCs w:val="24"/>
                <w14:textFill>
                  <w14:solidFill>
                    <w14:schemeClr w14:val="tx1"/>
                  </w14:solidFill>
                </w14:textFill>
              </w:rPr>
              <w:t>且应具备独立承担民事责任能力，自然人应当为年满18岁以上成年人（十六周岁以上的未成年人，以自己的劳动收入为主要生活来源的，视为完全民事行为能力人）。</w:t>
            </w:r>
          </w:p>
          <w:p>
            <w:pPr>
              <w:pStyle w:val="17"/>
              <w:snapToGrid w:val="0"/>
              <w:spacing w:line="50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本谈判文件中描述供应商的“签字”是指供应商的法定代表人或者委托代理人在文件规定签署处签名或者指供应商通过指定电子化政府采购平台办理数字证书（CA认证）获得的以供应商法定代表人或者委托代理人姓名制作的电子印章签名的行为，私章、印鉴等其他形式均不能代替签字。</w:t>
            </w:r>
          </w:p>
          <w:p>
            <w:pPr>
              <w:pStyle w:val="17"/>
              <w:snapToGrid w:val="0"/>
              <w:spacing w:line="500" w:lineRule="exact"/>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4</w:t>
            </w:r>
            <w:r>
              <w:rPr>
                <w:rFonts w:hint="eastAsia" w:hAnsi="宋体" w:cs="宋体"/>
                <w:color w:val="000000" w:themeColor="text1"/>
                <w:sz w:val="24"/>
                <w:szCs w:val="24"/>
                <w14:textFill>
                  <w14:solidFill>
                    <w14:schemeClr w14:val="tx1"/>
                  </w14:solidFill>
                </w14:textFill>
              </w:rPr>
              <w:t>.本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17"/>
              <w:snapToGrid w:val="0"/>
              <w:spacing w:line="500" w:lineRule="exact"/>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5</w:t>
            </w:r>
            <w:r>
              <w:rPr>
                <w:rFonts w:hint="eastAsia" w:hAnsi="宋体" w:cs="宋体"/>
                <w:color w:val="000000" w:themeColor="text1"/>
                <w:sz w:val="24"/>
                <w:szCs w:val="24"/>
                <w14:textFill>
                  <w14:solidFill>
                    <w14:schemeClr w14:val="tx1"/>
                  </w14:solidFill>
                </w14:textFill>
              </w:rPr>
              <w:t>.自然人参与竞争性谈判的，谈判文件规定盖章的地方自然人可以加盖手指指印。</w:t>
            </w:r>
          </w:p>
          <w:p>
            <w:pPr>
              <w:pStyle w:val="17"/>
              <w:snapToGrid w:val="0"/>
              <w:spacing w:line="500" w:lineRule="exact"/>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6</w:t>
            </w:r>
            <w:r>
              <w:rPr>
                <w:rFonts w:hint="eastAsia" w:hAnsi="宋体" w:cs="宋体"/>
                <w:color w:val="000000" w:themeColor="text1"/>
                <w:sz w:val="24"/>
                <w:szCs w:val="24"/>
                <w14:textFill>
                  <w14:solidFill>
                    <w14:schemeClr w14:val="tx1"/>
                  </w14:solidFill>
                </w14:textFill>
              </w:rPr>
              <w:t>.本谈判文件所称的“以上”“以下”“以内”“届满”，包括本数；所称的“不满”“超过”“以外”，不包括本数。</w:t>
            </w:r>
          </w:p>
        </w:tc>
      </w:tr>
    </w:tbl>
    <w:p>
      <w:pPr>
        <w:spacing w:line="360" w:lineRule="auto"/>
        <w:ind w:firstLine="643"/>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r>
        <w:rPr>
          <w:rFonts w:hint="eastAsia" w:ascii="宋体" w:hAnsi="宋体" w:cs="宋体"/>
          <w:b/>
          <w:color w:val="000000" w:themeColor="text1"/>
          <w:sz w:val="36"/>
          <w:szCs w:val="36"/>
          <w14:textFill>
            <w14:solidFill>
              <w14:schemeClr w14:val="tx1"/>
            </w14:solidFill>
          </w14:textFill>
        </w:rPr>
        <w:t>供应商须知正文</w:t>
      </w:r>
    </w:p>
    <w:p>
      <w:pPr>
        <w:spacing w:line="360" w:lineRule="auto"/>
        <w:ind w:firstLine="723"/>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一、总则</w:t>
      </w:r>
    </w:p>
    <w:p>
      <w:pPr>
        <w:spacing w:line="400" w:lineRule="exact"/>
        <w:rPr>
          <w:rFonts w:ascii="宋体" w:hAnsi="宋体" w:cs="宋体"/>
          <w:color w:val="000000" w:themeColor="text1"/>
          <w:szCs w:val="21"/>
          <w14:textFill>
            <w14:solidFill>
              <w14:schemeClr w14:val="tx1"/>
            </w14:solidFill>
          </w14:textFill>
        </w:rPr>
      </w:pP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1.适用范围</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cs="宋体"/>
          <w:color w:val="000000" w:themeColor="text1"/>
          <w:spacing w:val="-6"/>
          <w:sz w:val="24"/>
          <w14:textFill>
            <w14:solidFill>
              <w14:schemeClr w14:val="tx1"/>
            </w14:solidFill>
          </w14:textFill>
        </w:rPr>
        <w:t>本竞争性谈判采购文件（以下简称谈判文件）适用于本项目的所有采购程序和环节（法律、法规另有规定的，从其规定）。</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2.定义</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2.1“采购人”是指依法进行采购的国家机关、事业单位、团体组织。</w:t>
      </w:r>
    </w:p>
    <w:p>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2.2“采购代理机构”</w:t>
      </w:r>
      <w:r>
        <w:rPr>
          <w:rFonts w:hint="eastAsia" w:ascii="宋体" w:hAnsi="宋体" w:cs="宋体"/>
          <w:b/>
          <w:color w:val="000000" w:themeColor="text1"/>
          <w:sz w:val="24"/>
          <w14:textFill>
            <w14:solidFill>
              <w14:schemeClr w14:val="tx1"/>
            </w14:solidFill>
          </w14:textFill>
        </w:rPr>
        <w:t>是指政府采购集中采购机构和集中采购机构以外的采购代理机构。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2.3“供应商”是指向采购人提供货物、工程或者服务的法人、其他组织或者自然人。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2.4“货物”是指各种形态和种类的物品，包括原材料、燃料、设备、产品等。</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”是指按照本项目竞争性谈判公告或者邀请函规定的方式供应商获取谈判文件、提交响应文件并希望获得标的的行为。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2.6“售后服务” 是指包含但不限于供应商须承担的备品备件、包装、运输、装卸、保险、货到就位以及安装、调试、培训、保修和其他类似的义务。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2.7“书面形式”是指合同书、信件和数据电文（包括电报、电传、传真、电子数据交换和电子邮件）等可以有形地表现所载内容的形式。</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2.8“响应文件”</w:t>
      </w:r>
      <w:r>
        <w:rPr>
          <w:rFonts w:hint="eastAsia" w:ascii="宋体" w:hAnsi="宋体" w:cs="宋体"/>
          <w:color w:val="000000" w:themeColor="text1"/>
          <w:spacing w:val="-6"/>
          <w:sz w:val="24"/>
          <w14:textFill>
            <w14:solidFill>
              <w14:schemeClr w14:val="tx1"/>
            </w14:solidFill>
          </w14:textFill>
        </w:rPr>
        <w:t>是指：供应商根据本谈判文件要求，编制包含报价、技术和服务等所有内容的文件。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 “实质性要求”是指采购需求中带“▲”的条款或者不能负偏离的条款或者已经指明不满足按响应文件按无效响应处理的条款。</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2.10“正偏离”，是指响应文件对谈判文件“采购需求”中有关条款作出优于条款要求并有利于采购人的响应情形；</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2.11“负偏离”，是指响应文件对谈判文件“采购需求”中有关条款作出的响应不满足条款要求，导致采购人要求不能得到满足的情形。</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2.12“允许负偏离的条款”是指采购需求中的不属于“实质性要求”的条款。</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2.13“首次报价”是指供应商提交的首次响应文件中的</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w:t>
      </w:r>
    </w:p>
    <w:p>
      <w:pPr>
        <w:spacing w:line="360" w:lineRule="auto"/>
        <w:ind w:firstLine="643" w:firstLineChars="200"/>
        <w:contextualSpacing/>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3.供应商的资格条件</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供应商的资格条件详见“供应商须知前附表”。</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4.竞争性谈判费用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费用：供应商应承担参与本次采购活动有关的所有费用，包括但不限于获取谈判文件、勘查现场、编制和提交响应文件、参加谈判与应答、签订合同等，不论</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结果如何，均应自行承担。</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5.联合体参与竞争性谈判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5.1本项目是否接受联合体参与</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，详见“供应商须知前附表”。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w:t>
      </w:r>
      <w:r>
        <w:rPr>
          <w:rFonts w:hint="eastAsia" w:ascii="宋体" w:hAnsi="宋体" w:cs="宋体"/>
          <w:bCs/>
          <w:color w:val="000000" w:themeColor="text1"/>
          <w:sz w:val="24"/>
          <w14:textFill>
            <w14:solidFill>
              <w14:schemeClr w14:val="tx1"/>
            </w14:solidFill>
          </w14:textFill>
        </w:rPr>
        <w:t>如接受联合体参与</w:t>
      </w:r>
      <w:r>
        <w:rPr>
          <w:rFonts w:hint="eastAsia" w:hAnsi="宋体" w:cs="宋体"/>
          <w:color w:val="000000" w:themeColor="text1"/>
          <w:sz w:val="24"/>
          <w14:textFill>
            <w14:solidFill>
              <w14:schemeClr w14:val="tx1"/>
            </w14:solidFill>
          </w14:textFill>
        </w:rPr>
        <w:t>竞争性谈判</w:t>
      </w:r>
      <w:r>
        <w:rPr>
          <w:rFonts w:hint="eastAsia" w:ascii="宋体" w:hAnsi="宋体" w:cs="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具体要求详见“供应商须知前附表”。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w:t>
      </w:r>
      <w:bookmarkStart w:id="22" w:name="_Hlk65857072"/>
      <w:r>
        <w:rPr>
          <w:rFonts w:hint="eastAsia" w:ascii="宋体" w:hAnsi="宋体" w:cs="宋体"/>
          <w:color w:val="000000" w:themeColor="text1"/>
          <w:sz w:val="24"/>
          <w14:textFill>
            <w14:solidFill>
              <w14:schemeClr w14:val="tx1"/>
            </w14:solidFill>
          </w14:textFill>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22"/>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6.转包与分包             </w:t>
      </w:r>
    </w:p>
    <w:p>
      <w:pPr>
        <w:pStyle w:val="6"/>
        <w:keepNext w:val="0"/>
        <w:keepLines w:val="0"/>
        <w:spacing w:before="0" w:after="0" w:line="360" w:lineRule="auto"/>
        <w:ind w:firstLine="480" w:firstLineChars="200"/>
        <w:rPr>
          <w:rFonts w:ascii="宋体" w:hAnsi="宋体" w:cs="宋体"/>
          <w:b w:val="0"/>
          <w:color w:val="000000" w:themeColor="text1"/>
          <w:sz w:val="24"/>
          <w:szCs w:val="24"/>
          <w14:textFill>
            <w14:solidFill>
              <w14:schemeClr w14:val="tx1"/>
            </w14:solidFill>
          </w14:textFill>
        </w:rPr>
      </w:pPr>
      <w:bookmarkStart w:id="23" w:name="_Toc254970532"/>
      <w:bookmarkStart w:id="24" w:name="_Toc254970673"/>
      <w:r>
        <w:rPr>
          <w:rFonts w:hint="eastAsia" w:ascii="宋体" w:hAnsi="宋体" w:cs="宋体"/>
          <w:b w:val="0"/>
          <w:color w:val="000000" w:themeColor="text1"/>
          <w:sz w:val="24"/>
          <w:szCs w:val="24"/>
          <w14:textFill>
            <w14:solidFill>
              <w14:schemeClr w14:val="tx1"/>
            </w14:solidFill>
          </w14:textFill>
        </w:rPr>
        <w:t>6.1本项目不允许</w:t>
      </w:r>
      <w:r>
        <w:rPr>
          <w:rFonts w:hint="eastAsia" w:ascii="宋体" w:hAnsi="宋体" w:cs="宋体"/>
          <w:b w:val="0"/>
          <w:color w:val="000000" w:themeColor="text1"/>
          <w:sz w:val="24"/>
          <w14:textFill>
            <w14:solidFill>
              <w14:schemeClr w14:val="tx1"/>
            </w14:solidFill>
          </w14:textFill>
        </w:rPr>
        <w:t>转包</w:t>
      </w:r>
      <w:r>
        <w:rPr>
          <w:rFonts w:hint="eastAsia" w:ascii="宋体" w:hAnsi="宋体" w:cs="宋体"/>
          <w:b w:val="0"/>
          <w:color w:val="000000" w:themeColor="text1"/>
          <w:sz w:val="24"/>
          <w:szCs w:val="24"/>
          <w14:textFill>
            <w14:solidFill>
              <w14:schemeClr w14:val="tx1"/>
            </w14:solidFill>
          </w14:textFill>
        </w:rPr>
        <w:t>。</w:t>
      </w:r>
    </w:p>
    <w:p>
      <w:pPr>
        <w:pStyle w:val="6"/>
        <w:keepNext w:val="0"/>
        <w:keepLines w:val="0"/>
        <w:spacing w:before="0" w:after="0" w:line="360" w:lineRule="auto"/>
        <w:ind w:firstLine="360" w:firstLineChars="15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pPr>
        <w:pStyle w:val="6"/>
        <w:keepNext w:val="0"/>
        <w:keepLines w:val="0"/>
        <w:spacing w:before="0" w:after="0" w:line="360" w:lineRule="auto"/>
        <w:ind w:firstLine="360" w:firstLineChars="15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643"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7.特别说明</w:t>
      </w:r>
      <w:bookmarkEnd w:id="23"/>
      <w:bookmarkEnd w:id="24"/>
      <w:bookmarkStart w:id="25" w:name="_8.1提供相同品牌产品且通过资格审查、符合性审查的不同投标人参加同一合"/>
      <w:bookmarkEnd w:id="25"/>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如果本谈判文件要求提供供应商或制造商的资格、信誉、荣誉、业绩与企业认证等材料的，资格、信誉、荣誉、业绩与企业认证等必须为供应商或者制造商所拥有或自身获得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供应商应仔细阅读谈判文件的所有内容，按照谈判文件的要求提交响应文件，并对所提供的全部资料的真实性承担法律责任。</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供应商在参与竞争性谈判活动中提供任何虚假材料,其响应文件按无效响应处理，并报监管部门查处；签订合同后发现提供虚假材料、虚假检测报告等虚假材料的,成交供应商须依法赔偿采购人，且民事赔偿并不免除违法供应商的行政与刑事责任。</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在政府采购活动中，采购人员及相关人员与供应商有下列利害关系之一的，应当回避：</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（1）参加采购活动前3年内与供应商存在劳动关系；</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（2）参加采购活动前3年内担任供应商的董事、监事；</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（3）参加采购活动前3年内是供应商的控股股东或者实际控制人；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（4）与供应商的法定代表人或者负责人有夫妻、直系血亲、三代以内旁系血亲或者近姻亲关系；</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（5）与供应商有其他可能影响政府采购活动公平、公正进行的关系。</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有下列情形之一的视为供应商相互串通参与</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，响应文件将被视为无效：</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（1）不同供应商的响应文件由同一单位或者个人编制；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（2）不同供应商委托同一单位或者个人办理</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事宜；</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（3）不同的供应商的响应文件载明的项目管理员为同一个人；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（4）不同供应商的响应文件异常一致或者报价呈规律性差异；</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（5）不同供应商的响应文件相互混装；</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（6）不同供应商的谈判保证金从同一单位或者个人账户转出；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（7）供应商之间协商报价等响应文件的实质性内容；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（8）供应商之间约定成交供应商；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（9）供应商之间约定部分供应商放弃参与竞争性谈判或者成交；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（10）属于同一集团、协会、商会等组织成员的供应商按照该组织要求协同参与竞争性谈判；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（11）供应商之间为谋取成交或者排斥特定供应商而采取的其他联合行动。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供应商有下列情形之一的，属于恶意串通行为</w:t>
      </w:r>
      <w:bookmarkStart w:id="26" w:name="_Hlk54682620"/>
      <w:r>
        <w:rPr>
          <w:rFonts w:hint="eastAsia" w:ascii="宋体" w:hAnsi="宋体" w:cs="宋体"/>
          <w:color w:val="000000" w:themeColor="text1"/>
          <w:sz w:val="24"/>
          <w14:textFill>
            <w14:solidFill>
              <w14:schemeClr w14:val="tx1"/>
            </w14:solidFill>
          </w14:textFill>
        </w:rPr>
        <w:t>，将报同级监督管理部门</w:t>
      </w:r>
      <w:bookmarkEnd w:id="26"/>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（1）供应商直接或者间接从采购人或者采购代理机构处获得其他供应商的相关信息并修改其响应文件；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（2）供应商按照采购人或者采购代理机构的授意撤换、修改响应文件；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（3）供应商之间协商报价、技术方案等响应文件或者响应文件的实质性内容；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（4）属于同一集团、协会、商会等组织成员的供应商按照该组织要求协同参加政府采购活动；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（6）供应商之间商定部分供应商放弃参加政府采购活动或者放弃成交；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（7）供应商与采购人或者采购代理机构之间、供应商相互之间，为谋求特定供应商成交或者排斥其他供应商的其他串通行为。</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7.7</w:t>
      </w:r>
      <w:r>
        <w:rPr>
          <w:rFonts w:hint="eastAsia" w:ascii="宋体" w:hAnsi="宋体" w:cs="宋体"/>
          <w:color w:val="000000" w:themeColor="text1"/>
          <w:sz w:val="24"/>
          <w14:textFill>
            <w14:solidFill>
              <w14:schemeClr w14:val="tx1"/>
            </w14:solidFill>
          </w14:textFill>
        </w:rPr>
        <w:t>单一产品采购项目，提供相同品牌产品的不同供应商参加同一合同项下</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的，以其中通过资格审查、符合性审查、谈判且最后报价最低的参加报价评审；最后报价相同的，按照前附表第2</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条规定确定一个参加评审的供应商，其他响应文件作无效处理。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非单一产品采购项目，多家供应商提供的核心产品品牌相同的，按前款规定处理；多家供应商提供的所有产品品牌相同，按前款处理。</w:t>
      </w:r>
    </w:p>
    <w:p>
      <w:pPr>
        <w:spacing w:line="360" w:lineRule="auto"/>
        <w:ind w:firstLine="477" w:firstLineChars="199"/>
        <w:jc w:val="center"/>
        <w:rPr>
          <w:rFonts w:ascii="宋体" w:hAnsi="宋体" w:cs="宋体"/>
          <w:color w:val="000000" w:themeColor="text1"/>
          <w:sz w:val="24"/>
          <w:szCs w:val="32"/>
          <w14:textFill>
            <w14:solidFill>
              <w14:schemeClr w14:val="tx1"/>
            </w14:solidFill>
          </w14:textFill>
        </w:rPr>
      </w:pPr>
      <w:bookmarkStart w:id="27" w:name="_Toc254970675"/>
      <w:bookmarkStart w:id="28" w:name="_Toc254970534"/>
    </w:p>
    <w:p>
      <w:pPr>
        <w:spacing w:line="360" w:lineRule="auto"/>
        <w:ind w:firstLine="803"/>
        <w:jc w:val="center"/>
        <w:rPr>
          <w:rFonts w:ascii="宋体" w:hAnsi="宋体" w:cs="宋体"/>
          <w:b/>
          <w:color w:val="000000" w:themeColor="text1"/>
          <w:sz w:val="40"/>
          <w:szCs w:val="40"/>
          <w14:textFill>
            <w14:solidFill>
              <w14:schemeClr w14:val="tx1"/>
            </w14:solidFill>
          </w14:textFill>
        </w:rPr>
      </w:pPr>
      <w:r>
        <w:rPr>
          <w:rFonts w:hint="eastAsia" w:ascii="宋体" w:hAnsi="宋体" w:cs="宋体"/>
          <w:b/>
          <w:color w:val="000000" w:themeColor="text1"/>
          <w:sz w:val="40"/>
          <w:szCs w:val="40"/>
          <w14:textFill>
            <w14:solidFill>
              <w14:schemeClr w14:val="tx1"/>
            </w14:solidFill>
          </w14:textFill>
        </w:rPr>
        <w:t>二、谈判文件</w:t>
      </w:r>
      <w:bookmarkEnd w:id="27"/>
      <w:bookmarkEnd w:id="28"/>
    </w:p>
    <w:p>
      <w:pPr>
        <w:spacing w:line="360" w:lineRule="auto"/>
        <w:jc w:val="center"/>
        <w:rPr>
          <w:rFonts w:ascii="宋体" w:hAnsi="宋体" w:cs="宋体"/>
          <w:color w:val="000000" w:themeColor="text1"/>
          <w:sz w:val="24"/>
          <w14:textFill>
            <w14:solidFill>
              <w14:schemeClr w14:val="tx1"/>
            </w14:solidFill>
          </w14:textFill>
        </w:rPr>
      </w:pP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8.谈判文件的构成</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（1）竞争性谈判公告；</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（2）供应商须知； </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（3）采购需求；</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（4）响应文件格式；</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（5）合同文本；</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（6）评审程序和评定成交的标准。</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9.供应商的询问</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应认真阅读谈判文件的采购需求，如供应商对谈判文件有疑问的，如要求采购人作出澄清或者修改的，供应商尽可能在提交首次响应文件截止之日前，以纸质书面形式向采购人、采购代理机构提出，否则，由此产生的后果由供应商自行负责。</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10.谈判文件的澄清和修改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提交首次响应文件截止之日前，采购人、采购代理机构可以对已发出的谈判文件进行必要的澄清或者修改，澄清或者修改的内容作为谈判文件的组成部分。澄清或者修改将在原公告发布媒体上发布更正公告。澄清或者修改的内容可能影响响应文件编制的，采购人、采购代理机构或者谈判小组应当在提交首次响应文件截止之日</w:t>
      </w:r>
      <w:r>
        <w:rPr>
          <w:rFonts w:ascii="宋体" w:hAnsi="宋体" w:cs="宋体"/>
          <w:color w:val="000000" w:themeColor="text1"/>
          <w:sz w:val="24"/>
          <w14:textFill>
            <w14:solidFill>
              <w14:schemeClr w14:val="tx1"/>
            </w14:solidFill>
          </w14:textFill>
        </w:rPr>
        <w:t>3个工作日前，在原公告发布媒体上发布更正公告</w:t>
      </w:r>
      <w:r>
        <w:rPr>
          <w:rFonts w:hint="eastAsia" w:ascii="宋体" w:hAnsi="宋体" w:cs="宋体"/>
          <w:color w:val="000000" w:themeColor="text1"/>
          <w:sz w:val="24"/>
          <w14:textFill>
            <w14:solidFill>
              <w14:schemeClr w14:val="tx1"/>
            </w14:solidFill>
          </w14:textFill>
        </w:rPr>
        <w:t>；不足</w:t>
      </w:r>
      <w:r>
        <w:rPr>
          <w:rFonts w:ascii="宋体" w:hAnsi="宋体" w:cs="宋体"/>
          <w:color w:val="000000" w:themeColor="text1"/>
          <w:sz w:val="24"/>
          <w14:textFill>
            <w14:solidFill>
              <w14:schemeClr w14:val="tx1"/>
            </w14:solidFill>
          </w14:textFill>
        </w:rPr>
        <w:t>3个工作日的，应当顺延提交首次响应文件截止</w:t>
      </w:r>
      <w:r>
        <w:rPr>
          <w:rFonts w:hint="eastAsia" w:ascii="宋体" w:hAnsi="宋体" w:cs="宋体"/>
          <w:color w:val="000000" w:themeColor="text1"/>
          <w:sz w:val="24"/>
          <w14:textFill>
            <w14:solidFill>
              <w14:schemeClr w14:val="tx1"/>
            </w14:solidFill>
          </w14:textFill>
        </w:rPr>
        <w:t>时间。</w:t>
      </w:r>
    </w:p>
    <w:p>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10.2采购人和采购代理机构可以视采购具体情况，变更</w:t>
      </w:r>
      <w:r>
        <w:rPr>
          <w:rFonts w:hint="eastAsia" w:ascii="宋体" w:hAnsi="宋体" w:cs="宋体"/>
          <w:color w:val="000000" w:themeColor="text1"/>
          <w:sz w:val="24"/>
          <w14:textFill>
            <w14:solidFill>
              <w14:schemeClr w14:val="tx1"/>
            </w14:solidFill>
          </w14:textFill>
        </w:rPr>
        <w:t>首次响应文件提交截止时间</w:t>
      </w:r>
      <w:r>
        <w:rPr>
          <w:rFonts w:hint="eastAsia" w:ascii="宋体" w:hAnsi="宋体" w:cs="宋体"/>
          <w:color w:val="000000" w:themeColor="text1"/>
          <w:sz w:val="24"/>
          <w:szCs w:val="32"/>
          <w14:textFill>
            <w14:solidFill>
              <w14:schemeClr w14:val="tx1"/>
            </w14:solidFill>
          </w14:textFill>
        </w:rPr>
        <w:t>，并</w:t>
      </w:r>
      <w:r>
        <w:rPr>
          <w:rFonts w:hint="eastAsia" w:ascii="宋体" w:hAnsi="宋体" w:cs="宋体"/>
          <w:color w:val="000000" w:themeColor="text1"/>
          <w:sz w:val="24"/>
          <w14:textFill>
            <w14:solidFill>
              <w14:schemeClr w14:val="tx1"/>
            </w14:solidFill>
          </w14:textFill>
        </w:rPr>
        <w:t>在原公告发布媒体上发布更正公告。</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10.3谈判文件澄清、答复、修改、补充的内容为谈判文件的组成部分。当谈判文件与谈判文件的澄清、答复、修改、补充通知就同一内容的表述不一致时，以最后发出的文件为准。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10.4响应文件未按谈判文件的澄清、修改后的内容编制的，其响应文件作无效响应处理。</w:t>
      </w: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spacing w:line="360" w:lineRule="auto"/>
        <w:ind w:firstLine="803"/>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40"/>
          <w:szCs w:val="40"/>
          <w14:textFill>
            <w14:solidFill>
              <w14:schemeClr w14:val="tx1"/>
            </w14:solidFill>
          </w14:textFill>
        </w:rPr>
        <w:t>三、响应文件的编制</w:t>
      </w:r>
    </w:p>
    <w:p>
      <w:pPr>
        <w:spacing w:line="360" w:lineRule="auto"/>
        <w:rPr>
          <w:rFonts w:ascii="宋体" w:hAnsi="宋体" w:cs="宋体"/>
          <w:color w:val="000000" w:themeColor="text1"/>
          <w:sz w:val="24"/>
          <w14:textFill>
            <w14:solidFill>
              <w14:schemeClr w14:val="tx1"/>
            </w14:solidFill>
          </w14:textFill>
        </w:rPr>
      </w:pP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11.响应文件的编制原则</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供应商必须按照谈判文件的要求编制响应文件，并对其提交的响应文件的真实性、合法性承担法律责任。响应文件必须对谈判文件作出实质性响应。</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12.响应文件的组成</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12.1响应文件由资格证明文件、报价商务技术文件两部分组成。</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12.1.1资格证明文件：详见“供应商须知前附表”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12.1.2报价商务技术文件：详见“供应商须知前附表”</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13.计量单位</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谈判文件已有明确规定的，使用谈判文件规定的计量单位；谈判文件没有规定的，应采用中华人民共和国法定计量单位，货币种类为人民币，否则视同未响应。</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14.竞争性谈判的风险</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供应商没有按照谈判文件要求提供全部资料，或者供应商没有对谈判文件在各方面作出实质性响应可能导致其响应文件按无效响应处理，是供应商应当考虑的风险。</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15.竞争性谈判报价</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报价应按谈判文件中“</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报价表”格式填写。</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报价的内容详见“供应商须知前附表”。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报价要求</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15.3.1供应商的</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报价应符合以下要求，否则响应文件按无效响应处理：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（1）供应商必须就“采购需求”中所需</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的每个分标的全部内容分别作完整唯一总价报价，不得存在漏项报价；</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（2）供应商必须就所需</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的分标的单项内容作唯一报价。</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15.3.2</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报价（包含首次报价、最后报价）超过所参与</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分标规定的采购预算金额或者最高限价的，其响应文件将按无效响应处理。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15.3.3</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报价（包含首次报价、最后报价）超过分项采购预算金额或者最高限价的，其响应文件将作无效处理。</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16.竞争性谈判有效期</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有效期是指为保证采购人有足够的时间在提交响应文件后完成评审、确定成交供应商、合同签订等工作而要求供应商提交的响应文件在一定时间内保持有效的期限。</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有效期应由供应商按“供应商须知前附表”规定的期限作出响应。</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16.3供应商的响应文件在</w:t>
      </w:r>
      <w:r>
        <w:rPr>
          <w:rFonts w:hint="eastAsia" w:hAnsi="宋体" w:cs="宋体"/>
          <w:color w:val="000000" w:themeColor="text1"/>
          <w:sz w:val="24"/>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有效期内均保持有效。</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17.谈判保证金</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17.1供应商须按“供应商须知前附表”的规定提交谈判保证金。</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17.2谈判保证金的退还</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spacing w:val="-6"/>
          <w:sz w:val="24"/>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 xml:space="preserve">供应商的谈判保证金自成交通知书发出之日起4个工作日内退还；成交供应商的谈判保证金自签订合同之日起4个工作日内退还。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17.3谈判保证金不计息。</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17.4供应商有下列情形之一的，谈判保证金将不予退还：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（1）供应商在提交首次响应文件截止时间后撤回响应文件的，但在提交最后报价之前退出谈判的情况除外；</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（2）未按规定提交履约保证金的；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（3）供应商在响应文件中提供虚假材料的；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（4）除因不可抗力或者谈判文件认可的情形以外，成交供应商不与采购人签订合同的；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（5）供应商与采购人、其他供应商或者采购代理机构恶意串通的；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（6）法律法规规定的其他情形。</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18.响应文件编制的要求</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18.1供应商应按本谈判文件规定的格式和顺序编制、装订响应文件并标注页码，响应文件内容</w:t>
      </w:r>
      <w:r>
        <w:rPr>
          <w:rFonts w:hint="eastAsia" w:ascii="宋体" w:hAnsi="宋体" w:cs="宋体"/>
          <w:color w:val="000000" w:themeColor="text1"/>
          <w:spacing w:val="-6"/>
          <w:sz w:val="24"/>
          <w14:textFill>
            <w14:solidFill>
              <w14:schemeClr w14:val="tx1"/>
            </w14:solidFill>
          </w14:textFill>
        </w:rPr>
        <w:t>不完整、编排混乱导致响应文件被误读、漏读或者查找不到相关内容的，</w:t>
      </w:r>
      <w:r>
        <w:rPr>
          <w:rFonts w:hint="eastAsia" w:ascii="宋体" w:hAnsi="宋体" w:cs="宋体"/>
          <w:color w:val="000000" w:themeColor="text1"/>
          <w:sz w:val="24"/>
          <w:szCs w:val="32"/>
          <w14:textFill>
            <w14:solidFill>
              <w14:schemeClr w14:val="tx1"/>
            </w14:solidFill>
          </w14:textFill>
        </w:rPr>
        <w:t>由此引发的</w:t>
      </w:r>
      <w:r>
        <w:rPr>
          <w:rFonts w:hint="eastAsia" w:ascii="宋体" w:hAnsi="宋体" w:cs="宋体"/>
          <w:color w:val="000000" w:themeColor="text1"/>
          <w:spacing w:val="-6"/>
          <w:sz w:val="24"/>
          <w14:textFill>
            <w14:solidFill>
              <w14:schemeClr w14:val="tx1"/>
            </w14:solidFill>
          </w14:textFill>
        </w:rPr>
        <w:t>后果由供应商承担。</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18.2响应文件应按资格证明文件、报价商务技术文件分别编制电子文件，</w:t>
      </w:r>
      <w:r>
        <w:rPr>
          <w:rFonts w:hint="eastAsia" w:ascii="宋体" w:hAnsi="宋体" w:cs="宋体"/>
          <w:color w:val="000000" w:themeColor="text1"/>
          <w:sz w:val="24"/>
          <w:lang w:bidi="ar"/>
          <w14:textFill>
            <w14:solidFill>
              <w14:schemeClr w14:val="tx1"/>
            </w14:solidFill>
          </w14:textFill>
        </w:rPr>
        <w:t>并按广西政府采购云平台的要求编制、加密、上传。</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w:t>
      </w:r>
      <w:bookmarkStart w:id="29" w:name="_Hlk65832699"/>
      <w:r>
        <w:rPr>
          <w:rFonts w:hint="eastAsia" w:ascii="宋体" w:hAnsi="宋体" w:cs="宋体"/>
          <w:color w:val="000000" w:themeColor="text1"/>
          <w:sz w:val="24"/>
          <w14:textFill>
            <w14:solidFill>
              <w14:schemeClr w14:val="tx1"/>
            </w14:solidFill>
          </w14:textFill>
        </w:rPr>
        <w:t>3响应文件须由供应商在规定位置盖公章并签字</w:t>
      </w:r>
      <w:bookmarkStart w:id="30" w:name="_Hlk65832569"/>
      <w:r>
        <w:rPr>
          <w:rFonts w:hint="eastAsia" w:ascii="宋体" w:hAnsi="宋体" w:cs="宋体"/>
          <w:color w:val="000000" w:themeColor="text1"/>
          <w:sz w:val="24"/>
          <w14:textFill>
            <w14:solidFill>
              <w14:schemeClr w14:val="tx1"/>
            </w14:solidFill>
          </w14:textFill>
        </w:rPr>
        <w:t>（具体以供应商须知前附表或响应文件格式规定为准）</w:t>
      </w:r>
      <w:bookmarkEnd w:id="29"/>
      <w:bookmarkEnd w:id="30"/>
      <w:r>
        <w:rPr>
          <w:rFonts w:hint="eastAsia" w:ascii="宋体" w:hAnsi="宋体" w:cs="宋体"/>
          <w:color w:val="000000" w:themeColor="text1"/>
          <w:sz w:val="24"/>
          <w14:textFill>
            <w14:solidFill>
              <w14:schemeClr w14:val="tx1"/>
            </w14:solidFill>
          </w14:textFill>
        </w:rPr>
        <w:t>，否则其响应文件按无效响应处理。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18.4响应文件中标注的供应商名称应与营业执照（事业单位法人证书、执业许可证、自然人身份证）及公章一致，否则其响应文件按无效响应处理。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19.响应文件的加密、解密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19.1电子响应文件编制完成后，供应商应按广西政府采购云平台的要求进行加密，并在规定时间内解密，否则，由此产生的后果由供应商自行负责。</w:t>
      </w:r>
    </w:p>
    <w:p>
      <w:pPr>
        <w:pStyle w:val="36"/>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19.</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本项目不接受电子备份响应文件。</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20.响应文件的提交</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20.1供应商必须在“供应商须知前附表”规定的时间和地点提交响应文件。</w:t>
      </w:r>
    </w:p>
    <w:p>
      <w:pPr>
        <w:widowControl/>
        <w:spacing w:line="360" w:lineRule="auto"/>
        <w:ind w:firstLine="480" w:firstLineChars="200"/>
        <w:rPr>
          <w:rFonts w:ascii="宋体" w:hAnsi="宋体" w:cs="宋体"/>
          <w:b/>
          <w:color w:val="000000" w:themeColor="text1"/>
          <w:sz w:val="24"/>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bidi="ar"/>
          <w14:textFill>
            <w14:solidFill>
              <w14:schemeClr w14:val="tx1"/>
            </w14:solidFill>
          </w14:textFill>
        </w:rPr>
        <w:t>本项目为全流程电子化政府采购项目，通过广西政府采购云平台（https://www.gcy.zfcg.gxzf.gov.cn/）实行在线电子竞争性谈判，供应商应先安装“广西政府采购云平台电子交易客户端”（请自行前往广西政府采购云平台进行下载），并按照本项目竞争性谈判文件和广西政府采购云平台的要求编制、加密后在首次响应文件提交截止时间前通过网络上传至广西政府采购云平台，</w:t>
      </w:r>
      <w:r>
        <w:rPr>
          <w:rFonts w:hint="eastAsia" w:ascii="宋体" w:hAnsi="宋体" w:cs="宋体"/>
          <w:b/>
          <w:color w:val="000000" w:themeColor="text1"/>
          <w:sz w:val="24"/>
          <w:lang w:bidi="ar"/>
          <w14:textFill>
            <w14:solidFill>
              <w14:schemeClr w14:val="tx1"/>
            </w14:solidFill>
          </w14:textFill>
        </w:rPr>
        <w:t>供应商在广西政府采购云平台提交电子版响应文件时，请填写参加远程开标活动经办人联系方式。</w:t>
      </w:r>
    </w:p>
    <w:p>
      <w:pPr>
        <w:pStyle w:val="6"/>
        <w:keepNext w:val="0"/>
        <w:keepLines w:val="0"/>
        <w:spacing w:before="0" w:after="0" w:line="360" w:lineRule="auto"/>
        <w:ind w:firstLine="480" w:firstLineChars="200"/>
        <w:jc w:val="left"/>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20.</w:t>
      </w:r>
      <w:r>
        <w:rPr>
          <w:rFonts w:ascii="宋体" w:hAnsi="宋体" w:cs="宋体"/>
          <w:b w:val="0"/>
          <w:color w:val="000000" w:themeColor="text1"/>
          <w:sz w:val="24"/>
          <w:szCs w:val="24"/>
          <w14:textFill>
            <w14:solidFill>
              <w14:schemeClr w14:val="tx1"/>
            </w14:solidFill>
          </w14:textFill>
        </w:rPr>
        <w:t>3</w:t>
      </w:r>
      <w:r>
        <w:rPr>
          <w:rFonts w:hint="eastAsia" w:ascii="宋体" w:hAnsi="宋体" w:cs="宋体"/>
          <w:b w:val="0"/>
          <w:color w:val="000000" w:themeColor="text1"/>
          <w:sz w:val="24"/>
          <w:szCs w:val="24"/>
          <w14:textFill>
            <w14:solidFill>
              <w14:schemeClr w14:val="tx1"/>
            </w14:solidFill>
          </w14:textFill>
        </w:rPr>
        <w:t>未在规定时间内上传或者未按广西政府采购云平台的要求编制、加密的电子响应文件，广西政府采购云平台将拒收。</w:t>
      </w:r>
    </w:p>
    <w:p>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电子响应文件提交方式见“竞争性谈判公告”中“四、响应文件提交”。</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21.首次响应文件的补充、修改与撤回</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lang w:bidi="ar"/>
          <w14:textFill>
            <w14:solidFill>
              <w14:schemeClr w14:val="tx1"/>
            </w14:solidFill>
          </w14:textFill>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22.首次响应文件的退回</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23.截止时间后的撤回</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23.1供应商在首次响应文件提交截止时间后书面通知采购人、采购代理机构书面撤回响应文件的，将根据本须知正文17.4的规定不予退还其谈判保证金。</w:t>
      </w:r>
    </w:p>
    <w:p>
      <w:pPr>
        <w:spacing w:line="360" w:lineRule="auto"/>
        <w:ind w:firstLine="480" w:firstLineChars="200"/>
        <w:rPr>
          <w:rFonts w:ascii="宋体" w:hAnsi="宋体" w:cs="宋体"/>
          <w:color w:val="000000" w:themeColor="text1"/>
          <w:sz w:val="24"/>
          <w14:textFill>
            <w14:solidFill>
              <w14:schemeClr w14:val="tx1"/>
            </w14:solidFill>
          </w14:textFill>
        </w:rPr>
      </w:pPr>
    </w:p>
    <w:p>
      <w:pPr>
        <w:spacing w:line="360" w:lineRule="auto"/>
        <w:ind w:firstLine="803"/>
        <w:jc w:val="center"/>
        <w:rPr>
          <w:rFonts w:ascii="宋体" w:hAnsi="宋体" w:cs="宋体"/>
          <w:b/>
          <w:color w:val="000000" w:themeColor="text1"/>
          <w:sz w:val="40"/>
          <w:szCs w:val="40"/>
          <w14:textFill>
            <w14:solidFill>
              <w14:schemeClr w14:val="tx1"/>
            </w14:solidFill>
          </w14:textFill>
        </w:rPr>
      </w:pPr>
      <w:r>
        <w:rPr>
          <w:rFonts w:hint="eastAsia" w:ascii="宋体" w:hAnsi="宋体" w:cs="宋体"/>
          <w:b/>
          <w:color w:val="000000" w:themeColor="text1"/>
          <w:sz w:val="40"/>
          <w:szCs w:val="40"/>
          <w14:textFill>
            <w14:solidFill>
              <w14:schemeClr w14:val="tx1"/>
            </w14:solidFill>
          </w14:textFill>
        </w:rPr>
        <w:t>四、评审及谈判</w:t>
      </w:r>
    </w:p>
    <w:p>
      <w:pPr>
        <w:spacing w:line="360" w:lineRule="auto"/>
        <w:ind w:firstLine="480"/>
        <w:rPr>
          <w:rFonts w:ascii="宋体" w:hAnsi="宋体" w:cs="宋体"/>
          <w:color w:val="000000" w:themeColor="text1"/>
          <w:sz w:val="24"/>
          <w14:textFill>
            <w14:solidFill>
              <w14:schemeClr w14:val="tx1"/>
            </w14:solidFill>
          </w14:textFill>
        </w:rPr>
      </w:pP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bookmarkStart w:id="31" w:name="_Hlk65857140"/>
      <w:r>
        <w:rPr>
          <w:rFonts w:hint="eastAsia" w:ascii="宋体" w:hAnsi="宋体" w:cs="宋体"/>
          <w:b/>
          <w:bCs/>
          <w:color w:val="000000" w:themeColor="text1"/>
          <w:sz w:val="32"/>
          <w:szCs w:val="32"/>
          <w14:textFill>
            <w14:solidFill>
              <w14:schemeClr w14:val="tx1"/>
            </w14:solidFill>
          </w14:textFill>
        </w:rPr>
        <w:t>24.谈判小组成立</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25.首次响应文件的开启</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25.1首次响应文件由谈判小组或者采购代理机构在“供应商须知前附表”规定的时间开启。</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000000" w:themeColor="text1"/>
          <w:sz w:val="24"/>
          <w14:textFill>
            <w14:solidFill>
              <w14:schemeClr w14:val="tx1"/>
            </w14:solidFill>
          </w14:textFill>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000000" w:themeColor="text1"/>
          <w:sz w:val="24"/>
          <w14:textFill>
            <w14:solidFill>
              <w14:schemeClr w14:val="tx1"/>
            </w14:solidFill>
          </w14:textFill>
        </w:rPr>
        <w:t>响应文件未按时解密的，视为响应文件无效。</w:t>
      </w:r>
      <w:r>
        <w:rPr>
          <w:rFonts w:hint="eastAsia" w:ascii="宋体" w:hAnsi="宋体" w:cs="宋体"/>
          <w:color w:val="000000" w:themeColor="text1"/>
          <w:sz w:val="24"/>
          <w14:textFill>
            <w14:solidFill>
              <w14:schemeClr w14:val="tx1"/>
            </w14:solidFill>
          </w14:textFill>
        </w:rPr>
        <w:t>（解密异常情况处理：详见本章26.2电子交易活动的中止。）</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25.3成功解密响应文件的供应商不足3家的，不得谈判。</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26.评审程序和评定成交的标准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26.1谈判小组按照“第四章  评审程序和评定成交的标准”规定的评审程序对响应文件进行评审，并按照评定成交的标准推荐成交候选供应商。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26.2电子交易活动的中止。采购过程中出现以下情形，导致电子交易平台无法正常运行，或者无法保证电子交易的公平、公正和安全时，采购机构可中止电子交易活动：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（1）电子交易平台发生故障而无法登录访问的；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（2）电子交易平台应用或数据库出现错误，不能进行正常操作的；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（3）电子交易平台发现严重安全漏洞，有潜在泄密危险的；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（4）病毒发作导致不能进行正常操作的；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）其他无法保证电子交易的公平、公正和安全的情况。</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26.3出现以上情形，不影响采购公平、公正性的，采购代理机构可以待上述情形消除后继续组织电子交易活动；影响或可能影响采购公平、公正性的，经采购代理机构确认后，应当重新采购。</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27.确定成交供应商及结果公告</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成交供应商享受《政府采购促进中小企业发展管理办法》（财库〔2020〕46号）规定的中小企业扶持政策的，采购人、采购代理机构应当随成交结果公开成交供应商的《中小企业声明函》。</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27.3出现下列情形之一的，采购人或者采购代理机构应当终止竞争性谈判采购活动，发布项目终止公告并说明原因，重新开展采购活动：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（一）因情况变化，不再符合规定的竞争性谈判采购方式适用情形的；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（二）出现影响采购公正的违法、违规行为的；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（三）在采购过程中符合竞争要求的供应商或者报价未超过最高限价的供应商不足3家的，但“第四章 评审程序和评定成交的标准”第3.7条规定的情形除外。</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27.4在采购活动中因重大变故，采购任务取消的，采购人或者采购代理机构应当终止采购活动，通知所有参加采购活动的供应商。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27.5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因不可抗力外，成交供应商不与采购人签订合同的，除不予退还其谈判保证金外，若给采购人造成损失，或（并）因此延误采购人教学科研计划的，须依据《中华人民共和国民法典》第五百条、《政府采购非招标采购方式管理办法（财政部令第74号）》第二十二条、第五十四条规定承担赔偿损失等法律责任，采购人有权将成交供应商的失信行为报财政部门记入诚信档案，以示惩戒。</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28.履约保证金</w:t>
      </w:r>
    </w:p>
    <w:p>
      <w:pPr>
        <w:pStyle w:val="10"/>
        <w:rPr>
          <w:color w:val="000000" w:themeColor="text1"/>
          <w:szCs w:val="32"/>
          <w14:textFill>
            <w14:solidFill>
              <w14:schemeClr w14:val="tx1"/>
            </w14:solidFill>
          </w14:textFill>
        </w:rPr>
      </w:pPr>
      <w:r>
        <w:rPr>
          <w:rFonts w:hint="eastAsia"/>
          <w:color w:val="000000" w:themeColor="text1"/>
          <w14:textFill>
            <w14:solidFill>
              <w14:schemeClr w14:val="tx1"/>
            </w14:solidFill>
          </w14:textFill>
        </w:rPr>
        <w:t>28.1履约保证金的金额、提交方式、退付的时间和条件详见 “供应商须知前附表”。</w:t>
      </w:r>
    </w:p>
    <w:p>
      <w:pPr>
        <w:spacing w:line="360"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28.2在履约保证金退还日期前，若成交供应商的开户名称、开户银行、帐号有变动的，请以书面形式通知履约保证金收取单位，否则由此产生的后果由成交供应商自负。</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29.签订合同</w:t>
      </w:r>
    </w:p>
    <w:p>
      <w:pPr>
        <w:spacing w:line="360"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29.1成交供应商在收到成交通知书（书面或电子）后，按“供应商须知前附表”规定向采购人出示相关证明材料，经采购人核验合格后方可签订合同（书面或电子）。如成交供应商为联合体的，联合体各方应当共同与采购人签订采购合同，就采购合同约定的事项对采购人承担连带责任。</w:t>
      </w:r>
    </w:p>
    <w:p>
      <w:pPr>
        <w:spacing w:line="360"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29.2 签订合同时间：按成交通知书的规定与采购人签订政府采购合同（最长不能超过25日）。</w:t>
      </w:r>
    </w:p>
    <w:p>
      <w:pPr>
        <w:spacing w:line="360" w:lineRule="auto"/>
        <w:ind w:firstLine="484" w:firstLineChars="20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29.3成交供应商拒绝与采购人签订合同的，按照本文件之《供应商须知正文》第27.5条的规定执行。</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30.政府采购合同公告</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31.询问、质疑和投诉</w:t>
      </w:r>
    </w:p>
    <w:p>
      <w:pPr>
        <w:pStyle w:val="7"/>
        <w:spacing w:line="360" w:lineRule="auto"/>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000000" w:themeColor="text1"/>
          <w:sz w:val="24"/>
          <w:szCs w:val="24"/>
          <w14:textFill>
            <w14:solidFill>
              <w14:schemeClr w14:val="tx1"/>
            </w14:solidFill>
          </w14:textFill>
        </w:rPr>
        <w:t>但答复的内容不得涉及商业秘密。</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31.2供应商认为谈判文件、采购过程或者成交结果使自己的合法权益受到损害的，应当在知道或者应知其权益受到损害之日起7个工作日内，以纸质书面形式向采购人、采购代理机构提出质疑，</w:t>
      </w:r>
      <w:r>
        <w:rPr>
          <w:rFonts w:hint="eastAsia" w:ascii="宋体" w:hAnsi="宋体" w:cs="宋体"/>
          <w:color w:val="000000" w:themeColor="text1"/>
          <w:sz w:val="24"/>
          <w:szCs w:val="32"/>
          <w:shd w:val="clear" w:color="auto" w:fill="FFFFFF"/>
          <w14:textFill>
            <w14:solidFill>
              <w14:schemeClr w14:val="tx1"/>
            </w14:solidFill>
          </w14:textFill>
        </w:rPr>
        <w:t>接收质疑函的方式、联系部门、联系电话和通讯地址等信息</w:t>
      </w:r>
      <w:r>
        <w:rPr>
          <w:rFonts w:hint="eastAsia" w:ascii="宋体" w:hAnsi="宋体" w:cs="宋体"/>
          <w:color w:val="000000" w:themeColor="text1"/>
          <w:sz w:val="24"/>
          <w14:textFill>
            <w14:solidFill>
              <w14:schemeClr w14:val="tx1"/>
            </w14:solidFill>
          </w14:textFill>
        </w:rPr>
        <w:t>详见“供应商须知前附表”</w:t>
      </w:r>
      <w:r>
        <w:rPr>
          <w:rFonts w:hint="eastAsia" w:ascii="宋体" w:hAnsi="宋体" w:cs="宋体"/>
          <w:color w:val="000000" w:themeColor="text1"/>
          <w:sz w:val="24"/>
          <w:szCs w:val="32"/>
          <w14:textFill>
            <w14:solidFill>
              <w14:schemeClr w14:val="tx1"/>
            </w14:solidFill>
          </w14:textFill>
        </w:rPr>
        <w:t>。供应商应当在法定质疑期内一次性提出针对同一采购程序环节的质疑。具体质疑起算时间如下：</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（1）对可以质疑的谈判文件提出质疑的，为获取谈判文件之日；</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（2）对采购过程提出质疑的，为各采购程序环节结束之日；</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（3）对成交结果提出质疑的，为成交结果公告期限届满之日。</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31.4供应商提出质疑应当提交质疑函和必要的证明材料，针对同一采购程序环节的质疑必须在法定质疑期内一次性提出。质疑函应当包括下列内容</w:t>
      </w:r>
      <w:r>
        <w:rPr>
          <w:rFonts w:hint="eastAsia" w:ascii="宋体" w:hAnsi="宋体" w:cs="宋体"/>
          <w:bCs/>
          <w:color w:val="000000" w:themeColor="text1"/>
          <w:sz w:val="24"/>
          <w:szCs w:val="32"/>
          <w14:textFill>
            <w14:solidFill>
              <w14:schemeClr w14:val="tx1"/>
            </w14:solidFill>
          </w14:textFill>
        </w:rPr>
        <w:t>（质疑函格式后附）</w:t>
      </w:r>
      <w:r>
        <w:rPr>
          <w:rFonts w:hint="eastAsia" w:ascii="宋体" w:hAnsi="宋体" w:cs="宋体"/>
          <w:color w:val="000000" w:themeColor="text1"/>
          <w:sz w:val="24"/>
          <w:szCs w:val="32"/>
          <w14:textFill>
            <w14:solidFill>
              <w14:schemeClr w14:val="tx1"/>
            </w14:solidFill>
          </w14:textFill>
        </w:rPr>
        <w:t>：</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（1）供应商的姓名或者名称、地址、邮编、联系人及联系电话；</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（2）质疑项目的名称、编号；</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（3）具体、明确的质疑事项和与质疑事项相关的请求；</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（4）事实依据；</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（5）必要的法律依据；</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（6）提出质疑的日期。</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供应商为自然人的，应当由本人签字；供应商为法人或者其他组织的，应当由法定代表人、主要负责人，或者其委托代理人签字或者盖章，并加盖公章。</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（1）对采购文件提出的质疑，依法通过澄清或者修改可以继续开展采购活动的，澄清或者修改采购文件后继续开展采购活动；否则应当修改采购文件后重新开展采购活动。</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（2）对采购过程或者成交结果提出的质疑，合格供应商符合法定数量时，可以从合格的成交候选人中另行确定成交供应商的，应当依法另行确定成交供应商；否则应当重新开展采购活动。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80" w:firstLineChars="200"/>
        <w:rPr>
          <w:rFonts w:ascii="宋体" w:hAnsi="宋体" w:cs="宋体"/>
          <w:color w:val="000000" w:themeColor="text1"/>
          <w:sz w:val="24"/>
          <w:szCs w:val="32"/>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质疑答复导致成交结果改变的，采购人或者采购代理机构应当将有关情况书面报告本级财政部门。</w:t>
      </w:r>
    </w:p>
    <w:p>
      <w:pPr>
        <w:spacing w:line="360" w:lineRule="auto"/>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szCs w:val="32"/>
          <w14:textFill>
            <w14:solidFill>
              <w14:schemeClr w14:val="tx1"/>
            </w14:solidFill>
          </w14:textFill>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643" w:firstLineChars="20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32.其他内容</w:t>
      </w:r>
    </w:p>
    <w:p>
      <w:pPr>
        <w:tabs>
          <w:tab w:val="left" w:pos="283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32.1代理服务费：代理服务收取标准及缴费账户详见“供应商须知前附表”，供应商为联合体的，可以由联合体中的一方或者多方共同交纳代理服务费。</w:t>
      </w:r>
    </w:p>
    <w:p>
      <w:pPr>
        <w:tabs>
          <w:tab w:val="left" w:pos="283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32.2代理服务费收费计算标准：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费率</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金额（人民币）</w:t>
            </w:r>
          </w:p>
        </w:tc>
        <w:tc>
          <w:tcPr>
            <w:tcW w:w="1659" w:type="dxa"/>
            <w:vAlign w:val="center"/>
          </w:tcPr>
          <w:p>
            <w:pPr>
              <w:spacing w:line="360" w:lineRule="auto"/>
              <w:ind w:firstLine="120" w:firstLineChars="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货物类</w:t>
            </w:r>
          </w:p>
        </w:tc>
        <w:tc>
          <w:tcPr>
            <w:tcW w:w="1532"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服务类</w:t>
            </w:r>
          </w:p>
        </w:tc>
        <w:tc>
          <w:tcPr>
            <w:tcW w:w="1546" w:type="dxa"/>
            <w:vAlign w:val="center"/>
          </w:tcPr>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659"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w:t>
            </w:r>
          </w:p>
        </w:tc>
        <w:tc>
          <w:tcPr>
            <w:tcW w:w="1532"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w:t>
            </w:r>
          </w:p>
        </w:tc>
        <w:tc>
          <w:tcPr>
            <w:tcW w:w="1546"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100～500万元</w:t>
            </w:r>
          </w:p>
        </w:tc>
        <w:tc>
          <w:tcPr>
            <w:tcW w:w="1659"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p>
        </w:tc>
        <w:tc>
          <w:tcPr>
            <w:tcW w:w="1532"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0.8%</w:t>
            </w:r>
          </w:p>
        </w:tc>
        <w:tc>
          <w:tcPr>
            <w:tcW w:w="1546"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500～1000万元</w:t>
            </w:r>
          </w:p>
        </w:tc>
        <w:tc>
          <w:tcPr>
            <w:tcW w:w="1659"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0.8%</w:t>
            </w:r>
          </w:p>
        </w:tc>
        <w:tc>
          <w:tcPr>
            <w:tcW w:w="1532"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0.45%</w:t>
            </w:r>
          </w:p>
        </w:tc>
        <w:tc>
          <w:tcPr>
            <w:tcW w:w="1546"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1000～5000万元</w:t>
            </w:r>
          </w:p>
        </w:tc>
        <w:tc>
          <w:tcPr>
            <w:tcW w:w="1659"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0.5%</w:t>
            </w:r>
          </w:p>
        </w:tc>
        <w:tc>
          <w:tcPr>
            <w:tcW w:w="1532"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0.25%</w:t>
            </w:r>
          </w:p>
        </w:tc>
        <w:tc>
          <w:tcPr>
            <w:tcW w:w="1546"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5000万元～1亿元</w:t>
            </w:r>
          </w:p>
        </w:tc>
        <w:tc>
          <w:tcPr>
            <w:tcW w:w="1659"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0.25%</w:t>
            </w:r>
          </w:p>
        </w:tc>
        <w:tc>
          <w:tcPr>
            <w:tcW w:w="1532"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0.1%</w:t>
            </w:r>
          </w:p>
        </w:tc>
        <w:tc>
          <w:tcPr>
            <w:tcW w:w="1546"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1～5亿元</w:t>
            </w:r>
          </w:p>
        </w:tc>
        <w:tc>
          <w:tcPr>
            <w:tcW w:w="1659"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0.05%</w:t>
            </w:r>
          </w:p>
        </w:tc>
        <w:tc>
          <w:tcPr>
            <w:tcW w:w="1532"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0.05%</w:t>
            </w:r>
          </w:p>
        </w:tc>
        <w:tc>
          <w:tcPr>
            <w:tcW w:w="1546"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5～10亿元</w:t>
            </w:r>
          </w:p>
        </w:tc>
        <w:tc>
          <w:tcPr>
            <w:tcW w:w="1659"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0.035%</w:t>
            </w:r>
          </w:p>
        </w:tc>
        <w:tc>
          <w:tcPr>
            <w:tcW w:w="1532"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0.035%</w:t>
            </w:r>
          </w:p>
        </w:tc>
        <w:tc>
          <w:tcPr>
            <w:tcW w:w="1546"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10～50亿元</w:t>
            </w:r>
          </w:p>
        </w:tc>
        <w:tc>
          <w:tcPr>
            <w:tcW w:w="1659"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0.008%</w:t>
            </w:r>
          </w:p>
        </w:tc>
        <w:tc>
          <w:tcPr>
            <w:tcW w:w="1532"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0.008%</w:t>
            </w:r>
          </w:p>
        </w:tc>
        <w:tc>
          <w:tcPr>
            <w:tcW w:w="1546"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50～100亿元</w:t>
            </w:r>
          </w:p>
        </w:tc>
        <w:tc>
          <w:tcPr>
            <w:tcW w:w="1659"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0.006%</w:t>
            </w:r>
          </w:p>
        </w:tc>
        <w:tc>
          <w:tcPr>
            <w:tcW w:w="1532"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0.006%</w:t>
            </w:r>
          </w:p>
        </w:tc>
        <w:tc>
          <w:tcPr>
            <w:tcW w:w="1546"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100亿元以上</w:t>
            </w:r>
          </w:p>
        </w:tc>
        <w:tc>
          <w:tcPr>
            <w:tcW w:w="1659"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0.004%</w:t>
            </w:r>
          </w:p>
        </w:tc>
        <w:tc>
          <w:tcPr>
            <w:tcW w:w="1532"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0.004%</w:t>
            </w:r>
          </w:p>
        </w:tc>
        <w:tc>
          <w:tcPr>
            <w:tcW w:w="1546" w:type="dxa"/>
          </w:tcPr>
          <w:p>
            <w:pPr>
              <w:spacing w:line="46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0.004%</w:t>
            </w:r>
          </w:p>
        </w:tc>
      </w:tr>
    </w:tbl>
    <w:p>
      <w:pPr>
        <w:spacing w:line="360" w:lineRule="auto"/>
        <w:ind w:firstLine="480" w:firstLineChars="200"/>
        <w:contextualSpacing/>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注：</w:t>
      </w:r>
      <w:r>
        <w:rPr>
          <w:rFonts w:ascii="楷体" w:hAnsi="楷体" w:eastAsia="楷体" w:cs="宋体"/>
          <w:color w:val="000000" w:themeColor="text1"/>
          <w:sz w:val="24"/>
          <w14:textFill>
            <w14:solidFill>
              <w14:schemeClr w14:val="tx1"/>
            </w14:solidFill>
          </w14:textFill>
        </w:rPr>
        <w:t xml:space="preserve"> </w:t>
      </w:r>
    </w:p>
    <w:p>
      <w:pPr>
        <w:spacing w:line="360" w:lineRule="auto"/>
        <w:ind w:firstLine="480" w:firstLineChars="200"/>
        <w:contextualSpacing/>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w:t>
      </w:r>
      <w:r>
        <w:rPr>
          <w:rFonts w:ascii="楷体" w:hAnsi="楷体" w:eastAsia="楷体" w:cs="宋体"/>
          <w:color w:val="000000" w:themeColor="text1"/>
          <w:sz w:val="24"/>
          <w14:textFill>
            <w14:solidFill>
              <w14:schemeClr w14:val="tx1"/>
            </w14:solidFill>
          </w14:textFill>
        </w:rPr>
        <w:t>1）按本表费率计算的收费为采购代理的收费基准价格；</w:t>
      </w:r>
    </w:p>
    <w:p>
      <w:pPr>
        <w:spacing w:line="360" w:lineRule="auto"/>
        <w:ind w:firstLine="480" w:firstLineChars="200"/>
        <w:contextualSpacing/>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w:t>
      </w:r>
      <w:r>
        <w:rPr>
          <w:rFonts w:ascii="楷体" w:hAnsi="楷体" w:eastAsia="楷体" w:cs="宋体"/>
          <w:color w:val="000000" w:themeColor="text1"/>
          <w:sz w:val="24"/>
          <w14:textFill>
            <w14:solidFill>
              <w14:schemeClr w14:val="tx1"/>
            </w14:solidFill>
          </w14:textFill>
        </w:rPr>
        <w:t>2）采购代理收费按差额定率累进法计算。</w:t>
      </w:r>
    </w:p>
    <w:p>
      <w:pPr>
        <w:spacing w:line="360" w:lineRule="auto"/>
        <w:ind w:firstLine="480" w:firstLineChars="200"/>
        <w:contextualSpacing/>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例如：某货物采购代理业务成交金额或者暂定价为</w:t>
      </w:r>
      <w:r>
        <w:rPr>
          <w:rFonts w:ascii="楷体" w:hAnsi="楷体" w:eastAsia="楷体" w:cs="宋体"/>
          <w:color w:val="000000" w:themeColor="text1"/>
          <w:sz w:val="24"/>
          <w14:textFill>
            <w14:solidFill>
              <w14:schemeClr w14:val="tx1"/>
            </w14:solidFill>
          </w14:textFill>
        </w:rPr>
        <w:t>150万元，计算采购代理收费额如下：</w:t>
      </w:r>
    </w:p>
    <w:p>
      <w:pPr>
        <w:spacing w:line="360" w:lineRule="auto"/>
        <w:ind w:firstLine="480" w:firstLineChars="200"/>
        <w:contextualSpacing/>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 xml:space="preserve">100 </w:t>
      </w:r>
      <w:r>
        <w:rPr>
          <w:rFonts w:hint="eastAsia" w:ascii="楷体" w:hAnsi="楷体" w:eastAsia="楷体" w:cs="宋体"/>
          <w:color w:val="000000" w:themeColor="text1"/>
          <w:sz w:val="24"/>
          <w14:textFill>
            <w14:solidFill>
              <w14:schemeClr w14:val="tx1"/>
            </w14:solidFill>
          </w14:textFill>
        </w:rPr>
        <w:t>万元</w:t>
      </w:r>
      <w:r>
        <w:rPr>
          <w:rFonts w:ascii="楷体" w:hAnsi="楷体" w:eastAsia="楷体" w:cs="宋体"/>
          <w:color w:val="000000" w:themeColor="text1"/>
          <w:sz w:val="24"/>
          <w14:textFill>
            <w14:solidFill>
              <w14:schemeClr w14:val="tx1"/>
            </w14:solidFill>
          </w14:textFill>
        </w:rPr>
        <w:t xml:space="preserve"> </w:t>
      </w:r>
      <w:r>
        <w:rPr>
          <w:rFonts w:hint="eastAsia" w:ascii="楷体" w:hAnsi="楷体" w:eastAsia="楷体" w:cs="宋体"/>
          <w:color w:val="000000" w:themeColor="text1"/>
          <w:sz w:val="24"/>
          <w14:textFill>
            <w14:solidFill>
              <w14:schemeClr w14:val="tx1"/>
            </w14:solidFill>
          </w14:textFill>
        </w:rPr>
        <w:t>×</w:t>
      </w:r>
      <w:r>
        <w:rPr>
          <w:rFonts w:ascii="楷体" w:hAnsi="楷体" w:eastAsia="楷体" w:cs="宋体"/>
          <w:color w:val="000000" w:themeColor="text1"/>
          <w:sz w:val="24"/>
          <w14:textFill>
            <w14:solidFill>
              <w14:schemeClr w14:val="tx1"/>
            </w14:solidFill>
          </w14:textFill>
        </w:rPr>
        <w:t xml:space="preserve">l.5 %＝ 1.5 </w:t>
      </w:r>
      <w:r>
        <w:rPr>
          <w:rFonts w:hint="eastAsia" w:ascii="楷体" w:hAnsi="楷体" w:eastAsia="楷体" w:cs="宋体"/>
          <w:color w:val="000000" w:themeColor="text1"/>
          <w:sz w:val="24"/>
          <w14:textFill>
            <w14:solidFill>
              <w14:schemeClr w14:val="tx1"/>
            </w14:solidFill>
          </w14:textFill>
        </w:rPr>
        <w:t>万元</w:t>
      </w:r>
    </w:p>
    <w:p>
      <w:pPr>
        <w:spacing w:line="360" w:lineRule="auto"/>
        <w:ind w:firstLine="480" w:firstLineChars="200"/>
        <w:contextualSpacing/>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w:t>
      </w:r>
      <w:r>
        <w:rPr>
          <w:rFonts w:ascii="楷体" w:hAnsi="楷体" w:eastAsia="楷体" w:cs="宋体"/>
          <w:color w:val="000000" w:themeColor="text1"/>
          <w:sz w:val="24"/>
          <w14:textFill>
            <w14:solidFill>
              <w14:schemeClr w14:val="tx1"/>
            </w14:solidFill>
          </w14:textFill>
        </w:rPr>
        <w:t xml:space="preserve"> 150 </w:t>
      </w:r>
      <w:r>
        <w:rPr>
          <w:rFonts w:hint="eastAsia" w:ascii="楷体" w:hAnsi="楷体" w:eastAsia="楷体" w:cs="宋体"/>
          <w:color w:val="000000" w:themeColor="text1"/>
          <w:sz w:val="24"/>
          <w14:textFill>
            <w14:solidFill>
              <w14:schemeClr w14:val="tx1"/>
            </w14:solidFill>
          </w14:textFill>
        </w:rPr>
        <w:t>－</w:t>
      </w:r>
      <w:r>
        <w:rPr>
          <w:rFonts w:ascii="楷体" w:hAnsi="楷体" w:eastAsia="楷体" w:cs="宋体"/>
          <w:color w:val="000000" w:themeColor="text1"/>
          <w:sz w:val="24"/>
          <w14:textFill>
            <w14:solidFill>
              <w14:schemeClr w14:val="tx1"/>
            </w14:solidFill>
          </w14:textFill>
        </w:rPr>
        <w:t xml:space="preserve"> 100 </w:t>
      </w:r>
      <w:r>
        <w:rPr>
          <w:rFonts w:hint="eastAsia" w:ascii="楷体" w:hAnsi="楷体" w:eastAsia="楷体" w:cs="宋体"/>
          <w:color w:val="000000" w:themeColor="text1"/>
          <w:sz w:val="24"/>
          <w14:textFill>
            <w14:solidFill>
              <w14:schemeClr w14:val="tx1"/>
            </w14:solidFill>
          </w14:textFill>
        </w:rPr>
        <w:t>）万元</w:t>
      </w:r>
      <w:r>
        <w:rPr>
          <w:rFonts w:ascii="楷体" w:hAnsi="楷体" w:eastAsia="楷体" w:cs="宋体"/>
          <w:color w:val="000000" w:themeColor="text1"/>
          <w:sz w:val="24"/>
          <w14:textFill>
            <w14:solidFill>
              <w14:schemeClr w14:val="tx1"/>
            </w14:solidFill>
          </w14:textFill>
        </w:rPr>
        <w:t xml:space="preserve"> </w:t>
      </w:r>
      <w:r>
        <w:rPr>
          <w:rFonts w:hint="eastAsia" w:ascii="楷体" w:hAnsi="楷体" w:eastAsia="楷体" w:cs="宋体"/>
          <w:color w:val="000000" w:themeColor="text1"/>
          <w:sz w:val="24"/>
          <w14:textFill>
            <w14:solidFill>
              <w14:schemeClr w14:val="tx1"/>
            </w14:solidFill>
          </w14:textFill>
        </w:rPr>
        <w:t>×</w:t>
      </w:r>
      <w:r>
        <w:rPr>
          <w:rFonts w:ascii="楷体" w:hAnsi="楷体" w:eastAsia="楷体" w:cs="宋体"/>
          <w:color w:val="000000" w:themeColor="text1"/>
          <w:sz w:val="24"/>
          <w14:textFill>
            <w14:solidFill>
              <w14:schemeClr w14:val="tx1"/>
            </w14:solidFill>
          </w14:textFill>
        </w:rPr>
        <w:t xml:space="preserve">1.1%＝ 0.55 </w:t>
      </w:r>
      <w:r>
        <w:rPr>
          <w:rFonts w:hint="eastAsia" w:ascii="楷体" w:hAnsi="楷体" w:eastAsia="楷体" w:cs="宋体"/>
          <w:color w:val="000000" w:themeColor="text1"/>
          <w:sz w:val="24"/>
          <w14:textFill>
            <w14:solidFill>
              <w14:schemeClr w14:val="tx1"/>
            </w14:solidFill>
          </w14:textFill>
        </w:rPr>
        <w:t>万元</w:t>
      </w:r>
    </w:p>
    <w:p>
      <w:pPr>
        <w:spacing w:line="360" w:lineRule="auto"/>
        <w:ind w:firstLine="480" w:firstLineChars="200"/>
        <w:contextualSpacing/>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合计收费＝</w:t>
      </w:r>
      <w:r>
        <w:rPr>
          <w:rFonts w:ascii="楷体" w:hAnsi="楷体" w:eastAsia="楷体" w:cs="宋体"/>
          <w:color w:val="000000" w:themeColor="text1"/>
          <w:sz w:val="24"/>
          <w14:textFill>
            <w14:solidFill>
              <w14:schemeClr w14:val="tx1"/>
            </w14:solidFill>
          </w14:textFill>
        </w:rPr>
        <w:t xml:space="preserve"> 1.5 </w:t>
      </w:r>
      <w:r>
        <w:rPr>
          <w:rFonts w:hint="eastAsia" w:ascii="楷体" w:hAnsi="楷体" w:eastAsia="楷体" w:cs="宋体"/>
          <w:color w:val="000000" w:themeColor="text1"/>
          <w:sz w:val="24"/>
          <w14:textFill>
            <w14:solidFill>
              <w14:schemeClr w14:val="tx1"/>
            </w14:solidFill>
          </w14:textFill>
        </w:rPr>
        <w:t>＋</w:t>
      </w:r>
      <w:r>
        <w:rPr>
          <w:rFonts w:ascii="楷体" w:hAnsi="楷体" w:eastAsia="楷体" w:cs="宋体"/>
          <w:color w:val="000000" w:themeColor="text1"/>
          <w:sz w:val="24"/>
          <w14:textFill>
            <w14:solidFill>
              <w14:schemeClr w14:val="tx1"/>
            </w14:solidFill>
          </w14:textFill>
        </w:rPr>
        <w:t xml:space="preserve"> 0.55＝ 2.05 </w:t>
      </w:r>
      <w:r>
        <w:rPr>
          <w:rFonts w:hint="eastAsia" w:ascii="楷体" w:hAnsi="楷体" w:eastAsia="楷体" w:cs="宋体"/>
          <w:color w:val="000000" w:themeColor="text1"/>
          <w:sz w:val="24"/>
          <w14:textFill>
            <w14:solidFill>
              <w14:schemeClr w14:val="tx1"/>
            </w14:solidFill>
          </w14:textFill>
        </w:rPr>
        <w:t>（万元）</w:t>
      </w:r>
    </w:p>
    <w:p>
      <w:pPr>
        <w:spacing w:line="360" w:lineRule="auto"/>
        <w:ind w:firstLine="482" w:firstLineChars="200"/>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33.需要补充的其他内容</w:t>
      </w:r>
    </w:p>
    <w:p>
      <w:pPr>
        <w:pStyle w:val="17"/>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33.1本谈判文件解释规则详见“供应商须知前附表”。</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33.2 其他事</w:t>
      </w:r>
      <w:r>
        <w:rPr>
          <w:rFonts w:hint="eastAsia" w:ascii="宋体" w:hAnsi="宋体" w:cs="宋体"/>
          <w:color w:val="000000" w:themeColor="text1"/>
          <w:sz w:val="24"/>
          <w14:textFill>
            <w14:solidFill>
              <w14:schemeClr w14:val="tx1"/>
            </w14:solidFill>
          </w14:textFill>
        </w:rPr>
        <w:t>项详见“供应商须知前附表”。</w:t>
      </w:r>
    </w:p>
    <w:p>
      <w:pPr>
        <w:pStyle w:val="17"/>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33.3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pPr>
        <w:pStyle w:val="17"/>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pPr>
        <w:pStyle w:val="17"/>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（2）在工程采购项目中，工程由中小企业承建，即工程施工单位为中小企业，不对其中涉及的货物的制造商和服务的承接商作出要求；</w:t>
      </w:r>
    </w:p>
    <w:p>
      <w:pPr>
        <w:pStyle w:val="17"/>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pPr>
        <w:pStyle w:val="17"/>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依据本谈判文件规定享受扶持政策获得政府采购合同的，小微企业不得将合同分包给大中型企业，中型企业不得将合同分包给大型企业。</w:t>
      </w:r>
      <w:bookmarkEnd w:id="31"/>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contextualSpacing/>
        <w:jc w:val="center"/>
        <w:rPr>
          <w:rFonts w:ascii="宋体" w:hAnsi="宋体" w:cs="宋体"/>
          <w:color w:val="000000" w:themeColor="text1"/>
          <w:sz w:val="44"/>
          <w:szCs w:val="4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32" w:name="_Toc74322010"/>
      <w:r>
        <w:rPr>
          <w:rFonts w:hint="eastAsia" w:ascii="宋体" w:hAnsi="宋体" w:cs="宋体"/>
          <w:color w:val="000000" w:themeColor="text1"/>
          <w:sz w:val="44"/>
          <w:szCs w:val="44"/>
          <w14:textFill>
            <w14:solidFill>
              <w14:schemeClr w14:val="tx1"/>
            </w14:solidFill>
          </w14:textFill>
        </w:rPr>
        <w:t>第三章 采购需求</w:t>
      </w:r>
      <w:bookmarkEnd w:id="32"/>
    </w:p>
    <w:p>
      <w:pPr>
        <w:spacing w:line="460" w:lineRule="exact"/>
        <w:jc w:val="left"/>
        <w:rPr>
          <w:rFonts w:ascii="宋体" w:hAnsi="宋体" w:cs="宋体"/>
          <w:bCs/>
          <w:color w:val="000000" w:themeColor="text1"/>
          <w:sz w:val="24"/>
          <w14:textFill>
            <w14:solidFill>
              <w14:schemeClr w14:val="tx1"/>
            </w14:solidFill>
          </w14:textFill>
        </w:rPr>
      </w:pPr>
      <w:bookmarkStart w:id="33" w:name="_Toc74322011"/>
      <w:r>
        <w:rPr>
          <w:rFonts w:hint="eastAsia" w:ascii="宋体" w:hAnsi="宋体" w:cs="宋体"/>
          <w:bCs/>
          <w:color w:val="000000" w:themeColor="text1"/>
          <w:sz w:val="24"/>
          <w14:textFill>
            <w14:solidFill>
              <w14:schemeClr w14:val="tx1"/>
            </w14:solidFill>
          </w14:textFill>
        </w:rPr>
        <w:t>说明：</w:t>
      </w:r>
    </w:p>
    <w:p>
      <w:pPr>
        <w:spacing w:line="460" w:lineRule="exact"/>
        <w:ind w:right="2" w:rightChars="1"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bCs/>
          <w:color w:val="000000" w:themeColor="text1"/>
          <w:szCs w:val="21"/>
          <w14:textFill>
            <w14:solidFill>
              <w14:schemeClr w14:val="tx1"/>
            </w14:solidFill>
          </w14:textFill>
        </w:rPr>
        <w:t>采购需求中如出现品牌、型号或者生产厂家等均仅起参考作用，不属于指定品牌、型号或者生产厂家的情形，</w:t>
      </w:r>
      <w:r>
        <w:rPr>
          <w:rFonts w:hint="eastAsia"/>
          <w:bCs/>
          <w:color w:val="000000" w:themeColor="text1"/>
          <w:szCs w:val="21"/>
          <w14:textFill>
            <w14:solidFill>
              <w14:schemeClr w14:val="tx1"/>
            </w14:solidFill>
          </w14:textFill>
        </w:rPr>
        <w:t>供应商</w:t>
      </w:r>
      <w:r>
        <w:rPr>
          <w:bCs/>
          <w:color w:val="000000" w:themeColor="text1"/>
          <w:szCs w:val="21"/>
          <w14:textFill>
            <w14:solidFill>
              <w14:schemeClr w14:val="tx1"/>
            </w14:solidFill>
          </w14:textFill>
        </w:rPr>
        <w:t>可参照或者选用其他相当的品牌、型号或者生产供应商替代。但</w:t>
      </w:r>
      <w:r>
        <w:rPr>
          <w:rFonts w:hint="eastAsia"/>
          <w:bCs/>
          <w:color w:val="000000" w:themeColor="text1"/>
          <w:szCs w:val="21"/>
          <w14:textFill>
            <w14:solidFill>
              <w14:schemeClr w14:val="tx1"/>
            </w14:solidFill>
          </w14:textFill>
        </w:rPr>
        <w:t>供应商提供</w:t>
      </w:r>
      <w:r>
        <w:rPr>
          <w:bCs/>
          <w:color w:val="000000" w:themeColor="text1"/>
          <w:szCs w:val="21"/>
          <w14:textFill>
            <w14:solidFill>
              <w14:schemeClr w14:val="tx1"/>
            </w14:solidFill>
          </w14:textFill>
        </w:rPr>
        <w:t>的产品实质上应相当于或优于本</w:t>
      </w:r>
      <w:r>
        <w:rPr>
          <w:rFonts w:hint="eastAsia"/>
          <w:bCs/>
          <w:color w:val="000000" w:themeColor="text1"/>
          <w:szCs w:val="21"/>
          <w14:textFill>
            <w14:solidFill>
              <w14:schemeClr w14:val="tx1"/>
            </w14:solidFill>
          </w14:textFill>
        </w:rPr>
        <w:t>《采购</w:t>
      </w:r>
      <w:r>
        <w:rPr>
          <w:bCs/>
          <w:color w:val="000000" w:themeColor="text1"/>
          <w:szCs w:val="21"/>
          <w14:textFill>
            <w14:solidFill>
              <w14:schemeClr w14:val="tx1"/>
            </w14:solidFill>
          </w14:textFill>
        </w:rPr>
        <w:t>需求</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中的技术要求。</w:t>
      </w:r>
    </w:p>
    <w:p>
      <w:pPr>
        <w:spacing w:line="460" w:lineRule="exact"/>
        <w:ind w:right="2" w:rightChars="1"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bCs/>
          <w:color w:val="000000" w:themeColor="text1"/>
          <w:szCs w:val="21"/>
          <w14:textFill>
            <w14:solidFill>
              <w14:schemeClr w14:val="tx1"/>
            </w14:solidFill>
          </w14:textFill>
        </w:rPr>
        <w:t>凡在“技术要求”中表述为“标配”或“标准配置”的设备，</w:t>
      </w:r>
      <w:r>
        <w:rPr>
          <w:rFonts w:hint="eastAsia"/>
          <w:bCs/>
          <w:color w:val="000000" w:themeColor="text1"/>
          <w:szCs w:val="21"/>
          <w14:textFill>
            <w14:solidFill>
              <w14:schemeClr w14:val="tx1"/>
            </w14:solidFill>
          </w14:textFill>
        </w:rPr>
        <w:t>供应商</w:t>
      </w:r>
      <w:r>
        <w:rPr>
          <w:bCs/>
          <w:color w:val="000000" w:themeColor="text1"/>
          <w:szCs w:val="21"/>
          <w14:textFill>
            <w14:solidFill>
              <w14:schemeClr w14:val="tx1"/>
            </w14:solidFill>
          </w14:textFill>
        </w:rPr>
        <w:t>应在</w:t>
      </w:r>
      <w:r>
        <w:rPr>
          <w:rFonts w:hint="eastAsia" w:ascii="宋体" w:hAnsi="宋体" w:cs="宋体"/>
          <w:color w:val="000000" w:themeColor="text1"/>
          <w:szCs w:val="21"/>
          <w:lang w:bidi="ar"/>
          <w14:textFill>
            <w14:solidFill>
              <w14:schemeClr w14:val="tx1"/>
            </w14:solidFill>
          </w14:textFill>
        </w:rPr>
        <w:t>竞争性谈判</w:t>
      </w:r>
      <w:r>
        <w:rPr>
          <w:bCs/>
          <w:color w:val="000000" w:themeColor="text1"/>
          <w:szCs w:val="21"/>
          <w14:textFill>
            <w14:solidFill>
              <w14:schemeClr w14:val="tx1"/>
            </w14:solidFill>
          </w14:textFill>
        </w:rPr>
        <w:t>设备性能配置清单中将其标配参数详细列明。</w:t>
      </w:r>
    </w:p>
    <w:p>
      <w:pPr>
        <w:spacing w:line="460" w:lineRule="exact"/>
        <w:ind w:right="2" w:rightChars="1"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bCs/>
          <w:color w:val="000000" w:themeColor="text1"/>
          <w:szCs w:val="21"/>
          <w14:textFill>
            <w14:solidFill>
              <w14:schemeClr w14:val="tx1"/>
            </w14:solidFill>
          </w14:textFill>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Segoe UI Symbol" w:hAnsi="Segoe UI Symbol" w:cs="Segoe UI Symbol"/>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”的（详见本章后附的节能产品政府采购品目清单），</w:t>
      </w:r>
      <w:r>
        <w:rPr>
          <w:rFonts w:hint="eastAsia"/>
          <w:bCs/>
          <w:color w:val="000000" w:themeColor="text1"/>
          <w:szCs w:val="21"/>
          <w14:textFill>
            <w14:solidFill>
              <w14:schemeClr w14:val="tx1"/>
            </w14:solidFill>
          </w14:textFill>
        </w:rPr>
        <w:t>供应商参与</w:t>
      </w:r>
      <w:r>
        <w:rPr>
          <w:rFonts w:hint="eastAsia" w:ascii="宋体" w:hAnsi="宋体" w:cs="宋体"/>
          <w:color w:val="000000" w:themeColor="text1"/>
          <w:szCs w:val="21"/>
          <w:lang w:bidi="ar"/>
          <w14:textFill>
            <w14:solidFill>
              <w14:schemeClr w14:val="tx1"/>
            </w14:solidFill>
          </w14:textFill>
        </w:rPr>
        <w:t>竞争性谈判</w:t>
      </w:r>
      <w:r>
        <w:rPr>
          <w:rFonts w:hint="eastAsia"/>
          <w:bCs/>
          <w:color w:val="000000" w:themeColor="text1"/>
          <w:szCs w:val="21"/>
          <w14:textFill>
            <w14:solidFill>
              <w14:schemeClr w14:val="tx1"/>
            </w14:solidFill>
          </w14:textFill>
        </w:rPr>
        <w:t>提供的</w:t>
      </w:r>
      <w:r>
        <w:rPr>
          <w:bCs/>
          <w:color w:val="000000" w:themeColor="text1"/>
          <w:szCs w:val="21"/>
          <w14:textFill>
            <w14:solidFill>
              <w14:schemeClr w14:val="tx1"/>
            </w14:solidFill>
          </w14:textFill>
        </w:rPr>
        <w:t>货物必须使用政府强制采购的节能产品，</w:t>
      </w:r>
      <w:r>
        <w:rPr>
          <w:rFonts w:hint="eastAsia"/>
          <w:bCs/>
          <w:color w:val="000000" w:themeColor="text1"/>
          <w:szCs w:val="21"/>
          <w14:textFill>
            <w14:solidFill>
              <w14:schemeClr w14:val="tx1"/>
            </w14:solidFill>
          </w14:textFill>
        </w:rPr>
        <w:t>供应商必须在响应文件（商务及技术文件）中提供所投产品的节能产品认证证书复印件（加盖投标人电子签章），</w:t>
      </w:r>
      <w:r>
        <w:rPr>
          <w:bCs/>
          <w:color w:val="000000" w:themeColor="text1"/>
          <w:szCs w:val="21"/>
          <w14:textFill>
            <w14:solidFill>
              <w14:schemeClr w14:val="tx1"/>
            </w14:solidFill>
          </w14:textFill>
        </w:rPr>
        <w:t>否则</w:t>
      </w:r>
      <w:r>
        <w:rPr>
          <w:rFonts w:hint="eastAsia"/>
          <w:bCs/>
          <w:color w:val="000000" w:themeColor="text1"/>
          <w:szCs w:val="21"/>
          <w14:textFill>
            <w14:solidFill>
              <w14:schemeClr w14:val="tx1"/>
            </w14:solidFill>
          </w14:textFill>
        </w:rPr>
        <w:t>响应</w:t>
      </w:r>
      <w:r>
        <w:rPr>
          <w:bCs/>
          <w:color w:val="000000" w:themeColor="text1"/>
          <w:szCs w:val="21"/>
          <w14:textFill>
            <w14:solidFill>
              <w14:schemeClr w14:val="tx1"/>
            </w14:solidFill>
          </w14:textFill>
        </w:rPr>
        <w:t>文件作无效处理。</w:t>
      </w:r>
    </w:p>
    <w:p>
      <w:pPr>
        <w:spacing w:line="460" w:lineRule="exact"/>
        <w:ind w:right="2" w:rightChars="1"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w:t>
      </w:r>
      <w:r>
        <w:rPr>
          <w:bCs/>
          <w:color w:val="000000" w:themeColor="text1"/>
          <w:szCs w:val="21"/>
          <w14:textFill>
            <w14:solidFill>
              <w14:schemeClr w14:val="tx1"/>
            </w14:solidFill>
          </w14:textFill>
        </w:rPr>
        <w:t>如</w:t>
      </w:r>
      <w:r>
        <w:rPr>
          <w:rFonts w:hint="eastAsia"/>
          <w:bCs/>
          <w:color w:val="000000" w:themeColor="text1"/>
          <w:szCs w:val="21"/>
          <w14:textFill>
            <w14:solidFill>
              <w14:schemeClr w14:val="tx1"/>
            </w14:solidFill>
          </w14:textFill>
        </w:rPr>
        <w:t>供应商参与</w:t>
      </w:r>
      <w:r>
        <w:rPr>
          <w:rFonts w:hint="eastAsia" w:ascii="宋体" w:hAnsi="宋体" w:cs="宋体"/>
          <w:color w:val="000000" w:themeColor="text1"/>
          <w:szCs w:val="21"/>
          <w:lang w:bidi="ar"/>
          <w14:textFill>
            <w14:solidFill>
              <w14:schemeClr w14:val="tx1"/>
            </w14:solidFill>
          </w14:textFill>
        </w:rPr>
        <w:t>竞争性谈判提供的</w:t>
      </w:r>
      <w:r>
        <w:rPr>
          <w:bCs/>
          <w:color w:val="000000" w:themeColor="text1"/>
          <w:szCs w:val="21"/>
          <w14:textFill>
            <w14:solidFill>
              <w14:schemeClr w14:val="tx1"/>
            </w14:solidFill>
          </w14:textFill>
        </w:rPr>
        <w:t>产品存在侵犯他人的知识产权或者专利成果行为的，由</w:t>
      </w:r>
      <w:r>
        <w:rPr>
          <w:rFonts w:hint="eastAsia"/>
          <w:bCs/>
          <w:color w:val="000000" w:themeColor="text1"/>
          <w:szCs w:val="21"/>
          <w14:textFill>
            <w14:solidFill>
              <w14:schemeClr w14:val="tx1"/>
            </w14:solidFill>
          </w14:textFill>
        </w:rPr>
        <w:t>供应商</w:t>
      </w:r>
      <w:r>
        <w:rPr>
          <w:bCs/>
          <w:color w:val="000000" w:themeColor="text1"/>
          <w:szCs w:val="21"/>
          <w14:textFill>
            <w14:solidFill>
              <w14:schemeClr w14:val="tx1"/>
            </w14:solidFill>
          </w14:textFill>
        </w:rPr>
        <w:t>自行承担相应法律责任。</w:t>
      </w:r>
    </w:p>
    <w:p>
      <w:pPr>
        <w:spacing w:line="460" w:lineRule="exact"/>
        <w:ind w:right="2" w:rightChars="1"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bCs/>
          <w:color w:val="000000" w:themeColor="text1"/>
          <w:szCs w:val="21"/>
          <w14:textFill>
            <w14:solidFill>
              <w14:schemeClr w14:val="tx1"/>
            </w14:solidFill>
          </w14:textFill>
        </w:rPr>
        <w:t>实质性要求</w:t>
      </w:r>
      <w:r>
        <w:rPr>
          <w:rFonts w:hint="eastAsia" w:ascii="宋体" w:hAnsi="宋体" w:cs="宋体"/>
          <w:color w:val="000000" w:themeColor="text1"/>
          <w:szCs w:val="21"/>
          <w14:textFill>
            <w14:solidFill>
              <w14:schemeClr w14:val="tx1"/>
            </w14:solidFill>
          </w14:textFill>
        </w:rPr>
        <w:t>”</w:t>
      </w:r>
      <w:r>
        <w:rPr>
          <w:bCs/>
          <w:color w:val="000000" w:themeColor="text1"/>
          <w:szCs w:val="21"/>
          <w14:textFill>
            <w14:solidFill>
              <w14:schemeClr w14:val="tx1"/>
            </w14:solidFill>
          </w14:textFill>
        </w:rPr>
        <w:t>是指</w:t>
      </w:r>
      <w:r>
        <w:rPr>
          <w:rFonts w:hint="eastAsia"/>
          <w:bCs/>
          <w:color w:val="000000" w:themeColor="text1"/>
          <w:szCs w:val="21"/>
          <w14:textFill>
            <w14:solidFill>
              <w14:schemeClr w14:val="tx1"/>
            </w14:solidFill>
          </w14:textFill>
        </w:rPr>
        <w:t>采购文件</w:t>
      </w:r>
      <w:r>
        <w:rPr>
          <w:bCs/>
          <w:color w:val="000000" w:themeColor="text1"/>
          <w:szCs w:val="21"/>
          <w14:textFill>
            <w14:solidFill>
              <w14:schemeClr w14:val="tx1"/>
            </w14:solidFill>
          </w14:textFill>
        </w:rPr>
        <w:t>中已经指明不满足则</w:t>
      </w:r>
      <w:r>
        <w:rPr>
          <w:rFonts w:hint="eastAsia" w:ascii="宋体" w:hAnsi="宋体" w:cs="宋体"/>
          <w:color w:val="000000" w:themeColor="text1"/>
          <w:szCs w:val="21"/>
          <w:lang w:bidi="ar"/>
          <w14:textFill>
            <w14:solidFill>
              <w14:schemeClr w14:val="tx1"/>
            </w14:solidFill>
          </w14:textFill>
        </w:rPr>
        <w:t>竞争性谈判</w:t>
      </w:r>
      <w:r>
        <w:rPr>
          <w:bCs/>
          <w:color w:val="000000" w:themeColor="text1"/>
          <w:szCs w:val="21"/>
          <w14:textFill>
            <w14:solidFill>
              <w14:schemeClr w14:val="tx1"/>
            </w14:solidFill>
          </w14:textFill>
        </w:rPr>
        <w:t>无效的条款，或者不</w:t>
      </w:r>
      <w:r>
        <w:rPr>
          <w:rFonts w:hint="eastAsia"/>
          <w:bCs/>
          <w:color w:val="000000" w:themeColor="text1"/>
          <w:szCs w:val="21"/>
          <w14:textFill>
            <w14:solidFill>
              <w14:schemeClr w14:val="tx1"/>
            </w14:solidFill>
          </w14:textFill>
        </w:rPr>
        <w:t>容许</w:t>
      </w:r>
      <w:r>
        <w:rPr>
          <w:bCs/>
          <w:color w:val="000000" w:themeColor="text1"/>
          <w:szCs w:val="21"/>
          <w14:textFill>
            <w14:solidFill>
              <w14:schemeClr w14:val="tx1"/>
            </w14:solidFill>
          </w14:textFill>
        </w:rPr>
        <w:t>负偏离的条款，或者采购需求中带</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的条款</w:t>
      </w:r>
      <w:r>
        <w:rPr>
          <w:rFonts w:hint="eastAsia"/>
          <w:bCs/>
          <w:color w:val="000000" w:themeColor="text1"/>
          <w:szCs w:val="21"/>
          <w14:textFill>
            <w14:solidFill>
              <w14:schemeClr w14:val="tx1"/>
            </w14:solidFill>
          </w14:textFill>
        </w:rPr>
        <w:t>，如有不满足或者负偏离则</w:t>
      </w:r>
      <w:r>
        <w:rPr>
          <w:rFonts w:hint="eastAsia" w:ascii="宋体" w:hAnsi="宋体" w:cs="宋体"/>
          <w:color w:val="000000" w:themeColor="text1"/>
          <w:szCs w:val="21"/>
          <w:lang w:bidi="ar"/>
          <w14:textFill>
            <w14:solidFill>
              <w14:schemeClr w14:val="tx1"/>
            </w14:solidFill>
          </w14:textFill>
        </w:rPr>
        <w:t>竞争性谈判</w:t>
      </w:r>
      <w:r>
        <w:rPr>
          <w:rFonts w:hint="eastAsia"/>
          <w:bCs/>
          <w:color w:val="000000" w:themeColor="text1"/>
          <w:szCs w:val="21"/>
          <w14:textFill>
            <w14:solidFill>
              <w14:schemeClr w14:val="tx1"/>
            </w14:solidFill>
          </w14:textFill>
        </w:rPr>
        <w:t>无效</w:t>
      </w:r>
      <w:r>
        <w:rPr>
          <w:bCs/>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未标注“</w:t>
      </w:r>
      <w:r>
        <w:rPr>
          <w:rFonts w:hint="eastAsia" w:ascii="Segoe UI Symbol" w:hAnsi="Segoe UI Symbol" w:cs="Segoe UI Symbol"/>
          <w:bCs/>
          <w:color w:val="000000" w:themeColor="text1"/>
          <w:szCs w:val="21"/>
          <w14:textFill>
            <w14:solidFill>
              <w14:schemeClr w14:val="tx1"/>
            </w14:solidFill>
          </w14:textFill>
        </w:rPr>
        <w:t>▲</w:t>
      </w:r>
      <w:r>
        <w:rPr>
          <w:rFonts w:hint="eastAsia"/>
          <w:bCs/>
          <w:color w:val="000000" w:themeColor="text1"/>
          <w:szCs w:val="21"/>
          <w14:textFill>
            <w14:solidFill>
              <w14:schemeClr w14:val="tx1"/>
            </w14:solidFill>
          </w14:textFill>
        </w:rPr>
        <w:t>”号的非实质性条款要求可允许6项负偏离，7项以上（含7项）负偏离的</w:t>
      </w:r>
      <w:r>
        <w:rPr>
          <w:rFonts w:hint="eastAsia" w:ascii="宋体" w:hAnsi="宋体" w:cs="宋体"/>
          <w:color w:val="000000" w:themeColor="text1"/>
          <w:szCs w:val="21"/>
          <w:lang w:bidi="ar"/>
          <w14:textFill>
            <w14:solidFill>
              <w14:schemeClr w14:val="tx1"/>
            </w14:solidFill>
          </w14:textFill>
        </w:rPr>
        <w:t>竞争性谈判</w:t>
      </w:r>
      <w:r>
        <w:rPr>
          <w:rFonts w:hint="eastAsia"/>
          <w:bCs/>
          <w:color w:val="000000" w:themeColor="text1"/>
          <w:szCs w:val="21"/>
          <w14:textFill>
            <w14:solidFill>
              <w14:schemeClr w14:val="tx1"/>
            </w14:solidFill>
          </w14:textFill>
        </w:rPr>
        <w:t>无效。</w:t>
      </w:r>
    </w:p>
    <w:p>
      <w:pPr>
        <w:spacing w:line="460" w:lineRule="exact"/>
        <w:ind w:right="2" w:rightChars="1" w:firstLine="420" w:firstLineChars="20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6.本项目为货物采购项目，采购标的对应的中小企业划分标准所属行业名称及要求：</w:t>
      </w:r>
    </w:p>
    <w:p>
      <w:pPr>
        <w:spacing w:line="460" w:lineRule="exact"/>
        <w:ind w:right="2" w:rightChars="1"/>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（1）第（二），第（三）的23、24项，第（四）、（七）、（八）、（十）为建筑业，本项目不做中小企业划分要求。可以在《中小企业声明函》中不填写相关内容。</w:t>
      </w:r>
    </w:p>
    <w:p>
      <w:pPr>
        <w:spacing w:line="460" w:lineRule="exact"/>
        <w:ind w:right="2" w:rightChars="1"/>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（2）其余标的对应的中小企业划分标准所属行业为</w:t>
      </w:r>
      <w:r>
        <w:rPr>
          <w:bCs/>
          <w:color w:val="000000" w:themeColor="text1"/>
          <w:szCs w:val="21"/>
          <w14:textFill>
            <w14:solidFill>
              <w14:schemeClr w14:val="tx1"/>
            </w14:solidFill>
          </w14:textFill>
        </w:rPr>
        <w:t>工业</w:t>
      </w:r>
      <w:r>
        <w:rPr>
          <w:rFonts w:hint="eastAsia"/>
          <w:bCs/>
          <w:color w:val="000000" w:themeColor="text1"/>
          <w:szCs w:val="21"/>
          <w14:textFill>
            <w14:solidFill>
              <w14:schemeClr w14:val="tx1"/>
            </w14:solidFill>
          </w14:textFill>
        </w:rPr>
        <w:t>。</w:t>
      </w:r>
    </w:p>
    <w:p>
      <w:pPr>
        <w:spacing w:line="460" w:lineRule="exact"/>
        <w:ind w:right="2" w:rightChars="1" w:firstLine="48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7.本项目引用标准，如有废止、更新、替换的情形，以最新标准为准。</w:t>
      </w:r>
    </w:p>
    <w:tbl>
      <w:tblPr>
        <w:tblStyle w:val="27"/>
        <w:tblpPr w:leftFromText="180" w:rightFromText="180" w:vertAnchor="text" w:horzAnchor="page" w:tblpX="866" w:tblpY="642"/>
        <w:tblOverlap w:val="never"/>
        <w:tblW w:w="51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432"/>
        <w:gridCol w:w="1148"/>
        <w:gridCol w:w="149"/>
        <w:gridCol w:w="615"/>
        <w:gridCol w:w="478"/>
        <w:gridCol w:w="5230"/>
        <w:gridCol w:w="898"/>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93" w:hRule="atLeast"/>
        </w:trPr>
        <w:tc>
          <w:tcPr>
            <w:tcW w:w="217" w:type="pct"/>
            <w:shd w:val="clear" w:color="auto" w:fill="auto"/>
            <w:vAlign w:val="center"/>
          </w:tcPr>
          <w:p>
            <w:pPr>
              <w:snapToGrid w:val="0"/>
              <w:spacing w:line="36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577" w:type="pct"/>
            <w:shd w:val="clear" w:color="auto" w:fill="auto"/>
            <w:vAlign w:val="center"/>
          </w:tcPr>
          <w:p>
            <w:pPr>
              <w:snapToGrid w:val="0"/>
              <w:spacing w:line="36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标的名称</w:t>
            </w:r>
          </w:p>
        </w:tc>
        <w:tc>
          <w:tcPr>
            <w:tcW w:w="384" w:type="pct"/>
            <w:gridSpan w:val="2"/>
            <w:shd w:val="clear" w:color="auto" w:fill="auto"/>
            <w:vAlign w:val="center"/>
          </w:tcPr>
          <w:p>
            <w:pPr>
              <w:snapToGrid w:val="0"/>
              <w:spacing w:line="36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数量</w:t>
            </w:r>
          </w:p>
        </w:tc>
        <w:tc>
          <w:tcPr>
            <w:tcW w:w="240" w:type="pct"/>
            <w:shd w:val="clear" w:color="auto" w:fill="auto"/>
            <w:vAlign w:val="center"/>
          </w:tcPr>
          <w:p>
            <w:pPr>
              <w:snapToGrid w:val="0"/>
              <w:spacing w:line="36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单位</w:t>
            </w:r>
          </w:p>
        </w:tc>
        <w:tc>
          <w:tcPr>
            <w:tcW w:w="2628" w:type="pct"/>
            <w:shd w:val="clear" w:color="auto" w:fill="auto"/>
            <w:vAlign w:val="center"/>
          </w:tcPr>
          <w:p>
            <w:pPr>
              <w:snapToGrid w:val="0"/>
              <w:spacing w:line="360" w:lineRule="exact"/>
              <w:ind w:firstLine="482"/>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技术参数及性能（配置）要求</w:t>
            </w:r>
          </w:p>
        </w:tc>
        <w:tc>
          <w:tcPr>
            <w:tcW w:w="451" w:type="pct"/>
            <w:shd w:val="clear" w:color="auto" w:fill="auto"/>
          </w:tcPr>
          <w:p>
            <w:pPr>
              <w:snapToGrid w:val="0"/>
              <w:spacing w:line="36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预算单价（元/人民币）</w:t>
            </w:r>
          </w:p>
        </w:tc>
        <w:tc>
          <w:tcPr>
            <w:tcW w:w="503" w:type="pct"/>
            <w:shd w:val="clear" w:color="auto" w:fill="auto"/>
          </w:tcPr>
          <w:p>
            <w:pPr>
              <w:snapToGrid w:val="0"/>
              <w:spacing w:line="36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单项预算合计（元/人民币）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2" w:hRule="atLeast"/>
        </w:trPr>
        <w:tc>
          <w:tcPr>
            <w:tcW w:w="5000" w:type="pct"/>
            <w:gridSpan w:val="8"/>
            <w:shd w:val="clear" w:color="auto" w:fill="auto"/>
            <w:vAlign w:val="center"/>
          </w:tcPr>
          <w:p>
            <w:pPr>
              <w:snapToGrid w:val="0"/>
              <w:spacing w:line="400" w:lineRule="exact"/>
              <w:ind w:firstLine="482"/>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(一)、实验室净化除湿空调系统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03" w:hRule="atLeast"/>
        </w:trPr>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转轮除湿机组</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color w:val="000000" w:themeColor="text1"/>
                <w14:textFill>
                  <w14:solidFill>
                    <w14:schemeClr w14:val="tx1"/>
                  </w14:solidFill>
                </w14:textFill>
              </w:rPr>
              <w:t>1.送风量不小于15000m</w:t>
            </w:r>
            <w:r>
              <w:rPr>
                <w:rFonts w:hint="eastAsia" w:ascii="宋体"/>
                <w:color w:val="000000" w:themeColor="text1"/>
                <w:vertAlign w:val="superscript"/>
                <w14:textFill>
                  <w14:solidFill>
                    <w14:schemeClr w14:val="tx1"/>
                  </w14:solidFill>
                </w14:textFill>
              </w:rPr>
              <w:t>3</w:t>
            </w:r>
            <w:r>
              <w:rPr>
                <w:rFonts w:hint="eastAsia" w:ascii="宋体"/>
                <w:color w:val="000000" w:themeColor="text1"/>
                <w14:textFill>
                  <w14:solidFill>
                    <w14:schemeClr w14:val="tx1"/>
                  </w14:solidFill>
                </w14:textFill>
              </w:rPr>
              <w:t>/h，新风量不小于2250m</w:t>
            </w:r>
            <w:r>
              <w:rPr>
                <w:rFonts w:hint="eastAsia" w:ascii="宋体"/>
                <w:color w:val="000000" w:themeColor="text1"/>
                <w:vertAlign w:val="superscript"/>
                <w14:textFill>
                  <w14:solidFill>
                    <w14:schemeClr w14:val="tx1"/>
                  </w14:solidFill>
                </w14:textFill>
              </w:rPr>
              <w:t>3</w:t>
            </w:r>
            <w:r>
              <w:rPr>
                <w:rFonts w:hint="eastAsia" w:ascii="宋体"/>
                <w:color w:val="000000" w:themeColor="text1"/>
                <w14:textFill>
                  <w14:solidFill>
                    <w14:schemeClr w14:val="tx1"/>
                  </w14:solidFill>
                </w14:textFill>
              </w:rPr>
              <w:t>/h，转轮处理风量不小于10000m</w:t>
            </w:r>
            <w:r>
              <w:rPr>
                <w:rFonts w:hint="eastAsia" w:ascii="宋体"/>
                <w:color w:val="000000" w:themeColor="text1"/>
                <w:vertAlign w:val="superscript"/>
                <w14:textFill>
                  <w14:solidFill>
                    <w14:schemeClr w14:val="tx1"/>
                  </w14:solidFill>
                </w14:textFill>
              </w:rPr>
              <w:t>3</w:t>
            </w:r>
            <w:r>
              <w:rPr>
                <w:rFonts w:hint="eastAsia" w:ascii="宋体"/>
                <w:color w:val="000000" w:themeColor="text1"/>
                <w14:textFill>
                  <w14:solidFill>
                    <w14:schemeClr w14:val="tx1"/>
                  </w14:solidFill>
                </w14:textFill>
              </w:rPr>
              <w:t>/h，</w:t>
            </w:r>
            <w:r>
              <w:rPr>
                <w:rFonts w:hint="eastAsia" w:ascii="宋体" w:hAnsi="宋体" w:cs="宋体"/>
                <w:color w:val="000000" w:themeColor="text1"/>
                <w:szCs w:val="21"/>
                <w14:textFill>
                  <w14:solidFill>
                    <w14:schemeClr w14:val="tx1"/>
                  </w14:solidFill>
                </w14:textFill>
              </w:rPr>
              <w:t>所需制冷量≤130kw，初中效过滤器G4/F6/F8</w:t>
            </w:r>
            <w:r>
              <w:rPr>
                <w:rFonts w:hint="eastAsia" w:ascii="宋体"/>
                <w:color w:val="000000" w:themeColor="text1"/>
                <w14:textFill>
                  <w14:solidFill>
                    <w14:schemeClr w14:val="tx1"/>
                  </w14:solidFill>
                </w14:textFill>
              </w:rPr>
              <w:t>，余压800Pa</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▲2.温度：22±2℃，相对湿度最低可达RH%：</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▲3.转轮除湿流程需至少包含以下环节：新风→初效过滤→新风前表冷(制冷量54kw)+一次回风→转轮除湿+二次回风→送风风机→中效过滤→后表冷(制冷量70kw)→后加热→工作间(22±2℃，</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0%RH)。</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4.配置：</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①板式初效过滤器G4，袋式中效过滤器F6或F8。</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②</w:t>
            </w:r>
            <w:r>
              <w:rPr>
                <w:rFonts w:hint="eastAsia" w:ascii="宋体"/>
                <w:color w:val="000000" w:themeColor="text1"/>
                <w14:textFill>
                  <w14:solidFill>
                    <w14:schemeClr w14:val="tx1"/>
                  </w14:solidFill>
                </w14:textFill>
              </w:rPr>
              <w:t>挡水板：铝合金材质，风阻小，挡水效果好；</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③PUP面板：外/内侧无锌彩钢板、聚氨脂高压发泡；</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④表冷器：采用小风量大温差设计，避免外界气温变化大对系统的影响；采用铜管套亲水铝翅片，避免挂水、飘水；高位积水盘设计，方便冷凝水的排出。</w:t>
            </w:r>
            <w:r>
              <w:rPr>
                <w:rFonts w:hint="eastAsia" w:ascii="宋体"/>
                <w:color w:val="000000" w:themeColor="text1"/>
                <w14:textFill>
                  <w14:solidFill>
                    <w14:schemeClr w14:val="tx1"/>
                  </w14:solidFill>
                </w14:textFill>
              </w:rPr>
              <w:t>磷脱氧无缝紫铜管，传热性好。</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⑤除湿转轮：硅胶转轮；</w:t>
            </w:r>
            <w:r>
              <w:rPr>
                <w:rFonts w:hint="eastAsia" w:ascii="宋体"/>
                <w:color w:val="000000" w:themeColor="text1"/>
                <w14:textFill>
                  <w14:solidFill>
                    <w14:schemeClr w14:val="tx1"/>
                  </w14:solidFill>
                </w14:textFill>
              </w:rPr>
              <w:t>高效吸湿转轮；可水洗；对污染物具有抑菌作用，并且不会向处理空气中释放颗粒物</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⑥送风/再生风机：采用无蜗壳直联风机，避免风机定期更换而难自行调至水平，使皮带经常断裂的问题。</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⑦转轮密封件：采用耐高温、耐磨的材质(硅氟橡胶)制成密封条，采用对敲螺丝压紧的方式密封，避免因使用胶水而老化开裂，引起漏风。</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⑧三相异步电机；变频器，PLC控制系统。</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⑨人机界面：7寸触摸屏。</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⑩电加热棒：304不锈钢绕片式电加热棒。</w:t>
            </w:r>
          </w:p>
          <w:p>
            <w:pPr>
              <w:tabs>
                <w:tab w:val="left" w:pos="420"/>
              </w:tabs>
              <w:snapToGrid w:val="0"/>
              <w:jc w:val="left"/>
              <w:rPr>
                <w:rFonts w:ascii="宋体" w:hAnsi="宋体" w:cs="宋体"/>
                <w:color w:val="000000" w:themeColor="text1"/>
                <w:szCs w:val="21"/>
                <w14:textFill>
                  <w14:solidFill>
                    <w14:schemeClr w14:val="tx1"/>
                  </w14:solidFill>
                </w14:textFill>
              </w:rPr>
            </w:pPr>
            <w:r>
              <w:rPr>
                <w:rFonts w:ascii="宋体" w:hAnsi="Arial" w:cs="Arial"/>
                <w:color w:val="000000" w:themeColor="text1"/>
                <w:szCs w:val="19"/>
                <w:shd w:val="clear" w:color="auto" w:fill="FFFFFF"/>
                <w14:textFill>
                  <w14:solidFill>
                    <w14:schemeClr w14:val="tx1"/>
                  </w14:solidFill>
                </w14:textFill>
              </w:rPr>
              <w:t>⑪</w:t>
            </w:r>
            <w:r>
              <w:rPr>
                <w:rFonts w:hint="eastAsia" w:ascii="宋体"/>
                <w:color w:val="000000" w:themeColor="text1"/>
                <w14:textFill>
                  <w14:solidFill>
                    <w14:schemeClr w14:val="tx1"/>
                  </w14:solidFill>
                </w14:textFill>
              </w:rPr>
              <w:t>箱板：厚度≥50mm；板材之间采用聚氨酯高压发泡，使板材与板材之间连为一体，既起到保温隔热作用也起到密封作用。</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5.框架：</w:t>
            </w:r>
            <w:r>
              <w:rPr>
                <w:rFonts w:hint="eastAsia" w:ascii="宋体"/>
                <w:color w:val="000000" w:themeColor="text1"/>
                <w14:textFill>
                  <w14:solidFill>
                    <w14:schemeClr w14:val="tx1"/>
                  </w14:solidFill>
                </w14:textFill>
              </w:rPr>
              <w:t>转轮段箱体采用高强度铝合金框架结构，风柜段箱体采用无框架结构，密封性高。转轮段箱体外板彩钢板(覆铝锌板)，厚度0.5mm,内壁板覆铝锌板，内板厚度0.5mm，中间聚氨酯发泡材料厚度≥50mm（聚氨酯保温材料为阻燃材料），箱体做防冷桥处理。箱体具有外形美观、结构坚固不易变形、保温效果好、密封性能耗，漏风率低等优点。</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6.外观：各段如表冷段、转轮段、风机段、可生段均可打开，主要检修门均为整扇门快速打开。</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7.除湿转轮通过化学法制造(分子键结合的方式)：除湿转轮是在800℃高温下硅胶和基材，发生化学反应，通过分子键结合在一起，可以承受长时间的高温，除湿效果的衰减速度最小。除湿转轮在使用寿命期限内转轮不开裂，不产生碎渣。</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8.该设备用于洁净物理科研实验室，需严格控制实验室的温湿度、洁净度等环境要求。供应商需根据1-3要求，在响应文件中提供转轮除湿技术解决方案，方案最少包含以下内容：转轮除湿流程图、各环节状态点风量/温度/湿度、主要技术参数及配置说明。</w:t>
            </w:r>
          </w:p>
          <w:p>
            <w:pPr>
              <w:pStyle w:val="10"/>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供货时安装前提供相同品牌同种产品具有CNAS或CMA标志的第三方合格检测报告。检测项目包括但不限于：变形量、漏风率、传热系数。</w:t>
            </w:r>
          </w:p>
          <w:p>
            <w:pPr>
              <w:pStyle w:val="10"/>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10.包含设备楼顶吊装、高空作业：重型吊机作业，外墙风管安装作业。为更好地保证质量和安全，供应商需具备以下条件：具有特种操作作业人员(包括：高处安装、维护、拆除作业)，响应文件中提供人员资质证明文件以及该人员在响应供应商公司的最近6个月中任一个月的社保证明文件或该人员的劳动合同或供应商为该人员发放工资的银行流水证明等。</w:t>
            </w:r>
          </w:p>
          <w:p>
            <w:pPr>
              <w:pStyle w:val="10"/>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11.包含运输、净化系统安装及调试：</w:t>
            </w:r>
          </w:p>
          <w:p>
            <w:pPr>
              <w:pStyle w:val="10"/>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(1)净化系统的设计安装与调试，涉及到智能化与PLC的应用；为更好地保证质量和安全，供应商需具备以下条件：具有 “PLC应用设计”的人员，响应文件中提供人员资质证明文件以及该人员在响应供应商公司的最近6个月中任一个月的社保证明文件或该人员的劳动合同或供应商为该人员发放工资的银行流水证明等。</w:t>
            </w:r>
          </w:p>
          <w:p>
            <w:pPr>
              <w:pStyle w:val="10"/>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▲(2)在响应文件中提供空调通风系统布置图和保温风管衔接节点安装大样图。</w:t>
            </w:r>
          </w:p>
        </w:tc>
        <w:tc>
          <w:tcPr>
            <w:tcW w:w="451" w:type="pct"/>
            <w:shd w:val="clear" w:color="auto" w:fill="auto"/>
            <w:vAlign w:val="center"/>
          </w:tcPr>
          <w:p>
            <w:pPr>
              <w:widowControl/>
              <w:jc w:val="center"/>
              <w:textAlignment w:val="center"/>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265000</w:t>
            </w:r>
          </w:p>
        </w:tc>
        <w:tc>
          <w:tcPr>
            <w:tcW w:w="503" w:type="pct"/>
            <w:shd w:val="clear" w:color="auto" w:fill="auto"/>
            <w:vAlign w:val="center"/>
          </w:tcPr>
          <w:p>
            <w:pPr>
              <w:widowControl/>
              <w:jc w:val="center"/>
              <w:textAlignment w:val="center"/>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风冷模块机</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2628" w:type="pct"/>
            <w:shd w:val="clear" w:color="auto" w:fill="auto"/>
            <w:vAlign w:val="center"/>
          </w:tcPr>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制冷量≥130kw，制冷出水温度7℃。制冷功率约40kw。设备应适用于南宁亚热带季风气候夏热冬暖地区运行，非低环境温度寒冷地区运行；设备主要功能为制冷，可选用单冷冷水机型或制冷为主，制热为辅的冷(热)水机型、冷水(热泵)机型；设备对接转轮除湿机表冷器制冷末端，非采暖末端，产品标准符合GB19577制冷工况能效等级指标，并在响应文件中提供节能产品认证证书复印件。 </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2.配置：</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①压缩机：全封闭高效涡旋压缩机，2台。</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②制冷剂：R410A，电子膨胀阀节流。</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③高效风机：高效低噪音高效风机，2台。</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④高效水侧换热器：水流量≥22.4m³/h，水阻力约30~60Kpa，最高承压1.0Mpa。</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⑤单模块双系统：单个模块由两个独立系统组成，独立运行，运行稳定。</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⑥进/出水管规格65DN或80DN(根据水管管径适配）。</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3.功能：</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①空气侧进风温度35℃，使用侧回水温度12℃，出水温度7℃； </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②安全保护功能：相序保护、缺相保护、高压保护、低压保护、防冻保护、水流保护、过热保护、电流过载保护、排气温度保护，智能控制软件持续检测机组运行状态，出现故障时，及时进行保护，自动报警。</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4.外形尺寸：约2200mm×1100mm×2300mm，机组重量约1000kg。</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5.电源：380V/3N~50Hz。</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▲6.在响应文件中提供响应产品图册介绍或产品说明书等产品详细信息，包含技术参数列表。（参数至少包含以下内容：制冷量、压缩机数量、风机数量、制冷剂类型、水流量等数据信息）。</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7.包含设备楼顶吊装、高空作业：重型吊机作业，外墙风管安装作业，以及运输、净化系统安装及调试。</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20" w:hRule="atLeast"/>
        </w:trPr>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水泵</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国标，功率≥5.5kw，水流量≥22.4m</w:t>
            </w:r>
            <w:r>
              <w:rPr>
                <w:rFonts w:hint="eastAsia" w:ascii="宋体" w:hAnsi="宋体" w:cs="宋体"/>
                <w:color w:val="000000" w:themeColor="text1"/>
                <w:szCs w:val="21"/>
                <w:vertAlign w:val="superscript"/>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/h，一备一用。</w:t>
            </w:r>
            <w:r>
              <w:rPr>
                <w:rFonts w:hint="eastAsia"/>
                <w:color w:val="000000" w:themeColor="text1"/>
                <w14:textFill>
                  <w14:solidFill>
                    <w14:schemeClr w14:val="tx1"/>
                  </w14:solidFill>
                </w14:textFill>
              </w:rPr>
              <w:t>在响应文件中</w:t>
            </w:r>
            <w:r>
              <w:rPr>
                <w:rFonts w:hint="eastAsia" w:ascii="宋体" w:hAnsi="宋体" w:cs="宋体"/>
                <w:color w:val="000000" w:themeColor="text1"/>
                <w:szCs w:val="21"/>
                <w14:textFill>
                  <w14:solidFill>
                    <w14:schemeClr w14:val="tx1"/>
                  </w14:solidFill>
                </w14:textFill>
              </w:rPr>
              <w:t>提供响应产品</w:t>
            </w:r>
            <w:r>
              <w:rPr>
                <w:rFonts w:hint="eastAsia"/>
                <w:color w:val="000000" w:themeColor="text1"/>
                <w14:textFill>
                  <w14:solidFill>
                    <w14:schemeClr w14:val="tx1"/>
                  </w14:solidFill>
                </w14:textFill>
              </w:rPr>
              <w:t>图册介绍或产品说明书等产品详细信息</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水管及配件安装</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水管规格65DN或80DN，根据转轮除湿机和风冷模块机连接适配。</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高效送风口</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2628" w:type="pct"/>
            <w:shd w:val="clear" w:color="auto" w:fill="auto"/>
            <w:vAlign w:val="center"/>
          </w:tcPr>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四件套，风量2000m3/h，箱体尺寸≥920mm×620mm×220mm，过虑效率H13。</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3300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铝合金百叶风口(带初效过滤网)</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300mm×500mm，铝合金百叶风口(带初效过滤网)</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250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手动风量调节风阀</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200mm×200mm，手动风量调节风阀</w:t>
            </w:r>
            <w:r>
              <w:rPr>
                <w:rFonts w:hint="eastAsia"/>
                <w:color w:val="000000" w:themeColor="text1"/>
                <w14:textFill>
                  <w14:solidFill>
                    <w14:schemeClr w14:val="tx1"/>
                  </w14:solidFill>
                </w14:textFill>
              </w:rPr>
              <w:t>。供货时安装前提供相同品牌同种产品具有CNAS或CMA标志的第三方合格检验报告，检验依据为JG/T436-2014《建筑通风风量调节阀》。</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180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微穿孔消声器</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消声风管三通L=700mm，内尺寸=700mm×700mm(可根据现场情况适配)；镀锌钢加静音棉。</w:t>
            </w:r>
            <w:r>
              <w:rPr>
                <w:rFonts w:hint="eastAsia"/>
                <w:color w:val="000000" w:themeColor="text1"/>
                <w14:textFill>
                  <w14:solidFill>
                    <w14:schemeClr w14:val="tx1"/>
                  </w14:solidFill>
                </w14:textFill>
              </w:rPr>
              <w:t>供货时安装前提供相同品牌同种产品具有CNAS或CMA标志的第三方合格检验报告，检验依据为GB/T4760-1995《声学 消声器测量方法》、HJ2523-2012《环境保护产品技术要求 通风消声器》。</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2500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32" w:hRule="atLeast"/>
        </w:trPr>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压差表</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0-60pa</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350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洁净空调风管(定制)</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按风量要求定制，镀锌板加保温材料制作。风管均保温、保冷，其保温、保冷均采用难燃，保温厚30mm；镀锌钢厚0.6~1.0mm。包含风管、弯头、变径、三通、支架、保温材料等。</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380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强排风直排风机</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风量2000m3/h，由管道风机，方形散流器，风管，防雨帽组成。</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8" w:hRule="atLeast"/>
        </w:trPr>
        <w:tc>
          <w:tcPr>
            <w:tcW w:w="5000" w:type="pct"/>
            <w:gridSpan w:val="8"/>
            <w:shd w:val="clear" w:color="auto" w:fill="auto"/>
            <w:vAlign w:val="center"/>
          </w:tcPr>
          <w:p>
            <w:pPr>
              <w:snapToGrid w:val="0"/>
              <w:spacing w:line="400" w:lineRule="exact"/>
              <w:ind w:firstLine="482"/>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(二)、洁净实验室环境配套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岩棉玻镁复合夹芯净化板(洁净室护墙/隔断)</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一、整体要求：墙面为净化白灰色岩棉玻镁复合夹芯彩钢板，规格1150mm×50mm，防火A级岩棉玻镁夹芯</w:t>
            </w:r>
            <w:r>
              <w:rPr>
                <w:rFonts w:hint="eastAsia" w:ascii="宋体" w:hAnsi="宋体" w:cs="宋体"/>
                <w:strike/>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不反卤玻镁)，双面PE聚脂涂层，含铝材配件及安装，安装高度2.8m。</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工艺：采用定制的内外圆弧铝合金型材，与净化板嵌合组装，实现无尘圆弧效果。</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二、板材技术参数：</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1.有效宽度：1150mm，厚度：50mm。</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2.填充复合芯材：不返卤硫酸镁、氧化镁和卤水三元为主要原料，以中碱性玻纤网作增强材料，以高密度防水、无味、无毒、不腐、不裂的玄武岩棉作填充芯材。</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3.安装结构：企口型拼接。</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要求：产品表面为高级聚酯树脂、氟碳树脂、高耐候树脂等烤漆彩钢板，金属面采用镀锌板，耐腐蚀、耐酸、耐爆裂、耐高温、耐老化性能优。产品芯材均是A级以上阻燃材料，燃烧时不会融化，也没有高温分解滴落物，材料环保无毒无污染，芯强度高、耐冲击、抗震性好。</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5.供货时安装前提供相同品牌同种产品由有资质的第三方检测机构出具的耐火性能合格检验报告，检验结果为耐火性能不少于120分钟。</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为了保证产品质量和售后服务质量，供货时需提供制造商出具的质量保证及售后服务承诺函原件。</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三、安装质量及安全要求：</w:t>
            </w:r>
          </w:p>
          <w:p>
            <w:pPr>
              <w:pStyle w:val="10"/>
              <w:rPr>
                <w:rFonts w:hAnsi="Times New Roman" w:cs="Times New Roman"/>
                <w:color w:val="000000" w:themeColor="text1"/>
                <w:szCs w:val="24"/>
                <w14:textFill>
                  <w14:solidFill>
                    <w14:schemeClr w14:val="tx1"/>
                  </w14:solidFill>
                </w14:textFill>
              </w:rPr>
            </w:pPr>
            <w:r>
              <w:rPr>
                <w:rFonts w:hint="eastAsia"/>
                <w:color w:val="000000" w:themeColor="text1"/>
                <w14:textFill>
                  <w14:solidFill>
                    <w14:schemeClr w14:val="tx1"/>
                  </w14:solidFill>
                </w14:textFill>
              </w:rPr>
              <w:t>1.本项目涉及洁净实验室的设计及安装，响应供应商需具备洁净室建造施工能力认证证书以及具有洁净室技术工程师。供应商需提供洁净室建造施工能力认证证书复印件以及洁净室技术工程师证书复印件以及</w:t>
            </w:r>
            <w:r>
              <w:rPr>
                <w:rFonts w:hint="eastAsia"/>
                <w:color w:val="000000" w:themeColor="text1"/>
                <w:kern w:val="0"/>
                <w14:textFill>
                  <w14:solidFill>
                    <w14:schemeClr w14:val="tx1"/>
                  </w14:solidFill>
                </w14:textFill>
              </w:rPr>
              <w:t>该人员在响应供应商公司的最近6个月中任一个月的社保证明文件或该</w:t>
            </w:r>
            <w:r>
              <w:rPr>
                <w:rFonts w:hint="eastAsia"/>
                <w:color w:val="000000" w:themeColor="text1"/>
                <w14:textFill>
                  <w14:solidFill>
                    <w14:schemeClr w14:val="tx1"/>
                  </w14:solidFill>
                </w14:textFill>
              </w:rPr>
              <w:t>人员的劳动合同或供应商为该人员发放工资的银行流水证明等</w:t>
            </w:r>
            <w:r>
              <w:rPr>
                <w:rFonts w:hint="eastAsia" w:hAnsi="Times New Roman" w:cs="Times New Roman"/>
                <w:color w:val="000000" w:themeColor="text1"/>
                <w:szCs w:val="24"/>
                <w14:textFill>
                  <w14:solidFill>
                    <w14:schemeClr w14:val="tx1"/>
                  </w14:solidFill>
                </w14:textFill>
              </w:rPr>
              <w:t>。</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2.本项涉及焊接作业，为了保证施工安全及施工质量，</w:t>
            </w:r>
            <w:bookmarkStart w:id="34" w:name="OLE_LINK4"/>
            <w:r>
              <w:rPr>
                <w:rFonts w:hint="eastAsia"/>
                <w:color w:val="000000" w:themeColor="text1"/>
                <w14:textFill>
                  <w14:solidFill>
                    <w14:schemeClr w14:val="tx1"/>
                  </w14:solidFill>
                </w14:textFill>
              </w:rPr>
              <w:t>供应商</w:t>
            </w:r>
            <w:bookmarkEnd w:id="34"/>
            <w:r>
              <w:rPr>
                <w:rFonts w:hint="eastAsia"/>
                <w:color w:val="000000" w:themeColor="text1"/>
                <w14:textFill>
                  <w14:solidFill>
                    <w14:schemeClr w14:val="tx1"/>
                  </w14:solidFill>
                </w14:textFill>
              </w:rPr>
              <w:t>需具备焊接作业资质的操作人员。提供“熔化焊接与热切割作业”的特种作业操作证，响应文件中提供人员资质证明文件以及</w:t>
            </w:r>
            <w:r>
              <w:rPr>
                <w:rFonts w:hint="eastAsia"/>
                <w:color w:val="000000" w:themeColor="text1"/>
                <w:kern w:val="0"/>
                <w14:textFill>
                  <w14:solidFill>
                    <w14:schemeClr w14:val="tx1"/>
                  </w14:solidFill>
                </w14:textFill>
              </w:rPr>
              <w:t>该人员在响应供应商公司的最近6个月中任一个月的社保证明文件或该</w:t>
            </w:r>
            <w:r>
              <w:rPr>
                <w:rFonts w:hint="eastAsia"/>
                <w:color w:val="000000" w:themeColor="text1"/>
                <w14:textFill>
                  <w14:solidFill>
                    <w14:schemeClr w14:val="tx1"/>
                  </w14:solidFill>
                </w14:textFill>
              </w:rPr>
              <w:t>人员的劳动合同或供应商为该人员发放工资的银行流水证明等</w:t>
            </w:r>
            <w:r>
              <w:rPr>
                <w:rFonts w:hint="eastAsia" w:hAnsi="Times New Roman" w:cs="Times New Roman"/>
                <w:color w:val="000000" w:themeColor="text1"/>
                <w:szCs w:val="24"/>
                <w14:textFill>
                  <w14:solidFill>
                    <w14:schemeClr w14:val="tx1"/>
                  </w14:solidFill>
                </w14:textFill>
              </w:rPr>
              <w:t>。</w:t>
            </w:r>
          </w:p>
          <w:p>
            <w:pPr>
              <w:pStyle w:val="10"/>
              <w:rPr>
                <w:color w:val="000000" w:themeColor="text1"/>
                <w14:textFill>
                  <w14:solidFill>
                    <w14:schemeClr w14:val="tx1"/>
                  </w14:solidFill>
                </w14:textFill>
              </w:rPr>
            </w:pPr>
            <w:r>
              <w:rPr>
                <w:rFonts w:hint="eastAsia" w:hAnsi="Times New Roman" w:cs="Times New Roman"/>
                <w:color w:val="000000" w:themeColor="text1"/>
                <w:szCs w:val="24"/>
                <w14:textFill>
                  <w14:solidFill>
                    <w14:schemeClr w14:val="tx1"/>
                  </w14:solidFill>
                </w14:textFill>
              </w:rPr>
              <w:t>▲3.</w:t>
            </w:r>
            <w:r>
              <w:rPr>
                <w:rFonts w:hint="eastAsia" w:ascii="Times New Roman" w:hAnsi="Times New Roman" w:cs="Times New Roman"/>
                <w:color w:val="000000" w:themeColor="text1"/>
                <w:szCs w:val="24"/>
                <w14:textFill>
                  <w14:solidFill>
                    <w14:schemeClr w14:val="tx1"/>
                  </w14:solidFill>
                </w14:textFill>
              </w:rPr>
              <w:t>结合(二)洁净实验室环境配套建筑业货物和(三)实验室配套设备，在响应文件中提供货物安装的平面设计布置图、立体图示和VR全景图(提供链接网址，可查看360°VR全景设计图</w:t>
            </w:r>
            <w:r>
              <w:rPr>
                <w:rFonts w:hint="eastAsia"/>
                <w:color w:val="000000" w:themeColor="text1"/>
                <w14:textFill>
                  <w14:solidFill>
                    <w14:schemeClr w14:val="tx1"/>
                  </w14:solidFill>
                </w14:textFill>
              </w:rPr>
              <w:t>，VR全景图需清晰展示核心区域布局、设备摆放位置及关键尺寸，无需复杂交互功能，可采用简易360°静态全景形式</w:t>
            </w:r>
            <w:r>
              <w:rPr>
                <w:rFonts w:hint="eastAsia" w:ascii="Times New Roman" w:hAnsi="Times New Roman" w:cs="Times New Roman"/>
                <w:color w:val="000000" w:themeColor="text1"/>
                <w:szCs w:val="24"/>
                <w14:textFill>
                  <w14:solidFill>
                    <w14:schemeClr w14:val="tx1"/>
                  </w14:solidFill>
                </w14:textFill>
              </w:rPr>
              <w:t>)，以及彩钢夹心板安装节点大样图。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岩棉玻镁复合夹芯净化板(走廊护墙)</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一、整体要求：墙面为净化白灰色岩棉玻镁复合夹芯彩钢板，规格1150mm×50mm，防火A级岩棉玻镁夹芯(不反卤玻镁)，双面PE聚脂涂层，含铝材配件及安装，安装高度3.15m。</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工艺：采用定制的内外圆弧铝合金型材，与净化板嵌合组装，实现无尘圆弧效果。</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二、板材技术参数：</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1.有效宽度：1150mm，厚度：50mm。</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2.填充复合芯材：不返卤硫酸镁、氧化镁和卤水三元为主要原料，以中碱性玻纤网作增强材料，以高密度防水、无味、无毒、不腐、不裂的玄武岩棉作填充芯材。</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3.安装结构：企口型拼接。</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要求：产品表面为高级聚酯树脂、氟碳树脂、高耐候树脂等烤漆彩钢板，金属面采用镀锌板，耐腐蚀、耐酸、耐爆裂、耐高温、耐老化性能优。产品芯材均是A级以上阻燃材料，燃烧时不会融化，也没有高温分解滴落物，材料环保无毒无污染，芯强度高、耐冲击、抗震性好。</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岩棉夹芯净化板(洁净室及走廊吊顶)</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300</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一、整体要求：墙面为净化白灰色岩棉夹芯彩钢板，规格1150mm×50mm，防火A级岩棉夹芯，双面PE聚脂涂层，含铝材配件及安装，洁净室安装高度2.8m，走廊安装高度3.15m。</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工艺：采用定制的内外圆弧铝合金型材，与净化板嵌合组装，实现无尘圆弧效果。</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二、板材技术参数：</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1.有效宽度：1150mm，厚度：50mm。</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2.填充芯材：岩棉、泡沫、挤塑、聚氨酯、纸蜂窝。</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3.安装结构：企口型拼接。</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4.要求：产品表面为高级聚酯烤漆彩钢板，并可采用镀锌板、不锈钢板，故耐腐蚀性特好。</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360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不锈钢岩棉玻镁复合夹芯净化板(楼顶机房隔断)</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75</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一、整体要求：机房规格长10000mm×宽5000mm×高2500mm,墙面为净化岩棉玻镁复合夹芯双面不锈钢彩钢板，规格1150mm×50mm，防火A级岩棉玻镁夹芯(不反卤玻镁)，含铝材配件及安装。</w:t>
            </w:r>
          </w:p>
          <w:p>
            <w:pPr>
              <w:tabs>
                <w:tab w:val="left" w:pos="420"/>
              </w:tabs>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工艺：采用定制的内外圆弧铝合金型材，与净化板嵌合组装，实现无尘圆弧效果。</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二、板材技术参数：</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1.双面不锈钢彩钢板，有效宽度：1150mm，厚度：50mm。</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2.填充复合芯材：不返卤硫酸镁、氧化镁和卤水三元为主要原料，以中碱性玻纤网作增强材料，以高密度防水、无味、无毒、不腐、不裂的玄武岩棉作填充芯材。</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3.安装结构：企口型拼接。</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560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铝合金雨棚瓦(楼顶机房封顶)</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房顶瓦，5600mm×10600mm，铝合金材质，</w:t>
            </w:r>
            <w:r>
              <w:rPr>
                <w:rFonts w:hint="eastAsia" w:ascii="宋体"/>
                <w:color w:val="000000" w:themeColor="text1"/>
                <w14:textFill>
                  <w14:solidFill>
                    <w14:schemeClr w14:val="tx1"/>
                  </w14:solidFill>
                </w14:textFill>
              </w:rPr>
              <w:t>环保加宽隔热，夹芯厚度50mm,聚酯胺填充</w:t>
            </w:r>
            <w:r>
              <w:rPr>
                <w:rFonts w:hint="eastAsia" w:ascii="宋体" w:hAnsi="宋体" w:cs="宋体"/>
                <w:color w:val="000000" w:themeColor="text1"/>
                <w:szCs w:val="21"/>
                <w14:textFill>
                  <w14:solidFill>
                    <w14:schemeClr w14:val="tx1"/>
                  </w14:solidFill>
                </w14:textFill>
              </w:rPr>
              <w:t>。在</w:t>
            </w:r>
            <w:r>
              <w:rPr>
                <w:rFonts w:hint="eastAsia"/>
                <w:color w:val="000000" w:themeColor="text1"/>
                <w14:textFill>
                  <w14:solidFill>
                    <w14:schemeClr w14:val="tx1"/>
                  </w14:solidFill>
                </w14:textFill>
              </w:rPr>
              <w:t>响应文件提供效果图。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280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机制双门(带观察窗)</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樘</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1、1800mm×2400mm，双门，双层中空观察窗，配单锁，灰白色。</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2、门框：采用铝合金型材，平滑过渡设计，防撞伤，易清洁；</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3、面板：彩涂板，抗撞，耐磨，抗菌；</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4、门扇芯材：彩用铝蜂窝，其中心为铝质六边形，蜂窝无可燃物质，阻燃，防水、防潮，无有害气体释放。</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5、观察窗：采用双层钢化玻璃，窗框和门扇一体复合，不易脱落，无死角，防结雾。</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6、门锁：防撞防夹，执手可用手肘开门。</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7、升降扫地条：采用特有双弹片设计，下沉顺畅，力度平均，静音，气密性好。</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8、合页：长时间使用不会产生金属粉末，静音，耐磨，易清洁，牢固美观。</w:t>
            </w:r>
          </w:p>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9、在</w:t>
            </w:r>
            <w:r>
              <w:rPr>
                <w:rFonts w:hint="eastAsia"/>
                <w:color w:val="000000" w:themeColor="text1"/>
                <w14:textFill>
                  <w14:solidFill>
                    <w14:schemeClr w14:val="tx1"/>
                  </w14:solidFill>
                </w14:textFill>
              </w:rPr>
              <w:t>响应文件提供产品图片或彩页。</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机制双门(带观察窗)</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樘</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1、1500mm×2400mm，双门，双层中空观察窗，配单锁，灰白色。</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2、门框：采用铝合金型材，平滑过渡设计，防撞伤，易清洁；</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3、面板：彩涂板，抗撞，耐磨，抗菌；</w:t>
            </w:r>
          </w:p>
          <w:p>
            <w:pPr>
              <w:tabs>
                <w:tab w:val="left" w:pos="42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4、门扇芯材：彩用铝蜂窝，其中心为铝质六边形，蜂窝无可燃物质，阻燃，防水、防潮，无有害气体释放。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钢化玻璃电动门及门禁</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樘</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1800mm×2400mm，双开门，钢化玻璃电动门，门框色:氧化银白,玻璃材质:5mm双层中空钢化玻璃,扫地条:升降扫地条,合页:铝合页,门锁:30cm不锈钢拉手,平开门电机:平开门电机2个；带人脸扫描、指纹、卡片一体门禁，包含墙体拆改。在</w:t>
            </w:r>
            <w:r>
              <w:rPr>
                <w:rFonts w:hint="eastAsia"/>
                <w:color w:val="000000" w:themeColor="text1"/>
                <w14:textFill>
                  <w14:solidFill>
                    <w14:schemeClr w14:val="tx1"/>
                  </w14:solidFill>
                </w14:textFill>
              </w:rPr>
              <w:t>响应文件提供产品图片或彩页。</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机制双门(带观察窗)</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樘</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1200mm×2400mm，双门，双层中空观察窗，配单锁，灰白色。</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机制双门(带观察窗)</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樘</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1500mm×2400mm，双门，双层中空观察窗，配单锁，灰白色。</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机制双门(带观察窗)</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樘</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1、1000mm×2400mm，单门，双层中空观察窗，配单锁，灰白色。</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2、门框：采用铝合金型材，平滑过渡设计，防撞伤，易清洁；</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3、面板：彩涂板，抗撞，耐磨，抗菌；</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4、门扇芯材：彩用铝蜂窝，其中心为铝质六边形，蜂蜜无可燃物质，阻燃，防水、防潮，无有害气体释放。</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5、观察窗：采用双层钢化玻璃，窗框和门扇一体复合，不易脱落，无死角，防结雾。</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6、门锁：防撞防夹，执手可用手肘开门。</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7、升降扫地条：采用特有双弹片设计，下沉顺畅，力度平均，静音，气密性好。</w:t>
            </w:r>
          </w:p>
          <w:p>
            <w:pPr>
              <w:tabs>
                <w:tab w:val="left" w:pos="42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8、合页：长时间使用不会产生金属粉末，静音，耐磨，易清洁，牢固美观。</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3500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机制双门(带观察窗)</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樘</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1、1800mm×2400mm，双门，双层中空观察窗，配单锁，灰白色。</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2、门框：采用铝合金型材，平滑过渡设计，防撞伤，易清洁；</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3、面板：彩涂板，抗撞，耐磨，抗菌；</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4、门扇芯材：彩用铝蜂窝，其中心为铝质六边形，蜂蜜无可燃物质，阻燃，防水、防潮，无有害气体释放。</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5、观察窗：采用双层钢化玻璃，窗框和门扇一体复合，不易脱落，无死角，防结雾。</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6、门锁：防撞防夹，执手可用手肘开门。</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7、升降扫地条：采用特有双弹片设计，下沉顺畅，力度平均，静音，气密性好。</w:t>
            </w:r>
          </w:p>
          <w:p>
            <w:pPr>
              <w:tabs>
                <w:tab w:val="left" w:pos="42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8、合页：长时间使用不会产生金属粉末，静音，耐磨，易清洁，牢固美观。</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机制双门(带观察窗)</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樘</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1、900mm×2100mm，单门，双层中空观察窗，配单锁，灰白色。</w:t>
            </w:r>
          </w:p>
          <w:p>
            <w:pPr>
              <w:tabs>
                <w:tab w:val="left" w:pos="42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s="宋体"/>
                <w:color w:val="000000" w:themeColor="text1"/>
                <w:szCs w:val="21"/>
                <w14:textFill>
                  <w14:solidFill>
                    <w14:schemeClr w14:val="tx1"/>
                  </w14:solidFill>
                </w14:textFill>
              </w:rPr>
              <w:t>供货时安装前提供相同品牌同种产品具有CNAS或CMA标志的第三方合格检验报告，依据标准为</w:t>
            </w:r>
            <w:r>
              <w:rPr>
                <w:rFonts w:hint="eastAsia" w:ascii="宋体" w:hAnsi="宋体"/>
                <w:color w:val="000000" w:themeColor="text1"/>
                <w:sz w:val="22"/>
                <w14:textFill>
                  <w14:solidFill>
                    <w14:schemeClr w14:val="tx1"/>
                  </w14:solidFill>
                </w14:textFill>
              </w:rPr>
              <w:t>：GB/T 20909-2017《钢门窗》。</w:t>
            </w:r>
            <w:r>
              <w:rPr>
                <w:rFonts w:hint="eastAsia"/>
                <w:color w:val="000000" w:themeColor="text1"/>
                <w14:textFill>
                  <w14:solidFill>
                    <w14:schemeClr w14:val="tx1"/>
                  </w14:solidFill>
                </w14:textFill>
              </w:rPr>
              <w:t>所检项目全部符合要求。</w:t>
            </w:r>
          </w:p>
          <w:p>
            <w:pPr>
              <w:tabs>
                <w:tab w:val="left" w:pos="42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s="宋体"/>
                <w:color w:val="000000" w:themeColor="text1"/>
                <w:szCs w:val="21"/>
                <w14:textFill>
                  <w14:solidFill>
                    <w14:schemeClr w14:val="tx1"/>
                  </w14:solidFill>
                </w14:textFill>
              </w:rPr>
              <w:t>供货时安装前提供相同品牌同种产品具有CNAS或CMA标志的第三方耐火完整性、耐火隔热性检验报告。</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机制双门(带观察窗)</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樘</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800mm×2200mm，单门，双层中空观察窗，配单锁，灰白色。</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双层中空钢化玻璃窗</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1500mm×1200mm，彩钢板筐架，铝合金窗材，双层中空钢化玻璃。</w:t>
            </w:r>
            <w:r>
              <w:rPr>
                <w:rFonts w:hint="eastAsia"/>
                <w:color w:val="000000" w:themeColor="text1"/>
                <w14:textFill>
                  <w14:solidFill>
                    <w14:schemeClr w14:val="tx1"/>
                  </w14:solidFill>
                </w14:textFill>
              </w:rPr>
              <w:t>观察窗内填充氮气，玻璃经特殊工工艺处理，干净无菌斑，温差不起雾。在响应文件提供产品图片或彩页。</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双层中空钢化玻璃窗</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1650mm×1200mm，彩钢板筐架，铝合金窗材，双层中空钢化玻璃。</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1.观察窗内填充氮气，玻璃经特殊工工艺处理，干净无菌斑，温差不起雾。</w:t>
            </w:r>
          </w:p>
          <w:p>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s="宋体"/>
                <w:color w:val="000000" w:themeColor="text1"/>
                <w:szCs w:val="21"/>
                <w14:textFill>
                  <w14:solidFill>
                    <w14:schemeClr w14:val="tx1"/>
                  </w14:solidFill>
                </w14:textFill>
              </w:rPr>
              <w:t>供货时安装前提供相同品牌同种产品具有CNAS或CMA标志的第三方合格检验报告，检测依据为：</w:t>
            </w:r>
            <w:r>
              <w:rPr>
                <w:rFonts w:hint="eastAsia" w:ascii="宋体" w:hAnsi="宋体"/>
                <w:color w:val="000000" w:themeColor="text1"/>
                <w:sz w:val="22"/>
                <w14:textFill>
                  <w14:solidFill>
                    <w14:schemeClr w14:val="tx1"/>
                  </w14:solidFill>
                </w14:textFill>
              </w:rPr>
              <w:t xml:space="preserve">GB/T 7106-2019《建筑外门窗气密、水密、抗风压性能检测方法》 </w:t>
            </w:r>
            <w:r>
              <w:rPr>
                <w:rFonts w:hint="eastAsia" w:cs="宋体"/>
                <w:color w:val="000000" w:themeColor="text1"/>
                <w:szCs w:val="21"/>
                <w14:textFill>
                  <w14:solidFill>
                    <w14:schemeClr w14:val="tx1"/>
                  </w14:solidFill>
                </w14:textFill>
              </w:rPr>
              <w:t>。</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2500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双层中空钢化玻璃窗</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2500mm×1200mm，彩钢板筐架，铝合金窗材，双层中空钢化玻璃。</w:t>
            </w:r>
            <w:r>
              <w:rPr>
                <w:rFonts w:hint="eastAsia"/>
                <w:color w:val="000000" w:themeColor="text1"/>
                <w14:textFill>
                  <w14:solidFill>
                    <w14:schemeClr w14:val="tx1"/>
                  </w14:solidFill>
                </w14:textFill>
              </w:rPr>
              <w:t>观察窗内填充氮气，玻璃经特殊工工艺处理，干净无菌斑，温差不起雾。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3500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推拉玻璃窗(机房)</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1500mm×1200mm，彩钢板筐架，铝合金窗材，单层钢化玻璃。</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自动感应风淋室</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1500mm×1500×2180mm，304材质，双人，双门，带语音功能。</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28000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传递窗</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312"/>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1.规格尺寸：600mm×600mm×600mm；</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2.304#国标0.8mm拉砂板，机械互锁传递窗；</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3.内嵌门结构，胶条密封玻璃门，单层黑边钢化玻璃配件；</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4.配传递窗专用插销门铰、传递窗专用拉手，船型开关，紫外杀菌灯，三相电缆插头；</w:t>
            </w:r>
          </w:p>
          <w:p>
            <w:pPr>
              <w:tabs>
                <w:tab w:val="left" w:pos="312"/>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5.产品经焊接、打磨抛光处理，无毛刺不刮手，整体美观大方，实用性强；</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防静电PVC洁净地胶(洁净室)</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180</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1.同质透心，导静电地胶2.0mm卷材；导静电铜箔接地；地面水泥自流平工艺。</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2.产品需符合以下参数性能，供货时提供产品的由有资质的第三方出具的合格检测报告复印件（提供检测报告有效）：</w:t>
            </w:r>
          </w:p>
          <w:p>
            <w:pPr>
              <w:pStyle w:val="10"/>
              <w:ind w:firstLine="380"/>
              <w:rPr>
                <w:color w:val="000000" w:themeColor="text1"/>
                <w14:textFill>
                  <w14:solidFill>
                    <w14:schemeClr w14:val="tx1"/>
                  </w14:solidFill>
                </w14:textFill>
              </w:rPr>
            </w:pPr>
            <w:r>
              <w:rPr>
                <w:rFonts w:ascii="Arial" w:hAnsi="Arial" w:cs="Arial"/>
                <w:color w:val="000000" w:themeColor="text1"/>
                <w:sz w:val="19"/>
                <w:szCs w:val="19"/>
                <w:shd w:val="clear" w:color="auto" w:fill="FFFFFF"/>
                <w14:textFill>
                  <w14:solidFill>
                    <w14:schemeClr w14:val="tx1"/>
                  </w14:solidFill>
                </w14:textFill>
              </w:rPr>
              <w:t>▲</w:t>
            </w:r>
            <w:r>
              <w:rPr>
                <w:rFonts w:hint="eastAsia"/>
                <w:color w:val="000000" w:themeColor="text1"/>
                <w14:textFill>
                  <w14:solidFill>
                    <w14:schemeClr w14:val="tx1"/>
                  </w14:solidFill>
                </w14:textFill>
              </w:rPr>
              <w:t>2.1表面静电电压：依据SJ/T10694-2022《电子产品制造与应用系统防静电测试方法》标准进行测试，测试结果绝对值</w:t>
            </w:r>
            <w:r>
              <w:rPr>
                <w:rFonts w:ascii="Arial" w:hAnsi="Arial" w:cs="Arial"/>
                <w:color w:val="000000" w:themeColor="text1"/>
                <w:shd w:val="clear" w:color="auto" w:fill="FFFFFF"/>
                <w14:textFill>
                  <w14:solidFill>
                    <w14:schemeClr w14:val="tx1"/>
                  </w14:solidFill>
                </w14:textFill>
              </w:rPr>
              <w:t>≤</w:t>
            </w:r>
            <w:r>
              <w:rPr>
                <w:rFonts w:hint="eastAsia"/>
                <w:color w:val="000000" w:themeColor="text1"/>
                <w14:textFill>
                  <w14:solidFill>
                    <w14:schemeClr w14:val="tx1"/>
                  </w14:solidFill>
                </w14:textFill>
              </w:rPr>
              <w:t>30V,符合标准要求。</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2.2静电衰减时间≤2s。</w:t>
            </w:r>
          </w:p>
          <w:p>
            <w:pPr>
              <w:tabs>
                <w:tab w:val="left" w:pos="420"/>
              </w:tabs>
              <w:ind w:firstLine="380"/>
              <w:rPr>
                <w:rFonts w:ascii="宋体" w:hAnsi="宋体" w:cs="宋体"/>
                <w:color w:val="000000" w:themeColor="text1"/>
                <w:szCs w:val="21"/>
                <w14:textFill>
                  <w14:solidFill>
                    <w14:schemeClr w14:val="tx1"/>
                  </w14:solidFill>
                </w14:textFill>
              </w:rPr>
            </w:pPr>
            <w:r>
              <w:rPr>
                <w:rFonts w:ascii="Arial" w:hAnsi="Arial" w:cs="Arial"/>
                <w:color w:val="000000" w:themeColor="text1"/>
                <w:sz w:val="19"/>
                <w:szCs w:val="19"/>
                <w:shd w:val="clear" w:color="auto" w:fill="FFFFFF"/>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3.品牌产品，具有防伪识别处理，具有防伪码（供货时提供防伪码图案</w:t>
            </w:r>
            <w:r>
              <w:rPr>
                <w:rFonts w:hint="eastAsia"/>
                <w:color w:val="000000" w:themeColor="text1"/>
                <w14:textFill>
                  <w14:solidFill>
                    <w14:schemeClr w14:val="tx1"/>
                  </w14:solidFill>
                </w14:textFill>
              </w:rPr>
              <w:t>，否则采购人将拒收产品。需在响应文件中提供供应商的承诺函</w:t>
            </w:r>
            <w:r>
              <w:rPr>
                <w:rFonts w:hint="eastAsia" w:ascii="宋体" w:hAnsi="宋体" w:cs="宋体"/>
                <w:color w:val="000000" w:themeColor="text1"/>
                <w:szCs w:val="21"/>
                <w14:textFill>
                  <w14:solidFill>
                    <w14:schemeClr w14:val="tx1"/>
                  </w14:solidFill>
                </w14:textFill>
              </w:rPr>
              <w:t>）。</w:t>
            </w:r>
          </w:p>
          <w:p>
            <w:pPr>
              <w:tabs>
                <w:tab w:val="left" w:pos="420"/>
              </w:tabs>
              <w:rPr>
                <w:color w:val="000000" w:themeColor="text1"/>
                <w14:textFill>
                  <w14:solidFill>
                    <w14:schemeClr w14:val="tx1"/>
                  </w14:solidFill>
                </w14:textFill>
              </w:rPr>
            </w:pPr>
            <w:r>
              <w:rPr>
                <w:rFonts w:hint="eastAsia"/>
                <w:color w:val="000000" w:themeColor="text1"/>
                <w14:textFill>
                  <w14:solidFill>
                    <w14:schemeClr w14:val="tx1"/>
                  </w14:solidFill>
                </w14:textFill>
              </w:rPr>
              <w:t>4.工艺：采用定制的内外圆弧铝合金型材，与净化板嵌合组装，实现无尘圆弧效果。</w:t>
            </w:r>
          </w:p>
          <w:p>
            <w:pPr>
              <w:pStyle w:val="20"/>
              <w:ind w:firstLine="380"/>
              <w:rPr>
                <w:color w:val="000000" w:themeColor="text1"/>
                <w14:textFill>
                  <w14:solidFill>
                    <w14:schemeClr w14:val="tx1"/>
                  </w14:solidFill>
                </w14:textFill>
              </w:rPr>
            </w:pPr>
            <w:r>
              <w:rPr>
                <w:rFonts w:ascii="Arial" w:hAnsi="Arial" w:cs="Arial"/>
                <w:color w:val="000000" w:themeColor="text1"/>
                <w:sz w:val="19"/>
                <w:szCs w:val="19"/>
                <w:shd w:val="clear" w:color="auto" w:fill="FFFFFF"/>
                <w14:textFill>
                  <w14:solidFill>
                    <w14:schemeClr w14:val="tx1"/>
                  </w14:solidFill>
                </w14:textFill>
              </w:rPr>
              <w:t>▲</w:t>
            </w:r>
            <w:r>
              <w:rPr>
                <w:rFonts w:hint="eastAsia"/>
                <w:color w:val="000000" w:themeColor="text1"/>
                <w14:textFill>
                  <w14:solidFill>
                    <w14:schemeClr w14:val="tx1"/>
                  </w14:solidFill>
                </w14:textFill>
              </w:rPr>
              <w:t>5.提供具体的铺贴工艺步骤流程方案，并附图示。</w:t>
            </w:r>
          </w:p>
          <w:p>
            <w:pPr>
              <w:pStyle w:val="10"/>
              <w:ind w:firstLine="380"/>
              <w:rPr>
                <w:color w:val="000000" w:themeColor="text1"/>
                <w14:textFill>
                  <w14:solidFill>
                    <w14:schemeClr w14:val="tx1"/>
                  </w14:solidFill>
                </w14:textFill>
              </w:rPr>
            </w:pPr>
            <w:r>
              <w:rPr>
                <w:rFonts w:ascii="Arial" w:hAnsi="Arial" w:cs="Arial"/>
                <w:color w:val="000000" w:themeColor="text1"/>
                <w:sz w:val="19"/>
                <w:szCs w:val="19"/>
                <w:shd w:val="clear" w:color="auto" w:fill="FFFFFF"/>
                <w14:textFill>
                  <w14:solidFill>
                    <w14:schemeClr w14:val="tx1"/>
                  </w14:solidFill>
                </w14:textFill>
              </w:rPr>
              <w:t>▲</w:t>
            </w:r>
            <w:r>
              <w:rPr>
                <w:rFonts w:hint="eastAsia"/>
                <w:color w:val="000000" w:themeColor="text1"/>
                <w14:textFill>
                  <w14:solidFill>
                    <w14:schemeClr w14:val="tx1"/>
                  </w14:solidFill>
                </w14:textFill>
              </w:rPr>
              <w:t>6.在响应文件中提供产品彩页。彩页资料需包括产品可选的色系，可选颜色需包含蓝色系、米色系在内的共不少于10种。</w:t>
            </w:r>
          </w:p>
          <w:p>
            <w:pPr>
              <w:pStyle w:val="10"/>
              <w:ind w:firstLine="380"/>
              <w:rPr>
                <w:color w:val="000000" w:themeColor="text1"/>
                <w14:textFill>
                  <w14:solidFill>
                    <w14:schemeClr w14:val="tx1"/>
                  </w14:solidFill>
                </w14:textFill>
              </w:rPr>
            </w:pPr>
            <w:r>
              <w:rPr>
                <w:rFonts w:ascii="Arial" w:hAnsi="Arial" w:cs="Arial"/>
                <w:color w:val="000000" w:themeColor="text1"/>
                <w:sz w:val="19"/>
                <w:szCs w:val="19"/>
                <w:shd w:val="clear" w:color="auto" w:fill="FFFFFF"/>
                <w14:textFill>
                  <w14:solidFill>
                    <w14:schemeClr w14:val="tx1"/>
                  </w14:solidFill>
                </w14:textFill>
              </w:rPr>
              <w:t>▲</w:t>
            </w:r>
            <w:r>
              <w:rPr>
                <w:rFonts w:hint="eastAsia"/>
                <w:color w:val="000000" w:themeColor="text1"/>
                <w14:textFill>
                  <w14:solidFill>
                    <w14:schemeClr w14:val="tx1"/>
                  </w14:solidFill>
                </w14:textFill>
              </w:rPr>
              <w:t>7.合同签订前供应商需提供产品实物样品册，采购人确定颜色后，在合同中注明产品颜色。（需在响应文件中提供供应商承诺函）</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260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PVC洁净地胶(走廊)</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tabs>
                <w:tab w:val="left" w:pos="312"/>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1.卷材，厚度2.0mm。</w:t>
            </w:r>
            <w:r>
              <w:rPr>
                <w:rFonts w:hint="eastAsia" w:ascii="宋体" w:hAnsi="宋体" w:cs="宋体"/>
                <w:color w:val="000000" w:themeColor="text1"/>
                <w:szCs w:val="21"/>
                <w14:textFill>
                  <w14:solidFill>
                    <w14:schemeClr w14:val="tx1"/>
                  </w14:solidFill>
                </w14:textFill>
              </w:rPr>
              <w:br w:type="textWrapping"/>
            </w:r>
            <w:r>
              <w:rPr>
                <w:rFonts w:ascii="Arial" w:hAnsi="Arial" w:cs="Arial"/>
                <w:color w:val="000000" w:themeColor="text1"/>
                <w:sz w:val="19"/>
                <w:szCs w:val="19"/>
                <w:shd w:val="clear" w:color="auto" w:fill="FFFFFF"/>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2.品牌产品，具有防伪识别处理，具有防伪码（供货时产品上必须有防伪码图案，</w:t>
            </w:r>
            <w:r>
              <w:rPr>
                <w:rFonts w:hint="eastAsia"/>
                <w:color w:val="000000" w:themeColor="text1"/>
                <w14:textFill>
                  <w14:solidFill>
                    <w14:schemeClr w14:val="tx1"/>
                  </w14:solidFill>
                </w14:textFill>
              </w:rPr>
              <w:t>否则采购人将拒收产品。需在响应文件中提供供应商的承诺函</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3.基本性能：产品需符合以下参数性能，供货时提供产品由有资质的的第三方出具的合格检测报告复印件（提供检测报告有效）：</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3.1抗污性和耐化学性能检测：用硝酸（70%）、过氧化氢（30%）、盐酸、丙酮等15种化学试剂进行测试，测试结果指数为0（无影响）；</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3.2放射性成分检测：采用ICP-MS对铯、锶、铀、钍四种放射性元素进行检测，结果为ND(未检出）；</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3.3防火性能检测：燃烧性能符合等级为B</w:t>
            </w:r>
            <w:r>
              <w:rPr>
                <w:rFonts w:hint="eastAsia" w:ascii="宋体" w:hAnsi="宋体" w:cs="宋体"/>
                <w:color w:val="000000" w:themeColor="text1"/>
                <w:szCs w:val="21"/>
                <w:vertAlign w:val="subscript"/>
                <w14:textFill>
                  <w14:solidFill>
                    <w14:schemeClr w14:val="tx1"/>
                  </w14:solidFill>
                </w14:textFill>
              </w:rPr>
              <w:t>fl</w:t>
            </w:r>
            <w:r>
              <w:rPr>
                <w:rFonts w:hint="eastAsia" w:ascii="宋体" w:hAnsi="宋体" w:cs="宋体"/>
                <w:color w:val="000000" w:themeColor="text1"/>
                <w:szCs w:val="21"/>
                <w14:textFill>
                  <w14:solidFill>
                    <w14:schemeClr w14:val="tx1"/>
                  </w14:solidFill>
                </w14:textFill>
              </w:rPr>
              <w:t>-S1级；</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3.4放射性核素检测：内照射指数、外照射指数测试结果&lt;0.1；</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3.5增塑剂要求：对</w:t>
            </w:r>
            <w:r>
              <w:rPr>
                <w:rFonts w:ascii="Arial" w:hAnsi="Arial" w:cs="Arial"/>
                <w:color w:val="000000" w:themeColor="text1"/>
                <w:szCs w:val="21"/>
                <w:shd w:val="clear" w:color="auto" w:fill="FFFFFF"/>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39种邻苯二甲酸盐（或酯）进行检测，检测结果均为ND（未检出）；</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3.6高关注物质检测：对</w:t>
            </w:r>
            <w:r>
              <w:rPr>
                <w:rFonts w:ascii="Arial" w:hAnsi="Arial" w:cs="Arial"/>
                <w:color w:val="000000" w:themeColor="text1"/>
                <w:szCs w:val="21"/>
                <w:shd w:val="clear" w:color="auto" w:fill="FFFFFF"/>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200项高关注物质进行检测，检测结果均为ND（未检出）；</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3.7抗菌效果实验：对白色念珠菌、大肠杆菌、肺炎克雷伯氏菌、耐甲氧西林金黄色葡萄球菌、金黄色葡萄球菌、乙型溶血性链球菌抗菌效果均&gt;99%；</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3.8.具有动摩擦、耐光照色牢度、抗静电性能、防滑性能检测报告；</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4.具有中国环境标志（II型）产品认证证书；</w:t>
            </w:r>
          </w:p>
          <w:p>
            <w:pPr>
              <w:pStyle w:val="10"/>
              <w:ind w:firstLine="380"/>
              <w:rPr>
                <w:color w:val="000000" w:themeColor="text1"/>
                <w14:textFill>
                  <w14:solidFill>
                    <w14:schemeClr w14:val="tx1"/>
                  </w14:solidFill>
                </w14:textFill>
              </w:rPr>
            </w:pPr>
            <w:r>
              <w:rPr>
                <w:rFonts w:ascii="Arial" w:hAnsi="Arial" w:cs="Arial"/>
                <w:color w:val="000000" w:themeColor="text1"/>
                <w:sz w:val="19"/>
                <w:szCs w:val="19"/>
                <w:shd w:val="clear" w:color="auto" w:fill="FFFFFF"/>
                <w14:textFill>
                  <w14:solidFill>
                    <w14:schemeClr w14:val="tx1"/>
                  </w14:solidFill>
                </w14:textFill>
              </w:rPr>
              <w:t>▲</w:t>
            </w:r>
            <w:r>
              <w:rPr>
                <w:rFonts w:hint="eastAsia"/>
                <w:color w:val="000000" w:themeColor="text1"/>
                <w14:textFill>
                  <w14:solidFill>
                    <w14:schemeClr w14:val="tx1"/>
                  </w14:solidFill>
                </w14:textFill>
              </w:rPr>
              <w:t>5.在响应文件中提供产品彩页。彩页资料需包括产品可选的色系，可选颜色需包含蓝色系、米色系在内的共不少于10种。</w:t>
            </w:r>
          </w:p>
          <w:p>
            <w:pPr>
              <w:pStyle w:val="10"/>
              <w:ind w:firstLine="380"/>
              <w:rPr>
                <w:color w:val="000000" w:themeColor="text1"/>
                <w14:textFill>
                  <w14:solidFill>
                    <w14:schemeClr w14:val="tx1"/>
                  </w14:solidFill>
                </w14:textFill>
              </w:rPr>
            </w:pPr>
            <w:r>
              <w:rPr>
                <w:rFonts w:ascii="Arial" w:hAnsi="Arial" w:cs="Arial"/>
                <w:color w:val="000000" w:themeColor="text1"/>
                <w:sz w:val="19"/>
                <w:szCs w:val="19"/>
                <w:shd w:val="clear" w:color="auto" w:fill="FFFFFF"/>
                <w14:textFill>
                  <w14:solidFill>
                    <w14:schemeClr w14:val="tx1"/>
                  </w14:solidFill>
                </w14:textFill>
              </w:rPr>
              <w:t>▲</w:t>
            </w:r>
            <w:r>
              <w:rPr>
                <w:rFonts w:hint="eastAsia"/>
                <w:color w:val="000000" w:themeColor="text1"/>
                <w14:textFill>
                  <w14:solidFill>
                    <w14:schemeClr w14:val="tx1"/>
                  </w14:solidFill>
                </w14:textFill>
              </w:rPr>
              <w:t>6.合同签订前供应商需提供产品实物样品册，采购人确定颜色后，在合同中注明产品颜色。需在响应文件中提供供应商承诺函。</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防静电导片</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1.镀锌板静电电导片，配固定基座。</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2.提供防静电接地的技术方案。</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snapToGrid w:val="0"/>
              <w:spacing w:line="400" w:lineRule="exact"/>
              <w:ind w:firstLine="482"/>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(三)、实验室配套设备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气浮隔振光学平台</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2628" w:type="pct"/>
            <w:shd w:val="clear" w:color="auto" w:fill="auto"/>
            <w:vAlign w:val="center"/>
          </w:tcPr>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整体尺寸：2000mm×1500mm×800mm；</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2.固有频率：垂直方向：1.5-2.5Hz；水平方向：1-1.5Hz。</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3.隔振效率：</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3.1垂直方向：5Hz时：75-92%；10Hz时：90%-95%。</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3.2水平方向：5Hz时：88-94%；10Hz时：92%-98%。</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▲4.台面厚度：200mm；</w:t>
            </w:r>
            <w:r>
              <w:rPr>
                <w:color w:val="000000" w:themeColor="text1"/>
                <w14:textFill>
                  <w14:solidFill>
                    <w14:schemeClr w14:val="tx1"/>
                  </w14:solidFill>
                </w14:textFill>
              </w:rPr>
              <w:t>重复定位精度：±0.5mm。</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5.台面板材料：SUS430高导磁不锈钢厚6mm；</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6.台面表面平整度：0.02～0.05mm/600mm×600mm；</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7.台面内部结构：三层夹心式蜂窝结构；</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8.台面周身包围颜色及材料：蓝色PU皮革；</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9.支架结构：整体式焊接支架+三线摆隔振系统+对角线水平仪；</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10.气泵类型：无油、静音、便携式气泵；</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▲11.隔振机构：三线摆隔振系统；</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12.有脚轮；</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13.配件：专用扳手和水平仪；</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▲14.额外功能：带有ESD静电反馈装置；ESD装置需与光学平台同一品牌，防静电工作区接地系统进行实时监测，响应时间不大于20ms，腕带最长长度1.5米（需在响应文件中提供ESD产品图片及技术说明文件）。</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15.整体总重量：约530KG。</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▲16.响应文件中需最少提供以下其中一项的产品资料：制造商盖章确认的技术参数文件、制造商公开发表的参数彩页、产品说明书、产品使用操作手册、官方网页截图。</w:t>
            </w:r>
          </w:p>
          <w:p>
            <w:pPr>
              <w:pStyle w:val="10"/>
              <w:numPr>
                <w:ilvl w:val="0"/>
                <w:numId w:val="3"/>
              </w:numPr>
              <w:rPr>
                <w:color w:val="000000" w:themeColor="text1"/>
                <w14:textFill>
                  <w14:solidFill>
                    <w14:schemeClr w14:val="tx1"/>
                  </w14:solidFill>
                </w14:textFill>
              </w:rPr>
            </w:pPr>
            <w:r>
              <w:rPr>
                <w:rFonts w:hint="eastAsia"/>
                <w:color w:val="000000" w:themeColor="text1"/>
                <w14:textFill>
                  <w14:solidFill>
                    <w14:schemeClr w14:val="tx1"/>
                  </w14:solidFill>
                </w14:textFill>
              </w:rPr>
              <w:t>为了保证产品质量和售后服务质量，供货时需提供制造商出具的产品质量保证及售后服务承诺函原件。</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18.供货时提供第三方出具的相同品牌同种产品的合格“试验报告”。</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48800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bookmarkStart w:id="35" w:name="OLE_LINK1"/>
            <w:r>
              <w:rPr>
                <w:rFonts w:hint="eastAsia" w:ascii="宋体" w:hAnsi="宋体" w:cs="宋体"/>
                <w:color w:val="000000" w:themeColor="text1"/>
                <w:szCs w:val="21"/>
                <w14:textFill>
                  <w14:solidFill>
                    <w14:schemeClr w14:val="tx1"/>
                  </w14:solidFill>
                </w14:textFill>
              </w:rPr>
              <w:t>洁净工作台</w:t>
            </w:r>
            <w:bookmarkEnd w:id="35"/>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一、产品要求</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1.LED液晶面板控制系统，工作风速始终处于理想状态。</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2.采用薄款铝框无隔板过滤器，将静压箱尺寸尽量缩小，减少箱体外壳尺寸，增大洁净区面积。</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3.工作区采用优质不锈钢；柜体两侧为透明钢化玻璃，前端不带准闭合式玻璃风门。</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二、技术参数</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1.适用人数：双人单面</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2.外形尺寸（mm）：约1750×720×1430</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3.工作区尺寸（mm）：不小于1710×480×600</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4.净化效率：100级</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5.重量（kg）：约130</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6.平均风速（m/s）：0.3~0.6（可调）</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7.平均菌落数：≤0.5个/皿·时（φ90mm培养平皿）</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8.噪声：≤62dB（A） </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9.电源：交流，单相220V 50Hz（AC 220V，1￠，50Hz）</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10.高效过滤器规格及数量：1678×800×50×①</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11.荧光灯规格及数量：LED 28×①</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12.杀菌灯规格及数量：28W×①</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13.照度：300Lx</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14.出风方向：水平送风（敞开式）</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三、适用范围</w:t>
            </w:r>
          </w:p>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可用于医疗卫生、制药、化学实验、生物制药、食品、科研、医学科学实验、组织培养等领域。或用于电子技术、航空航天、精密仪器、仪表、精细化工、食品等行业。</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▲四、在响应文件中提供产品图片及参数彩页。</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19500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368件工具车组套</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2628" w:type="pct"/>
            <w:shd w:val="clear" w:color="auto" w:fill="auto"/>
            <w:vAlign w:val="center"/>
          </w:tcPr>
          <w:p>
            <w:pPr>
              <w:numPr>
                <w:ilvl w:val="0"/>
                <w:numId w:val="4"/>
              </w:numPr>
              <w:tabs>
                <w:tab w:val="left" w:pos="420"/>
                <w:tab w:val="clear" w:pos="312"/>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工具车尺寸：770mm×550mm×980mm七抽屉采用冷轧钢板表面磷化处理，产品重量约57kg；</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2.配368件通用机修工具。</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▲3、在响应文件中提供产品图片彩页。</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9900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移动工具车</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1.尺寸：840mm×400mm×920mm三层；</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2.采用冷轧钢板表面磷化处理，贯穿式横梁设计，承载力强。</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770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易燃气体气瓶柜(四瓶)</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2628" w:type="pct"/>
            <w:shd w:val="clear" w:color="auto" w:fill="auto"/>
            <w:vAlign w:val="center"/>
          </w:tcPr>
          <w:p>
            <w:pPr>
              <w:numPr>
                <w:ilvl w:val="0"/>
                <w:numId w:val="5"/>
              </w:numPr>
              <w:tabs>
                <w:tab w:val="left" w:pos="420"/>
                <w:tab w:val="clear" w:pos="312"/>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尺寸：1250mm×850mm×H2100mm；门类型：双开门。</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2.可容纳4个40L气体钢瓶。</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3.材料：整体采用1.0mm双层壁厚优质冷轧钢板，3.82cm的空气绝缘阻隔层，防火性高；门与柜体连接方式采用不锈钢钢琴铰链，确保柜门开关顺畅，门边缘加密封处理；</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4.钢瓶柜柜底及挡板采用2mm以上钢板，长排合页。</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5.钢瓶固定座：Ω型钢瓶固定基座采用1.0mm冷轧钢板，表面磷化处理。</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6.PASS孔：柜体侧面设有PASS孔，保让柜内气体流动。</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7.门板：门板为双层结构，采用可脱卸铰链，正面带视窗，视窗为钢化玻璃。</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8.固定链条：内部采用固定式链条，防止气瓶倾倒。</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9.拉手：采用桥式高强度拉手。</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10.门锁：三点联动式门锁,双人双锁管理控。</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11.踏板：柜体底部设置可调节踏板，采用至少3mm厚度钢板，表面磷化处理，配合车制固定铰链使用，便于气瓶的装卸；</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12.贴有气瓶柜专用警示标贴。</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13.配备报警器采用可燃气体专用气体探测器，空气扩散采样，当达到芯片切点设定的浓度时，将自动报警同时迅速排风。</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14.供货时提供同品牌相同产品的由有资质的第三方出具的产品检测报告复印件。检测方法</w:t>
            </w:r>
            <w:bookmarkStart w:id="36" w:name="OLE_LINK5"/>
            <w:r>
              <w:rPr>
                <w:rFonts w:hint="eastAsia"/>
                <w:color w:val="000000" w:themeColor="text1"/>
                <w14:textFill>
                  <w14:solidFill>
                    <w14:schemeClr w14:val="tx1"/>
                  </w14:solidFill>
                </w14:textFill>
              </w:rPr>
              <w:t>：GB/T3836.1-2021</w:t>
            </w:r>
            <w:bookmarkEnd w:id="36"/>
            <w:r>
              <w:rPr>
                <w:rFonts w:hint="eastAsia"/>
                <w:color w:val="000000" w:themeColor="text1"/>
                <w14:textFill>
                  <w14:solidFill>
                    <w14:schemeClr w14:val="tx1"/>
                  </w14:solidFill>
                </w14:textFill>
              </w:rPr>
              <w:t>《爆炸性环境第1部分：设备 通用要求》、GB/T 3836.8-2021《爆炸性环境 第 8 部分：由 “n” 型保护的设备》</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惰性气体气瓶柜(四瓶)</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1.尺寸：1250mm×850mm×H2100mm；门类型：双开门。</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2.可容纳4个40L气体钢瓶。</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3.材料：整体采用1.0mm双层壁厚优质冷轧钢板，3.82cm的空气绝缘阻隔层，防火性高；门与柜体连接方式采用不锈钢钢琴铰链，确保柜门开关顺畅，门边缘加密封处理；</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4.钢瓶柜柜底及挡板采用2mm以上钢板，长排合页。</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5.钢瓶固定座：Ω型钢瓶固定基座采用1.0mm冷轧钢板，表面磷化处理。</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6.PASS孔：柜体侧面设有PASS孔，保让柜内气体流动。</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7.门板：门板为双层结构，采用可脱卸铰链，正面带视窗，视窗为钢化玻璃。</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8.固定链条：内部采用固定式链条，防止气瓶倾倒。</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9.拉手：采用桥式高强度拉手。</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10.门锁：三点联动式门锁,双人双锁管理控。</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11.踏板：柜体底部设置可调节踏板，采用至少3mm厚度钢板，表面磷化处理，配合车制固定铰链使用，便于气瓶的装卸；</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12.贴有气瓶柜专用警示标贴。</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13.配备一个采集控制板，带2个气体探测器，其中一个检测氩气(Ar)、氙气(Xe)、氪气(Kr)，另外一个检测氮气(</w:t>
            </w:r>
            <w:r>
              <w:rPr>
                <w:rFonts w:ascii="宋体" w:hAnsi="宋体" w:cs="宋体"/>
                <w:color w:val="000000" w:themeColor="text1"/>
                <w:szCs w:val="21"/>
                <w14:textFill>
                  <w14:solidFill>
                    <w14:schemeClr w14:val="tx1"/>
                  </w14:solidFill>
                </w14:textFill>
              </w:rPr>
              <w:t>N2</w:t>
            </w:r>
            <w:r>
              <w:rPr>
                <w:rFonts w:hint="eastAsia" w:ascii="宋体" w:hAnsi="宋体" w:cs="宋体"/>
                <w:color w:val="000000" w:themeColor="text1"/>
                <w:szCs w:val="21"/>
                <w14:textFill>
                  <w14:solidFill>
                    <w14:schemeClr w14:val="tx1"/>
                  </w14:solidFill>
                </w14:textFill>
              </w:rPr>
              <w:t>)。空气扩散采样，当达到芯片切点设定的浓度时，将自动报警同时迅速排风。</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惰性气体气瓶柜(三瓶)</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1.尺寸：1000mm×850mm×H2100mm；门类型：双开门。</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2.可容纳3个40L气体钢瓶。</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3.材料：整体采用1.0mm双层壁厚优质冷轧钢板，3.82cm的空气绝缘阻隔层，防火性高；门与柜体连接方式采用不锈钢钢琴铰链，确保柜门开关顺畅，门边缘加密封处理；</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4.钢瓶柜柜底及挡板采用2mm以上钢板，长排合页。</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5.钢瓶固定座：Ω型钢瓶固定基座采用1.0mm冷轧钢板，表面磷化处理。</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6.PASS孔：柜体侧面设有PASS孔，保让柜内气体流动。</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7.门板：门板为双层结构，采用可脱卸铰链，正面带视窗，视窗为钢化玻璃。</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8.固定链条：内部采用固定式链条，防止气瓶倾倒。</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9.拉手：采用桥式高强度拉手。</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10.门锁：三点联动式门锁,双人双锁管理控。</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11.踏板：柜体底部设置可调节踏板，采用至少3mm厚度钢板，表面磷化处理，配合车制固定铰链使用，便于气瓶的装卸；</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12.贴有气瓶柜专用警示标贴。</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13.配备一个采集控制板，带2个气体探测器，其中一个检测氦气(He)、氖气(Ne)，另外一个检测二氧化碳。空气扩散采样，当达到芯片切点设定的浓度时，将自动报警同时迅速排风。</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管道排风系统</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一套为易燃气体排放，一套为惰性气体排放,长度为2.5m~5m，具体长度根据现场布管方式有所变化。每套管道排风系统，包含管道风机(风量500～1000m3/h)，风管</w:t>
            </w:r>
            <w:r>
              <w:rPr>
                <w:rFonts w:hint="eastAsia" w:ascii="宋体"/>
                <w:color w:val="000000" w:themeColor="text1"/>
                <w14:textFill>
                  <w14:solidFill>
                    <w14:schemeClr w14:val="tx1"/>
                  </w14:solidFill>
                </w14:textFill>
              </w:rPr>
              <w:t>φ11</w:t>
            </w:r>
            <w:r>
              <w:rPr>
                <w:rFonts w:ascii="宋体"/>
                <w:color w:val="000000" w:themeColor="text1"/>
                <w14:textFill>
                  <w14:solidFill>
                    <w14:schemeClr w14:val="tx1"/>
                  </w14:solidFill>
                </w14:textFill>
              </w:rPr>
              <w:t>0mm</w:t>
            </w:r>
            <w:r>
              <w:rPr>
                <w:rFonts w:hint="eastAsia" w:ascii="宋体"/>
                <w:color w:val="000000" w:themeColor="text1"/>
                <w14:textFill>
                  <w14:solidFill>
                    <w14:schemeClr w14:val="tx1"/>
                  </w14:solidFill>
                </w14:textFill>
              </w:rPr>
              <w:t>PP材质</w:t>
            </w:r>
            <w:r>
              <w:rPr>
                <w:rFonts w:hint="eastAsia" w:ascii="宋体" w:hAnsi="宋体" w:cs="宋体"/>
                <w:color w:val="000000" w:themeColor="text1"/>
                <w:szCs w:val="21"/>
                <w14:textFill>
                  <w14:solidFill>
                    <w14:schemeClr w14:val="tx1"/>
                  </w14:solidFill>
                </w14:textFill>
              </w:rPr>
              <w:t>，变径直，弯头，防雨帽等。</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气体管路及配件</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2628" w:type="pct"/>
            <w:shd w:val="clear" w:color="auto" w:fill="auto"/>
            <w:vAlign w:val="center"/>
          </w:tcPr>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整体要求：共分三组气路系统，第一组，5路进气(钢瓶气/气体介质)，可燃气体：甲烷(CH4)、异丁烷(C4H10)、二甲醚(DME)，惰性气体：氦气(He)、氖气(Ne)、氩气(Ar)、氙气(Xe)、氪气(Kr)，接入一个配气系统，配气系统包括气体质量流量控制器、混气罐、电控开关阀门以及电脑控制软件。可以实现两种高纯气体的混合和三种高纯气体的混合，可按任意气体比例进行混气。混合好的气体分成2路，分别接入到洁净室的4张光学平台用气终端，气体经仪器使用后外接管排放。第二组，氮气(N2)接入洁净操作工作台，两台洁净操作工作台，用气终端配高压气枪。第三组，氩气(Ar)接入激光焊接机系统。含现场安装调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二、具体配置(根据不同气源进行配置)：</w:t>
            </w:r>
            <w:r>
              <w:rPr>
                <w:rFonts w:hint="eastAsia"/>
                <w:color w:val="000000" w:themeColor="text1"/>
                <w14:textFill>
                  <w14:solidFill>
                    <w14:schemeClr w14:val="tx1"/>
                  </w14:solidFill>
                </w14:textFill>
              </w:rPr>
              <w:br w:type="textWrapping"/>
            </w:r>
            <w:r>
              <w:rPr>
                <w:color w:val="000000" w:themeColor="text1"/>
                <w14:textFill>
                  <w14:solidFill>
                    <w14:schemeClr w14:val="tx1"/>
                  </w14:solidFill>
                </w14:textFill>
              </w:rPr>
              <w:t>1、气源点(气瓶室或气瓶)：</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w:t>
            </w:r>
            <w:r>
              <w:rPr>
                <w:color w:val="000000" w:themeColor="text1"/>
                <w14:textFill>
                  <w14:solidFill>
                    <w14:schemeClr w14:val="tx1"/>
                  </w14:solidFill>
                </w14:textFill>
              </w:rPr>
              <w:t>1.1一级减压器控制面板</w:t>
            </w:r>
            <w:r>
              <w:rPr>
                <w:rFonts w:hint="eastAsia"/>
                <w:color w:val="000000" w:themeColor="text1"/>
                <w14:textFill>
                  <w14:solidFill>
                    <w14:schemeClr w14:val="tx1"/>
                  </w14:solidFill>
                </w14:textFill>
              </w:rPr>
              <w:t>（配</w:t>
            </w:r>
            <w:r>
              <w:rPr>
                <w:color w:val="000000" w:themeColor="text1"/>
                <w14:textFill>
                  <w14:solidFill>
                    <w14:schemeClr w14:val="tx1"/>
                  </w14:solidFill>
                </w14:textFill>
              </w:rPr>
              <w:t>套</w:t>
            </w:r>
            <w:r>
              <w:rPr>
                <w:rFonts w:hint="eastAsia"/>
                <w:color w:val="000000" w:themeColor="text1"/>
                <w14:textFill>
                  <w14:solidFill>
                    <w14:schemeClr w14:val="tx1"/>
                  </w14:solidFill>
                </w14:textFill>
              </w:rPr>
              <w:t>数量）</w:t>
            </w:r>
            <w:r>
              <w:rPr>
                <w:color w:val="000000" w:themeColor="text1"/>
                <w14:textFill>
                  <w14:solidFill>
                    <w14:schemeClr w14:val="tx1"/>
                  </w14:solidFill>
                </w14:textFill>
              </w:rPr>
              <w:t>：含一级减压器，双表输入压力3000 psig,可控输出压力</w:t>
            </w:r>
            <w:r>
              <w:rPr>
                <w:rFonts w:hint="eastAsia"/>
                <w:color w:val="000000" w:themeColor="text1"/>
                <w14:textFill>
                  <w14:solidFill>
                    <w14:schemeClr w14:val="tx1"/>
                  </w14:solidFill>
                </w14:textFill>
              </w:rPr>
              <w:t>0~2.5bar</w:t>
            </w:r>
            <w:r>
              <w:rPr>
                <w:color w:val="000000" w:themeColor="text1"/>
                <w14:textFill>
                  <w14:solidFill>
                    <w14:schemeClr w14:val="tx1"/>
                  </w14:solidFill>
                </w14:textFill>
              </w:rPr>
              <w:t>、高压软管、手动隔膜阀、压力传感器、钢瓶接头</w:t>
            </w:r>
            <w:r>
              <w:rPr>
                <w:color w:val="000000" w:themeColor="text1"/>
                <w14:textFill>
                  <w14:solidFill>
                    <w14:schemeClr w14:val="tx1"/>
                  </w14:solidFill>
                </w14:textFill>
              </w:rPr>
              <w:br w:type="textWrapping"/>
            </w:r>
            <w:r>
              <w:rPr>
                <w:color w:val="000000" w:themeColor="text1"/>
                <w14:textFill>
                  <w14:solidFill>
                    <w14:schemeClr w14:val="tx1"/>
                  </w14:solidFill>
                </w14:textFill>
              </w:rPr>
              <w:t>1.2加热器：定制VCR连接</w:t>
            </w:r>
            <w:r>
              <w:rPr>
                <w:color w:val="000000" w:themeColor="text1"/>
                <w14:textFill>
                  <w14:solidFill>
                    <w14:schemeClr w14:val="tx1"/>
                  </w14:solidFill>
                </w14:textFill>
              </w:rPr>
              <w:br w:type="textWrapping"/>
            </w:r>
            <w:r>
              <w:rPr>
                <w:color w:val="000000" w:themeColor="text1"/>
                <w14:textFill>
                  <w14:solidFill>
                    <w14:schemeClr w14:val="tx1"/>
                  </w14:solidFill>
                </w14:textFill>
              </w:rPr>
              <w:t>1.3低压手动隔膜阀：UWDV-S-M4-M4-EP，1/4",EP级,MVCR,300Psi，手动</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w:t>
            </w:r>
            <w:r>
              <w:rPr>
                <w:color w:val="000000" w:themeColor="text1"/>
                <w14:textFill>
                  <w14:solidFill>
                    <w14:schemeClr w14:val="tx1"/>
                  </w14:solidFill>
                </w14:textFill>
              </w:rPr>
              <w:t>1.4不锈钢</w:t>
            </w:r>
            <w:r>
              <w:rPr>
                <w:rFonts w:hint="eastAsia"/>
                <w:color w:val="000000" w:themeColor="text1"/>
                <w14:textFill>
                  <w14:solidFill>
                    <w14:schemeClr w14:val="tx1"/>
                  </w14:solidFill>
                </w14:textFill>
              </w:rPr>
              <w:t>回</w:t>
            </w:r>
            <w:r>
              <w:rPr>
                <w:color w:val="000000" w:themeColor="text1"/>
                <w14:textFill>
                  <w14:solidFill>
                    <w14:schemeClr w14:val="tx1"/>
                  </w14:solidFill>
                </w14:textFill>
              </w:rPr>
              <w:t>火防止阀</w:t>
            </w:r>
            <w:r>
              <w:rPr>
                <w:rFonts w:hint="eastAsia"/>
                <w:color w:val="000000" w:themeColor="text1"/>
                <w14:textFill>
                  <w14:solidFill>
                    <w14:schemeClr w14:val="tx1"/>
                  </w14:solidFill>
                </w14:textFill>
              </w:rPr>
              <w:t>（配套数量）</w:t>
            </w:r>
            <w:r>
              <w:rPr>
                <w:color w:val="000000" w:themeColor="text1"/>
                <w14:textFill>
                  <w14:solidFill>
                    <w14:schemeClr w14:val="tx1"/>
                  </w14:solidFill>
                </w14:textFill>
              </w:rPr>
              <w:t>：VCR连接</w:t>
            </w:r>
            <w:r>
              <w:rPr>
                <w:color w:val="000000" w:themeColor="text1"/>
                <w14:textFill>
                  <w14:solidFill>
                    <w14:schemeClr w14:val="tx1"/>
                  </w14:solidFill>
                </w14:textFill>
              </w:rPr>
              <w:br w:type="textWrapping"/>
            </w:r>
            <w:r>
              <w:rPr>
                <w:color w:val="000000" w:themeColor="text1"/>
                <w14:textFill>
                  <w14:solidFill>
                    <w14:schemeClr w14:val="tx1"/>
                  </w14:solidFill>
                </w14:textFill>
              </w:rPr>
              <w:t>1.5可燃气体</w:t>
            </w:r>
            <w:r>
              <w:rPr>
                <w:rFonts w:hint="eastAsia"/>
                <w:color w:val="000000" w:themeColor="text1"/>
                <w14:textFill>
                  <w14:solidFill>
                    <w14:schemeClr w14:val="tx1"/>
                  </w14:solidFill>
                </w14:textFill>
              </w:rPr>
              <w:t>报警探测器</w:t>
            </w:r>
            <w:r>
              <w:rPr>
                <w:color w:val="000000" w:themeColor="text1"/>
                <w14:textFill>
                  <w14:solidFill>
                    <w14:schemeClr w14:val="tx1"/>
                  </w14:solidFill>
                </w14:textFill>
              </w:rPr>
              <w:t>：可燃气体通用，带液晶显示，带声光报警器，</w:t>
            </w:r>
            <w:r>
              <w:rPr>
                <w:rFonts w:hint="eastAsia"/>
                <w:color w:val="000000" w:themeColor="text1"/>
                <w14:textFill>
                  <w14:solidFill>
                    <w14:schemeClr w14:val="tx1"/>
                  </w14:solidFill>
                </w14:textFill>
              </w:rPr>
              <w:t>供货时</w:t>
            </w:r>
            <w:r>
              <w:rPr>
                <w:color w:val="000000" w:themeColor="text1"/>
                <w14:textFill>
                  <w14:solidFill>
                    <w14:schemeClr w14:val="tx1"/>
                  </w14:solidFill>
                </w14:textFill>
              </w:rPr>
              <w:t>提供产品同一型号下的消防</w:t>
            </w:r>
            <w:r>
              <w:rPr>
                <w:rFonts w:hint="eastAsia"/>
                <w:color w:val="000000" w:themeColor="text1"/>
                <w14:textFill>
                  <w14:solidFill>
                    <w14:schemeClr w14:val="tx1"/>
                  </w14:solidFill>
                </w14:textFill>
              </w:rPr>
              <w:t>产品</w:t>
            </w:r>
            <w:r>
              <w:rPr>
                <w:color w:val="000000" w:themeColor="text1"/>
                <w14:textFill>
                  <w14:solidFill>
                    <w14:schemeClr w14:val="tx1"/>
                  </w14:solidFill>
                </w14:textFill>
              </w:rPr>
              <w:t>认证、计量器具认证、</w:t>
            </w:r>
            <w:r>
              <w:rPr>
                <w:rFonts w:hint="eastAsia"/>
                <w:color w:val="000000" w:themeColor="text1"/>
                <w14:textFill>
                  <w14:solidFill>
                    <w14:schemeClr w14:val="tx1"/>
                  </w14:solidFill>
                </w14:textFill>
              </w:rPr>
              <w:t>安全完整性等级2（</w:t>
            </w:r>
            <w:r>
              <w:rPr>
                <w:color w:val="000000" w:themeColor="text1"/>
                <w14:textFill>
                  <w14:solidFill>
                    <w14:schemeClr w14:val="tx1"/>
                  </w14:solidFill>
                </w14:textFill>
              </w:rPr>
              <w:t>SIL2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认证、防爆合格证。</w:t>
            </w:r>
            <w:r>
              <w:rPr>
                <w:rFonts w:hint="eastAsia"/>
                <w:color w:val="000000" w:themeColor="text1"/>
                <w14:textFill>
                  <w14:solidFill>
                    <w14:schemeClr w14:val="tx1"/>
                  </w14:solidFill>
                </w14:textFill>
              </w:rPr>
              <w:t>供货时</w:t>
            </w:r>
            <w:r>
              <w:rPr>
                <w:color w:val="000000" w:themeColor="text1"/>
                <w14:textFill>
                  <w14:solidFill>
                    <w14:schemeClr w14:val="tx1"/>
                  </w14:solidFill>
                </w14:textFill>
              </w:rPr>
              <w:t>提供具有相关资质且合法的检验（检测）机构出具的并带CMA</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CNAS标识的有效检验（检测）报告</w:t>
            </w:r>
            <w:r>
              <w:rPr>
                <w:rFonts w:hint="eastAsia"/>
                <w:color w:val="000000" w:themeColor="text1"/>
                <w14:textFill>
                  <w14:solidFill>
                    <w14:schemeClr w14:val="tx1"/>
                  </w14:solidFill>
                </w14:textFill>
              </w:rPr>
              <w:t>。检验依据：</w:t>
            </w:r>
            <w:bookmarkStart w:id="37" w:name="OLE_LINK6"/>
            <w:r>
              <w:rPr>
                <w:rFonts w:hint="eastAsia"/>
                <w:color w:val="000000" w:themeColor="text1"/>
                <w14:textFill>
                  <w14:solidFill>
                    <w14:schemeClr w14:val="tx1"/>
                  </w14:solidFill>
                </w14:textFill>
              </w:rPr>
              <w:t>GB 15322.1-2019</w:t>
            </w:r>
            <w:bookmarkEnd w:id="37"/>
            <w:r>
              <w:rPr>
                <w:rFonts w:hint="eastAsia"/>
                <w:color w:val="000000" w:themeColor="text1"/>
                <w14:textFill>
                  <w14:solidFill>
                    <w14:schemeClr w14:val="tx1"/>
                  </w14:solidFill>
                </w14:textFill>
              </w:rPr>
              <w:t>《可燃气体探测器第1部分：工业及商业用途点型可燃气体探测器》。</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w:t>
            </w:r>
            <w:r>
              <w:rPr>
                <w:color w:val="000000" w:themeColor="text1"/>
                <w14:textFill>
                  <w14:solidFill>
                    <w14:schemeClr w14:val="tx1"/>
                  </w14:solidFill>
                </w14:textFill>
              </w:rPr>
              <w:t>1.6不锈钢单向阀</w:t>
            </w:r>
            <w:r>
              <w:rPr>
                <w:rFonts w:hint="eastAsia"/>
                <w:color w:val="000000" w:themeColor="text1"/>
                <w14:textFill>
                  <w14:solidFill>
                    <w14:schemeClr w14:val="tx1"/>
                  </w14:solidFill>
                </w14:textFill>
              </w:rPr>
              <w:t>（配</w:t>
            </w:r>
            <w:r>
              <w:rPr>
                <w:color w:val="000000" w:themeColor="text1"/>
                <w14:textFill>
                  <w14:solidFill>
                    <w14:schemeClr w14:val="tx1"/>
                  </w14:solidFill>
                </w14:textFill>
              </w:rPr>
              <w:t>套</w:t>
            </w:r>
            <w:r>
              <w:rPr>
                <w:rFonts w:hint="eastAsia"/>
                <w:color w:val="000000" w:themeColor="text1"/>
                <w14:textFill>
                  <w14:solidFill>
                    <w14:schemeClr w14:val="tx1"/>
                  </w14:solidFill>
                </w14:textFill>
              </w:rPr>
              <w:t>数量）</w:t>
            </w:r>
            <w:r>
              <w:rPr>
                <w:color w:val="000000" w:themeColor="text1"/>
                <w14:textFill>
                  <w14:solidFill>
                    <w14:schemeClr w14:val="tx1"/>
                  </w14:solidFill>
                </w14:textFill>
              </w:rPr>
              <w:t>：定制VCR连接</w:t>
            </w:r>
            <w:r>
              <w:rPr>
                <w:color w:val="000000" w:themeColor="text1"/>
                <w14:textFill>
                  <w14:solidFill>
                    <w14:schemeClr w14:val="tx1"/>
                  </w14:solidFill>
                </w14:textFill>
              </w:rPr>
              <w:br w:type="textWrapping"/>
            </w:r>
            <w:r>
              <w:rPr>
                <w:color w:val="000000" w:themeColor="text1"/>
                <w14:textFill>
                  <w14:solidFill>
                    <w14:schemeClr w14:val="tx1"/>
                  </w14:solidFill>
                </w14:textFill>
              </w:rPr>
              <w:t>2、排空：不锈钢单向阀，不锈钢洁净管（排空用），铝合金管夹(排空用），仪器排空不锈钢接头。</w:t>
            </w:r>
            <w:r>
              <w:rPr>
                <w:color w:val="000000" w:themeColor="text1"/>
                <w14:textFill>
                  <w14:solidFill>
                    <w14:schemeClr w14:val="tx1"/>
                  </w14:solidFill>
                </w14:textFill>
              </w:rPr>
              <w:br w:type="textWrapping"/>
            </w:r>
            <w:r>
              <w:rPr>
                <w:color w:val="000000" w:themeColor="text1"/>
                <w14:textFill>
                  <w14:solidFill>
                    <w14:schemeClr w14:val="tx1"/>
                  </w14:solidFill>
                </w14:textFill>
              </w:rPr>
              <w:t>3、终端：</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w:t>
            </w:r>
            <w:r>
              <w:rPr>
                <w:color w:val="000000" w:themeColor="text1"/>
                <w14:textFill>
                  <w14:solidFill>
                    <w14:schemeClr w14:val="tx1"/>
                  </w14:solidFill>
                </w14:textFill>
              </w:rPr>
              <w:t>3.1不锈钢二级减压阀</w:t>
            </w:r>
            <w:r>
              <w:rPr>
                <w:rFonts w:hint="eastAsia"/>
                <w:color w:val="000000" w:themeColor="text1"/>
                <w14:textFill>
                  <w14:solidFill>
                    <w14:schemeClr w14:val="tx1"/>
                  </w14:solidFill>
                </w14:textFill>
              </w:rPr>
              <w:t>（配</w:t>
            </w:r>
            <w:r>
              <w:rPr>
                <w:color w:val="000000" w:themeColor="text1"/>
                <w14:textFill>
                  <w14:solidFill>
                    <w14:schemeClr w14:val="tx1"/>
                  </w14:solidFill>
                </w14:textFill>
              </w:rPr>
              <w:t>套</w:t>
            </w:r>
            <w:r>
              <w:rPr>
                <w:rFonts w:hint="eastAsia"/>
                <w:color w:val="000000" w:themeColor="text1"/>
                <w14:textFill>
                  <w14:solidFill>
                    <w14:schemeClr w14:val="tx1"/>
                  </w14:solidFill>
                </w14:textFill>
              </w:rPr>
              <w:t>数量）</w:t>
            </w:r>
            <w:r>
              <w:rPr>
                <w:color w:val="000000" w:themeColor="text1"/>
                <w14:textFill>
                  <w14:solidFill>
                    <w14:schemeClr w14:val="tx1"/>
                  </w14:solidFill>
                </w14:textFill>
              </w:rPr>
              <w:t>：VCR+EP级隔膜阀+EP级减压器+面板</w:t>
            </w:r>
            <w:r>
              <w:rPr>
                <w:color w:val="000000" w:themeColor="text1"/>
                <w14:textFill>
                  <w14:solidFill>
                    <w14:schemeClr w14:val="tx1"/>
                  </w14:solidFill>
                </w14:textFill>
              </w:rPr>
              <w:br w:type="textWrapping"/>
            </w:r>
            <w:r>
              <w:rPr>
                <w:color w:val="000000" w:themeColor="text1"/>
                <w14:textFill>
                  <w14:solidFill>
                    <w14:schemeClr w14:val="tx1"/>
                  </w14:solidFill>
                </w14:textFill>
              </w:rPr>
              <w:t>3.2不锈钢接头：VCR三件套。</w:t>
            </w:r>
            <w:r>
              <w:rPr>
                <w:color w:val="000000" w:themeColor="text1"/>
                <w14:textFill>
                  <w14:solidFill>
                    <w14:schemeClr w14:val="tx1"/>
                  </w14:solidFill>
                </w14:textFill>
              </w:rPr>
              <w:br w:type="textWrapping"/>
            </w:r>
            <w:r>
              <w:rPr>
                <w:color w:val="000000" w:themeColor="text1"/>
                <w14:textFill>
                  <w14:solidFill>
                    <w14:schemeClr w14:val="tx1"/>
                  </w14:solidFill>
                </w14:textFill>
              </w:rPr>
              <w:t>4.管道辅材：</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w:t>
            </w:r>
            <w:r>
              <w:rPr>
                <w:color w:val="000000" w:themeColor="text1"/>
                <w14:textFill>
                  <w14:solidFill>
                    <w14:schemeClr w14:val="tx1"/>
                  </w14:solidFill>
                </w14:textFill>
              </w:rPr>
              <w:t>4.1不锈钢洁净管</w:t>
            </w:r>
            <w:r>
              <w:rPr>
                <w:rFonts w:hint="eastAsia"/>
                <w:color w:val="000000" w:themeColor="text1"/>
                <w14:textFill>
                  <w14:solidFill>
                    <w14:schemeClr w14:val="tx1"/>
                  </w14:solidFill>
                </w14:textFill>
              </w:rPr>
              <w:t>（配套数量）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SS-316L-EP-1/4"，316L管,内外抛光,EP级1/4"OD ，壁厚：不小于0.89mm</w:t>
            </w:r>
          </w:p>
          <w:p>
            <w:pPr>
              <w:pStyle w:val="10"/>
              <w:rPr>
                <w:color w:val="000000" w:themeColor="text1"/>
                <w14:textFill>
                  <w14:solidFill>
                    <w14:schemeClr w14:val="tx1"/>
                  </w14:solidFill>
                </w14:textFill>
              </w:rPr>
            </w:pPr>
            <w:r>
              <w:rPr>
                <w:color w:val="000000" w:themeColor="text1"/>
                <w14:textFill>
                  <w14:solidFill>
                    <w14:schemeClr w14:val="tx1"/>
                  </w14:solidFill>
                </w14:textFill>
              </w:rPr>
              <w:t>4.2铝合金管夹</w:t>
            </w:r>
            <w:r>
              <w:rPr>
                <w:color w:val="000000" w:themeColor="text1"/>
                <w14:textFill>
                  <w14:solidFill>
                    <w14:schemeClr w14:val="tx1"/>
                  </w14:solidFill>
                </w14:textFill>
              </w:rPr>
              <w:br w:type="textWrapping"/>
            </w:r>
            <w:r>
              <w:rPr>
                <w:color w:val="000000" w:themeColor="text1"/>
                <w14:textFill>
                  <w14:solidFill>
                    <w14:schemeClr w14:val="tx1"/>
                  </w14:solidFill>
                </w14:textFill>
              </w:rPr>
              <w:t>4.3</w:t>
            </w:r>
            <w:r>
              <w:rPr>
                <w:rFonts w:hint="eastAsia"/>
                <w:color w:val="000000" w:themeColor="text1"/>
                <w14:textFill>
                  <w14:solidFill>
                    <w14:schemeClr w14:val="tx1"/>
                  </w14:solidFill>
                </w14:textFill>
              </w:rPr>
              <w:t>可燃气体</w:t>
            </w:r>
            <w:r>
              <w:rPr>
                <w:color w:val="000000" w:themeColor="text1"/>
                <w14:textFill>
                  <w14:solidFill>
                    <w14:schemeClr w14:val="tx1"/>
                  </w14:solidFill>
                </w14:textFill>
              </w:rPr>
              <w:t>泄露报警控制器：</w:t>
            </w:r>
            <w:r>
              <w:rPr>
                <w:rFonts w:hint="eastAsia"/>
                <w:color w:val="000000" w:themeColor="text1"/>
                <w14:textFill>
                  <w14:solidFill>
                    <w14:schemeClr w14:val="tx1"/>
                  </w14:solidFill>
                </w14:textFill>
              </w:rPr>
              <w:t>供货时</w:t>
            </w:r>
            <w:r>
              <w:rPr>
                <w:color w:val="000000" w:themeColor="text1"/>
                <w14:textFill>
                  <w14:solidFill>
                    <w14:schemeClr w14:val="tx1"/>
                  </w14:solidFill>
                </w14:textFill>
              </w:rPr>
              <w:t>提供产品同一型号下的消防</w:t>
            </w:r>
            <w:r>
              <w:rPr>
                <w:rFonts w:hint="eastAsia"/>
                <w:color w:val="000000" w:themeColor="text1"/>
                <w14:textFill>
                  <w14:solidFill>
                    <w14:schemeClr w14:val="tx1"/>
                  </w14:solidFill>
                </w14:textFill>
              </w:rPr>
              <w:t>产品</w:t>
            </w:r>
            <w:r>
              <w:rPr>
                <w:color w:val="000000" w:themeColor="text1"/>
                <w14:textFill>
                  <w14:solidFill>
                    <w14:schemeClr w14:val="tx1"/>
                  </w14:solidFill>
                </w14:textFill>
              </w:rPr>
              <w:t>认证</w:t>
            </w:r>
            <w:r>
              <w:rPr>
                <w:rFonts w:hint="eastAsia"/>
                <w:color w:val="000000" w:themeColor="text1"/>
                <w14:textFill>
                  <w14:solidFill>
                    <w14:schemeClr w14:val="tx1"/>
                  </w14:solidFill>
                </w14:textFill>
              </w:rPr>
              <w:t>、安全完整性等级2（SIL2）认证</w:t>
            </w:r>
            <w:r>
              <w:rPr>
                <w:color w:val="000000" w:themeColor="text1"/>
                <w14:textFill>
                  <w14:solidFill>
                    <w14:schemeClr w14:val="tx1"/>
                  </w14:solidFill>
                </w14:textFill>
              </w:rPr>
              <w:t>。</w:t>
            </w:r>
            <w:r>
              <w:rPr>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w:t>
            </w:r>
            <w:r>
              <w:rPr>
                <w:color w:val="000000" w:themeColor="text1"/>
                <w14:textFill>
                  <w14:solidFill>
                    <w14:schemeClr w14:val="tx1"/>
                  </w14:solidFill>
                </w14:textFill>
              </w:rPr>
              <w:t>4.4数显式低压报警器：声光报警装置20路485信号输出端口220V，</w:t>
            </w:r>
            <w:r>
              <w:rPr>
                <w:rFonts w:hint="eastAsia"/>
                <w:color w:val="000000" w:themeColor="text1"/>
                <w14:textFill>
                  <w14:solidFill>
                    <w14:schemeClr w14:val="tx1"/>
                  </w14:solidFill>
                </w14:textFill>
              </w:rPr>
              <w:t>供货时</w:t>
            </w:r>
            <w:r>
              <w:rPr>
                <w:color w:val="000000" w:themeColor="text1"/>
                <w14:textFill>
                  <w14:solidFill>
                    <w14:schemeClr w14:val="tx1"/>
                  </w14:solidFill>
                </w14:textFill>
              </w:rPr>
              <w:t>提供具有相关资质且合法的检验（检测）机构出具的并带CMA</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CNAS标识的有效检验（检测）报告</w:t>
            </w:r>
            <w:r>
              <w:rPr>
                <w:color w:val="000000" w:themeColor="text1"/>
                <w14:textFill>
                  <w14:solidFill>
                    <w14:schemeClr w14:val="tx1"/>
                  </w14:solidFill>
                </w14:textFill>
              </w:rPr>
              <w:br w:type="textWrapping"/>
            </w:r>
            <w:r>
              <w:rPr>
                <w:color w:val="000000" w:themeColor="text1"/>
                <w14:textFill>
                  <w14:solidFill>
                    <w14:schemeClr w14:val="tx1"/>
                  </w14:solidFill>
                </w14:textFill>
              </w:rPr>
              <w:t>4.5数据信号传输线、铝合金导轨、不锈钢焊接三通及防爆线盒，防爆管，防爆接头等安装辅材。</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color w:val="000000" w:themeColor="text1"/>
                <w14:textFill>
                  <w14:solidFill>
                    <w14:schemeClr w14:val="tx1"/>
                  </w14:solidFill>
                </w14:textFill>
              </w:rPr>
              <w:t>高纯气体管道选用316LEP级不锈钢级管道，管道外径6.35mm（除气瓶与减压器之间的高压软管），管道连接采用轨道焊接和VCR密封连接。</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color w:val="000000" w:themeColor="text1"/>
                <w14:textFill>
                  <w14:solidFill>
                    <w14:schemeClr w14:val="tx1"/>
                  </w14:solidFill>
                </w14:textFill>
              </w:rPr>
              <w:t>不锈钢钢瓶减压器最大输入压力3000 psig,可控输出压力0~2.5bar, 工作温度-10到60 ℃，双级式调压结构，不锈钢金属过滤网</w:t>
            </w:r>
            <w:r>
              <w:rPr>
                <w:rFonts w:hint="eastAsia"/>
                <w:color w:val="000000" w:themeColor="text1"/>
                <w14:textFill>
                  <w14:solidFill>
                    <w14:schemeClr w14:val="tx1"/>
                  </w14:solidFill>
                </w14:textFill>
              </w:rPr>
              <w:t>。</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手动隔膜阀最大工作压力300psig。</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8.配五个气体质量流量控制器：</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▲8.1、五个气体质量流量控制器分别预设介质氙气(Xe)、氩气(Ar)、氦气(He) 甲烷(CH4)、二甲醚(DME、CH3OCH3)。响应文件中提供气体流量计的彩图。</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、满量程100 SCCM。</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、多参数显示和输出，包括温度、压力、流量等。</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、可测范围：0.01~100%满量程。</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精度：</w:t>
            </w:r>
            <w:r>
              <w:rPr>
                <w:rFonts w:hint="eastAsia"/>
                <w:color w:val="000000" w:themeColor="text1"/>
                <w14:textFill>
                  <w14:solidFill>
                    <w14:schemeClr w14:val="tx1"/>
                  </w14:solidFill>
                </w14:textFill>
              </w:rPr>
              <w:t>± （0.8% 读数 + 0.2% 满量程）。</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、工作压力：11.5~160 PSIA。</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、预热时间：&lt;1s。</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、具有屏幕显示和功能按键的功能。</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9</w:t>
            </w:r>
            <w:r>
              <w:rPr>
                <w:rFonts w:hint="eastAsia"/>
                <w:color w:val="000000" w:themeColor="text1"/>
                <w14:textFill>
                  <w14:solidFill>
                    <w14:schemeClr w14:val="tx1"/>
                  </w14:solidFill>
                </w14:textFill>
              </w:rPr>
              <w:t>、气体质量流量控制器技术参数如下：介质——预置98种常用气体，自由切换。气体编辑器：允许自定义20组混合气体，每组可混合高达5种气体，比例可低至0.01%。</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9、配配气系统软件：</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9．1、显示五个气体质量流量控制器的温度、压力、流量等参数，其中压力、流量要显示随时间变化的曲线图。</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9．2、可以选择气体质量流量控制器的气体种类和控制流量。</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9．3、具有记录气体质量流量控制器参数的功能。</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▲9.4、响应文件中提供配气系统软件截图。</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▲9.5响应供应商需保证所供产品具有本项9.1~9.3的功能，否则需承担包括但不限于用户拒绝项目验收的后果。响应文件中据此提供承诺函。</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10、</w:t>
            </w:r>
            <w:r>
              <w:rPr>
                <w:color w:val="000000" w:themeColor="text1"/>
                <w14:textFill>
                  <w14:solidFill>
                    <w14:schemeClr w14:val="tx1"/>
                  </w14:solidFill>
                </w14:textFill>
              </w:rPr>
              <w:t>管道布局合理、美观。管道标识清晰，指示气体种类和流向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气体标头粘贴得正确</w:t>
            </w:r>
            <w:r>
              <w:rPr>
                <w:rFonts w:hint="eastAsia"/>
                <w:color w:val="000000" w:themeColor="text1"/>
                <w14:textFill>
                  <w14:solidFill>
                    <w14:schemeClr w14:val="tx1"/>
                  </w14:solidFill>
                </w14:textFill>
              </w:rPr>
              <w:t>。</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11、吹扫与清洁度：系统启用前需用高纯惰性气体吹扫，直至排出气体满足纯度要求，白布测试无杂质水分；</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▲12、供应商</w:t>
            </w:r>
            <w:r>
              <w:rPr>
                <w:color w:val="000000" w:themeColor="text1"/>
                <w14:textFill>
                  <w14:solidFill>
                    <w14:schemeClr w14:val="tx1"/>
                  </w14:solidFill>
                </w14:textFill>
              </w:rPr>
              <w:t>安装完成后需进行严格的测试</w:t>
            </w:r>
            <w:r>
              <w:rPr>
                <w:rFonts w:hint="eastAsia"/>
                <w:color w:val="000000" w:themeColor="text1"/>
                <w14:textFill>
                  <w14:solidFill>
                    <w14:schemeClr w14:val="tx1"/>
                  </w14:solidFill>
                </w14:textFill>
              </w:rPr>
              <w:t>：压力</w:t>
            </w:r>
            <w:r>
              <w:rPr>
                <w:color w:val="000000" w:themeColor="text1"/>
                <w14:textFill>
                  <w14:solidFill>
                    <w14:schemeClr w14:val="tx1"/>
                  </w14:solidFill>
                </w14:textFill>
              </w:rPr>
              <w:t>试验（</w:t>
            </w:r>
            <w:r>
              <w:rPr>
                <w:rFonts w:hint="eastAsia"/>
                <w:color w:val="000000" w:themeColor="text1"/>
                <w14:textFill>
                  <w14:solidFill>
                    <w14:schemeClr w14:val="tx1"/>
                  </w14:solidFill>
                </w14:textFill>
              </w:rPr>
              <w:t>5个大气压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、气</w:t>
            </w:r>
            <w:r>
              <w:rPr>
                <w:color w:val="000000" w:themeColor="text1"/>
                <w14:textFill>
                  <w14:solidFill>
                    <w14:schemeClr w14:val="tx1"/>
                  </w14:solidFill>
                </w14:textFill>
              </w:rPr>
              <w:t>密性试验（</w:t>
            </w:r>
            <w:r>
              <w:rPr>
                <w:rFonts w:hint="eastAsia"/>
                <w:color w:val="000000" w:themeColor="text1"/>
                <w14:textFill>
                  <w14:solidFill>
                    <w14:schemeClr w14:val="tx1"/>
                  </w14:solidFill>
                </w14:textFill>
              </w:rPr>
              <w:t>用氦检漏进行检测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，可燃气体</w:t>
            </w:r>
            <w:r>
              <w:rPr>
                <w:color w:val="000000" w:themeColor="text1"/>
                <w14:textFill>
                  <w14:solidFill>
                    <w14:schemeClr w14:val="tx1"/>
                  </w14:solidFill>
                </w14:textFill>
              </w:rPr>
              <w:t>管路还应出</w:t>
            </w:r>
            <w:r>
              <w:rPr>
                <w:rFonts w:hint="eastAsia"/>
                <w:color w:val="000000" w:themeColor="text1"/>
                <w14:textFill>
                  <w14:solidFill>
                    <w14:schemeClr w14:val="tx1"/>
                  </w14:solidFill>
                </w14:textFill>
              </w:rPr>
              <w:t>具</w:t>
            </w:r>
            <w:r>
              <w:rPr>
                <w:color w:val="000000" w:themeColor="text1"/>
                <w14:textFill>
                  <w14:solidFill>
                    <w14:schemeClr w14:val="tx1"/>
                  </w14:solidFill>
                </w14:textFill>
              </w:rPr>
              <w:t>静电接地测试合格报告</w:t>
            </w:r>
            <w:r>
              <w:rPr>
                <w:rFonts w:hint="eastAsia"/>
                <w:color w:val="000000" w:themeColor="text1"/>
                <w14:textFill>
                  <w14:solidFill>
                    <w14:schemeClr w14:val="tx1"/>
                  </w14:solidFill>
                </w14:textFill>
              </w:rPr>
              <w:t>，提供以上3项合格测试报告，作为竣工验收材料之一。</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▲13、响应文件中提供气密性及压力测试报告单、静电接地电阻测试报告模板，报告单的内容至少包含：测试步骤、判定标准、参考的规范和标准。</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三、为了产品质量以及操作安全和规范，响应文件中提供气路平面布置系统图以及“技术说明”，“技术说明”最少需包含气路系统的主要部件（减压器、管道、数显式低压报警器、可燃气体泄露报警控制器、可燃气体报警探测器、气体质量流量控制器、配气系统及配气软件）的技术参数以及产品图片。</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四、响应文件中提供气路系统的配置清单，清单至少包含“产品及配件名称、品牌、规格型号、数量”等信息。</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▲五、本项产品涉及到可燃气体/危险化学品，供应商需具有相关安全知识和管理能力的人员，响应文件中提供至少1名人员的“安全生产知识和管理能力考核合格证</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或提供</w:t>
            </w:r>
            <w:bookmarkStart w:id="38" w:name="OLE_LINK7"/>
            <w:r>
              <w:rPr>
                <w:rFonts w:hint="eastAsia"/>
                <w:color w:val="000000" w:themeColor="text1"/>
                <w14:textFill>
                  <w14:solidFill>
                    <w14:schemeClr w14:val="tx1"/>
                  </w14:solidFill>
                </w14:textFill>
              </w:rPr>
              <w:t>中华人民共和国中级注册安全工程师职业资格证书（化工安全）</w:t>
            </w:r>
            <w:bookmarkEnd w:id="38"/>
            <w:r>
              <w:rPr>
                <w:rFonts w:hint="eastAsia"/>
                <w:color w:val="000000" w:themeColor="text1"/>
                <w14:textFill>
                  <w14:solidFill>
                    <w14:schemeClr w14:val="tx1"/>
                  </w14:solidFill>
                </w14:textFill>
              </w:rPr>
              <w:t>等同等效力的安全资质证明，以及</w:t>
            </w:r>
            <w:r>
              <w:rPr>
                <w:rFonts w:hint="eastAsia"/>
                <w:color w:val="000000" w:themeColor="text1"/>
                <w:kern w:val="0"/>
                <w14:textFill>
                  <w14:solidFill>
                    <w14:schemeClr w14:val="tx1"/>
                  </w14:solidFill>
                </w14:textFill>
              </w:rPr>
              <w:t>该人员在响应供应商公司的最近6个月中任一个月的社保证明文件或该</w:t>
            </w:r>
            <w:r>
              <w:rPr>
                <w:rFonts w:hint="eastAsia"/>
                <w:color w:val="000000" w:themeColor="text1"/>
                <w14:textFill>
                  <w14:solidFill>
                    <w14:schemeClr w14:val="tx1"/>
                  </w14:solidFill>
                </w14:textFill>
              </w:rPr>
              <w:t>人员的劳动合同或供应商为该人员发放工资的银行流水证明等。</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195000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实验服存放灭菌</w:t>
            </w:r>
            <w:r>
              <w:rPr>
                <w:rFonts w:hint="eastAsia" w:ascii="宋体" w:hAnsi="宋体" w:cs="宋体"/>
                <w:color w:val="000000" w:themeColor="text1"/>
                <w:szCs w:val="21"/>
                <w14:textFill>
                  <w14:solidFill>
                    <w14:schemeClr w14:val="tx1"/>
                  </w14:solidFill>
                </w14:textFill>
              </w:rPr>
              <w:t>柜</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规格尺寸L900mm×W450mm×H1800，全钢高光亮白色，蓝色内嵌一体拉手。</w:t>
            </w:r>
            <w:r>
              <w:rPr>
                <w:rFonts w:hint="eastAsia" w:ascii="宋体"/>
                <w:color w:val="000000" w:themeColor="text1"/>
                <w14:textFill>
                  <w14:solidFill>
                    <w14:schemeClr w14:val="tx1"/>
                  </w14:solidFill>
                </w14:textFill>
              </w:rPr>
              <w:t>配置灭菌灯。</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2200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更鞋暂存灭菌</w:t>
            </w:r>
            <w:r>
              <w:rPr>
                <w:rFonts w:hint="eastAsia" w:ascii="宋体" w:hAnsi="宋体" w:cs="宋体"/>
                <w:color w:val="000000" w:themeColor="text1"/>
                <w:szCs w:val="21"/>
                <w14:textFill>
                  <w14:solidFill>
                    <w14:schemeClr w14:val="tx1"/>
                  </w14:solidFill>
                </w14:textFill>
              </w:rPr>
              <w:t>柜</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1. 规格尺寸L600mm×W450mm×H1200mm，全钢高光亮白色，蓝色内嵌一体拉手。</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2.全钢材质，不得含木质材料。配置灭菌灯。</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1200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color w:val="000000" w:themeColor="text1"/>
                <w14:textFill>
                  <w14:solidFill>
                    <w14:schemeClr w14:val="tx1"/>
                  </w14:solidFill>
                </w14:textFill>
              </w:rPr>
              <w:t>防静电工作座位</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2628" w:type="pct"/>
            <w:shd w:val="clear" w:color="auto" w:fill="auto"/>
            <w:vAlign w:val="center"/>
          </w:tcPr>
          <w:p>
            <w:pPr>
              <w:numPr>
                <w:ilvl w:val="0"/>
                <w:numId w:val="6"/>
              </w:numPr>
              <w:tabs>
                <w:tab w:val="left" w:pos="420"/>
                <w:tab w:val="clear" w:pos="312"/>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PU发泡花纹靠背椅面坐垫，靠背，电镀气杆可调高度，铝合金马蹄凳脚，防静电轮子，导电链子。</w:t>
            </w:r>
          </w:p>
          <w:p>
            <w:pPr>
              <w:numPr>
                <w:ilvl w:val="0"/>
                <w:numId w:val="6"/>
              </w:numPr>
              <w:tabs>
                <w:tab w:val="left" w:pos="420"/>
                <w:tab w:val="clear" w:pos="312"/>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防静电指数10</w:t>
            </w:r>
            <w:r>
              <w:rPr>
                <w:rFonts w:hint="eastAsia" w:ascii="宋体" w:hAnsi="宋体" w:cs="宋体"/>
                <w:color w:val="000000" w:themeColor="text1"/>
                <w:szCs w:val="21"/>
                <w:vertAlign w:val="superscript"/>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vertAlign w:val="superscript"/>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Ω</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380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电子元件实验台</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张</w:t>
            </w:r>
          </w:p>
        </w:tc>
        <w:tc>
          <w:tcPr>
            <w:tcW w:w="2628" w:type="pct"/>
            <w:shd w:val="clear" w:color="auto" w:fill="auto"/>
            <w:vAlign w:val="center"/>
          </w:tcPr>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一、产品整体要求：</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1、产品外形尺寸：L1500mm×W750mm×H（850+1150）mm，下层陶瓷台面板实验操作台，上层全钢材质平分九格；</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2、下层：实验操作台L1500mm×W750mm×H850mm，H型钢支架带可调脚，上配三节导轨抽屉，下配钢板1.0mm厚的凹箱满柜，双箱体柜体对开门，蓝色内嵌一体拉手，15mm厚陶瓷台面，台面可承重300-400KG.</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3、上层：上柜L1500mm×W300mm×H1150mm三层平分三格，共九格。</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二、H型钢架，钢管采用40mm×60mm×1.5mm厚的钢管焊接打磨而成，钢管表面经酸洗、磷化、均匀静电环氧喷涂，化学防锈处理，耐酸碱腐蚀。</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三、柜体采用1.0mm厚钢板制作，表面经酸洗、磷化、均匀静电环氧喷涂，化学防锈处理，耐酸碱腐蚀。</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四、陶瓷台面板质量要求：</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1、实验台台面要求：采用</w:t>
            </w:r>
            <w:r>
              <w:rPr>
                <w:rFonts w:ascii="黑体" w:hAnsi="黑体" w:eastAsia="黑体" w:cs="黑体"/>
                <w:color w:val="000000" w:themeColor="text1"/>
                <w14:textFill>
                  <w14:solidFill>
                    <w14:schemeClr w14:val="tx1"/>
                  </w14:solidFill>
                </w14:textFill>
              </w:rPr>
              <w:t>≥</w:t>
            </w:r>
            <w:r>
              <w:rPr>
                <w:rFonts w:hint="eastAsia" w:ascii="黑体" w:hAnsi="黑体" w:eastAsia="黑体" w:cs="黑体"/>
                <w:color w:val="000000" w:themeColor="text1"/>
                <w14:textFill>
                  <w14:solidFill>
                    <w14:schemeClr w14:val="tx1"/>
                  </w14:solidFill>
                </w14:textFill>
              </w:rPr>
              <w:t>20</w:t>
            </w:r>
            <w:r>
              <w:rPr>
                <w:rFonts w:ascii="黑体" w:hAnsi="黑体" w:eastAsia="黑体" w:cs="黑体"/>
                <w:color w:val="000000" w:themeColor="text1"/>
                <w14:textFill>
                  <w14:solidFill>
                    <w14:schemeClr w14:val="tx1"/>
                  </w14:solidFill>
                </w14:textFill>
              </w:rPr>
              <w:t>mm</w:t>
            </w:r>
            <w:r>
              <w:rPr>
                <w:rFonts w:hint="eastAsia"/>
                <w:color w:val="000000" w:themeColor="text1"/>
                <w14:textFill>
                  <w14:solidFill>
                    <w14:schemeClr w14:val="tx1"/>
                  </w14:solidFill>
                </w14:textFill>
              </w:rPr>
              <w:t>厚一体实芯烧制实验室专用陶瓷台面，耐强腐蚀，耐高温，耐磨，便于清洁，永不变形变色，安全环保，免维护。</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为了保证台面材料质量，符合实验使用需求以及从环保角度保障实验室人员健康，台面材料符合以下技术参数及要求。供货时应提供由有资质的第三方出具的合格检验报告并加盖生产厂家公章（相同产品相同品牌检测报告有效)：</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2.1一体实芯、釉面要求：操作台台面外观为五面坯体，表面为釉面烧成颜色；样品敲碎后无空洞，无直径2mm以上气泡，无杂色，为一体实芯坯体；釉面与坯体之间无脱层，釉面与坯体呈一体结构；釉面为烧成颜色（非坯体颜色）。提供具备CMA或CNAS标识的第三方检测报告（检测报告需针对或包含以上要求），并且检测报告可通过“全国认证认可信息公共服务平台（认e云）（http://cx.cnca.cn）”，点击“检验检测”——“国家级或者省级资质认定获证机构查询验证报告真伪”。</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▲2.2耐腐蚀、污染性要求：表面耐化学、耐污染参照GB/T 17657-2022《人造板及饰面人造板理化性能试验方法》</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的技术标准，不少于20项化学试剂检测，检测结果为5级（无明显变化）。并提供具备CMA或CNAS标识的第三方检测报告，并且检测报告可通过“全国认证认可信息公共服务平台（认e云）（http://cx.cnca.cn）”，点击“检验检测”——“国家级或者省级资质认定获证机构查询验证报告真伪”。</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2.3耐光色牢度：参照GB/T 17657《人造板及饰面人造板理化性能试验方法》的性能检测方法，检测结果为≥4级。并提供具备CMA或CNAS标识的第三方检测报告，并且检测报告可通过“全国认证认可信息公共服务平台（认e云）（http://cx.cnca.cn）”，点击“检验检测”——“国家级或者省级资质认定获证机构查询验证报告真伪”。</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2.4吸水率：对陶瓷台面进行检测，检测结果为平均值≤0.05%。提供具备CMA或CNAS标识的第三方检测报告，并且检测报告可通过“全国认证认可信息公共服务平台（认e云）（http://cx.cnca.cn）”，点击“检验检测”——“国家级或者省级资质认定获证机构查询验证报告真伪”。</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2.5表面耐高温要求：为满足高温实验需求，台面表面耐高温温度不低于1000℃，表面无变化。需提供由国家认可的检测机构出具的第三方检测报告。</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▲2.6仪器台台面承重性能、破坏载荷要求：水平放置在支撑架上，施加≥700kg 载荷，未被破坏。需提供由国家认可的检测机构出具的第三方检测报告。</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▲2.7放射性核素限量性能：依据GB6566-2010《建筑材料放射性核素限量》的技术要求，检测结果符合：外照射指数≤0.7，内照射指数≤0.3，需提供具备CMA或CNAS标识的第三方检测报告。</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▲3.响应文件须提供台面样品的实物照片，尺寸：168mm*168mm*20mm。颜色至少提供2种以上供选择。</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▲四、响应文件中提供设计单件图。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6300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防静电胶垫</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pStyle w:val="10"/>
              <w:numPr>
                <w:ilvl w:val="0"/>
                <w:numId w:val="7"/>
              </w:numPr>
              <w:rPr>
                <w:color w:val="000000" w:themeColor="text1"/>
                <w14:textFill>
                  <w14:solidFill>
                    <w14:schemeClr w14:val="tx1"/>
                  </w14:solidFill>
                </w14:textFill>
              </w:rPr>
            </w:pPr>
            <w:r>
              <w:rPr>
                <w:rFonts w:hint="eastAsia"/>
                <w:color w:val="000000" w:themeColor="text1"/>
                <w14:textFill>
                  <w14:solidFill>
                    <w14:schemeClr w14:val="tx1"/>
                  </w14:solidFill>
                </w14:textFill>
              </w:rPr>
              <w:t>产品尺寸：根据台面尺寸定制；</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2、技术要求：≥2mm丁腈橡胶垫，蓝色；</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3、上表层为防静电层，底层为黑色导电层；</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4、蓝黑按1:1比例；</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5、由静电耗散层和导电层构成，优质丁腈橡胶为主要原料，添加优质导电碳黑和静电耗散剂等原料；</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6、良好的耐磨，耐油，耐酸碱，抗老化，抗阻燃，高弹性，表面平整不卷曲；</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7、环保，无异味；</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▲8.响应文件中提供产品参数彩页。</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9.不得含有铅、汞、镉、六价铬等重金属及多溴联苯，供货时提供国家认可的第三方出具的合格检测报告（同品牌同产品检测报告有效）。</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台上置物装置</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1.规格尺寸：L1800mm×W400mm×H800mm，2层结构。</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2.304不锈钢材质，两块304不锈钢国标1.0厚层板单层层板加加强筋，6条腿304不锈钢38mm×38mm×1.2mm方管。</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3.响应文件中提供单件设计图。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可移动导线装置</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L1000mm×W600mm×H1500mm，复合钢管结构，含布线板，带移动轮。</w:t>
            </w:r>
            <w:r>
              <w:rPr>
                <w:rFonts w:hint="eastAsia"/>
                <w:color w:val="000000" w:themeColor="text1"/>
                <w14:textFill>
                  <w14:solidFill>
                    <w14:schemeClr w14:val="tx1"/>
                  </w14:solidFill>
                </w14:textFill>
              </w:rPr>
              <w:t>响应文件中</w:t>
            </w:r>
            <w:r>
              <w:rPr>
                <w:rFonts w:hint="eastAsia" w:ascii="宋体" w:hAnsi="宋体" w:cs="宋体"/>
                <w:color w:val="000000" w:themeColor="text1"/>
                <w:szCs w:val="21"/>
                <w14:textFill>
                  <w14:solidFill>
                    <w14:schemeClr w14:val="tx1"/>
                  </w14:solidFill>
                </w14:textFill>
              </w:rPr>
              <w:t>提供产品彩图。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0805贴片电容盒</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盒</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128格元件盒尺寸L279mm×W215mm×H40mm，单元格尺寸L20mm×W15mm×H17mm。0.5PF-10UF 全系列电容元件， 92种容值各200个。</w:t>
            </w:r>
            <w:r>
              <w:rPr>
                <w:rFonts w:hint="eastAsia"/>
                <w:color w:val="000000" w:themeColor="text1"/>
                <w14:textFill>
                  <w14:solidFill>
                    <w14:schemeClr w14:val="tx1"/>
                  </w14:solidFill>
                </w14:textFill>
              </w:rPr>
              <w:t>响应文件中</w:t>
            </w:r>
            <w:r>
              <w:rPr>
                <w:rFonts w:hint="eastAsia" w:ascii="宋体" w:hAnsi="宋体" w:cs="宋体"/>
                <w:color w:val="000000" w:themeColor="text1"/>
                <w:szCs w:val="21"/>
                <w14:textFill>
                  <w14:solidFill>
                    <w14:schemeClr w14:val="tx1"/>
                  </w14:solidFill>
                </w14:textFill>
              </w:rPr>
              <w:t>提供产品彩图。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0603贴片电容盒</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盒</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128格元件盒尺寸L279mm×W215mm×H40mm，单元格尺寸L20mm×W15mm×H17mm。0.5PF-10UF全系列 电容元件， 92种容值各200个。</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常用贴片钽电容样品本</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尺寸L190mm×W135mm×H35mm，10/47/100/220/330UF35V胆电容常用 A型B型C型D型40种容值。</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850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0805贴片电阻盒</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盒</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128格元件盒尺寸L279mm×W215mm×H40mm，单元格尺寸L20mm×W15mm×H17mm。1%精度全系列电阻元件，384种阻值各200个。</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4400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0603贴片电阻盒</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盒</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128格元件盒尺寸L279mm×W215mm×H40mm，单元格尺寸L20mm×W15mm×H17mm。1%精度全系列电阻元件，384种阻值各200个。</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3900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万向排气罩排风系统</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(一)、万向排气罩：</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1.应结构合理、操作简便，调节灵活，通过对有害烟气的有效抽排，保持实验室室内空气清洁。</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2.排气系统的管件及关节：需用聚丙烯(PP)制造，对化学药剂的侵蚀和沾污有耐御性能。</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3.前端罩子：应采用聚碳酸酯(PC)制造，有良好的耐腐蚀及耐热性能，强度高，在110°高温烟气环境下不变形，透明度好。</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(二)、排风系统：</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1.斜流风机：1台，φ200mm口径斜流风机，风量760~970</w:t>
            </w: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/h。</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2.风管：φ110mm→φ200mm，A级PP材质，含弯头、三通等。</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3.防虫防雨帽：1个。</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4.辅材：1式，含室内支架、丝杆、膨胀螺栓、管卡、焊条、螺丝等。</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5.墙体开孔、修复处理：1个。</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文化背景墙(C座前厅)</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numPr>
                <w:ilvl w:val="255"/>
                <w:numId w:val="0"/>
              </w:num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1.墙壁轻钢龙骨结构，9厘米夹板打底，面封蓝色钢化玻璃</w:t>
            </w:r>
            <w:r>
              <w:rPr>
                <w:rFonts w:hint="eastAsia" w:ascii="宋体"/>
                <w:color w:val="000000" w:themeColor="text1"/>
                <w14:textFill>
                  <w14:solidFill>
                    <w14:schemeClr w14:val="tx1"/>
                  </w14:solidFill>
                </w14:textFill>
              </w:rPr>
              <w:t>或亚克力材质</w:t>
            </w:r>
            <w:r>
              <w:rPr>
                <w:rFonts w:hint="eastAsia" w:ascii="宋体" w:hAnsi="宋体" w:cs="宋体"/>
                <w:color w:val="000000" w:themeColor="text1"/>
                <w:szCs w:val="21"/>
                <w14:textFill>
                  <w14:solidFill>
                    <w14:schemeClr w14:val="tx1"/>
                  </w14:solidFill>
                </w14:textFill>
              </w:rPr>
              <w:t>；内嵌发光线槽，营造光学科技感氛围；水晶发光字，标识广告。</w:t>
            </w:r>
          </w:p>
          <w:p>
            <w:pPr>
              <w:numPr>
                <w:ilvl w:val="255"/>
                <w:numId w:val="0"/>
              </w:num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2.门面用高清UV打印膜粘贴装饰，保持整体色调、风格一致。</w:t>
            </w:r>
          </w:p>
          <w:p>
            <w:pPr>
              <w:numPr>
                <w:ilvl w:val="255"/>
                <w:numId w:val="0"/>
              </w:numPr>
              <w:tabs>
                <w:tab w:val="left" w:pos="420"/>
              </w:tabs>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3.响应文件中提供符合现场实际情况的立体图和VR全景图</w:t>
            </w:r>
            <w:r>
              <w:rPr>
                <w:rFonts w:hint="eastAsia"/>
                <w:color w:val="000000" w:themeColor="text1"/>
                <w14:textFill>
                  <w14:solidFill>
                    <w14:schemeClr w14:val="tx1"/>
                  </w14:solidFill>
                </w14:textFill>
              </w:rPr>
              <w:t>(提供链接网址，可查看360°VR全景设计图)</w:t>
            </w:r>
            <w:r>
              <w:rPr>
                <w:rFonts w:hint="eastAsia" w:ascii="宋体" w:hAnsi="宋体" w:cs="宋体"/>
                <w:color w:val="000000" w:themeColor="text1"/>
                <w:szCs w:val="21"/>
                <w14:textFill>
                  <w14:solidFill>
                    <w14:schemeClr w14:val="tx1"/>
                  </w14:solidFill>
                </w14:textFill>
              </w:rPr>
              <w:t>。</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950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78850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星空顶</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53</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1.轻钢龙骨结构，聚酯纤维吸音板或蜂窝板材质，配置光源控制器、光纤灯线发光，模拟星空造型(可订制环绕星球、月亮、星星、流星、漩涡等图案)。</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2.中间做凹形造型设计，用于吊装空间站模型。</w:t>
            </w:r>
          </w:p>
          <w:p>
            <w:pPr>
              <w:tabs>
                <w:tab w:val="left" w:pos="420"/>
              </w:tabs>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3.响应文件中提供符合现场实际情况的立体图和VR全景图</w:t>
            </w:r>
            <w:r>
              <w:rPr>
                <w:rFonts w:hint="eastAsia"/>
                <w:color w:val="000000" w:themeColor="text1"/>
                <w14:textFill>
                  <w14:solidFill>
                    <w14:schemeClr w14:val="tx1"/>
                  </w14:solidFill>
                </w14:textFill>
              </w:rPr>
              <w:t>(提供链接网址，可查看360°VR全景设计图，VR全景图需清晰展示核心区域布局、设备摆放位置及关键尺寸，无需复杂交互功能，可采用简易360°静态全景形式)</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780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41340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中国空间站合金模型</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1.中国空间站六舱模型，模型比例：1：20，尺寸L1950mm×W1850mm×H1600mm，铝合金材质，3D复合打印。</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2.响应文件中提供符合现场实际情况的立体图和VR全景图(提供链接网址，可查看360°VR全景设计图，VR全景图需清晰展示核心区域布局、设备摆放位置及关键尺寸，无需复杂交互功能，可采用简易360°静态全景形式)。</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▲3.响应文件中提供产品说明，内容包含“产品材质工艺、产品照片”。</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45000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钢玻坡面展柜</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numPr>
                <w:ilvl w:val="255"/>
                <w:numId w:val="0"/>
              </w:num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1.尺寸：L1200mm×W750mm×H1000mm;</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2.整柜材质采用1.5mm冷轧板喷涂，翻盖门采用5+5mm超白夹胶玻璃+镀锌板方通外喷涂+电动升降开启+独立遥控器+定制专用升降配件+木质麻布板+文物展示专用立杆灯具+电源+万向轮;</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3.每个柜子配2个展示孔位台200mm×200mm×35mm材质采用木质裱麻布。</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4.响应文件中提供产品彩页或柜体单件图。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12800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27</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钢玻沿墙展柜</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numPr>
                <w:ilvl w:val="255"/>
                <w:numId w:val="0"/>
              </w:num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1.尺寸：L1800mm×W750mm×H2800mm;</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整柜材质采用1.5mm冷轧板喷涂，6+6超清夹胶抗爆玻璃，文物柜专用射灯，定制型铝合金型材玻璃卡槽，定制型铝型材，信号接收器，遥控器，电动开启(电动推出，手动推拉)，亚克力灯板，LED硬灯条，文物柜专用3w射灯欧司朗芯片，环保防潮板裱麻布，镀锌方通骨架结构，密封胶条。</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3.响应文件中提供产品彩页或柜体单件图。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30000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snapToGrid w:val="0"/>
              <w:spacing w:line="400" w:lineRule="exact"/>
              <w:ind w:firstLine="482"/>
              <w:jc w:val="center"/>
              <w:rPr>
                <w:color w:val="000000" w:themeColor="text1"/>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(四)、土建改造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楼顶机房地面硬化</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3</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15000mm×5000mm×150mm(可根据现场情况适配)，水泥沙浆制作，C30混凝土。包含原旧楼面隔热层拆除，清运。</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633.05</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7596.6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拆除墙体</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145</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拆除墙体(200墙，长35000mm×高4160mm)，清理，装运及部分损坏墙体地面铺瓷砖修复。</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135</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拆除吊顶</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285</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洁净实验室及走廊原旧铝扣板吊顶拆除、清理、运输处理。</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6.88</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墙面粉刷</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140</w:t>
            </w:r>
          </w:p>
        </w:tc>
        <w:tc>
          <w:tcPr>
            <w:tcW w:w="240" w:type="pct"/>
            <w:shd w:val="clear" w:color="auto" w:fill="auto"/>
            <w:vAlign w:val="center"/>
          </w:tcPr>
          <w:p>
            <w:pPr>
              <w:tabs>
                <w:tab w:val="left" w:pos="420"/>
              </w:tabs>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墙面修复、腻子粉粉刷，漏水部分作防水处理。</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19.19</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2686.6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snapToGrid w:val="0"/>
              <w:spacing w:line="400" w:lineRule="exact"/>
              <w:ind w:firstLine="482"/>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(五)、实验室电路改造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总电箱</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1.箱壳外形尺寸≥1000mm×1200mm×300mm。</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2.304#不锈钢材质，厚度δ≥1.5mm。</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3.三相380V进线(线径≥4×185+1×150)：安装容量Pn=188.00kW，功率因数Cosφ=0.80，功率系数Kd=0.80，有功功率Pc=150.40kW，计算电流Ic=285.64A。</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回路数≥9，分别为照明插座控制电源1路9Kw、滤波电源控制电源1路60Kw、标定真空系统电路4路各5Kw、转轮除湿净化空调机组和风冷模块机组电源1路90Kw、排烟风机电源1路4Kw，备用电源1路5Kw。各回路根据功率需要以及额定电流，配置断路器、空开、漏保，同时配置防雷浪涌保护器，零地接线排各一组。具体配置（总控剩余电流动作塑壳断路器：4P 400A×1个；分控塑壳断路器4P 250A×1个、4P 160A×1个；分控空气开关：3P 25A×6个，3P 32A×2个；浪涌保护器：20KA/4P 385V×1个），配置可根据现场情况优化调整。</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5.按照三相五线制标准接线，各回路线径及其承载电流满足该回路的额定电流。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6.为了现场安装安全，供应商安装人员需具有电工操作资质，响应文件中提供资质证书以及</w:t>
            </w:r>
            <w:r>
              <w:rPr>
                <w:rFonts w:hint="eastAsia"/>
                <w:color w:val="000000" w:themeColor="text1"/>
                <w:kern w:val="0"/>
                <w14:textFill>
                  <w14:solidFill>
                    <w14:schemeClr w14:val="tx1"/>
                  </w14:solidFill>
                </w14:textFill>
              </w:rPr>
              <w:t>该人员在响应供应商公司的最近6个月中任一个月的社保证明文件或该</w:t>
            </w:r>
            <w:r>
              <w:rPr>
                <w:rFonts w:hint="eastAsia"/>
                <w:color w:val="000000" w:themeColor="text1"/>
                <w14:textFill>
                  <w14:solidFill>
                    <w14:schemeClr w14:val="tx1"/>
                  </w14:solidFill>
                </w14:textFill>
              </w:rPr>
              <w:t>人员的劳动合同或供应商为该人员发放工资的银行流水证明等。</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▲7.为了产品质量以及操作安全和规范，响应文件中提供电路布置图和电箱配电系统图。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9500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滤波电源控制箱</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1.外形尺寸≥1000mm×1200mm×300mm。</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2.304#不锈钢材质，厚度δ≥1.5mm。</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3.三相380V进线(线径≥4×70+1×35)，转单相220V配电箱，安装容量Pn=60.00kW，功率因数Cosφ=0.80，功率系数Kd=0.80，有功功率Pc=48.00kW，计算电流Ic=91.16A。</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4.回路数≥12，分别为光学平台电源10路各5Kw、标定真空系统1路5Kw、低能偏振真空系统1路5Kw。各回路根据功率需要以及额定电流，配置断路器、空开、漏保。具体配置（总控剩余电流动作塑壳断路器：4P 160A×1个；分控空气开关(带漏保)： 2P 32A×12个），配置可根据现场情况优化调整。</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▲5.每条回路终端，配置一个单相RFI滤波器（30A, 250 V 交流, 50-60Hz, 法兰, 30VK6），共12个滤波器。提供滤波器彩图及技术说明书。</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6.按照三相五线制标准接线，各回路线径及其承载电流满足该回路的额定电流。</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▲7.为了产品质量以及操作安全和规范，响应文件中提供电路布置图和电箱配电系统图。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20800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照明插座控制电箱</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1.全塑，标准型。</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2.回路数≥9，各回路根据功率需要以及额定电流，配置断路器、空开、漏保。具体配置（总控空气开关： 3P 32A×1个；分控空气开关： 1P 16A×5个；分空气开关(带漏保)： 2P 16A×4个），配置可根据现场情况优化调整。</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▲3.为了产品质量以及操作安全和规范，响应文件中提供电箱配电系统图。洁净实验室及走廊要求照度值(lx)≥350，响应文件中提供照明计算表。</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分电箱</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numPr>
                <w:ilvl w:val="0"/>
                <w:numId w:val="8"/>
              </w:numPr>
              <w:tabs>
                <w:tab w:val="left" w:pos="420"/>
                <w:tab w:val="clear" w:pos="312"/>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外形尺寸≥400mm×300mm×180mm。</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2.不锈钢材质。</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3.回路数≥4，各回路根据功率需要以及额定电流，配置空开、漏保。具体配置（总控空气开关： 3P 25A×1个，分控空气开关(带漏保)：3P 20A×1个，分控空气开关(带漏保)： 2P 16A×3个），配置可根据现场情况优化调整。</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▲4.为了保证产品质量及操作安全和规范，响应文件中提供电箱配电系统图。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577" w:type="pct"/>
            <w:shd w:val="clear" w:color="auto" w:fill="auto"/>
            <w:vAlign w:val="center"/>
          </w:tcPr>
          <w:p>
            <w:pPr>
              <w:tabs>
                <w:tab w:val="left" w:pos="420"/>
                <w:tab w:val="left" w:pos="105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空调动力配电箱</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1.外形尺寸≥500mm×400mm×180mm。</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2.不锈钢材质。</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3.三相380V进线(线径≥4×95+1×50)，安装容量Pn=90.00kW，功率因数Cosφ=0.80，功率系数Kd=0.80，有功功率Pc=72.00kW，计算电流Ic=136.74A。</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4.回路数≥2，1路为转轮除湿净化空调机组电源(线径≥4×70+1×35)63Kw，2路为风冷模块机组电源(线径≥5×16)27Kw。各回路根据功率需要以及额定电流，配置断路器、空开、漏保，同时配置浪涌保护器，零地接线排各一组。具体配置（总控剩余电流动作塑壳断路器：4P 250A×1个；分控剩余电流动作塑壳断路器：4P 160A×1个，分控空气开关： 3P 63A×1个，4P 32A×1个；浪涌保护器：20KA/4P 385V×1个），配置可根据现场情况优化调整。</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▲5.为了产品质量以及操作安全和规范，响应文件中需提供电箱配电系统图。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3850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钢制镀锌桥架</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米</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1.钢制镀锌板，300mm×100mm×1.5mm</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▲2.供货时提供同品牌同产品的国家认可的第三方出具的合格检验报告（以往检验报告有效）。</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108.51</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10851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12" w:hRule="atLeast"/>
        </w:trPr>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电缆线</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43</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米</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1.国标，ZC-YJV，4*185+1*95mm</w:t>
            </w:r>
            <w:r>
              <w:rPr>
                <w:rFonts w:hint="eastAsia" w:ascii="宋体" w:hAnsi="宋体" w:cs="宋体"/>
                <w:color w:val="000000" w:themeColor="text1"/>
                <w:szCs w:val="21"/>
                <w:vertAlign w:val="superscript"/>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，CT敷设；</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▲2.供货时提供出厂合检验报告。</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1068.66</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45952.38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23" w:hRule="atLeast"/>
        </w:trPr>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电缆线</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米</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国标，ZC-YJV，4*95+1*50mm</w:t>
            </w:r>
            <w:r>
              <w:rPr>
                <w:rFonts w:hint="eastAsia" w:ascii="宋体" w:hAnsi="宋体" w:cs="宋体"/>
                <w:color w:val="000000" w:themeColor="text1"/>
                <w:szCs w:val="21"/>
                <w:vertAlign w:val="superscript"/>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，CT敷设；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439.52</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10108.96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75" w:hRule="atLeast"/>
        </w:trPr>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电缆线</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米</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国标，ZC-YJV，4*70+1*35mm</w:t>
            </w:r>
            <w:r>
              <w:rPr>
                <w:rFonts w:hint="eastAsia" w:ascii="宋体" w:hAnsi="宋体" w:cs="宋体"/>
                <w:color w:val="000000" w:themeColor="text1"/>
                <w:szCs w:val="21"/>
                <w:vertAlign w:val="superscript"/>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，CT敷设；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315.85</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5053.60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电缆线</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米</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国标，ZC-YJV，5*16mm</w:t>
            </w:r>
            <w:r>
              <w:rPr>
                <w:rFonts w:hint="eastAsia" w:ascii="宋体" w:hAnsi="宋体" w:cs="宋体"/>
                <w:color w:val="000000" w:themeColor="text1"/>
                <w:szCs w:val="21"/>
                <w:vertAlign w:val="superscript"/>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，CT敷设；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106.38</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957.42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电缆线</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226</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米</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国标，ZC-YJV，5*6mm</w:t>
            </w:r>
            <w:r>
              <w:rPr>
                <w:rFonts w:hint="eastAsia" w:ascii="宋体" w:hAnsi="宋体" w:cs="宋体"/>
                <w:color w:val="000000" w:themeColor="text1"/>
                <w:szCs w:val="21"/>
                <w:vertAlign w:val="superscript"/>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，CT敷设；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51.48</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11634.48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电缆线</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135</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米</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国标，ZC-YJV，5*4mm</w:t>
            </w:r>
            <w:r>
              <w:rPr>
                <w:rFonts w:hint="eastAsia" w:ascii="宋体" w:hAnsi="宋体" w:cs="宋体"/>
                <w:color w:val="000000" w:themeColor="text1"/>
                <w:szCs w:val="21"/>
                <w:vertAlign w:val="superscript"/>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，CT敷设；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电源线</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800</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米</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国标，ZC-BVR，2.5mm</w:t>
            </w:r>
            <w:r>
              <w:rPr>
                <w:rFonts w:hint="eastAsia" w:ascii="宋体" w:hAnsi="宋体" w:cs="宋体"/>
                <w:color w:val="000000" w:themeColor="text1"/>
                <w:szCs w:val="21"/>
                <w:vertAlign w:val="superscript"/>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，PC20，SCE吊顶内敷设；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3.99</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3192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PVC线管</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230</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米</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ф≥16，穿硬塑料导管敷设</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铝型材及灯带(走廊)</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400</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米</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走廊顶角线采用铝合金灯槽，配亚克力材质面罩，含LED灯带及配件，上下出光洗墙；洁净门、窗外筐贴LED灯带；墙体贴LED灯带做造型；从下至上，打造层次分明、立体感强的参观走廊。</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25</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w:t>
            </w:r>
            <w:r>
              <w:rPr>
                <w:rFonts w:ascii="宋体" w:hAnsi="宋体" w:cs="宋体"/>
                <w:color w:val="000000" w:themeColor="text1"/>
                <w:kern w:val="0"/>
                <w:szCs w:val="21"/>
                <w:lang w:bidi="ar"/>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五孔插座</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36</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国标，86型五孔插座。</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49.55</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1783.8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不锈钢网格桥架</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米</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网格桥架，304不锈钢材质，100mm×100mm(丝径4mm)。</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38.49</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2309.4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专用分控插座</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PDU机柜专用分控插座，10位，10A，国标五孔，独控开关。</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350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19</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开关</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批</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国标，单控或双控。</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洁净净化平板灯</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1200mm×300mm×10mm，功率48W。</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181.5</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7441.5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LED应急电源</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≥48W,包含电池等配套灯具，应急时间≥90分钟。</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130.59</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1436.49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snapToGrid w:val="0"/>
              <w:spacing w:line="400" w:lineRule="exact"/>
              <w:ind w:firstLine="482"/>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(六)、实验室网络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网络交换机</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24口，千兆。</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1200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网络点位</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位</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网口面板及六类网线，含线槽及安装等，包含电脑、智慧屏网络点位。</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snapToGrid w:val="0"/>
              <w:spacing w:line="400" w:lineRule="exact"/>
              <w:ind w:firstLine="482"/>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(七)、原C803及C805风口移位至走廊和前厅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中央空调风口移位</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拆装原中央空调管道及风口，移位至走廊通道，更换新出风口散流器。</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167</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原新风口移位</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拆装原新管道及风口，移位至走廊通道，更换新出风口散流器。</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167</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snapToGrid w:val="0"/>
              <w:spacing w:line="400" w:lineRule="exact"/>
              <w:ind w:firstLine="482"/>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(八)、原有消防设备设施对接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652"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消防喷淋头装置</w:t>
            </w:r>
          </w:p>
        </w:tc>
        <w:tc>
          <w:tcPr>
            <w:tcW w:w="309"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38</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原消防喷淋头装置用PVC水管延长对接新吊顶安装</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80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652"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消防烟感装置</w:t>
            </w:r>
          </w:p>
        </w:tc>
        <w:tc>
          <w:tcPr>
            <w:tcW w:w="309"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原消防烟感装置对接新吊顶安装</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snapToGrid w:val="0"/>
              <w:spacing w:line="400" w:lineRule="exact"/>
              <w:ind w:firstLine="482"/>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(九)、新增洁净实验室消防设备设施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70℃防火阀</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pStyle w:val="10"/>
              <w:numPr>
                <w:ilvl w:val="0"/>
                <w:numId w:val="9"/>
              </w:numPr>
              <w:rPr>
                <w:color w:val="000000" w:themeColor="text1"/>
                <w14:textFill>
                  <w14:solidFill>
                    <w14:schemeClr w14:val="tx1"/>
                  </w14:solidFill>
                </w14:textFill>
              </w:rPr>
            </w:pPr>
            <w:r>
              <w:rPr>
                <w:color w:val="000000" w:themeColor="text1"/>
                <w14:textFill>
                  <w14:solidFill>
                    <w14:schemeClr w14:val="tx1"/>
                  </w14:solidFill>
                </w14:textFill>
              </w:rPr>
              <w:t>基础信息：70℃温度熔断关闭，用于通风、空调系统中，火灾时阻断烟火蔓延，保障建筑消防安全。</w:t>
            </w:r>
            <w:r>
              <w:rPr>
                <w:color w:val="000000" w:themeColor="text1"/>
                <w14:textFill>
                  <w14:solidFill>
                    <w14:schemeClr w14:val="tx1"/>
                  </w14:solidFill>
                </w14:textFill>
              </w:rPr>
              <w:br w:type="textWrapping"/>
            </w:r>
            <w:r>
              <w:rPr>
                <w:color w:val="000000" w:themeColor="text1"/>
                <w14:textFill>
                  <w14:solidFill>
                    <w14:schemeClr w14:val="tx1"/>
                  </w14:solidFill>
                </w14:textFill>
              </w:rPr>
              <w:t>2、材质规格：阀体材质为镀锌材质，阀体为一体铆接阀，阀体长L=220mm±（10）mm,阀体板厚1.8mm±（0.1）mm,叶片板厚：1.8mm±（0.1）mm。</w:t>
            </w:r>
            <w:r>
              <w:rPr>
                <w:color w:val="000000" w:themeColor="text1"/>
                <w14:textFill>
                  <w14:solidFill>
                    <w14:schemeClr w14:val="tx1"/>
                  </w14:solidFill>
                </w14:textFill>
              </w:rPr>
              <w:br w:type="textWrapping"/>
            </w:r>
            <w:r>
              <w:rPr>
                <w:color w:val="000000" w:themeColor="text1"/>
                <w14:textFill>
                  <w14:solidFill>
                    <w14:schemeClr w14:val="tx1"/>
                  </w14:solidFill>
                </w14:textFill>
              </w:rPr>
              <w:t>3、尺寸参数：尺寸定制，适配不同通风管道。</w:t>
            </w:r>
          </w:p>
          <w:p>
            <w:pPr>
              <w:pStyle w:val="10"/>
              <w:rPr>
                <w:color w:val="000000" w:themeColor="text1"/>
                <w14:textFill>
                  <w14:solidFill>
                    <w14:schemeClr w14:val="tx1"/>
                  </w14:solidFill>
                </w14:textFill>
              </w:rPr>
            </w:pPr>
            <w:r>
              <w:rPr>
                <w:rFonts w:hint="eastAsia"/>
                <w:color w:val="000000" w:themeColor="text1"/>
                <w14:textFill>
                  <w14:solidFill>
                    <w14:schemeClr w14:val="tx1"/>
                  </w14:solidFill>
                </w14:textFill>
              </w:rPr>
              <w:t>4.供货时提供同品牌同产品的消防产品认证证书。</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1200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离心式排烟风机</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功率：4kw。</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转速：800r/min。</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流量：10300～17340(15000)m</w:t>
            </w:r>
            <w:r>
              <w:rPr>
                <w:rFonts w:ascii="宋体" w:hAnsi="宋体" w:cs="宋体"/>
                <w:color w:val="000000" w:themeColor="text1"/>
                <w:szCs w:val="21"/>
                <w:vertAlign w:val="superscript"/>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/h。</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余压：505-310(450)Pa。</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噪声：≤72dB(A)。</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排烟风管(定制)</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m</w:t>
            </w:r>
            <w:r>
              <w:rPr>
                <w:rFonts w:hint="eastAsia" w:ascii="宋体" w:hAnsi="宋体" w:cs="宋体"/>
                <w:color w:val="000000" w:themeColor="text1"/>
                <w:szCs w:val="21"/>
                <w:vertAlign w:val="superscript"/>
                <w14:textFill>
                  <w14:solidFill>
                    <w14:schemeClr w14:val="tx1"/>
                  </w14:solidFill>
                </w14:textFill>
              </w:rPr>
              <w:t>2</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304不锈钢材质，按风量定制；不锈钢厚度0.6～1.0mm。</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单层固定百叶风口</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1000mm×500mm(可根据现场情况适配)，喷塑，乳白色。</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远控排烟阀</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700mm×700mm(可根据现场情况适配)，不锈钢材质，标配远控钢丝绳6米，操作面板。</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3200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管片式消声器</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1.700mm×700mm×900mm(可根据现场情况适配)</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2.供货时提供相同品牌同种产品的具有CMA或CNAS标志的第三方检验报告。检验依据：</w:t>
            </w:r>
            <w:bookmarkStart w:id="39" w:name="OLE_LINK9"/>
            <w:r>
              <w:rPr>
                <w:rFonts w:hint="eastAsia"/>
                <w:color w:val="000000" w:themeColor="text1"/>
                <w14:textFill>
                  <w14:solidFill>
                    <w14:schemeClr w14:val="tx1"/>
                  </w14:solidFill>
                </w14:textFill>
              </w:rPr>
              <w:t>HJ 2523－2012</w:t>
            </w:r>
            <w:bookmarkEnd w:id="39"/>
            <w:r>
              <w:rPr>
                <w:rFonts w:hint="eastAsia"/>
                <w:color w:val="000000" w:themeColor="text1"/>
                <w14:textFill>
                  <w14:solidFill>
                    <w14:schemeClr w14:val="tx1"/>
                  </w14:solidFill>
                </w14:textFill>
              </w:rPr>
              <w:t>《环境保护产品技术要求 通风消声器》。</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1300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280℃全自动防烟防火调节阀</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700mm×700mm(可根据现场情况适配)，不锈钢材质。</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3500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snapToGrid w:val="0"/>
              <w:spacing w:line="400" w:lineRule="exact"/>
              <w:ind w:firstLine="482"/>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(十)、实验室隔断及水电安装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岩棉玻镁复合夹芯净化板(A706隔断)</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m</w:t>
            </w:r>
            <w:r>
              <w:rPr>
                <w:rFonts w:hint="eastAsia" w:ascii="宋体" w:hAnsi="宋体" w:cs="宋体"/>
                <w:color w:val="000000" w:themeColor="text1"/>
                <w:vertAlign w:val="superscript"/>
                <w14:textFill>
                  <w14:solidFill>
                    <w14:schemeClr w14:val="tx1"/>
                  </w14:solidFill>
                </w14:textFill>
              </w:rPr>
              <w:t>2</w:t>
            </w:r>
          </w:p>
        </w:tc>
        <w:tc>
          <w:tcPr>
            <w:tcW w:w="2628" w:type="pct"/>
            <w:shd w:val="clear" w:color="auto" w:fill="auto"/>
            <w:vAlign w:val="center"/>
          </w:tcPr>
          <w:p>
            <w:pPr>
              <w:tabs>
                <w:tab w:val="left" w:pos="420"/>
              </w:tabs>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一、整体要求：墙面为净化白灰色岩棉玻镁复合夹芯彩钢板，规格1150mm×50mm，防火A级岩棉玻镁夹芯(不反卤玻镁)，双面PE聚脂涂层，含铝材配件及安装，安装高度2.8m。</w:t>
            </w:r>
          </w:p>
          <w:p>
            <w:pPr>
              <w:numPr>
                <w:ilvl w:val="255"/>
                <w:numId w:val="0"/>
              </w:numPr>
              <w:tabs>
                <w:tab w:val="left" w:pos="420"/>
              </w:tabs>
              <w:snapToGrid w:val="0"/>
              <w:jc w:val="left"/>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工艺：采用定制的内外圆弧铝合金型材，与净化板嵌合组装，实现无尘圆弧效果。</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二、板材技术参数：</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1.有效宽度：1150mm，厚度：50mm。</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2.填充复合芯材：不返卤硫酸镁、氧化镁和卤水三元为主要原料，以中碱性玻纤网作增强材料，以高密度防水、无味、无毒、不腐、不裂的玄武岩棉作填充芯材。</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3.安装结构：企口型拼接。</w:t>
            </w: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color w:val="000000" w:themeColor="text1"/>
                <w:szCs w:val="21"/>
                <w14:textFill>
                  <w14:solidFill>
                    <w14:schemeClr w14:val="tx1"/>
                  </w14:solidFill>
                </w14:textFill>
              </w:rPr>
              <w:t>4.要求：产品表面为高级聚酯树脂、氟碳树脂、高耐候树脂等烤漆彩钢板，金属面采用镀锌板，耐腐蚀、耐酸、耐爆裂、耐高温、耐老化性能优。产品芯材均是A级以上阻燃材料，燃烧时不会融化，也没有高温分解滴落物，材料环保无毒无污染，芯强度高、耐冲击、抗震性好。</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三、拆装服务:</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1、两台吊扇及控制器拆卸、搬迁、重新安装。</w:t>
            </w:r>
          </w:p>
          <w:p>
            <w:pPr>
              <w:pStyle w:val="20"/>
              <w:rPr>
                <w:color w:val="000000" w:themeColor="text1"/>
                <w14:textFill>
                  <w14:solidFill>
                    <w14:schemeClr w14:val="tx1"/>
                  </w14:solidFill>
                </w14:textFill>
              </w:rPr>
            </w:pPr>
            <w:r>
              <w:rPr>
                <w:rFonts w:hint="eastAsia"/>
                <w:color w:val="000000" w:themeColor="text1"/>
                <w14:textFill>
                  <w14:solidFill>
                    <w14:schemeClr w14:val="tx1"/>
                  </w14:solidFill>
                </w14:textFill>
              </w:rPr>
              <w:t>2、原有实验台约(36.7米)拆卸、搬迁、重新安装。</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全铝推拉门</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1200mm×2100mm，全铝合金材质</w:t>
            </w:r>
            <w:r>
              <w:rPr>
                <w:rFonts w:hint="eastAsia" w:ascii="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型材壁厚≥2.0mm，钢化玻璃，厚度≥8mm。</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1800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墙上明装五孔插座及配线</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个</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国标，86型五孔插座(带开关)，2.5mm</w:t>
            </w:r>
            <w:r>
              <w:rPr>
                <w:rFonts w:ascii="宋体" w:hAnsi="宋体" w:cs="宋体"/>
                <w:color w:val="000000" w:themeColor="text1"/>
                <w:szCs w:val="21"/>
                <w:vertAlign w:val="superscript"/>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铜芯线，PVC线槽。</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21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577"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给排水连接管件</w:t>
            </w:r>
          </w:p>
        </w:tc>
        <w:tc>
          <w:tcPr>
            <w:tcW w:w="384" w:type="pct"/>
            <w:gridSpan w:val="2"/>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0" w:type="pct"/>
            <w:shd w:val="clear" w:color="auto" w:fill="auto"/>
            <w:vAlign w:val="center"/>
          </w:tcPr>
          <w:p>
            <w:pPr>
              <w:tabs>
                <w:tab w:val="left" w:pos="420"/>
              </w:tabs>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套</w:t>
            </w:r>
          </w:p>
        </w:tc>
        <w:tc>
          <w:tcPr>
            <w:tcW w:w="2628" w:type="pct"/>
            <w:shd w:val="clear" w:color="auto" w:fill="auto"/>
            <w:vAlign w:val="center"/>
          </w:tcPr>
          <w:p>
            <w:pPr>
              <w:tabs>
                <w:tab w:val="left" w:pos="420"/>
              </w:tabs>
              <w:snapToGrid w:val="0"/>
              <w:jc w:val="left"/>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PVC水管连接，D25给水管，D50排水管。</w:t>
            </w:r>
          </w:p>
        </w:tc>
        <w:tc>
          <w:tcPr>
            <w:tcW w:w="451"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500</w:t>
            </w:r>
          </w:p>
        </w:tc>
        <w:tc>
          <w:tcPr>
            <w:tcW w:w="503" w:type="pct"/>
            <w:shd w:val="clear" w:color="auto" w:fill="auto"/>
            <w:vAlign w:val="center"/>
          </w:tcPr>
          <w:p>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tcBorders>
              <w:top w:val="nil"/>
            </w:tcBorders>
            <w:shd w:val="clear" w:color="auto" w:fill="auto"/>
            <w:vAlign w:val="center"/>
          </w:tcPr>
          <w:p>
            <w:pPr>
              <w:snapToGrid w:val="0"/>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178" w:type="pct"/>
            <w:gridSpan w:val="4"/>
            <w:shd w:val="clear" w:color="auto" w:fill="auto"/>
            <w:vAlign w:val="center"/>
          </w:tcPr>
          <w:p>
            <w:pPr>
              <w:widowControl/>
              <w:snapToGrid w:val="0"/>
              <w:ind w:firstLine="482"/>
              <w:jc w:val="center"/>
              <w:rPr>
                <w:rFonts w:ascii="宋体" w:hAnsi="宋体" w:cs="宋体"/>
                <w:b/>
                <w:bCs/>
                <w:color w:val="000000" w:themeColor="text1"/>
                <w:kern w:val="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合同签订时间</w:t>
            </w:r>
          </w:p>
        </w:tc>
        <w:tc>
          <w:tcPr>
            <w:tcW w:w="3822" w:type="pct"/>
            <w:gridSpan w:val="4"/>
            <w:shd w:val="clear" w:color="auto" w:fill="auto"/>
            <w:vAlign w:val="center"/>
          </w:tcPr>
          <w:p>
            <w:pPr>
              <w:widowControl/>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自成交通知书发出之日起25日内。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178" w:type="pct"/>
            <w:gridSpan w:val="4"/>
            <w:shd w:val="clear" w:color="auto" w:fill="auto"/>
            <w:vAlign w:val="center"/>
          </w:tcPr>
          <w:p>
            <w:pPr>
              <w:snapToGrid w:val="0"/>
              <w:ind w:firstLine="482"/>
              <w:jc w:val="center"/>
              <w:rPr>
                <w:rFonts w:ascii="宋体" w:hAnsi="宋体" w:cs="宋体"/>
                <w:color w:val="000000" w:themeColor="text1"/>
                <w:kern w:val="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交货时间及地点</w:t>
            </w:r>
          </w:p>
        </w:tc>
        <w:tc>
          <w:tcPr>
            <w:tcW w:w="3822" w:type="pct"/>
            <w:gridSpan w:val="4"/>
            <w:shd w:val="clear" w:color="auto" w:fill="auto"/>
            <w:vAlign w:val="center"/>
          </w:tcPr>
          <w:p>
            <w:pPr>
              <w:tabs>
                <w:tab w:val="left" w:pos="420"/>
              </w:tabs>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交货时间：</w:t>
            </w:r>
            <w:r>
              <w:rPr>
                <w:rFonts w:hint="eastAsia" w:ascii="宋体" w:hAnsi="宋体" w:cs="宋体"/>
                <w:color w:val="000000" w:themeColor="text1"/>
                <w:szCs w:val="21"/>
                <w14:textFill>
                  <w14:solidFill>
                    <w14:schemeClr w14:val="tx1"/>
                  </w14:solidFill>
                </w14:textFill>
              </w:rPr>
              <w:t>自签订合同之日起120日历天内到货安装调试完成并通过验收。</w:t>
            </w:r>
          </w:p>
          <w:p>
            <w:pPr>
              <w:tabs>
                <w:tab w:val="left" w:pos="420"/>
              </w:tabs>
              <w:snapToGrid w:val="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交货地点：广西大学用户指定地点。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178" w:type="pct"/>
            <w:gridSpan w:val="4"/>
            <w:shd w:val="clear" w:color="auto" w:fill="auto"/>
            <w:vAlign w:val="center"/>
          </w:tcPr>
          <w:p>
            <w:pPr>
              <w:snapToGrid w:val="0"/>
              <w:ind w:firstLine="482"/>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货物验收</w:t>
            </w:r>
          </w:p>
        </w:tc>
        <w:tc>
          <w:tcPr>
            <w:tcW w:w="3822" w:type="pct"/>
            <w:gridSpan w:val="4"/>
            <w:shd w:val="clear" w:color="auto" w:fill="auto"/>
            <w:vAlign w:val="center"/>
          </w:tcPr>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货物验收时由采购人对照采购文件的《技术参数及性能（配置）要求》进行全面核对检验，对所有要求出具的文件和材料的原件进行核查，如不符合采购文件要求或提供虚假承诺的，采购人有权拒绝验收并做违约处理，供应商承担所有责任和费用，采购人保留进一步追究责任的权利。</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2.货物经过双方检验认可后，签署验收报告。由成交供应商提供产品保修文件。</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3.当满足以下条件时，采购人才向成交供应商签发货物验收报告：</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（1）成交供应商已按照合同规定提供了全部产品及完整的技术资料。</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（2）货物各项参数完全符合《技术参数及性能（配置）要求》的要求，性能满足要求。</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）成交供应商需负责安装、调试（测试），并完成采购人的使用操作培训。</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4.验收过程中所产生的一切费用均由成交供应商承担，报价时应考虑相关费用。</w:t>
            </w:r>
          </w:p>
          <w:p>
            <w:pPr>
              <w:tabs>
                <w:tab w:val="left" w:pos="420"/>
              </w:tabs>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5.成交产品不能涉及任何法律纠纷。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178" w:type="pct"/>
            <w:gridSpan w:val="4"/>
            <w:shd w:val="clear" w:color="auto" w:fill="auto"/>
            <w:vAlign w:val="center"/>
          </w:tcPr>
          <w:p>
            <w:pPr>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质量保证要求</w:t>
            </w:r>
          </w:p>
        </w:tc>
        <w:tc>
          <w:tcPr>
            <w:tcW w:w="3822" w:type="pct"/>
            <w:gridSpan w:val="4"/>
            <w:shd w:val="clear" w:color="auto" w:fill="auto"/>
          </w:tcPr>
          <w:p>
            <w:pPr>
              <w:tabs>
                <w:tab w:val="left" w:pos="420"/>
              </w:tabs>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1.按国家有关产品“三包”规定执行“三包”政策，质量保证期不少于</w:t>
            </w:r>
            <w:r>
              <w:rPr>
                <w:rFonts w:ascii="宋体" w:hAnsi="宋体" w:cs="宋体"/>
                <w:color w:val="000000" w:themeColor="text1"/>
                <w:szCs w:val="21"/>
                <w14:textFill>
                  <w14:solidFill>
                    <w14:schemeClr w14:val="tx1"/>
                  </w14:solidFill>
                </w14:textFill>
              </w:rPr>
              <w:t>1年（</w:t>
            </w:r>
            <w:r>
              <w:rPr>
                <w:rFonts w:hint="eastAsia" w:ascii="宋体" w:hAnsi="宋体" w:cs="宋体"/>
                <w:color w:val="000000" w:themeColor="text1"/>
                <w:szCs w:val="21"/>
                <w14:textFill>
                  <w14:solidFill>
                    <w14:schemeClr w14:val="tx1"/>
                  </w14:solidFill>
                </w14:textFill>
              </w:rPr>
              <w:t>分项货物或配置有明确要求的按分项要求；</w:t>
            </w:r>
            <w:r>
              <w:rPr>
                <w:rFonts w:ascii="宋体" w:hAnsi="宋体" w:cs="宋体"/>
                <w:color w:val="000000" w:themeColor="text1"/>
                <w:szCs w:val="21"/>
                <w14:textFill>
                  <w14:solidFill>
                    <w14:schemeClr w14:val="tx1"/>
                  </w14:solidFill>
                </w14:textFill>
              </w:rPr>
              <w:t>生产厂家承诺的</w:t>
            </w:r>
            <w:r>
              <w:rPr>
                <w:rFonts w:hint="eastAsia" w:ascii="宋体" w:hAnsi="宋体" w:cs="宋体"/>
                <w:color w:val="000000" w:themeColor="text1"/>
                <w:szCs w:val="21"/>
                <w14:textFill>
                  <w14:solidFill>
                    <w14:schemeClr w14:val="tx1"/>
                  </w14:solidFill>
                </w14:textFill>
              </w:rPr>
              <w:t>质量保证期</w:t>
            </w:r>
            <w:r>
              <w:rPr>
                <w:rFonts w:ascii="宋体" w:hAnsi="宋体" w:cs="宋体"/>
                <w:color w:val="000000" w:themeColor="text1"/>
                <w:szCs w:val="21"/>
                <w14:textFill>
                  <w14:solidFill>
                    <w14:schemeClr w14:val="tx1"/>
                  </w14:solidFill>
                </w14:textFill>
              </w:rPr>
              <w:t>更长的按生产厂家的承诺），交货验收合格之日起计。</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在质量保证期内出现的</w:t>
            </w:r>
            <w:r>
              <w:rPr>
                <w:rFonts w:hint="eastAsia" w:ascii="宋体" w:hAnsi="宋体" w:cs="宋体"/>
                <w:color w:val="000000" w:themeColor="text1"/>
                <w:szCs w:val="21"/>
                <w14:textFill>
                  <w14:solidFill>
                    <w14:schemeClr w14:val="tx1"/>
                  </w14:solidFill>
                </w14:textFill>
              </w:rPr>
              <w:t>任何故障及损失，成交供应商负责维修、更换配件，并负责软件更新升级、系统维护和远程服务。</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质量保证期满后，终身维护，且以市场最优惠价格提供维修和备件更换、软件更新升级，且承诺为用户提供终身技术咨询服务。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178" w:type="pct"/>
            <w:gridSpan w:val="4"/>
            <w:shd w:val="clear" w:color="auto" w:fill="auto"/>
            <w:vAlign w:val="center"/>
          </w:tcPr>
          <w:p>
            <w:pPr>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售后服务要求</w:t>
            </w:r>
          </w:p>
        </w:tc>
        <w:tc>
          <w:tcPr>
            <w:tcW w:w="3822" w:type="pct"/>
            <w:gridSpan w:val="4"/>
            <w:shd w:val="clear" w:color="auto" w:fill="auto"/>
          </w:tcPr>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1.负责送货上门、提供产品原厂工程师现场安装、安装调试服务、技术培训和</w:t>
            </w:r>
            <w:r>
              <w:rPr>
                <w:rFonts w:ascii="宋体" w:hAnsi="宋体" w:cs="宋体"/>
                <w:color w:val="000000" w:themeColor="text1"/>
                <w:szCs w:val="21"/>
                <w14:textFill>
                  <w14:solidFill>
                    <w14:schemeClr w14:val="tx1"/>
                  </w14:solidFill>
                </w14:textFill>
              </w:rPr>
              <w:t>12个月远程服务</w:t>
            </w:r>
            <w:r>
              <w:rPr>
                <w:rFonts w:hint="eastAsia" w:ascii="宋体" w:hAnsi="宋体" w:cs="宋体"/>
                <w:color w:val="000000" w:themeColor="text1"/>
                <w:szCs w:val="21"/>
                <w14:textFill>
                  <w14:solidFill>
                    <w14:schemeClr w14:val="tx1"/>
                  </w14:solidFill>
                </w14:textFill>
              </w:rPr>
              <w:t>。</w:t>
            </w:r>
          </w:p>
          <w:p>
            <w:pPr>
              <w:tabs>
                <w:tab w:val="left" w:pos="420"/>
              </w:tabs>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2.维修响应：售后服务要求7天×8小时工作制，</w:t>
            </w:r>
            <w:r>
              <w:rPr>
                <w:rFonts w:hint="eastAsia" w:ascii="宋体" w:hAnsi="宋体" w:cs="宋体"/>
                <w:color w:val="000000" w:themeColor="text1"/>
                <w:szCs w:val="21"/>
                <w14:textFill>
                  <w14:solidFill>
                    <w14:schemeClr w14:val="tx1"/>
                  </w14:solidFill>
                </w14:textFill>
              </w:rPr>
              <w:t>成交供应商</w:t>
            </w:r>
            <w:r>
              <w:rPr>
                <w:rFonts w:ascii="宋体" w:hAnsi="宋体" w:cs="宋体"/>
                <w:color w:val="000000" w:themeColor="text1"/>
                <w:szCs w:val="21"/>
                <w14:textFill>
                  <w14:solidFill>
                    <w14:schemeClr w14:val="tx1"/>
                  </w14:solidFill>
                </w14:textFill>
              </w:rPr>
              <w:t>在接到用户维修电话后1小时内响应，3小时</w:t>
            </w:r>
            <w:r>
              <w:rPr>
                <w:rFonts w:hint="eastAsia" w:ascii="宋体" w:hAnsi="宋体" w:cs="宋体"/>
                <w:color w:val="000000" w:themeColor="text1"/>
                <w:szCs w:val="21"/>
                <w14:textFill>
                  <w14:solidFill>
                    <w14:schemeClr w14:val="tx1"/>
                  </w14:solidFill>
                </w14:textFill>
              </w:rPr>
              <w:t>内到达现场处理，一般情况下</w:t>
            </w:r>
            <w:r>
              <w:rPr>
                <w:rFonts w:ascii="宋体" w:hAnsi="宋体" w:cs="宋体"/>
                <w:color w:val="000000" w:themeColor="text1"/>
                <w:szCs w:val="21"/>
                <w14:textFill>
                  <w14:solidFill>
                    <w14:schemeClr w14:val="tx1"/>
                  </w14:solidFill>
                </w14:textFill>
              </w:rPr>
              <w:t>24小时内恢复正常使用</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若不能修复须有合理应对方案。</w:t>
            </w:r>
          </w:p>
          <w:p>
            <w:pPr>
              <w:pStyle w:val="36"/>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hint="eastAsia" w:ascii="宋体" w:hAnsi="宋体" w:cs="宋体"/>
                <w:bCs/>
                <w:color w:val="000000" w:themeColor="text1"/>
                <w:kern w:val="0"/>
                <w:szCs w:val="21"/>
                <w14:textFill>
                  <w14:solidFill>
                    <w14:schemeClr w14:val="tx1"/>
                  </w14:solidFill>
                </w14:textFill>
              </w:rPr>
              <w:t>质量保证期</w:t>
            </w:r>
            <w:r>
              <w:rPr>
                <w:rFonts w:hint="eastAsia" w:ascii="宋体" w:hAnsi="宋体" w:cs="宋体"/>
                <w:color w:val="000000" w:themeColor="text1"/>
                <w:szCs w:val="21"/>
                <w14:textFill>
                  <w14:solidFill>
                    <w14:schemeClr w14:val="tx1"/>
                  </w14:solidFill>
                </w14:textFill>
              </w:rPr>
              <w:t>内因设备性能故障检修三次仍不能正常使用的，更换新设备。在超出</w:t>
            </w:r>
            <w:r>
              <w:rPr>
                <w:rFonts w:hint="eastAsia" w:ascii="宋体" w:hAnsi="宋体" w:cs="宋体"/>
                <w:bCs/>
                <w:color w:val="000000" w:themeColor="text1"/>
                <w:kern w:val="0"/>
                <w:szCs w:val="21"/>
                <w14:textFill>
                  <w14:solidFill>
                    <w14:schemeClr w14:val="tx1"/>
                  </w14:solidFill>
                </w14:textFill>
              </w:rPr>
              <w:t>质量保证期</w:t>
            </w:r>
            <w:r>
              <w:rPr>
                <w:rFonts w:hint="eastAsia" w:ascii="宋体" w:hAnsi="宋体" w:cs="宋体"/>
                <w:color w:val="000000" w:themeColor="text1"/>
                <w:szCs w:val="21"/>
                <w14:textFill>
                  <w14:solidFill>
                    <w14:schemeClr w14:val="tx1"/>
                  </w14:solidFill>
                </w14:textFill>
              </w:rPr>
              <w:t>后，如产品发生故障，可派技术员上门服务；如需更换配件，配件均按市场最优惠价格供应。</w:t>
            </w:r>
          </w:p>
          <w:p>
            <w:pP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.终身提供技术协助服务。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178" w:type="pct"/>
            <w:gridSpan w:val="4"/>
            <w:shd w:val="clear" w:color="auto" w:fill="auto"/>
            <w:vAlign w:val="center"/>
          </w:tcPr>
          <w:p>
            <w:pPr>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履约保证金收取及退付</w:t>
            </w:r>
          </w:p>
        </w:tc>
        <w:tc>
          <w:tcPr>
            <w:tcW w:w="3822" w:type="pct"/>
            <w:gridSpan w:val="4"/>
            <w:shd w:val="clear" w:color="auto" w:fill="auto"/>
          </w:tcPr>
          <w:p>
            <w:pPr>
              <w:pStyle w:val="36"/>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1.履约保证金金额：成交供应商为</w:t>
            </w:r>
            <w:r>
              <w:rPr>
                <w:rFonts w:hint="eastAsia"/>
                <w:color w:val="000000" w:themeColor="text1"/>
                <w:szCs w:val="21"/>
                <w14:textFill>
                  <w14:solidFill>
                    <w14:schemeClr w14:val="tx1"/>
                  </w14:solidFill>
                </w14:textFill>
              </w:rPr>
              <w:t>中小微企业的，履约保证金为合同金额的2%，大型企业的履约保证金为合同金额的5%（以响应文件中提交的中小企业声明函为依据）</w:t>
            </w:r>
            <w:r>
              <w:rPr>
                <w:rFonts w:hint="eastAsia" w:ascii="宋体" w:hAnsi="宋体" w:cs="宋体"/>
                <w:color w:val="000000" w:themeColor="text1"/>
                <w:szCs w:val="21"/>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签订合同时交至指定账户</w:t>
            </w:r>
            <w:r>
              <w:rPr>
                <w:rFonts w:hint="eastAsia" w:ascii="宋体" w:hAnsi="宋体" w:cs="宋体"/>
                <w:b/>
                <w:color w:val="000000" w:themeColor="text1"/>
                <w:szCs w:val="21"/>
                <w14:textFill>
                  <w14:solidFill>
                    <w14:schemeClr w14:val="tx1"/>
                  </w14:solidFill>
                </w14:textFill>
              </w:rPr>
              <w:t>。</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2.履约保证金递交方式：银行转账、支票、汇票、本票、保函等非现金方式。由成交供应商在签订合同时按规定的金额直接缴入以下采购人账户。</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统一社会信用代码：124500004985009929</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户名：广西大学   </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开户行：中国银行广西南宁市西大支行（行号：104611010324）</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账号：618 457 484 938 </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地址：广西壮族自治区南宁市大学东路100号  电话：0771-3232888</w:t>
            </w:r>
          </w:p>
          <w:p>
            <w:pPr>
              <w:tabs>
                <w:tab w:val="left" w:pos="420"/>
              </w:tabs>
              <w:ind w:firstLine="482"/>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缴纳履约保证金注明：“项目名称</w:t>
            </w:r>
            <w:r>
              <w:rPr>
                <w:rFonts w:ascii="宋体" w:hAnsi="宋体" w:cs="宋体"/>
                <w:b/>
                <w:color w:val="000000" w:themeColor="text1"/>
                <w:szCs w:val="21"/>
                <w14:textFill>
                  <w14:solidFill>
                    <w14:schemeClr w14:val="tx1"/>
                  </w14:solidFill>
                </w14:textFill>
              </w:rPr>
              <w:t>+项目编号”履约保证金。</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履约保证金退付方式、时间及条件：成交供应商若不能完全履行合同，履约保证金不予退还；成交供应商若完全履行合同，货物验收合格后，成交供应商凭履约保证金财务凭证到采购人财务部门办理无息退还手续。</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4.备注：</w:t>
            </w:r>
          </w:p>
          <w:p>
            <w:pPr>
              <w:tabs>
                <w:tab w:val="left" w:pos="420"/>
              </w:tabs>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（1）履约保证金必须足额缴纳，或出具的保函额度必须足额且保函有效期不能低于合同履行期限（即签订采购合同之日起至履行完合同约定的权利及义务之日止），否则视为无效履约保证金。</w:t>
            </w:r>
          </w:p>
          <w:p>
            <w:pPr>
              <w:pStyle w:val="3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（2）采用保函的，必须为无条件的保函，否则视为无效履约保证金。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178" w:type="pct"/>
            <w:gridSpan w:val="4"/>
            <w:shd w:val="clear" w:color="auto" w:fill="auto"/>
            <w:vAlign w:val="center"/>
          </w:tcPr>
          <w:p>
            <w:pPr>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付款方式</w:t>
            </w:r>
          </w:p>
        </w:tc>
        <w:tc>
          <w:tcPr>
            <w:tcW w:w="3822" w:type="pct"/>
            <w:gridSpan w:val="4"/>
            <w:shd w:val="clear" w:color="auto" w:fill="auto"/>
            <w:vAlign w:val="center"/>
          </w:tcPr>
          <w:p>
            <w:pPr>
              <w:tabs>
                <w:tab w:val="left" w:pos="420"/>
              </w:tabs>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本项目无预付款，全部货物安装调试完毕并经验收合格后，采购人在办理支付审批手续后，一次性向成交供应商支付全部合同款（无息）；付款前，成交供应商开具等额增值税专用发票给采购人。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1178" w:type="pct"/>
            <w:gridSpan w:val="4"/>
            <w:shd w:val="clear" w:color="auto" w:fill="auto"/>
            <w:vAlign w:val="center"/>
          </w:tcPr>
          <w:p>
            <w:pPr>
              <w:snapToGrid w:val="0"/>
              <w:ind w:firstLine="482"/>
              <w:jc w:val="center"/>
              <w:rPr>
                <w:rFonts w:ascii="宋体" w:hAnsi="宋体" w:cs="宋体"/>
                <w:b/>
                <w:color w:val="000000" w:themeColor="text1"/>
                <w:kern w:val="1"/>
                <w14:textFill>
                  <w14:solidFill>
                    <w14:schemeClr w14:val="tx1"/>
                  </w14:solidFill>
                </w14:textFill>
              </w:rPr>
            </w:pPr>
            <w:r>
              <w:rPr>
                <w:rFonts w:hint="eastAsia" w:ascii="宋体" w:hAnsi="宋体" w:cs="宋体"/>
                <w:b/>
                <w:color w:val="000000" w:themeColor="text1"/>
                <w14:textFill>
                  <w14:solidFill>
                    <w14:schemeClr w14:val="tx1"/>
                  </w14:solidFill>
                </w14:textFill>
              </w:rPr>
              <w:t>其他要求</w:t>
            </w:r>
          </w:p>
        </w:tc>
        <w:tc>
          <w:tcPr>
            <w:tcW w:w="3822" w:type="pct"/>
            <w:gridSpan w:val="4"/>
            <w:shd w:val="clear" w:color="auto" w:fill="auto"/>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要求供货产品是全新的、未经改装的、合格的、满足本项目技术需求及要求的货物。所有零部件、配件必须是未经使用的全新的并符合国家有关质量安全标准的产品。提供设备使用培训、操作技能训练等；提供相关设备说明书、管理和配置指南手册、使用手册和故障定位/排除指南手册等。</w:t>
            </w:r>
          </w:p>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项目按标的实际采购数量结算，如成交供应商预估采购数量超过《采购需求》数量的，应当报采购人批准后才能实施，且项目最终结算金额不能超过本项目采购预算。报价包含设备、随配附件、备品备件、辅助材料、工具、运抵指定交货地点、材料运输及人工搬运费、垃圾清理及排放、保险、现场安装、培训、调试及验收的各种费用和质量保证期内服务、售后服务、人工费、税费及其他所有成本费用的总和，成交供应商必须自行考虑项目需要的其他设备和材料，合同履行过程中，采购人不再支付合同以外的其他费用。</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3.成交供应商承担货物交付验收前的运输、安装等作业工人人身、设备安全责任。验收前，如果设备丢失、因供应商自身原因及第三方原因导致损坏，成交供应商应自行负责并承担不能交付货物的责任。</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4.本项目不接受进口产品（即通过中国海关报关验放进入中国境内且产自关境外的产品）参与</w:t>
            </w:r>
            <w:r>
              <w:rPr>
                <w:rFonts w:hint="eastAsia" w:ascii="宋体" w:hAnsi="宋体" w:cs="宋体"/>
                <w:color w:val="000000" w:themeColor="text1"/>
                <w:szCs w:val="21"/>
                <w:lang w:bidi="ar"/>
                <w14:textFill>
                  <w14:solidFill>
                    <w14:schemeClr w14:val="tx1"/>
                  </w14:solidFill>
                </w14:textFill>
              </w:rPr>
              <w:t>竞争性谈判</w:t>
            </w:r>
            <w:r>
              <w:rPr>
                <w:rFonts w:hint="eastAsia" w:ascii="宋体" w:hAnsi="宋体" w:cs="宋体"/>
                <w:color w:val="000000" w:themeColor="text1"/>
                <w:szCs w:val="21"/>
                <w14:textFill>
                  <w14:solidFill>
                    <w14:schemeClr w14:val="tx1"/>
                  </w14:solidFill>
                </w14:textFill>
              </w:rPr>
              <w:t>，如有此类产品参与</w:t>
            </w:r>
            <w:r>
              <w:rPr>
                <w:rFonts w:hint="eastAsia" w:ascii="宋体" w:hAnsi="宋体" w:cs="宋体"/>
                <w:color w:val="000000" w:themeColor="text1"/>
                <w:szCs w:val="21"/>
                <w:lang w:bidi="ar"/>
                <w14:textFill>
                  <w14:solidFill>
                    <w14:schemeClr w14:val="tx1"/>
                  </w14:solidFill>
                </w14:textFill>
              </w:rPr>
              <w:t>竞争性谈判</w:t>
            </w:r>
            <w:r>
              <w:rPr>
                <w:rFonts w:hint="eastAsia" w:ascii="宋体" w:hAnsi="宋体" w:cs="宋体"/>
                <w:color w:val="000000" w:themeColor="text1"/>
                <w:szCs w:val="21"/>
                <w14:textFill>
                  <w14:solidFill>
                    <w14:schemeClr w14:val="tx1"/>
                  </w14:solidFill>
                </w14:textFill>
              </w:rPr>
              <w:t>的按无效响应处理。</w:t>
            </w:r>
          </w:p>
          <w:p>
            <w:pPr>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5.供</w:t>
            </w:r>
            <w:r>
              <w:rPr>
                <w:rFonts w:hint="eastAsia" w:ascii="宋体" w:hAnsi="宋体" w:cs="宋体"/>
                <w:color w:val="000000" w:themeColor="text1"/>
                <w:szCs w:val="21"/>
                <w14:textFill>
                  <w14:solidFill>
                    <w14:schemeClr w14:val="tx1"/>
                  </w14:solidFill>
                </w14:textFill>
              </w:rPr>
              <w:t>应商的竞争性谈判报价不能超过项目的最高限价，且各分项的报价也不能超过该分项的预算，否则竞争性谈判无效。</w:t>
            </w:r>
          </w:p>
          <w:p>
            <w:pPr>
              <w:pStyle w:val="20"/>
              <w:rPr>
                <w:color w:val="000000" w:themeColor="text1"/>
                <w14:textFill>
                  <w14:solidFill>
                    <w14:schemeClr w14:val="tx1"/>
                  </w14:solidFill>
                </w14:textFill>
              </w:rPr>
            </w:pPr>
            <w:r>
              <w:rPr>
                <w:rFonts w:hint="eastAsia"/>
                <w:bCs/>
                <w:color w:val="000000" w:themeColor="text1"/>
                <w14:textFill>
                  <w14:solidFill>
                    <w14:schemeClr w14:val="tx1"/>
                  </w14:solidFill>
                </w14:textFill>
              </w:rPr>
              <w:t>6.采购文件没有详细列明货物布局、安装调试方案等技术服务要求，供应商应根据现场勘查及技术参数要求，在响应文件中提供</w:t>
            </w:r>
            <w:r>
              <w:rPr>
                <w:rFonts w:hint="eastAsia"/>
                <w:color w:val="000000" w:themeColor="text1"/>
                <w14:textFill>
                  <w14:solidFill>
                    <w14:schemeClr w14:val="tx1"/>
                  </w14:solidFill>
                </w14:textFill>
              </w:rPr>
              <w:t>符合现场实际情况的</w:t>
            </w:r>
            <w:r>
              <w:rPr>
                <w:rFonts w:hint="eastAsia"/>
                <w:bCs/>
                <w:color w:val="000000" w:themeColor="text1"/>
                <w14:textFill>
                  <w14:solidFill>
                    <w14:schemeClr w14:val="tx1"/>
                  </w14:solidFill>
                </w14:textFill>
              </w:rPr>
              <w:t>包含(一)实验室净化除湿空调系统的通风系统布局图、(二)洁净实验室环境配套(建筑业)类货物安装的平面布置图和立体效果图、(三)实验室配套设备(工业) 类的气路系统布置图、(四)实验室电路改造类的电路系统布置图等设计方案。图示需呈现安装施工后的效果，作为项目履行和验收的依据。</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针对技术参数及性能（配置）要求中，明确要求“供货时提供”或“供货时安装前提供相同品牌同种产品以往检测报告的”的条款，供货时必须按要求提供，提供的检测报告需经查验真实，若提供虚假报告，用户将拒收产品及禁止现场安装，同时将相关证据提交项目所属的财政部门。（需在响应文件提供供应商的承诺函）</w:t>
            </w:r>
          </w:p>
          <w:p>
            <w:pPr>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针对“响应供应商公司需提供最近6个月中任一个月的社保证明文件或该人员的劳动合同或供应商为该人员发放工资的银行流水证明等”的条款，在中标后项目实际实施过程中，供应商必须保证实施作业人员与响应文件提供的人员一致并接受用户的监督。（需在响应文件提供供应商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snapToGrid w:val="0"/>
              <w:ind w:firstLine="482"/>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snapToGrid w:val="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转轮除湿机组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snapToGrid w:val="0"/>
              <w:ind w:firstLine="241"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《国务院办公厅关于在政府采购中实施本国产品标准及相关政策的通知》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 《国务院办公厅关于在政府采购中实施本国产品标准及相关政策的通知》（国办发〔2025〕34号）的规定，</w:t>
            </w:r>
            <w:r>
              <w:rPr>
                <w:rFonts w:hint="eastAsia" w:ascii="宋体" w:hAnsi="宋体" w:cs="宋体"/>
                <w:color w:val="000000" w:themeColor="text1"/>
                <w:szCs w:val="21"/>
                <w:shd w:val="clear" w:color="auto" w:fill="FFFFFF"/>
                <w14:textFill>
                  <w14:solidFill>
                    <w14:schemeClr w14:val="tx1"/>
                  </w14:solidFill>
                </w14:textFill>
              </w:rPr>
              <w:t>政府采购活动中既有本国产品又有非本国产品参与竞争的，依法对符合政策要求的本国产品给予价格评审优惠，</w:t>
            </w:r>
            <w:r>
              <w:rPr>
                <w:rFonts w:hint="eastAsia" w:ascii="宋体" w:hAnsi="宋体" w:cs="宋体"/>
                <w:b/>
                <w:bCs/>
                <w:color w:val="000000" w:themeColor="text1"/>
                <w:szCs w:val="21"/>
                <w14:textFill>
                  <w14:solidFill>
                    <w14:schemeClr w14:val="tx1"/>
                  </w14:solidFill>
                </w14:textFill>
              </w:rPr>
              <w:t>具体详见“第四章 评审程序、评审方法和成交标准”</w:t>
            </w:r>
            <w:r>
              <w:rPr>
                <w:rFonts w:hint="eastAsia" w:ascii="宋体" w:hAnsi="宋体" w:cs="宋体"/>
                <w:color w:val="000000" w:themeColor="text1"/>
                <w:szCs w:val="21"/>
                <w14:textFill>
                  <w14:solidFill>
                    <w14:schemeClr w14:val="tx1"/>
                  </w14:solidFill>
                </w14:textFill>
              </w:rPr>
              <w:t>。产品在中国境内生产的组件成本，按照《中国境内生产的组件成本核算基本规则》（见附件）计算。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snapToGrid w:val="0"/>
              <w:spacing w:line="400" w:lineRule="exact"/>
              <w:ind w:firstLine="482"/>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现场勘查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c>
          <w:tcPr>
            <w:tcW w:w="5000" w:type="pct"/>
            <w:gridSpan w:val="8"/>
            <w:shd w:val="clear" w:color="auto" w:fill="auto"/>
            <w:vAlign w:val="center"/>
          </w:tcPr>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便于供应商对本项目的需求、场地、现有设备等有准确的了解，本项目提供现场勘查，供应商可自愿前往实施现场进行勘查，以充分了解项目情况。供应商不进行现场勘查的视为已了解该项目的所有情况。因成交人勘查有误或未进行勘查而造成项目无法按采购人要求实施的将被拒绝验收，由此引起的一切后果，均由成交人自行承担。</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1.供应商于</w:t>
            </w:r>
            <w:r>
              <w:rPr>
                <w:rFonts w:hint="eastAsia"/>
                <w:b/>
                <w:color w:val="000000" w:themeColor="text1"/>
                <w:szCs w:val="21"/>
                <w14:textFill>
                  <w14:solidFill>
                    <w14:schemeClr w14:val="tx1"/>
                  </w14:solidFill>
                </w14:textFill>
              </w:rPr>
              <w:t>2026年</w:t>
            </w:r>
            <w:r>
              <w:rPr>
                <w:rFonts w:hint="eastAsia"/>
                <w:b/>
                <w:color w:val="000000" w:themeColor="text1"/>
                <w:szCs w:val="21"/>
                <w:lang w:val="en-US" w:eastAsia="zh-CN"/>
                <w14:textFill>
                  <w14:solidFill>
                    <w14:schemeClr w14:val="tx1"/>
                  </w14:solidFill>
                </w14:textFill>
              </w:rPr>
              <w:t>3</w:t>
            </w:r>
            <w:r>
              <w:rPr>
                <w:rFonts w:hint="eastAsia"/>
                <w:b/>
                <w:color w:val="000000" w:themeColor="text1"/>
                <w:szCs w:val="21"/>
                <w14:textFill>
                  <w14:solidFill>
                    <w14:schemeClr w14:val="tx1"/>
                  </w14:solidFill>
                </w14:textFill>
              </w:rPr>
              <w:t>月</w:t>
            </w:r>
            <w:r>
              <w:rPr>
                <w:rFonts w:hint="eastAsia"/>
                <w:b/>
                <w:color w:val="000000" w:themeColor="text1"/>
                <w:szCs w:val="21"/>
                <w:lang w:val="en-US" w:eastAsia="zh-CN"/>
                <w14:textFill>
                  <w14:solidFill>
                    <w14:schemeClr w14:val="tx1"/>
                  </w14:solidFill>
                </w14:textFill>
              </w:rPr>
              <w:t>23</w:t>
            </w:r>
            <w:r>
              <w:rPr>
                <w:rFonts w:hint="eastAsia"/>
                <w:b/>
                <w:color w:val="000000" w:themeColor="text1"/>
                <w:szCs w:val="21"/>
                <w14:textFill>
                  <w14:solidFill>
                    <w14:schemeClr w14:val="tx1"/>
                  </w14:solidFill>
                </w14:textFill>
              </w:rPr>
              <w:t>日上午9:30前</w:t>
            </w:r>
            <w:r>
              <w:rPr>
                <w:rFonts w:hint="eastAsia"/>
                <w:color w:val="000000" w:themeColor="text1"/>
                <w:szCs w:val="21"/>
                <w14:textFill>
                  <w14:solidFill>
                    <w14:schemeClr w14:val="tx1"/>
                  </w14:solidFill>
                </w14:textFill>
              </w:rPr>
              <w:t>到采购人指定集合地点签到，</w:t>
            </w:r>
            <w:r>
              <w:rPr>
                <w:rFonts w:hint="eastAsia"/>
                <w:b/>
                <w:bCs/>
                <w:color w:val="000000" w:themeColor="text1"/>
                <w:szCs w:val="21"/>
                <w14:textFill>
                  <w14:solidFill>
                    <w14:schemeClr w14:val="tx1"/>
                  </w14:solidFill>
                </w14:textFill>
              </w:rPr>
              <w:t>9:30-11:30</w:t>
            </w:r>
            <w:r>
              <w:rPr>
                <w:rFonts w:hint="eastAsia"/>
                <w:color w:val="000000" w:themeColor="text1"/>
                <w:szCs w:val="21"/>
                <w14:textFill>
                  <w14:solidFill>
                    <w14:schemeClr w14:val="tx1"/>
                  </w14:solidFill>
                </w14:textFill>
              </w:rPr>
              <w:t>进行现场勘查，采购人统一现场介绍本项目的基本情况。</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2.非踏勘时间不接待，无法踏勘现场的后果由供应商自行承担。现场勘查所产生的费用由供应商自理。</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3.集合地点：广西大学物理科学与工程技术学院C座8楼大厅。</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4.现场踏勘携带的材料：供应商代理持法定代表人（负责人）授权委托书、个人有效身份证原件前往。</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5.现场踏勘联系人：封焕波，联系电话：18076566829  </w:t>
            </w:r>
          </w:p>
          <w:p>
            <w:pPr>
              <w:rPr>
                <w:rFonts w:ascii="宋体" w:hAnsi="宋体"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6.现场踏勘申请入校时间：</w:t>
            </w:r>
            <w:r>
              <w:rPr>
                <w:rFonts w:hint="eastAsia"/>
                <w:b/>
                <w:color w:val="000000" w:themeColor="text1"/>
                <w:szCs w:val="21"/>
                <w14:textFill>
                  <w14:solidFill>
                    <w14:schemeClr w14:val="tx1"/>
                  </w14:solidFill>
                </w14:textFill>
              </w:rPr>
              <w:t>2026年</w:t>
            </w:r>
            <w:r>
              <w:rPr>
                <w:rFonts w:hint="eastAsia"/>
                <w:b/>
                <w:color w:val="000000" w:themeColor="text1"/>
                <w:szCs w:val="21"/>
                <w:lang w:val="en-US" w:eastAsia="zh-CN"/>
                <w14:textFill>
                  <w14:solidFill>
                    <w14:schemeClr w14:val="tx1"/>
                  </w14:solidFill>
                </w14:textFill>
              </w:rPr>
              <w:t>3</w:t>
            </w:r>
            <w:r>
              <w:rPr>
                <w:rFonts w:hint="eastAsia"/>
                <w:b/>
                <w:color w:val="000000" w:themeColor="text1"/>
                <w:szCs w:val="21"/>
                <w14:textFill>
                  <w14:solidFill>
                    <w14:schemeClr w14:val="tx1"/>
                  </w14:solidFill>
                </w14:textFill>
              </w:rPr>
              <w:t>月</w:t>
            </w:r>
            <w:r>
              <w:rPr>
                <w:rFonts w:hint="eastAsia"/>
                <w:b/>
                <w:color w:val="000000" w:themeColor="text1"/>
                <w:szCs w:val="21"/>
                <w:lang w:val="en-US" w:eastAsia="zh-CN"/>
                <w14:textFill>
                  <w14:solidFill>
                    <w14:schemeClr w14:val="tx1"/>
                  </w14:solidFill>
                </w14:textFill>
              </w:rPr>
              <w:t>23</w:t>
            </w:r>
            <w:r>
              <w:rPr>
                <w:rFonts w:hint="eastAsia"/>
                <w:b/>
                <w:color w:val="000000" w:themeColor="text1"/>
                <w:szCs w:val="21"/>
                <w14:textFill>
                  <w14:solidFill>
                    <w14:schemeClr w14:val="tx1"/>
                  </w14:solidFill>
                </w14:textFill>
              </w:rPr>
              <w:t>日9:00前</w:t>
            </w:r>
            <w:r>
              <w:rPr>
                <w:rFonts w:hint="eastAsia"/>
                <w:color w:val="000000" w:themeColor="text1"/>
                <w:szCs w:val="21"/>
                <w14:textFill>
                  <w14:solidFill>
                    <w14:schemeClr w14:val="tx1"/>
                  </w14:solidFill>
                </w14:textFill>
              </w:rPr>
              <w:t>（正常工作时间内，8:00-12:00，14:30-17:30），其余时间不予受理。每个供应商至多允许2名人员从广西大学南侧门入场踏勘，需携带本人身份证在校门口处核验。点击“平安西大”公众号办理入校申请，被访人填写：封焕波，电话：18076566829，拜访单位（岗位审批）：物理科学与工程技术学院；来访事由填写项目踏勘；写清楚来访人单位；预计通行日期填写</w:t>
            </w:r>
            <w:r>
              <w:rPr>
                <w:rFonts w:hint="eastAsia"/>
                <w:b/>
                <w:color w:val="000000" w:themeColor="text1"/>
                <w:szCs w:val="21"/>
                <w14:textFill>
                  <w14:solidFill>
                    <w14:schemeClr w14:val="tx1"/>
                  </w14:solidFill>
                </w14:textFill>
              </w:rPr>
              <w:t>2026年</w:t>
            </w:r>
            <w:r>
              <w:rPr>
                <w:rFonts w:hint="eastAsia"/>
                <w:b/>
                <w:color w:val="000000" w:themeColor="text1"/>
                <w:szCs w:val="21"/>
                <w:lang w:val="en-US" w:eastAsia="zh-CN"/>
                <w14:textFill>
                  <w14:solidFill>
                    <w14:schemeClr w14:val="tx1"/>
                  </w14:solidFill>
                </w14:textFill>
              </w:rPr>
              <w:t>3</w:t>
            </w:r>
            <w:r>
              <w:rPr>
                <w:rFonts w:hint="eastAsia"/>
                <w:b/>
                <w:color w:val="000000" w:themeColor="text1"/>
                <w:szCs w:val="21"/>
                <w14:textFill>
                  <w14:solidFill>
                    <w14:schemeClr w14:val="tx1"/>
                  </w14:solidFill>
                </w14:textFill>
              </w:rPr>
              <w:t>月</w:t>
            </w:r>
            <w:r>
              <w:rPr>
                <w:rFonts w:hint="eastAsia"/>
                <w:b/>
                <w:color w:val="000000" w:themeColor="text1"/>
                <w:szCs w:val="21"/>
                <w:lang w:val="en-US" w:eastAsia="zh-CN"/>
                <w14:textFill>
                  <w14:solidFill>
                    <w14:schemeClr w14:val="tx1"/>
                  </w14:solidFill>
                </w14:textFill>
              </w:rPr>
              <w:t>23</w:t>
            </w:r>
            <w:r>
              <w:rPr>
                <w:rFonts w:hint="eastAsia"/>
                <w:b/>
                <w:color w:val="000000" w:themeColor="text1"/>
                <w:szCs w:val="21"/>
                <w14:textFill>
                  <w14:solidFill>
                    <w14:schemeClr w14:val="tx1"/>
                  </w14:solidFill>
                </w14:textFill>
              </w:rPr>
              <w:t>日。</w:t>
            </w:r>
          </w:p>
        </w:tc>
      </w:tr>
    </w:tbl>
    <w:p>
      <w:pPr>
        <w:spacing w:line="428" w:lineRule="exact"/>
        <w:ind w:left="119"/>
        <w:rPr>
          <w:rFonts w:ascii="Arial Unicode MS" w:hAnsi="Arial Unicode MS" w:eastAsia="Arial Unicode MS" w:cs="Arial Unicode MS"/>
          <w:color w:val="000000" w:themeColor="text1"/>
          <w:sz w:val="32"/>
          <w:szCs w:val="32"/>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微软雅黑" w:hAnsi="微软雅黑" w:eastAsia="微软雅黑" w:cs="微软雅黑"/>
          <w:color w:val="000000" w:themeColor="text1"/>
          <w:sz w:val="32"/>
          <w:szCs w:val="32"/>
          <w14:textFill>
            <w14:solidFill>
              <w14:schemeClr w14:val="tx1"/>
            </w14:solidFill>
          </w14:textFill>
        </w:rPr>
        <w:t>附件</w:t>
      </w:r>
      <w:r>
        <w:rPr>
          <w:rFonts w:ascii="Arial Unicode MS" w:hAnsi="Arial Unicode MS" w:eastAsia="Arial Unicode MS" w:cs="Arial Unicode MS"/>
          <w:color w:val="000000" w:themeColor="text1"/>
          <w:sz w:val="32"/>
          <w:szCs w:val="32"/>
          <w14:textFill>
            <w14:solidFill>
              <w14:schemeClr w14:val="tx1"/>
            </w14:solidFill>
          </w14:textFill>
        </w:rPr>
        <w:t>1</w:t>
      </w:r>
      <w:r>
        <w:rPr>
          <w:rFonts w:hint="eastAsia" w:ascii="微软雅黑" w:hAnsi="微软雅黑" w:eastAsia="微软雅黑" w:cs="微软雅黑"/>
          <w:color w:val="000000" w:themeColor="text1"/>
          <w:sz w:val="32"/>
          <w:szCs w:val="32"/>
          <w14:textFill>
            <w14:solidFill>
              <w14:schemeClr w14:val="tx1"/>
            </w14:solidFill>
          </w14:textFill>
        </w:rPr>
        <w:t>：</w:t>
      </w:r>
    </w:p>
    <w:p>
      <w:pPr>
        <w:spacing w:before="7"/>
        <w:ind w:firstLine="340"/>
        <w:rPr>
          <w:rFonts w:ascii="Arial Unicode MS" w:hAnsi="Arial Unicode MS" w:eastAsia="Arial Unicode MS" w:cs="Arial Unicode MS"/>
          <w:color w:val="000000" w:themeColor="text1"/>
          <w:sz w:val="17"/>
          <w:szCs w:val="17"/>
          <w14:textFill>
            <w14:solidFill>
              <w14:schemeClr w14:val="tx1"/>
            </w14:solidFill>
          </w14:textFill>
        </w:rPr>
      </w:pPr>
    </w:p>
    <w:p>
      <w:pPr>
        <w:spacing w:line="528" w:lineRule="exact"/>
        <w:ind w:left="1871"/>
        <w:rPr>
          <w:rFonts w:ascii="Arial Unicode MS" w:hAnsi="Arial Unicode MS" w:eastAsia="Arial Unicode MS" w:cs="Arial Unicode M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节能产品政府采购品目清单</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43"/>
        <w:gridCol w:w="1546"/>
        <w:gridCol w:w="1536"/>
        <w:gridCol w:w="4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s="宋体"/>
                <w:b/>
                <w:bCs/>
                <w:color w:val="000000" w:themeColor="text1"/>
                <w:w w:val="99"/>
                <w:szCs w:val="21"/>
                <w14:textFill>
                  <w14:solidFill>
                    <w14:schemeClr w14:val="tx1"/>
                  </w14:solidFill>
                </w14:textFill>
              </w:rPr>
              <w:t>品目序号</w:t>
            </w:r>
          </w:p>
        </w:tc>
        <w:tc>
          <w:tcPr>
            <w:tcW w:w="46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s="宋体"/>
                <w:b/>
                <w:bCs/>
                <w:color w:val="000000" w:themeColor="text1"/>
                <w:w w:val="99"/>
                <w:szCs w:val="21"/>
                <w14:textFill>
                  <w14:solidFill>
                    <w14:schemeClr w14:val="tx1"/>
                  </w14:solidFill>
                </w14:textFill>
              </w:rPr>
              <w:t>名称</w:t>
            </w:r>
          </w:p>
        </w:tc>
        <w:tc>
          <w:tcPr>
            <w:tcW w:w="44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s="宋体"/>
                <w:b/>
                <w:bCs/>
                <w:color w:val="000000" w:themeColor="text1"/>
                <w:w w:val="99"/>
                <w:szCs w:val="21"/>
                <w14:textFill>
                  <w14:solidFill>
                    <w14:schemeClr w14:val="tx1"/>
                  </w14:solidFill>
                </w14:textFill>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A02010100</w:t>
            </w:r>
            <w:r>
              <w:rPr>
                <w:rFonts w:hint="eastAsia" w:ascii="宋体" w:hAnsi="宋体" w:cs="宋体"/>
                <w:color w:val="000000" w:themeColor="text1"/>
                <w:w w:val="99"/>
                <w:szCs w:val="21"/>
                <w14:textFill>
                  <w14:solidFill>
                    <w14:schemeClr w14:val="tx1"/>
                  </w14:solidFill>
                </w14:textFill>
              </w:rPr>
              <w:t>计算机</w:t>
            </w: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spacing w:before="93"/>
              <w:ind w:left="7"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A02010105</w:t>
            </w:r>
            <w:r>
              <w:rPr>
                <w:rFonts w:hint="eastAsia" w:ascii="宋体" w:hAnsi="宋体" w:cs="宋体"/>
                <w:color w:val="000000" w:themeColor="text1"/>
                <w:w w:val="99"/>
                <w:kern w:val="2"/>
                <w:sz w:val="21"/>
                <w:szCs w:val="21"/>
                <w14:textFill>
                  <w14:solidFill>
                    <w14:schemeClr w14:val="tx1"/>
                  </w14:solidFill>
                </w14:textFill>
              </w:rPr>
              <w:t>台式计算机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spacing w:before="44"/>
              <w:ind w:left="7"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A02010108</w:t>
            </w:r>
            <w:r>
              <w:rPr>
                <w:rFonts w:hint="eastAsia" w:ascii="宋体" w:hAnsi="宋体" w:cs="宋体"/>
                <w:color w:val="000000" w:themeColor="text1"/>
                <w:w w:val="99"/>
                <w:kern w:val="2"/>
                <w:sz w:val="21"/>
                <w:szCs w:val="21"/>
                <w14:textFill>
                  <w14:solidFill>
                    <w14:schemeClr w14:val="tx1"/>
                  </w14:solidFill>
                </w14:textFill>
              </w:rPr>
              <w:t>便携式计算机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spacing w:before="64"/>
              <w:ind w:left="7" w:right="5"/>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w:t>
            </w:r>
            <w:r>
              <w:rPr>
                <w:rFonts w:hint="eastAsia" w:ascii="宋体" w:hAnsi="宋体" w:cs="仿宋_GB2312"/>
                <w:color w:val="000000" w:themeColor="text1"/>
                <w:kern w:val="2"/>
                <w:sz w:val="21"/>
                <w:szCs w:val="21"/>
                <w:lang w:eastAsia="zh-CN"/>
                <w14:textFill>
                  <w14:solidFill>
                    <w14:schemeClr w14:val="tx1"/>
                  </w14:solidFill>
                </w14:textFill>
              </w:rPr>
              <w:t>A02010109平板式计算机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pPr>
              <w:pStyle w:val="60"/>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A02020000</w:t>
            </w:r>
            <w:r>
              <w:rPr>
                <w:rFonts w:hint="eastAsia" w:ascii="宋体" w:hAnsi="宋体" w:cs="宋体"/>
                <w:color w:val="000000" w:themeColor="text1"/>
                <w:w w:val="99"/>
                <w:kern w:val="2"/>
                <w:sz w:val="21"/>
                <w:szCs w:val="21"/>
                <w14:textFill>
                  <w14:solidFill>
                    <w14:schemeClr w14:val="tx1"/>
                  </w14:solidFill>
                </w14:textFill>
              </w:rPr>
              <w:t>办公设备</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pacing w:val="1"/>
                <w:w w:val="99"/>
                <w:szCs w:val="21"/>
                <w14:textFill>
                  <w14:solidFill>
                    <w14:schemeClr w14:val="tx1"/>
                  </w14:solidFill>
                </w14:textFill>
              </w:rPr>
              <w:t>A02021000</w:t>
            </w:r>
            <w:r>
              <w:rPr>
                <w:rFonts w:hint="eastAsia" w:ascii="宋体" w:hAnsi="宋体" w:cs="Arial"/>
                <w:color w:val="000000" w:themeColor="text1"/>
                <w:szCs w:val="21"/>
                <w:shd w:val="clear" w:color="auto" w:fill="FFFFFF"/>
                <w14:textFill>
                  <w14:solidFill>
                    <w14:schemeClr w14:val="tx1"/>
                  </w14:solidFill>
                </w14:textFill>
              </w:rPr>
              <w:t>打印机</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A02021001 A3黑白打印机</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A02021002 A3彩色打印机</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A02021003 A4黑白打印机</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A02021004 A4彩色打印机</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A02021005 3D打印机</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A02021006票据打印机</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A02021007条码打印机</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A02021008地址打印机</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A02021099其他打印机</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A02021100输入输出设备</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w w:val="99"/>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A02021104液晶显示器</w:t>
            </w:r>
          </w:p>
        </w:tc>
        <w:tc>
          <w:tcPr>
            <w:tcW w:w="4422" w:type="dxa"/>
            <w:tcBorders>
              <w:top w:val="single" w:color="000000" w:sz="4" w:space="0"/>
              <w:left w:val="single" w:color="000000" w:sz="4" w:space="0"/>
              <w:bottom w:val="single" w:color="000000" w:sz="4" w:space="0"/>
              <w:right w:val="single" w:color="000000" w:sz="4" w:space="0"/>
            </w:tcBorders>
            <w:vAlign w:val="center"/>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A02021118扫描仪</w:t>
            </w:r>
          </w:p>
        </w:tc>
        <w:tc>
          <w:tcPr>
            <w:tcW w:w="4422" w:type="dxa"/>
            <w:tcBorders>
              <w:top w:val="single" w:color="000000" w:sz="4" w:space="0"/>
              <w:left w:val="single" w:color="000000" w:sz="4" w:space="0"/>
              <w:bottom w:val="single" w:color="000000" w:sz="4" w:space="0"/>
              <w:right w:val="single" w:color="000000" w:sz="4" w:space="0"/>
            </w:tcBorders>
            <w:vAlign w:val="center"/>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参照《复印机、打印机和传真机能效限定值及能效等级》（GB21521）中打印速度为15页/分的针式打印机相关要求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w w:val="99"/>
                <w:szCs w:val="21"/>
                <w14:textFill>
                  <w14:solidFill>
                    <w14:schemeClr w14:val="tx1"/>
                  </w14:solidFill>
                </w14:textFill>
              </w:rPr>
              <w:t>3</w:t>
            </w:r>
          </w:p>
        </w:tc>
        <w:tc>
          <w:tcPr>
            <w:tcW w:w="15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A02020200投影仪</w:t>
            </w:r>
          </w:p>
        </w:tc>
        <w:tc>
          <w:tcPr>
            <w:tcW w:w="15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vAlign w:val="center"/>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60"/>
              <w:spacing w:before="66"/>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A02020400</w:t>
            </w:r>
            <w:r>
              <w:rPr>
                <w:rFonts w:hint="eastAsia" w:ascii="宋体" w:hAnsi="宋体" w:cs="宋体"/>
                <w:color w:val="000000" w:themeColor="text1"/>
                <w:w w:val="99"/>
                <w:kern w:val="2"/>
                <w:sz w:val="21"/>
                <w:szCs w:val="21"/>
                <w14:textFill>
                  <w14:solidFill>
                    <w14:schemeClr w14:val="tx1"/>
                  </w14:solidFill>
                </w14:textFill>
              </w:rPr>
              <w:t>多功能一体机</w:t>
            </w:r>
          </w:p>
        </w:tc>
        <w:tc>
          <w:tcPr>
            <w:tcW w:w="15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vAlign w:val="center"/>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pPr>
              <w:pStyle w:val="60"/>
              <w:spacing w:before="160"/>
              <w:ind w:right="1"/>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5</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60"/>
              <w:spacing w:before="160"/>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A02051900</w:t>
            </w:r>
            <w:r>
              <w:rPr>
                <w:rFonts w:hint="eastAsia" w:ascii="宋体" w:hAnsi="宋体" w:cs="宋体"/>
                <w:color w:val="000000" w:themeColor="text1"/>
                <w:w w:val="99"/>
                <w:kern w:val="2"/>
                <w:sz w:val="21"/>
                <w:szCs w:val="21"/>
                <w14:textFill>
                  <w14:solidFill>
                    <w14:schemeClr w14:val="tx1"/>
                  </w14:solidFill>
                </w14:textFill>
              </w:rPr>
              <w:t>泵</w:t>
            </w: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spacing w:before="160"/>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A02</w:t>
            </w:r>
            <w:r>
              <w:rPr>
                <w:rFonts w:hint="eastAsia" w:ascii="宋体" w:hAnsi="宋体" w:cs="宋体"/>
                <w:color w:val="000000" w:themeColor="text1"/>
                <w:w w:val="99"/>
                <w:kern w:val="2"/>
                <w:sz w:val="21"/>
                <w:szCs w:val="21"/>
                <w14:textFill>
                  <w14:solidFill>
                    <w14:schemeClr w14:val="tx1"/>
                  </w14:solidFill>
                </w14:textFill>
              </w:rPr>
              <w:t>05</w:t>
            </w:r>
            <w:r>
              <w:rPr>
                <w:rFonts w:hint="eastAsia" w:ascii="宋体" w:hAnsi="宋体" w:cs="宋体"/>
                <w:color w:val="000000" w:themeColor="text1"/>
                <w:spacing w:val="1"/>
                <w:w w:val="99"/>
                <w:kern w:val="2"/>
                <w:sz w:val="21"/>
                <w:szCs w:val="21"/>
                <w14:textFill>
                  <w14:solidFill>
                    <w14:schemeClr w14:val="tx1"/>
                  </w14:solidFill>
                </w14:textFill>
              </w:rPr>
              <w:t>1</w:t>
            </w:r>
            <w:r>
              <w:rPr>
                <w:rFonts w:hint="eastAsia" w:ascii="宋体" w:hAnsi="宋体" w:cs="宋体"/>
                <w:color w:val="000000" w:themeColor="text1"/>
                <w:w w:val="99"/>
                <w:kern w:val="2"/>
                <w:sz w:val="21"/>
                <w:szCs w:val="21"/>
                <w14:textFill>
                  <w14:solidFill>
                    <w14:schemeClr w14:val="tx1"/>
                  </w14:solidFill>
                </w14:textFill>
              </w:rPr>
              <w:t>901离心泵</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A02052300</w:t>
            </w:r>
            <w:r>
              <w:rPr>
                <w:rFonts w:hint="eastAsia" w:ascii="宋体" w:hAnsi="宋体" w:cs="宋体"/>
                <w:color w:val="000000" w:themeColor="text1"/>
                <w:w w:val="99"/>
                <w:kern w:val="2"/>
                <w:sz w:val="21"/>
                <w:szCs w:val="21"/>
                <w14:textFill>
                  <w14:solidFill>
                    <w14:schemeClr w14:val="tx1"/>
                  </w14:solidFill>
                </w14:textFill>
              </w:rPr>
              <w:t>制冷空调设备</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pPr>
              <w:pStyle w:val="60"/>
              <w:spacing w:line="276" w:lineRule="auto"/>
              <w:ind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宋体"/>
                <w:color w:val="000000" w:themeColor="text1"/>
                <w:spacing w:val="1"/>
                <w:w w:val="99"/>
                <w:kern w:val="2"/>
                <w:sz w:val="21"/>
                <w:szCs w:val="21"/>
                <w14:textFill>
                  <w14:solidFill>
                    <w14:schemeClr w14:val="tx1"/>
                  </w14:solidFill>
                </w14:textFill>
              </w:rPr>
              <w:t>A020</w:t>
            </w:r>
            <w:r>
              <w:rPr>
                <w:rFonts w:hint="eastAsia" w:ascii="宋体" w:hAnsi="宋体" w:cs="宋体"/>
                <w:color w:val="000000" w:themeColor="text1"/>
                <w:w w:val="99"/>
                <w:kern w:val="2"/>
                <w:sz w:val="21"/>
                <w:szCs w:val="21"/>
                <w14:textFill>
                  <w14:solidFill>
                    <w14:schemeClr w14:val="tx1"/>
                  </w14:solidFill>
                </w14:textFill>
              </w:rPr>
              <w:t>52</w:t>
            </w:r>
            <w:r>
              <w:rPr>
                <w:rFonts w:hint="eastAsia" w:ascii="宋体" w:hAnsi="宋体" w:cs="宋体"/>
                <w:color w:val="000000" w:themeColor="text1"/>
                <w:spacing w:val="1"/>
                <w:w w:val="99"/>
                <w:kern w:val="2"/>
                <w:sz w:val="21"/>
                <w:szCs w:val="21"/>
                <w14:textFill>
                  <w14:solidFill>
                    <w14:schemeClr w14:val="tx1"/>
                  </w14:solidFill>
                </w14:textFill>
              </w:rPr>
              <w:t>3</w:t>
            </w:r>
            <w:r>
              <w:rPr>
                <w:rFonts w:hint="eastAsia" w:ascii="宋体" w:hAnsi="宋体" w:cs="宋体"/>
                <w:color w:val="000000" w:themeColor="text1"/>
                <w:w w:val="99"/>
                <w:kern w:val="2"/>
                <w:sz w:val="21"/>
                <w:szCs w:val="21"/>
                <w14:textFill>
                  <w14:solidFill>
                    <w14:schemeClr w14:val="tx1"/>
                  </w14:solidFill>
                </w14:textFill>
              </w:rPr>
              <w:t>01制冷压缩机</w:t>
            </w: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冷水机组</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溴化锂吸收式冷水机组</w:t>
            </w:r>
          </w:p>
        </w:tc>
        <w:tc>
          <w:tcPr>
            <w:tcW w:w="4422" w:type="dxa"/>
            <w:tcBorders>
              <w:top w:val="single" w:color="000000" w:sz="4" w:space="0"/>
              <w:left w:val="single" w:color="000000" w:sz="4" w:space="0"/>
              <w:bottom w:val="single" w:color="000000" w:sz="4" w:space="0"/>
              <w:right w:val="single" w:color="000000" w:sz="4" w:space="0"/>
            </w:tcBorders>
            <w:vAlign w:val="center"/>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《溴化锂吸收式冷水机组能效限</w:t>
            </w:r>
          </w:p>
          <w:p>
            <w:pPr>
              <w:spacing w:before="131" w:line="276" w:lineRule="auto"/>
              <w:ind w:right="4"/>
              <w:rPr>
                <w:rFonts w:ascii="宋体" w:hAnsi="宋体" w:cs="宋体"/>
                <w:color w:val="000000" w:themeColor="text1"/>
                <w:spacing w:val="10"/>
                <w:szCs w:val="21"/>
                <w14:textFill>
                  <w14:solidFill>
                    <w14:schemeClr w14:val="tx1"/>
                  </w14:solidFill>
                </w14:textFill>
              </w:rPr>
            </w:pPr>
            <w:r>
              <w:rPr>
                <w:rFonts w:hint="eastAsia" w:ascii="宋体" w:hAnsi="宋体" w:cs="宋体"/>
                <w:color w:val="000000" w:themeColor="text1"/>
                <w:spacing w:val="10"/>
                <w:szCs w:val="21"/>
                <w14:textFill>
                  <w14:solidFill>
                    <w14:schemeClr w14:val="tx1"/>
                  </w14:solidFill>
                </w14:textFill>
              </w:rPr>
              <w:t>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pPr>
              <w:pStyle w:val="60"/>
              <w:spacing w:line="276" w:lineRule="auto"/>
              <w:ind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★A02052305空调机组</w:t>
            </w: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0"/>
              <w:spacing w:before="4" w:line="276" w:lineRule="auto"/>
              <w:ind w:left="7" w:right="7"/>
              <w:jc w:val="center"/>
              <w:rPr>
                <w:rFonts w:ascii="宋体" w:hAnsi="宋体" w:cs="宋体"/>
                <w:color w:val="000000" w:themeColor="text1"/>
                <w:w w:val="99"/>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多联式空调（热泵）机组（制冷量&gt;14000W）</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w w:val="99"/>
                <w:szCs w:val="21"/>
                <w14:textFill>
                  <w14:solidFill>
                    <w14:schemeClr w14:val="tx1"/>
                  </w14:solidFill>
                </w14:textFill>
              </w:rPr>
              <w:t>单元式空气调节机</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spacing w:before="83"/>
              <w:ind w:left="7"/>
              <w:jc w:val="center"/>
              <w:rPr>
                <w:rFonts w:ascii="宋体" w:hAnsi="宋体" w:cs="宋体"/>
                <w:color w:val="000000" w:themeColor="text1"/>
                <w:w w:val="99"/>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★A02052309专用制冷、空调设备</w:t>
            </w: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机房空调</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《单元式空气调节机能效限定值</w:t>
            </w:r>
          </w:p>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spacing w:line="254" w:lineRule="exact"/>
              <w:ind w:left="7"/>
              <w:jc w:val="center"/>
              <w:rPr>
                <w:rFonts w:ascii="宋体" w:hAnsi="宋体" w:cs="宋体"/>
                <w:color w:val="000000" w:themeColor="text1"/>
                <w:w w:val="99"/>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A02052399其他制冷</w:t>
            </w:r>
          </w:p>
          <w:p>
            <w:pPr>
              <w:pStyle w:val="60"/>
              <w:spacing w:line="254" w:lineRule="exact"/>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空调设备</w:t>
            </w:r>
          </w:p>
        </w:tc>
        <w:tc>
          <w:tcPr>
            <w:tcW w:w="15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szCs w:val="21"/>
                <w:lang w:eastAsia="en-US"/>
                <w14:textFill>
                  <w14:solidFill>
                    <w14:schemeClr w14:val="tx1"/>
                  </w14:solidFill>
                </w14:textFill>
              </w:rPr>
            </w:pPr>
            <w:r>
              <w:rPr>
                <w:rFonts w:hint="eastAsia" w:ascii="宋体" w:hAnsi="宋体" w:cs="宋体"/>
                <w:color w:val="000000" w:themeColor="text1"/>
                <w:w w:val="99"/>
                <w:szCs w:val="21"/>
                <w14:textFill>
                  <w14:solidFill>
                    <w14:schemeClr w14:val="tx1"/>
                  </w14:solidFill>
                </w14:textFill>
              </w:rPr>
              <w:t>冷却塔</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《机械通风冷却塔第1部分：中小型开式冷却塔》（GB/T7190.1）</w:t>
            </w:r>
          </w:p>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pPr>
              <w:pStyle w:val="60"/>
              <w:ind w:right="1"/>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7</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A02060100</w:t>
            </w:r>
            <w:r>
              <w:rPr>
                <w:rFonts w:hint="eastAsia" w:ascii="宋体" w:hAnsi="宋体" w:cs="宋体"/>
                <w:color w:val="000000" w:themeColor="text1"/>
                <w:w w:val="99"/>
                <w:kern w:val="2"/>
                <w:sz w:val="21"/>
                <w:szCs w:val="21"/>
                <w14:textFill>
                  <w14:solidFill>
                    <w14:schemeClr w14:val="tx1"/>
                  </w14:solidFill>
                </w14:textFill>
              </w:rPr>
              <w:t>电机</w:t>
            </w:r>
          </w:p>
        </w:tc>
        <w:tc>
          <w:tcPr>
            <w:tcW w:w="15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pPr>
              <w:pStyle w:val="60"/>
              <w:ind w:right="1"/>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8</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60"/>
              <w:spacing w:before="30"/>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A02060200</w:t>
            </w:r>
            <w:r>
              <w:rPr>
                <w:rFonts w:hint="eastAsia" w:ascii="宋体" w:hAnsi="宋体" w:cs="宋体"/>
                <w:color w:val="000000" w:themeColor="text1"/>
                <w:w w:val="99"/>
                <w:kern w:val="2"/>
                <w:sz w:val="21"/>
                <w:szCs w:val="21"/>
                <w14:textFill>
                  <w14:solidFill>
                    <w14:schemeClr w14:val="tx1"/>
                  </w14:solidFill>
                </w14:textFill>
              </w:rPr>
              <w:t>变压</w:t>
            </w: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配电变压器</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《三相配电变压器能效限定值及能效等级》（GB 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pPr>
              <w:pStyle w:val="60"/>
              <w:ind w:right="1"/>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9</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60"/>
              <w:spacing w:before="126"/>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★A02060900镇流器</w:t>
            </w: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管型荧光灯镇流器</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w w:val="99"/>
                <w:kern w:val="2"/>
                <w:sz w:val="21"/>
                <w:szCs w:val="21"/>
                <w14:textFill>
                  <w14:solidFill>
                    <w14:schemeClr w14:val="tx1"/>
                  </w14:solidFill>
                </w14:textFill>
              </w:rPr>
              <w:t>10</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A02061800生活用电器</w:t>
            </w: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A02061801电冰箱</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《家用电冰箱耗电量限定值及能效等级》（GB12021.2）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pPr>
              <w:pStyle w:val="60"/>
              <w:spacing w:before="171"/>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A02061804</w:t>
            </w:r>
            <w:r>
              <w:rPr>
                <w:rFonts w:hint="eastAsia" w:ascii="宋体" w:hAnsi="宋体" w:cs="宋体"/>
                <w:color w:val="000000" w:themeColor="text1"/>
                <w:w w:val="99"/>
                <w:kern w:val="2"/>
                <w:sz w:val="21"/>
                <w:szCs w:val="21"/>
                <w14:textFill>
                  <w14:solidFill>
                    <w14:schemeClr w14:val="tx1"/>
                  </w14:solidFill>
                </w14:textFill>
              </w:rPr>
              <w:t>空调机</w:t>
            </w: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房间空气调节器</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《房间空气调节器能效限定值及能效等级》（GB21455-2019）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0"/>
              <w:spacing w:before="4" w:line="276" w:lineRule="auto"/>
              <w:ind w:left="7" w:right="7"/>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多联式空调（热泵）机组（制冷量≤ 14000W）</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单元式空气调节机（制冷量≤ 14000W）</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spacing w:before="162"/>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A02061810</w:t>
            </w:r>
            <w:r>
              <w:rPr>
                <w:rFonts w:hint="eastAsia" w:ascii="宋体" w:hAnsi="宋体" w:cs="宋体"/>
                <w:color w:val="000000" w:themeColor="text1"/>
                <w:w w:val="99"/>
                <w:kern w:val="2"/>
                <w:sz w:val="21"/>
                <w:szCs w:val="21"/>
                <w14:textFill>
                  <w14:solidFill>
                    <w14:schemeClr w14:val="tx1"/>
                  </w14:solidFill>
                </w14:textFill>
              </w:rPr>
              <w:t>洗衣机</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pPr>
              <w:pStyle w:val="60"/>
              <w:spacing w:before="161"/>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A02061819</w:t>
            </w:r>
            <w:r>
              <w:rPr>
                <w:rFonts w:hint="eastAsia" w:ascii="宋体" w:hAnsi="宋体" w:cs="宋体"/>
                <w:color w:val="000000" w:themeColor="text1"/>
                <w:w w:val="99"/>
                <w:kern w:val="2"/>
                <w:sz w:val="21"/>
                <w:szCs w:val="21"/>
                <w14:textFill>
                  <w14:solidFill>
                    <w14:schemeClr w14:val="tx1"/>
                  </w14:solidFill>
                </w14:textFill>
              </w:rPr>
              <w:t>热水器</w:t>
            </w: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★电热</w:t>
            </w:r>
            <w:r>
              <w:rPr>
                <w:rFonts w:hint="eastAsia" w:ascii="宋体" w:hAnsi="宋体" w:cs="宋体"/>
                <w:color w:val="000000" w:themeColor="text1"/>
                <w:spacing w:val="2"/>
                <w:w w:val="99"/>
                <w:kern w:val="2"/>
                <w:sz w:val="21"/>
                <w:szCs w:val="21"/>
                <w14:textFill>
                  <w14:solidFill>
                    <w14:schemeClr w14:val="tx1"/>
                  </w14:solidFill>
                </w14:textFill>
              </w:rPr>
              <w:t>水</w:t>
            </w:r>
            <w:r>
              <w:rPr>
                <w:rFonts w:hint="eastAsia" w:ascii="宋体" w:hAnsi="宋体" w:cs="宋体"/>
                <w:color w:val="000000" w:themeColor="text1"/>
                <w:w w:val="99"/>
                <w:kern w:val="2"/>
                <w:sz w:val="21"/>
                <w:szCs w:val="21"/>
                <w14:textFill>
                  <w14:solidFill>
                    <w14:schemeClr w14:val="tx1"/>
                  </w14:solidFill>
                </w14:textFill>
              </w:rPr>
              <w:t>器</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燃气热</w:t>
            </w:r>
            <w:r>
              <w:rPr>
                <w:rFonts w:hint="eastAsia" w:ascii="宋体" w:hAnsi="宋体" w:cs="宋体"/>
                <w:color w:val="000000" w:themeColor="text1"/>
                <w:spacing w:val="2"/>
                <w:w w:val="99"/>
                <w:kern w:val="2"/>
                <w:sz w:val="21"/>
                <w:szCs w:val="21"/>
                <w14:textFill>
                  <w14:solidFill>
                    <w14:schemeClr w14:val="tx1"/>
                  </w14:solidFill>
                </w14:textFill>
              </w:rPr>
              <w:t>水</w:t>
            </w:r>
            <w:r>
              <w:rPr>
                <w:rFonts w:hint="eastAsia" w:ascii="宋体" w:hAnsi="宋体" w:cs="宋体"/>
                <w:color w:val="000000" w:themeColor="text1"/>
                <w:w w:val="99"/>
                <w:kern w:val="2"/>
                <w:sz w:val="21"/>
                <w:szCs w:val="21"/>
                <w14:textFill>
                  <w14:solidFill>
                    <w14:schemeClr w14:val="tx1"/>
                  </w14:solidFill>
                </w14:textFill>
              </w:rPr>
              <w:t>器</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热泵热</w:t>
            </w:r>
            <w:r>
              <w:rPr>
                <w:rFonts w:hint="eastAsia" w:ascii="宋体" w:hAnsi="宋体" w:cs="宋体"/>
                <w:color w:val="000000" w:themeColor="text1"/>
                <w:spacing w:val="2"/>
                <w:w w:val="99"/>
                <w:kern w:val="2"/>
                <w:sz w:val="21"/>
                <w:szCs w:val="21"/>
                <w14:textFill>
                  <w14:solidFill>
                    <w14:schemeClr w14:val="tx1"/>
                  </w14:solidFill>
                </w14:textFill>
              </w:rPr>
              <w:t>水</w:t>
            </w:r>
            <w:r>
              <w:rPr>
                <w:rFonts w:hint="eastAsia" w:ascii="宋体" w:hAnsi="宋体" w:cs="宋体"/>
                <w:color w:val="000000" w:themeColor="text1"/>
                <w:w w:val="99"/>
                <w:kern w:val="2"/>
                <w:sz w:val="21"/>
                <w:szCs w:val="21"/>
                <w14:textFill>
                  <w14:solidFill>
                    <w14:schemeClr w14:val="tx1"/>
                  </w14:solidFill>
                </w14:textFill>
              </w:rPr>
              <w:t>器</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太阳能</w:t>
            </w:r>
            <w:r>
              <w:rPr>
                <w:rFonts w:hint="eastAsia" w:ascii="宋体" w:hAnsi="宋体" w:cs="宋体"/>
                <w:color w:val="000000" w:themeColor="text1"/>
                <w:spacing w:val="2"/>
                <w:w w:val="99"/>
                <w:kern w:val="2"/>
                <w:sz w:val="21"/>
                <w:szCs w:val="21"/>
                <w14:textFill>
                  <w14:solidFill>
                    <w14:schemeClr w14:val="tx1"/>
                  </w14:solidFill>
                </w14:textFill>
              </w:rPr>
              <w:t>热</w:t>
            </w:r>
            <w:r>
              <w:rPr>
                <w:rFonts w:hint="eastAsia" w:ascii="宋体" w:hAnsi="宋体" w:cs="宋体"/>
                <w:color w:val="000000" w:themeColor="text1"/>
                <w:w w:val="99"/>
                <w:kern w:val="2"/>
                <w:sz w:val="21"/>
                <w:szCs w:val="21"/>
                <w14:textFill>
                  <w14:solidFill>
                    <w14:schemeClr w14:val="tx1"/>
                  </w14:solidFill>
                </w14:textFill>
              </w:rPr>
              <w:t>水系统</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spacing w:val="1"/>
                <w:w w:val="99"/>
                <w:kern w:val="2"/>
                <w:sz w:val="21"/>
                <w:szCs w:val="21"/>
                <w14:textFill>
                  <w14:solidFill>
                    <w14:schemeClr w14:val="tx1"/>
                  </w14:solidFill>
                </w14:textFill>
              </w:rPr>
              <w:t>1</w:t>
            </w:r>
            <w:r>
              <w:rPr>
                <w:rFonts w:hint="eastAsia" w:ascii="宋体" w:hAnsi="宋体"/>
                <w:color w:val="000000" w:themeColor="text1"/>
                <w:w w:val="99"/>
                <w:kern w:val="2"/>
                <w:sz w:val="21"/>
                <w:szCs w:val="21"/>
                <w14:textFill>
                  <w14:solidFill>
                    <w14:schemeClr w14:val="tx1"/>
                  </w14:solidFill>
                </w14:textFill>
              </w:rPr>
              <w:t>1</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pPr>
              <w:pStyle w:val="60"/>
              <w:spacing w:before="15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A02</w:t>
            </w:r>
            <w:r>
              <w:rPr>
                <w:rFonts w:hint="eastAsia" w:ascii="宋体" w:hAnsi="宋体" w:cs="宋体"/>
                <w:color w:val="000000" w:themeColor="text1"/>
                <w:w w:val="99"/>
                <w:kern w:val="2"/>
                <w:sz w:val="21"/>
                <w:szCs w:val="21"/>
                <w14:textFill>
                  <w14:solidFill>
                    <w14:schemeClr w14:val="tx1"/>
                  </w14:solidFill>
                </w14:textFill>
              </w:rPr>
              <w:t>06</w:t>
            </w:r>
            <w:r>
              <w:rPr>
                <w:rFonts w:hint="eastAsia" w:ascii="宋体" w:hAnsi="宋体" w:cs="宋体"/>
                <w:color w:val="000000" w:themeColor="text1"/>
                <w:spacing w:val="1"/>
                <w:w w:val="99"/>
                <w:kern w:val="2"/>
                <w:sz w:val="21"/>
                <w:szCs w:val="21"/>
                <w14:textFill>
                  <w14:solidFill>
                    <w14:schemeClr w14:val="tx1"/>
                  </w14:solidFill>
                </w14:textFill>
              </w:rPr>
              <w:t>1</w:t>
            </w:r>
            <w:r>
              <w:rPr>
                <w:rFonts w:hint="eastAsia" w:ascii="宋体" w:hAnsi="宋体" w:cs="宋体"/>
                <w:color w:val="000000" w:themeColor="text1"/>
                <w:w w:val="99"/>
                <w:kern w:val="2"/>
                <w:sz w:val="21"/>
                <w:szCs w:val="21"/>
                <w14:textFill>
                  <w14:solidFill>
                    <w14:schemeClr w14:val="tx1"/>
                  </w14:solidFill>
                </w14:textFill>
              </w:rPr>
              <w:t>900照明设备</w:t>
            </w: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spacing w:before="133" w:line="276" w:lineRule="auto"/>
              <w:ind w:left="7" w:right="7"/>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★普通照明用双端荧光灯</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spacing w:before="92" w:line="276" w:lineRule="auto"/>
              <w:ind w:left="7" w:right="2"/>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LE</w:t>
            </w:r>
            <w:r>
              <w:rPr>
                <w:rFonts w:hint="eastAsia" w:ascii="宋体" w:hAnsi="宋体" w:cs="宋体"/>
                <w:color w:val="000000" w:themeColor="text1"/>
                <w:w w:val="99"/>
                <w:kern w:val="2"/>
                <w:sz w:val="21"/>
                <w:szCs w:val="21"/>
                <w14:textFill>
                  <w14:solidFill>
                    <w14:schemeClr w14:val="tx1"/>
                  </w14:solidFill>
                </w14:textFill>
              </w:rPr>
              <w:t>D</w:t>
            </w:r>
            <w:r>
              <w:rPr>
                <w:rFonts w:hint="eastAsia" w:ascii="宋体" w:hAnsi="宋体" w:cs="宋体"/>
                <w:color w:val="000000" w:themeColor="text1"/>
                <w:spacing w:val="12"/>
                <w:w w:val="99"/>
                <w:kern w:val="2"/>
                <w:sz w:val="21"/>
                <w:szCs w:val="21"/>
                <w14:textFill>
                  <w14:solidFill>
                    <w14:schemeClr w14:val="tx1"/>
                  </w14:solidFill>
                </w14:textFill>
              </w:rPr>
              <w:t>道</w:t>
            </w:r>
            <w:r>
              <w:rPr>
                <w:rFonts w:hint="eastAsia" w:ascii="宋体" w:hAnsi="宋体" w:cs="宋体"/>
                <w:color w:val="000000" w:themeColor="text1"/>
                <w:spacing w:val="9"/>
                <w:w w:val="99"/>
                <w:kern w:val="2"/>
                <w:sz w:val="21"/>
                <w:szCs w:val="21"/>
                <w14:textFill>
                  <w14:solidFill>
                    <w14:schemeClr w14:val="tx1"/>
                  </w14:solidFill>
                </w14:textFill>
              </w:rPr>
              <w:t>路</w:t>
            </w:r>
            <w:r>
              <w:rPr>
                <w:rFonts w:hint="eastAsia" w:ascii="宋体" w:hAnsi="宋体" w:cs="宋体"/>
                <w:color w:val="000000" w:themeColor="text1"/>
                <w:spacing w:val="13"/>
                <w:w w:val="99"/>
                <w:kern w:val="2"/>
                <w:sz w:val="21"/>
                <w:szCs w:val="21"/>
                <w14:textFill>
                  <w14:solidFill>
                    <w14:schemeClr w14:val="tx1"/>
                  </w14:solidFill>
                </w14:textFill>
              </w:rPr>
              <w:t>/</w:t>
            </w:r>
            <w:r>
              <w:rPr>
                <w:rFonts w:hint="eastAsia" w:ascii="宋体" w:hAnsi="宋体" w:cs="宋体"/>
                <w:color w:val="000000" w:themeColor="text1"/>
                <w:spacing w:val="12"/>
                <w:w w:val="99"/>
                <w:kern w:val="2"/>
                <w:sz w:val="21"/>
                <w:szCs w:val="21"/>
                <w14:textFill>
                  <w14:solidFill>
                    <w14:schemeClr w14:val="tx1"/>
                  </w14:solidFill>
                </w14:textFill>
              </w:rPr>
              <w:t>隧道照</w:t>
            </w:r>
            <w:r>
              <w:rPr>
                <w:rFonts w:hint="eastAsia" w:ascii="宋体" w:hAnsi="宋体" w:cs="宋体"/>
                <w:color w:val="000000" w:themeColor="text1"/>
                <w:w w:val="99"/>
                <w:kern w:val="2"/>
                <w:sz w:val="21"/>
                <w:szCs w:val="21"/>
                <w14:textFill>
                  <w14:solidFill>
                    <w14:schemeClr w14:val="tx1"/>
                  </w14:solidFill>
                </w14:textFill>
              </w:rPr>
              <w:t>明产品</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LE</w:t>
            </w:r>
            <w:r>
              <w:rPr>
                <w:rFonts w:hint="eastAsia" w:ascii="宋体" w:hAnsi="宋体" w:cs="宋体"/>
                <w:color w:val="000000" w:themeColor="text1"/>
                <w:w w:val="99"/>
                <w:kern w:val="2"/>
                <w:sz w:val="21"/>
                <w:szCs w:val="21"/>
                <w14:textFill>
                  <w14:solidFill>
                    <w14:schemeClr w14:val="tx1"/>
                  </w14:solidFill>
                </w14:textFill>
              </w:rPr>
              <w:t>D筒灯</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spacing w:line="276" w:lineRule="auto"/>
              <w:ind w:right="7"/>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w w:val="99"/>
                <w:kern w:val="2"/>
                <w:sz w:val="21"/>
                <w:szCs w:val="21"/>
                <w:lang w:eastAsia="zh-CN"/>
                <w14:textFill>
                  <w14:solidFill>
                    <w14:schemeClr w14:val="tx1"/>
                  </w14:solidFill>
                </w14:textFill>
              </w:rPr>
              <w:t>普</w:t>
            </w:r>
            <w:r>
              <w:rPr>
                <w:rFonts w:hint="eastAsia" w:ascii="宋体" w:hAnsi="宋体" w:cs="宋体"/>
                <w:color w:val="000000" w:themeColor="text1"/>
                <w:spacing w:val="24"/>
                <w:w w:val="99"/>
                <w:kern w:val="2"/>
                <w:sz w:val="21"/>
                <w:szCs w:val="21"/>
                <w:lang w:eastAsia="zh-CN"/>
                <w14:textFill>
                  <w14:solidFill>
                    <w14:schemeClr w14:val="tx1"/>
                  </w14:solidFill>
                </w14:textFill>
              </w:rPr>
              <w:t>通</w:t>
            </w:r>
            <w:r>
              <w:rPr>
                <w:rFonts w:hint="eastAsia" w:ascii="宋体" w:hAnsi="宋体" w:cs="宋体"/>
                <w:color w:val="000000" w:themeColor="text1"/>
                <w:w w:val="99"/>
                <w:kern w:val="2"/>
                <w:sz w:val="21"/>
                <w:szCs w:val="21"/>
                <w:lang w:eastAsia="zh-CN"/>
                <w14:textFill>
                  <w14:solidFill>
                    <w14:schemeClr w14:val="tx1"/>
                  </w14:solidFill>
                </w14:textFill>
              </w:rPr>
              <w:t>照明用非</w:t>
            </w:r>
            <w:r>
              <w:rPr>
                <w:rFonts w:hint="eastAsia" w:ascii="宋体" w:hAnsi="宋体" w:cs="宋体"/>
                <w:color w:val="000000" w:themeColor="text1"/>
                <w:spacing w:val="24"/>
                <w:w w:val="99"/>
                <w:kern w:val="2"/>
                <w:sz w:val="21"/>
                <w:szCs w:val="21"/>
                <w:lang w:eastAsia="zh-CN"/>
                <w14:textFill>
                  <w14:solidFill>
                    <w14:schemeClr w14:val="tx1"/>
                  </w14:solidFill>
                </w14:textFill>
              </w:rPr>
              <w:t>定</w:t>
            </w:r>
            <w:r>
              <w:rPr>
                <w:rFonts w:hint="eastAsia" w:ascii="宋体" w:hAnsi="宋体" w:cs="宋体"/>
                <w:color w:val="000000" w:themeColor="text1"/>
                <w:w w:val="99"/>
                <w:kern w:val="2"/>
                <w:sz w:val="21"/>
                <w:szCs w:val="21"/>
                <w:lang w:eastAsia="zh-CN"/>
                <w14:textFill>
                  <w14:solidFill>
                    <w14:schemeClr w14:val="tx1"/>
                  </w14:solidFill>
                </w14:textFill>
              </w:rPr>
              <w:t>向自镇流</w:t>
            </w:r>
            <w:r>
              <w:rPr>
                <w:rFonts w:hint="eastAsia" w:ascii="宋体" w:hAnsi="宋体" w:cs="宋体"/>
                <w:color w:val="000000" w:themeColor="text1"/>
                <w:spacing w:val="1"/>
                <w:w w:val="99"/>
                <w:kern w:val="2"/>
                <w:sz w:val="21"/>
                <w:szCs w:val="21"/>
                <w:lang w:eastAsia="zh-CN"/>
                <w14:textFill>
                  <w14:solidFill>
                    <w14:schemeClr w14:val="tx1"/>
                  </w14:solidFill>
                </w14:textFill>
              </w:rPr>
              <w:t>LE</w:t>
            </w:r>
            <w:r>
              <w:rPr>
                <w:rFonts w:hint="eastAsia" w:ascii="宋体" w:hAnsi="宋体" w:cs="宋体"/>
                <w:color w:val="000000" w:themeColor="text1"/>
                <w:w w:val="99"/>
                <w:kern w:val="2"/>
                <w:sz w:val="21"/>
                <w:szCs w:val="21"/>
                <w:lang w:eastAsia="zh-CN"/>
                <w14:textFill>
                  <w14:solidFill>
                    <w14:schemeClr w14:val="tx1"/>
                  </w14:solidFill>
                </w14:textFill>
              </w:rPr>
              <w:t>D灯</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spacing w:val="1"/>
                <w:w w:val="99"/>
                <w:kern w:val="2"/>
                <w:sz w:val="21"/>
                <w:szCs w:val="21"/>
                <w14:textFill>
                  <w14:solidFill>
                    <w14:schemeClr w14:val="tx1"/>
                  </w14:solidFill>
                </w14:textFill>
              </w:rPr>
              <w:t>1</w:t>
            </w:r>
            <w:r>
              <w:rPr>
                <w:rFonts w:hint="eastAsia" w:ascii="宋体" w:hAnsi="宋体"/>
                <w:color w:val="000000" w:themeColor="text1"/>
                <w:w w:val="99"/>
                <w:kern w:val="2"/>
                <w:sz w:val="21"/>
                <w:szCs w:val="21"/>
                <w14:textFill>
                  <w14:solidFill>
                    <w14:schemeClr w14:val="tx1"/>
                  </w14:solidFill>
                </w14:textFill>
              </w:rPr>
              <w:t>2</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60"/>
              <w:spacing w:before="81"/>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宋体"/>
                <w:color w:val="000000" w:themeColor="text1"/>
                <w:spacing w:val="1"/>
                <w:w w:val="99"/>
                <w:kern w:val="2"/>
                <w:sz w:val="21"/>
                <w:szCs w:val="21"/>
                <w14:textFill>
                  <w14:solidFill>
                    <w14:schemeClr w14:val="tx1"/>
                  </w14:solidFill>
                </w14:textFill>
              </w:rPr>
              <w:t>A020</w:t>
            </w:r>
            <w:r>
              <w:rPr>
                <w:rFonts w:hint="eastAsia" w:ascii="宋体" w:hAnsi="宋体" w:cs="宋体"/>
                <w:color w:val="000000" w:themeColor="text1"/>
                <w:w w:val="99"/>
                <w:kern w:val="2"/>
                <w:sz w:val="21"/>
                <w:szCs w:val="21"/>
                <w14:textFill>
                  <w14:solidFill>
                    <w14:schemeClr w14:val="tx1"/>
                  </w14:solidFill>
                </w14:textFill>
              </w:rPr>
              <w:t>91000电视设备</w:t>
            </w: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spacing w:before="81" w:line="276" w:lineRule="auto"/>
              <w:ind w:left="7" w:right="5"/>
              <w:jc w:val="center"/>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spacing w:val="1"/>
                <w:w w:val="99"/>
                <w:kern w:val="2"/>
                <w:sz w:val="21"/>
                <w:szCs w:val="21"/>
                <w:lang w:eastAsia="zh-CN"/>
                <w14:textFill>
                  <w14:solidFill>
                    <w14:schemeClr w14:val="tx1"/>
                  </w14:solidFill>
                </w14:textFill>
              </w:rPr>
              <w:t>A02</w:t>
            </w:r>
            <w:r>
              <w:rPr>
                <w:rFonts w:hint="eastAsia" w:ascii="宋体" w:hAnsi="宋体" w:cs="宋体"/>
                <w:color w:val="000000" w:themeColor="text1"/>
                <w:w w:val="99"/>
                <w:kern w:val="2"/>
                <w:sz w:val="21"/>
                <w:szCs w:val="21"/>
                <w:lang w:eastAsia="zh-CN"/>
                <w14:textFill>
                  <w14:solidFill>
                    <w14:schemeClr w14:val="tx1"/>
                  </w14:solidFill>
                </w14:textFill>
              </w:rPr>
              <w:t>09</w:t>
            </w:r>
            <w:r>
              <w:rPr>
                <w:rFonts w:hint="eastAsia" w:ascii="宋体" w:hAnsi="宋体" w:cs="宋体"/>
                <w:color w:val="000000" w:themeColor="text1"/>
                <w:spacing w:val="1"/>
                <w:w w:val="99"/>
                <w:kern w:val="2"/>
                <w:sz w:val="21"/>
                <w:szCs w:val="21"/>
                <w:lang w:eastAsia="zh-CN"/>
                <w14:textFill>
                  <w14:solidFill>
                    <w14:schemeClr w14:val="tx1"/>
                  </w14:solidFill>
                </w14:textFill>
              </w:rPr>
              <w:t>1</w:t>
            </w:r>
            <w:r>
              <w:rPr>
                <w:rFonts w:hint="eastAsia" w:ascii="宋体" w:hAnsi="宋体" w:cs="宋体"/>
                <w:color w:val="000000" w:themeColor="text1"/>
                <w:w w:val="99"/>
                <w:kern w:val="2"/>
                <w:sz w:val="21"/>
                <w:szCs w:val="21"/>
                <w:lang w:eastAsia="zh-CN"/>
                <w14:textFill>
                  <w14:solidFill>
                    <w14:schemeClr w14:val="tx1"/>
                  </w14:solidFill>
                </w14:textFill>
              </w:rPr>
              <w:t>001普通电视设备（</w:t>
            </w:r>
            <w:r>
              <w:rPr>
                <w:rFonts w:hint="eastAsia" w:ascii="宋体" w:hAnsi="宋体" w:cs="宋体"/>
                <w:color w:val="000000" w:themeColor="text1"/>
                <w:spacing w:val="2"/>
                <w:w w:val="99"/>
                <w:kern w:val="2"/>
                <w:sz w:val="21"/>
                <w:szCs w:val="21"/>
                <w:lang w:eastAsia="zh-CN"/>
                <w14:textFill>
                  <w14:solidFill>
                    <w14:schemeClr w14:val="tx1"/>
                  </w14:solidFill>
                </w14:textFill>
              </w:rPr>
              <w:t>电</w:t>
            </w:r>
            <w:r>
              <w:rPr>
                <w:rFonts w:hint="eastAsia" w:ascii="宋体" w:hAnsi="宋体" w:cs="宋体"/>
                <w:color w:val="000000" w:themeColor="text1"/>
                <w:w w:val="99"/>
                <w:kern w:val="2"/>
                <w:sz w:val="21"/>
                <w:szCs w:val="21"/>
                <w:lang w:eastAsia="zh-CN"/>
                <w14:textFill>
                  <w14:solidFill>
                    <w14:schemeClr w14:val="tx1"/>
                  </w14:solidFill>
                </w14:textFill>
              </w:rPr>
              <w:t>视机）</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spacing w:val="1"/>
                <w:w w:val="99"/>
                <w:kern w:val="2"/>
                <w:sz w:val="21"/>
                <w:szCs w:val="21"/>
                <w14:textFill>
                  <w14:solidFill>
                    <w14:schemeClr w14:val="tx1"/>
                  </w14:solidFill>
                </w14:textFill>
              </w:rPr>
              <w:t>1</w:t>
            </w:r>
            <w:r>
              <w:rPr>
                <w:rFonts w:hint="eastAsia" w:ascii="宋体" w:hAnsi="宋体"/>
                <w:color w:val="000000" w:themeColor="text1"/>
                <w:w w:val="99"/>
                <w:kern w:val="2"/>
                <w:sz w:val="21"/>
                <w:szCs w:val="21"/>
                <w14:textFill>
                  <w14:solidFill>
                    <w14:schemeClr w14:val="tx1"/>
                  </w14:solidFill>
                </w14:textFill>
              </w:rPr>
              <w:t>3</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宋体"/>
                <w:color w:val="000000" w:themeColor="text1"/>
                <w:spacing w:val="1"/>
                <w:w w:val="99"/>
                <w:kern w:val="2"/>
                <w:sz w:val="21"/>
                <w:szCs w:val="21"/>
                <w14:textFill>
                  <w14:solidFill>
                    <w14:schemeClr w14:val="tx1"/>
                  </w14:solidFill>
                </w14:textFill>
              </w:rPr>
              <w:t>A020</w:t>
            </w:r>
            <w:r>
              <w:rPr>
                <w:rFonts w:hint="eastAsia" w:ascii="宋体" w:hAnsi="宋体" w:cs="宋体"/>
                <w:color w:val="000000" w:themeColor="text1"/>
                <w:w w:val="99"/>
                <w:kern w:val="2"/>
                <w:sz w:val="21"/>
                <w:szCs w:val="21"/>
                <w14:textFill>
                  <w14:solidFill>
                    <w14:schemeClr w14:val="tx1"/>
                  </w14:solidFill>
                </w14:textFill>
              </w:rPr>
              <w:t>91100视频设备</w:t>
            </w: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spacing w:line="276" w:lineRule="auto"/>
              <w:ind w:right="5"/>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spacing w:val="1"/>
                <w:w w:val="99"/>
                <w:kern w:val="2"/>
                <w:sz w:val="21"/>
                <w:szCs w:val="21"/>
                <w14:textFill>
                  <w14:solidFill>
                    <w14:schemeClr w14:val="tx1"/>
                  </w14:solidFill>
                </w14:textFill>
              </w:rPr>
              <w:t>A02</w:t>
            </w:r>
            <w:r>
              <w:rPr>
                <w:rFonts w:hint="eastAsia" w:ascii="宋体" w:hAnsi="宋体" w:cs="宋体"/>
                <w:color w:val="000000" w:themeColor="text1"/>
                <w:w w:val="99"/>
                <w:kern w:val="2"/>
                <w:sz w:val="21"/>
                <w:szCs w:val="21"/>
                <w14:textFill>
                  <w14:solidFill>
                    <w14:schemeClr w14:val="tx1"/>
                  </w14:solidFill>
                </w14:textFill>
              </w:rPr>
              <w:t>09</w:t>
            </w:r>
            <w:r>
              <w:rPr>
                <w:rFonts w:hint="eastAsia" w:ascii="宋体" w:hAnsi="宋体" w:cs="宋体"/>
                <w:color w:val="000000" w:themeColor="text1"/>
                <w:spacing w:val="1"/>
                <w:w w:val="99"/>
                <w:kern w:val="2"/>
                <w:sz w:val="21"/>
                <w:szCs w:val="21"/>
                <w14:textFill>
                  <w14:solidFill>
                    <w14:schemeClr w14:val="tx1"/>
                  </w14:solidFill>
                </w14:textFill>
              </w:rPr>
              <w:t>1</w:t>
            </w:r>
            <w:r>
              <w:rPr>
                <w:rFonts w:hint="eastAsia" w:ascii="宋体" w:hAnsi="宋体" w:cs="宋体"/>
                <w:color w:val="000000" w:themeColor="text1"/>
                <w:w w:val="99"/>
                <w:kern w:val="2"/>
                <w:sz w:val="21"/>
                <w:szCs w:val="21"/>
                <w14:textFill>
                  <w14:solidFill>
                    <w14:schemeClr w14:val="tx1"/>
                  </w14:solidFill>
                </w14:textFill>
              </w:rPr>
              <w:t>107视频监控设备</w:t>
            </w:r>
          </w:p>
        </w:tc>
        <w:tc>
          <w:tcPr>
            <w:tcW w:w="153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监视器</w:t>
            </w: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spacing w:val="10"/>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spacing w:val="1"/>
                <w:w w:val="99"/>
                <w:kern w:val="2"/>
                <w:sz w:val="21"/>
                <w:szCs w:val="21"/>
                <w14:textFill>
                  <w14:solidFill>
                    <w14:schemeClr w14:val="tx1"/>
                  </w14:solidFill>
                </w14:textFill>
              </w:rPr>
              <w:t>1</w:t>
            </w:r>
            <w:r>
              <w:rPr>
                <w:rFonts w:hint="eastAsia" w:ascii="宋体" w:hAnsi="宋体"/>
                <w:color w:val="000000" w:themeColor="text1"/>
                <w:w w:val="99"/>
                <w:kern w:val="2"/>
                <w:sz w:val="21"/>
                <w:szCs w:val="21"/>
                <w14:textFill>
                  <w14:solidFill>
                    <w14:schemeClr w14:val="tx1"/>
                  </w14:solidFill>
                </w14:textFill>
              </w:rPr>
              <w:t>4</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60"/>
              <w:spacing w:before="76"/>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A02241000</w:t>
            </w:r>
            <w:r>
              <w:rPr>
                <w:rFonts w:hint="eastAsia" w:ascii="宋体" w:hAnsi="宋体" w:cs="宋体"/>
                <w:color w:val="000000" w:themeColor="text1"/>
                <w:w w:val="99"/>
                <w:kern w:val="2"/>
                <w:sz w:val="21"/>
                <w:szCs w:val="21"/>
                <w14:textFill>
                  <w14:solidFill>
                    <w14:schemeClr w14:val="tx1"/>
                  </w14:solidFill>
                </w14:textFill>
              </w:rPr>
              <w:t>饮食炊事机械</w:t>
            </w: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商用燃</w:t>
            </w:r>
            <w:r>
              <w:rPr>
                <w:rFonts w:hint="eastAsia" w:ascii="宋体" w:hAnsi="宋体" w:cs="宋体"/>
                <w:color w:val="000000" w:themeColor="text1"/>
                <w:spacing w:val="2"/>
                <w:w w:val="99"/>
                <w:kern w:val="2"/>
                <w:sz w:val="21"/>
                <w:szCs w:val="21"/>
                <w14:textFill>
                  <w14:solidFill>
                    <w14:schemeClr w14:val="tx1"/>
                  </w14:solidFill>
                </w14:textFill>
              </w:rPr>
              <w:t>气</w:t>
            </w:r>
            <w:r>
              <w:rPr>
                <w:rFonts w:hint="eastAsia" w:ascii="宋体" w:hAnsi="宋体" w:cs="宋体"/>
                <w:color w:val="000000" w:themeColor="text1"/>
                <w:w w:val="99"/>
                <w:kern w:val="2"/>
                <w:sz w:val="21"/>
                <w:szCs w:val="21"/>
                <w14:textFill>
                  <w14:solidFill>
                    <w14:schemeClr w14:val="tx1"/>
                  </w14:solidFill>
                </w14:textFill>
              </w:rPr>
              <w:t>灶具</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w w:val="99"/>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A05020105</w:t>
            </w:r>
            <w:r>
              <w:rPr>
                <w:rFonts w:hint="eastAsia" w:ascii="宋体" w:hAnsi="宋体" w:cs="宋体"/>
                <w:color w:val="000000" w:themeColor="text1"/>
                <w:w w:val="99"/>
                <w:kern w:val="2"/>
                <w:sz w:val="21"/>
                <w:szCs w:val="21"/>
                <w14:textFill>
                  <w14:solidFill>
                    <w14:schemeClr w14:val="tx1"/>
                  </w14:solidFill>
                </w14:textFill>
              </w:rPr>
              <w:t>便器</w:t>
            </w: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坐便器</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《坐便器水效限定值及水效等级》</w:t>
            </w:r>
          </w:p>
          <w:p>
            <w:pPr>
              <w:pStyle w:val="60"/>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w w:val="99"/>
                <w:szCs w:val="21"/>
                <w:lang w:eastAsia="en-US"/>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蹲便器</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000000" w:themeColor="text1"/>
                <w:szCs w:val="21"/>
                <w14:textFill>
                  <w14:solidFill>
                    <w14:schemeClr w14:val="tx1"/>
                  </w14:solidFill>
                </w14:textFill>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w w:val="99"/>
                <w:szCs w:val="21"/>
                <w14:textFill>
                  <w14:solidFill>
                    <w14:schemeClr w14:val="tx1"/>
                  </w14:solidFill>
                </w14:textFill>
              </w:rPr>
            </w:pPr>
          </w:p>
        </w:tc>
        <w:tc>
          <w:tcPr>
            <w:tcW w:w="1546"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w w:val="99"/>
                <w:kern w:val="2"/>
                <w:sz w:val="21"/>
                <w:szCs w:val="21"/>
                <w14:textFill>
                  <w14:solidFill>
                    <w14:schemeClr w14:val="tx1"/>
                  </w14:solidFill>
                </w14:textFill>
              </w:rPr>
              <w:t>小便器</w:t>
            </w: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16</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60"/>
              <w:spacing w:before="153"/>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w:t>
            </w:r>
            <w:r>
              <w:rPr>
                <w:rFonts w:hint="eastAsia" w:ascii="宋体" w:hAnsi="宋体" w:cs="仿宋_GB2312"/>
                <w:color w:val="000000" w:themeColor="text1"/>
                <w:kern w:val="2"/>
                <w:sz w:val="21"/>
                <w:szCs w:val="21"/>
                <w14:textFill>
                  <w14:solidFill>
                    <w14:schemeClr w14:val="tx1"/>
                  </w14:solidFill>
                </w14:textFill>
              </w:rPr>
              <w:t>A05020106</w:t>
            </w:r>
            <w:r>
              <w:rPr>
                <w:rFonts w:hint="eastAsia" w:ascii="宋体" w:hAnsi="宋体" w:cs="宋体"/>
                <w:color w:val="000000" w:themeColor="text1"/>
                <w:kern w:val="2"/>
                <w:sz w:val="21"/>
                <w:szCs w:val="21"/>
                <w14:textFill>
                  <w14:solidFill>
                    <w14:schemeClr w14:val="tx1"/>
                  </w14:solidFill>
                </w14:textFill>
              </w:rPr>
              <w:t>水</w:t>
            </w:r>
            <w:r>
              <w:rPr>
                <w:rFonts w:hint="eastAsia" w:ascii="宋体" w:hAnsi="宋体" w:cs="宋体"/>
                <w:color w:val="000000" w:themeColor="text1"/>
                <w:w w:val="99"/>
                <w:kern w:val="2"/>
                <w:sz w:val="21"/>
                <w:szCs w:val="21"/>
                <w14:textFill>
                  <w14:solidFill>
                    <w14:schemeClr w14:val="tx1"/>
                  </w14:solidFill>
                </w14:textFill>
              </w:rPr>
              <w:t>嘴</w:t>
            </w:r>
          </w:p>
        </w:tc>
        <w:tc>
          <w:tcPr>
            <w:tcW w:w="15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lang w:eastAsia="en-US"/>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lang w:eastAsia="en-US"/>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53"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《水嘴用水效率限定值及用水效</w:t>
            </w:r>
            <w:r>
              <w:rPr>
                <w:rFonts w:hint="eastAsia" w:ascii="宋体" w:hAnsi="宋体" w:cs="宋体"/>
                <w:color w:val="000000" w:themeColor="text1"/>
                <w:kern w:val="2"/>
                <w:sz w:val="21"/>
                <w:szCs w:val="21"/>
                <w:lang w:eastAsia="zh-CN"/>
                <w14:textFill>
                  <w14:solidFill>
                    <w14:schemeClr w14:val="tx1"/>
                  </w14:solidFill>
                </w14:textFill>
              </w:rPr>
              <w:t>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17</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60"/>
              <w:spacing w:before="112"/>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A05020107</w:t>
            </w:r>
            <w:r>
              <w:rPr>
                <w:rFonts w:hint="eastAsia" w:ascii="宋体" w:hAnsi="宋体" w:cs="宋体"/>
                <w:color w:val="000000" w:themeColor="text1"/>
                <w:kern w:val="2"/>
                <w:sz w:val="21"/>
                <w:szCs w:val="21"/>
                <w14:textFill>
                  <w14:solidFill>
                    <w14:schemeClr w14:val="tx1"/>
                  </w14:solidFill>
                </w14:textFill>
              </w:rPr>
              <w:t>便器冲洗阀</w:t>
            </w:r>
          </w:p>
        </w:tc>
        <w:tc>
          <w:tcPr>
            <w:tcW w:w="15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lang w:eastAsia="en-US"/>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lang w:eastAsia="en-US"/>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12"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《便器冲洗阀用水效率限定值及</w:t>
            </w:r>
            <w:r>
              <w:rPr>
                <w:rFonts w:hint="eastAsia" w:ascii="宋体" w:hAnsi="宋体" w:cs="宋体"/>
                <w:color w:val="000000" w:themeColor="text1"/>
                <w:kern w:val="2"/>
                <w:sz w:val="21"/>
                <w:szCs w:val="21"/>
                <w:lang w:eastAsia="zh-CN"/>
                <w14:textFill>
                  <w14:solidFill>
                    <w14:schemeClr w14:val="tx1"/>
                  </w14:solidFill>
                </w14:textFill>
              </w:rPr>
              <w:t>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pPr>
              <w:pStyle w:val="60"/>
              <w:jc w:val="center"/>
              <w:rPr>
                <w:rFonts w:ascii="宋体" w:hAnsi="宋体" w:cs="宋体"/>
                <w:color w:val="000000" w:themeColor="text1"/>
                <w:kern w:val="2"/>
                <w:sz w:val="21"/>
                <w:szCs w:val="21"/>
                <w14:textFill>
                  <w14:solidFill>
                    <w14:schemeClr w14:val="tx1"/>
                  </w14:solidFill>
                </w14:textFill>
              </w:rPr>
            </w:pPr>
            <w:r>
              <w:rPr>
                <w:rFonts w:hint="eastAsia" w:ascii="宋体" w:hAnsi="宋体"/>
                <w:color w:val="000000" w:themeColor="text1"/>
                <w:kern w:val="2"/>
                <w:sz w:val="21"/>
                <w:szCs w:val="21"/>
                <w14:textFill>
                  <w14:solidFill>
                    <w14:schemeClr w14:val="tx1"/>
                  </w14:solidFill>
                </w14:textFill>
              </w:rPr>
              <w:t>18</w:t>
            </w:r>
          </w:p>
        </w:tc>
        <w:tc>
          <w:tcPr>
            <w:tcW w:w="1543" w:type="dxa"/>
            <w:tcBorders>
              <w:top w:val="single" w:color="000000" w:sz="4" w:space="0"/>
              <w:left w:val="single" w:color="000000" w:sz="4" w:space="0"/>
              <w:bottom w:val="single" w:color="000000" w:sz="4" w:space="0"/>
              <w:right w:val="single" w:color="000000" w:sz="4" w:space="0"/>
            </w:tcBorders>
            <w:vAlign w:val="center"/>
          </w:tcPr>
          <w:p>
            <w:pPr>
              <w:pStyle w:val="60"/>
              <w:spacing w:before="131"/>
              <w:ind w:left="7"/>
              <w:jc w:val="center"/>
              <w:rPr>
                <w:rFonts w:ascii="宋体" w:hAnsi="宋体" w:cs="宋体"/>
                <w:color w:val="000000" w:themeColor="text1"/>
                <w:kern w:val="2"/>
                <w:sz w:val="21"/>
                <w:szCs w:val="21"/>
                <w14:textFill>
                  <w14:solidFill>
                    <w14:schemeClr w14:val="tx1"/>
                  </w14:solidFill>
                </w14:textFill>
              </w:rPr>
            </w:pPr>
            <w:r>
              <w:rPr>
                <w:rFonts w:hint="eastAsia" w:ascii="宋体" w:hAnsi="宋体" w:cs="仿宋_GB2312"/>
                <w:color w:val="000000" w:themeColor="text1"/>
                <w:kern w:val="2"/>
                <w:sz w:val="21"/>
                <w:szCs w:val="21"/>
                <w14:textFill>
                  <w14:solidFill>
                    <w14:schemeClr w14:val="tx1"/>
                  </w14:solidFill>
                </w14:textFill>
              </w:rPr>
              <w:t>A05020110</w:t>
            </w:r>
            <w:r>
              <w:rPr>
                <w:rFonts w:hint="eastAsia" w:ascii="宋体" w:hAnsi="宋体" w:cs="宋体"/>
                <w:color w:val="000000" w:themeColor="text1"/>
                <w:kern w:val="2"/>
                <w:sz w:val="21"/>
                <w:szCs w:val="21"/>
                <w14:textFill>
                  <w14:solidFill>
                    <w14:schemeClr w14:val="tx1"/>
                  </w14:solidFill>
                </w14:textFill>
              </w:rPr>
              <w:t>淋浴</w:t>
            </w:r>
            <w:r>
              <w:rPr>
                <w:rFonts w:hint="eastAsia" w:ascii="宋体" w:hAnsi="宋体" w:cs="宋体"/>
                <w:color w:val="000000" w:themeColor="text1"/>
                <w:w w:val="99"/>
                <w:kern w:val="2"/>
                <w:sz w:val="21"/>
                <w:szCs w:val="21"/>
                <w14:textFill>
                  <w14:solidFill>
                    <w14:schemeClr w14:val="tx1"/>
                  </w14:solidFill>
                </w14:textFill>
              </w:rPr>
              <w:t>器</w:t>
            </w:r>
          </w:p>
        </w:tc>
        <w:tc>
          <w:tcPr>
            <w:tcW w:w="15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lang w:eastAsia="en-US"/>
                <w14:textFill>
                  <w14:solidFill>
                    <w14:schemeClr w14:val="tx1"/>
                  </w14:solidFill>
                </w14:textFill>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themeColor="text1"/>
                <w:szCs w:val="21"/>
                <w:lang w:eastAsia="en-US"/>
                <w14:textFill>
                  <w14:solidFill>
                    <w14:schemeClr w14:val="tx1"/>
                  </w14:solidFill>
                </w14:textFill>
              </w:rPr>
            </w:pPr>
          </w:p>
        </w:tc>
        <w:tc>
          <w:tcPr>
            <w:tcW w:w="4422" w:type="dxa"/>
            <w:tcBorders>
              <w:top w:val="single" w:color="000000" w:sz="4" w:space="0"/>
              <w:left w:val="single" w:color="000000" w:sz="4" w:space="0"/>
              <w:bottom w:val="single" w:color="000000" w:sz="4" w:space="0"/>
              <w:right w:val="single" w:color="000000" w:sz="4" w:space="0"/>
            </w:tcBorders>
          </w:tcPr>
          <w:p>
            <w:pPr>
              <w:pStyle w:val="60"/>
              <w:spacing w:before="131" w:line="276" w:lineRule="auto"/>
              <w:ind w:left="7" w:right="4"/>
              <w:rPr>
                <w:rFonts w:ascii="宋体" w:hAnsi="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spacing w:val="10"/>
                <w:kern w:val="2"/>
                <w:sz w:val="21"/>
                <w:szCs w:val="21"/>
                <w:lang w:eastAsia="zh-CN"/>
                <w14:textFill>
                  <w14:solidFill>
                    <w14:schemeClr w14:val="tx1"/>
                  </w14:solidFill>
                </w14:textFill>
              </w:rPr>
              <w:t>《淋浴器用水效率限定值及用水</w:t>
            </w:r>
            <w:r>
              <w:rPr>
                <w:rFonts w:hint="eastAsia" w:ascii="宋体" w:hAnsi="宋体" w:cs="宋体"/>
                <w:color w:val="000000" w:themeColor="text1"/>
                <w:kern w:val="2"/>
                <w:sz w:val="21"/>
                <w:szCs w:val="21"/>
                <w:lang w:eastAsia="zh-CN"/>
                <w14:textFill>
                  <w14:solidFill>
                    <w14:schemeClr w14:val="tx1"/>
                  </w14:solidFill>
                </w14:textFill>
              </w:rPr>
              <w:t>效率等级》（GB28378）</w:t>
            </w:r>
          </w:p>
        </w:tc>
      </w:tr>
    </w:tbl>
    <w:p>
      <w:pPr>
        <w:spacing w:line="360" w:lineRule="auto"/>
        <w:ind w:firstLine="468" w:firstLineChars="200"/>
        <w:rPr>
          <w:rFonts w:ascii="楷体" w:hAnsi="楷体" w:eastAsia="楷体" w:cs="宋体"/>
          <w:color w:val="000000" w:themeColor="text1"/>
          <w:spacing w:val="-3"/>
          <w:kern w:val="0"/>
          <w:sz w:val="24"/>
          <w14:textFill>
            <w14:solidFill>
              <w14:schemeClr w14:val="tx1"/>
            </w14:solidFill>
          </w14:textFill>
        </w:rPr>
      </w:pPr>
      <w:r>
        <w:rPr>
          <w:rFonts w:hint="eastAsia" w:ascii="楷体" w:hAnsi="楷体" w:eastAsia="楷体" w:cs="宋体"/>
          <w:color w:val="000000" w:themeColor="text1"/>
          <w:spacing w:val="-3"/>
          <w:kern w:val="0"/>
          <w:sz w:val="24"/>
          <w14:textFill>
            <w14:solidFill>
              <w14:schemeClr w14:val="tx1"/>
            </w14:solidFill>
          </w14:textFill>
        </w:rPr>
        <w:t>注：1.节能产品认证应依据相关国家标准的最新版本，依据国家标准中二级能效（水效）指标。</w:t>
      </w:r>
    </w:p>
    <w:p>
      <w:pPr>
        <w:spacing w:line="360" w:lineRule="auto"/>
        <w:ind w:firstLine="468" w:firstLineChars="200"/>
        <w:rPr>
          <w:rFonts w:ascii="楷体" w:hAnsi="楷体" w:eastAsia="楷体" w:cs="宋体"/>
          <w:color w:val="000000" w:themeColor="text1"/>
          <w:spacing w:val="-3"/>
          <w:kern w:val="0"/>
          <w:sz w:val="24"/>
          <w14:textFill>
            <w14:solidFill>
              <w14:schemeClr w14:val="tx1"/>
            </w14:solidFill>
          </w14:textFill>
        </w:rPr>
      </w:pPr>
      <w:r>
        <w:rPr>
          <w:rFonts w:hint="eastAsia" w:ascii="楷体" w:hAnsi="楷体" w:eastAsia="楷体" w:cs="宋体"/>
          <w:color w:val="000000" w:themeColor="text1"/>
          <w:spacing w:val="-3"/>
          <w:kern w:val="0"/>
          <w:sz w:val="24"/>
          <w14:textFill>
            <w14:solidFill>
              <w14:schemeClr w14:val="tx1"/>
            </w14:solidFill>
          </w14:textFill>
        </w:rPr>
        <w:t>2.以“★”标注的为政府强制采购产品。</w:t>
      </w:r>
    </w:p>
    <w:p>
      <w:pPr>
        <w:pStyle w:val="17"/>
        <w:ind w:firstLine="468" w:firstLineChars="200"/>
        <w:jc w:val="left"/>
        <w:rPr>
          <w:rFonts w:ascii="楷体" w:hAnsi="楷体" w:eastAsia="楷体" w:cs="宋体"/>
          <w:color w:val="000000" w:themeColor="text1"/>
          <w:spacing w:val="-3"/>
          <w:sz w:val="24"/>
          <w:szCs w:val="24"/>
          <w14:textFill>
            <w14:solidFill>
              <w14:schemeClr w14:val="tx1"/>
            </w14:solidFill>
          </w14:textFill>
        </w:rPr>
      </w:pPr>
    </w:p>
    <w:p>
      <w:pPr>
        <w:pStyle w:val="8"/>
        <w:rPr>
          <w:rFonts w:ascii="楷体" w:hAnsi="楷体" w:eastAsia="楷体" w:cs="宋体"/>
          <w:color w:val="000000" w:themeColor="text1"/>
          <w:spacing w:val="-3"/>
          <w:sz w:val="24"/>
          <w14:textFill>
            <w14:solidFill>
              <w14:schemeClr w14:val="tx1"/>
            </w14:solidFill>
          </w14:textFill>
        </w:rPr>
      </w:pPr>
    </w:p>
    <w:p>
      <w:pPr>
        <w:rPr>
          <w:rFonts w:ascii="楷体" w:hAnsi="楷体" w:eastAsia="楷体" w:cs="宋体"/>
          <w:color w:val="000000" w:themeColor="text1"/>
          <w:spacing w:val="-3"/>
          <w:sz w:val="24"/>
          <w14:textFill>
            <w14:solidFill>
              <w14:schemeClr w14:val="tx1"/>
            </w14:solidFill>
          </w14:textFill>
        </w:rPr>
      </w:pPr>
    </w:p>
    <w:p>
      <w:pPr>
        <w:pStyle w:val="2"/>
        <w:rPr>
          <w:color w:val="000000" w:themeColor="text1"/>
          <w14:textFill>
            <w14:solidFill>
              <w14:schemeClr w14:val="tx1"/>
            </w14:solidFill>
          </w14:textFill>
        </w:rPr>
      </w:pPr>
    </w:p>
    <w:p>
      <w:pPr>
        <w:pStyle w:val="17"/>
        <w:ind w:firstLine="468" w:firstLineChars="200"/>
        <w:jc w:val="left"/>
        <w:rPr>
          <w:rFonts w:ascii="楷体" w:hAnsi="楷体" w:eastAsia="楷体" w:cs="宋体"/>
          <w:color w:val="000000" w:themeColor="text1"/>
          <w:spacing w:val="-3"/>
          <w:sz w:val="24"/>
          <w:szCs w:val="24"/>
          <w14:textFill>
            <w14:solidFill>
              <w14:schemeClr w14:val="tx1"/>
            </w14:solidFill>
          </w14:textFill>
        </w:rPr>
      </w:pPr>
    </w:p>
    <w:p>
      <w:pPr>
        <w:pStyle w:val="17"/>
        <w:ind w:firstLine="468" w:firstLineChars="200"/>
        <w:jc w:val="left"/>
        <w:rPr>
          <w:rFonts w:ascii="楷体" w:hAnsi="楷体" w:eastAsia="楷体" w:cs="宋体"/>
          <w:color w:val="000000" w:themeColor="text1"/>
          <w:spacing w:val="-3"/>
          <w:sz w:val="24"/>
          <w:szCs w:val="24"/>
          <w14:textFill>
            <w14:solidFill>
              <w14:schemeClr w14:val="tx1"/>
            </w14:solidFill>
          </w14:textFill>
        </w:rPr>
      </w:pPr>
    </w:p>
    <w:p>
      <w:pPr>
        <w:pStyle w:val="17"/>
        <w:ind w:firstLine="480" w:firstLineChars="200"/>
        <w:jc w:val="left"/>
        <w:rPr>
          <w:rFonts w:hAnsi="宋体" w:cs="宋体"/>
          <w:color w:val="000000" w:themeColor="text1"/>
          <w:sz w:val="24"/>
          <w:szCs w:val="24"/>
          <w14:textFill>
            <w14:solidFill>
              <w14:schemeClr w14:val="tx1"/>
            </w14:solidFill>
          </w14:textFill>
        </w:rPr>
      </w:pPr>
    </w:p>
    <w:p>
      <w:pPr>
        <w:pStyle w:val="17"/>
        <w:ind w:firstLine="480" w:firstLineChars="200"/>
        <w:jc w:val="left"/>
        <w:rPr>
          <w:rFonts w:hAnsi="宋体" w:cs="宋体"/>
          <w:color w:val="000000" w:themeColor="text1"/>
          <w:sz w:val="24"/>
          <w:szCs w:val="24"/>
          <w14:textFill>
            <w14:solidFill>
              <w14:schemeClr w14:val="tx1"/>
            </w14:solidFill>
          </w14:textFill>
        </w:rPr>
      </w:pPr>
    </w:p>
    <w:p>
      <w:pPr>
        <w:pStyle w:val="17"/>
        <w:ind w:firstLine="480" w:firstLineChars="200"/>
        <w:jc w:val="left"/>
        <w:rPr>
          <w:rFonts w:hAnsi="宋体" w:cs="宋体"/>
          <w:color w:val="000000" w:themeColor="text1"/>
          <w:sz w:val="24"/>
          <w:szCs w:val="24"/>
          <w14:textFill>
            <w14:solidFill>
              <w14:schemeClr w14:val="tx1"/>
            </w14:solidFill>
          </w14:textFill>
        </w:rPr>
      </w:pPr>
    </w:p>
    <w:p>
      <w:pPr>
        <w:pStyle w:val="17"/>
        <w:ind w:firstLine="480" w:firstLineChars="200"/>
        <w:jc w:val="left"/>
        <w:rPr>
          <w:rFonts w:hAnsi="宋体" w:cs="宋体"/>
          <w:color w:val="000000" w:themeColor="text1"/>
          <w:sz w:val="24"/>
          <w:szCs w:val="24"/>
          <w14:textFill>
            <w14:solidFill>
              <w14:schemeClr w14:val="tx1"/>
            </w14:solidFill>
          </w14:textFill>
        </w:rPr>
      </w:pPr>
    </w:p>
    <w:p>
      <w:pPr>
        <w:pStyle w:val="17"/>
        <w:ind w:firstLine="480" w:firstLineChars="200"/>
        <w:jc w:val="left"/>
        <w:rPr>
          <w:rFonts w:hAnsi="宋体" w:cs="宋体"/>
          <w:color w:val="000000" w:themeColor="text1"/>
          <w:sz w:val="24"/>
          <w:szCs w:val="24"/>
          <w14:textFill>
            <w14:solidFill>
              <w14:schemeClr w14:val="tx1"/>
            </w14:solidFill>
          </w14:textFill>
        </w:rPr>
      </w:pPr>
    </w:p>
    <w:p>
      <w:pPr>
        <w:pStyle w:val="17"/>
        <w:ind w:firstLine="480" w:firstLineChars="200"/>
        <w:jc w:val="left"/>
        <w:rPr>
          <w:rFonts w:hAnsi="宋体" w:cs="宋体"/>
          <w:color w:val="000000" w:themeColor="text1"/>
          <w:sz w:val="24"/>
          <w:szCs w:val="24"/>
          <w14:textFill>
            <w14:solidFill>
              <w14:schemeClr w14:val="tx1"/>
            </w14:solidFill>
          </w14:textFill>
        </w:rPr>
      </w:pPr>
    </w:p>
    <w:p>
      <w:pPr>
        <w:pStyle w:val="17"/>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附件2：</w:t>
      </w:r>
    </w:p>
    <w:p>
      <w:pPr>
        <w:spacing w:line="528" w:lineRule="exact"/>
        <w:ind w:left="220"/>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中小微企业划型标准</w:t>
      </w:r>
    </w:p>
    <w:tbl>
      <w:tblPr>
        <w:tblStyle w:val="27"/>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行业名称</w:t>
            </w:r>
          </w:p>
        </w:tc>
        <w:tc>
          <w:tcPr>
            <w:tcW w:w="16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指标名称</w:t>
            </w:r>
          </w:p>
        </w:tc>
        <w:tc>
          <w:tcPr>
            <w:tcW w:w="107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计量单位</w:t>
            </w:r>
          </w:p>
        </w:tc>
        <w:tc>
          <w:tcPr>
            <w:tcW w:w="19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中型</w:t>
            </w:r>
          </w:p>
        </w:tc>
        <w:tc>
          <w:tcPr>
            <w:tcW w:w="169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小型</w:t>
            </w:r>
          </w:p>
        </w:tc>
        <w:tc>
          <w:tcPr>
            <w:tcW w:w="10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微型</w:t>
            </w:r>
          </w:p>
        </w:tc>
      </w:tr>
      <w:tr>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农、林、牧、渔</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500≤Y＜20000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50≤Y＜500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Y＜50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工业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300≤X＜1000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20≤X＜300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X＜20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2000≤Y＜40000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300≤Y＜2000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Y＜300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建筑业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6000≤Y＜80000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300≤Y＜6000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Y＜300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资产总额（Z）</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5000≤Z＜80000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300≤Z＜5000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Z＜300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批发业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20≤X＜200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5≤X＜20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X＜5</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5000≤Y＜40000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1000≤Y＜5000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Y＜1000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零售业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50≤X＜300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10≤X＜50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X＜10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500≤Y＜20000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100≤Y＜500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Y＜100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交通运输业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300≤X＜1000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20≤X＜300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X＜20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3000≤Y＜30000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200≤Y＜3000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Y＜200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仓储业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100≤X＜200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X＜20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1000≤Y＜30000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100≤Y＜1000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Y＜100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邮政业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300≤X＜1000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20≤X＜300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X＜20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2000≤Y＜30000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100≤Y＜2000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Y＜100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住宿业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100≤X＜300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X＜10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2000≤Y＜10000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100≤Y＜2000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Y＜100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餐饮业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100≤X＜300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X＜10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2000≤Y＜10000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100≤Y＜2000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Y＜100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信息传输业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100≤X＜2000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X＜10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1000≤Y＜100000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100≤Y＜1000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Y＜100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软件和信息技术服务业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100≤X＜300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X＜10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1000≤Y＜10000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50≤Y＜1000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Y＜50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房地产开发经营</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1000≤Y＜200000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100≤X＜1000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X＜100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资产总额（Z）</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5000≤Z＜10000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2000≤Y＜5000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Y＜2000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物业管理</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300≤X＜1000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100≤X＜300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X＜100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营业收入（Y）</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1000≤Y＜5000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500≤Y＜1000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Y＜500</w:t>
            </w:r>
          </w:p>
        </w:tc>
      </w:tr>
      <w:tr>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租赁和商务服务业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100≤X＜300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X＜10</w:t>
            </w:r>
          </w:p>
        </w:tc>
      </w:tr>
      <w:tr>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资产总额（Z）</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万元</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8000≤Z＜120000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100≤Z＜8000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Y＜100</w:t>
            </w:r>
          </w:p>
        </w:tc>
      </w:tr>
      <w:tr>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其他未列明行业</w:t>
            </w:r>
          </w:p>
        </w:tc>
        <w:tc>
          <w:tcPr>
            <w:tcW w:w="163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从业人员（X）</w:t>
            </w:r>
          </w:p>
        </w:tc>
        <w:tc>
          <w:tcPr>
            <w:tcW w:w="1077"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人</w:t>
            </w:r>
          </w:p>
        </w:tc>
        <w:tc>
          <w:tcPr>
            <w:tcW w:w="191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100≤X＜300</w:t>
            </w:r>
          </w:p>
        </w:tc>
        <w:tc>
          <w:tcPr>
            <w:tcW w:w="1699"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10≤X＜100</w:t>
            </w:r>
          </w:p>
        </w:tc>
        <w:tc>
          <w:tcPr>
            <w:tcW w:w="1091"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X＜10</w:t>
            </w:r>
          </w:p>
        </w:tc>
      </w:tr>
    </w:tbl>
    <w:p>
      <w:pPr>
        <w:spacing w:line="360" w:lineRule="auto"/>
        <w:ind w:firstLine="602" w:firstLineChars="250"/>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说明：</w:t>
      </w:r>
    </w:p>
    <w:p>
      <w:pPr>
        <w:spacing w:line="360" w:lineRule="auto"/>
        <w:ind w:firstLine="600" w:firstLineChars="250"/>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1.大型、中型和小型企业须同时满足所列指标的下限，否则下划一档；微型企业只须满足所列指标中的一项即可。</w:t>
      </w:r>
    </w:p>
    <w:p>
      <w:pPr>
        <w:spacing w:line="360" w:lineRule="auto"/>
        <w:ind w:firstLine="600" w:firstLineChars="250"/>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360" w:lineRule="auto"/>
        <w:ind w:firstLine="600" w:firstLineChars="250"/>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ind w:firstLine="480"/>
        <w:rPr>
          <w:rFonts w:ascii="楷体" w:hAnsi="楷体" w:eastAsia="楷体" w:cs="宋体"/>
          <w:color w:val="000000" w:themeColor="text1"/>
          <w:sz w:val="24"/>
          <w14:textFill>
            <w14:solidFill>
              <w14:schemeClr w14:val="tx1"/>
            </w14:solidFill>
          </w14:textFill>
        </w:rPr>
      </w:pPr>
    </w:p>
    <w:p>
      <w:pPr>
        <w:pStyle w:val="17"/>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附件3</w:t>
      </w:r>
    </w:p>
    <w:p>
      <w:pPr>
        <w:pStyle w:val="25"/>
        <w:widowControl/>
        <w:shd w:val="clear" w:color="auto" w:fill="FFFFFF"/>
        <w:spacing w:before="30" w:after="30" w:line="360" w:lineRule="auto"/>
        <w:ind w:firstLine="602"/>
        <w:jc w:val="center"/>
        <w:rPr>
          <w:rFonts w:ascii="宋体" w:hAnsi="宋体" w:cs="宋体"/>
          <w:color w:val="000000" w:themeColor="text1"/>
          <w:kern w:val="2"/>
          <w14:textFill>
            <w14:solidFill>
              <w14:schemeClr w14:val="tx1"/>
            </w14:solidFill>
          </w14:textFill>
        </w:rPr>
      </w:pPr>
      <w:r>
        <w:rPr>
          <w:rFonts w:hint="eastAsia" w:ascii="宋体" w:hAnsi="宋体" w:cs="宋体"/>
          <w:b/>
          <w:color w:val="000000" w:themeColor="text1"/>
          <w:kern w:val="2"/>
          <w:sz w:val="30"/>
          <w:szCs w:val="30"/>
          <w14:textFill>
            <w14:solidFill>
              <w14:schemeClr w14:val="tx1"/>
            </w14:solidFill>
          </w14:textFill>
        </w:rPr>
        <w:t>中国境内生产的组件成本核算基本规则</w:t>
      </w:r>
    </w:p>
    <w:p>
      <w:pPr>
        <w:spacing w:line="360" w:lineRule="auto"/>
        <w:ind w:firstLine="600" w:firstLineChars="250"/>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pPr>
        <w:spacing w:line="360" w:lineRule="auto"/>
        <w:ind w:firstLine="600" w:firstLineChars="250"/>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一、产品的一级组件是指直接组成产品的组件。产品的二级组件是指直接组成产品一级组件的组件。一级组件不可分解的，视同二级组件。</w:t>
      </w:r>
    </w:p>
    <w:p>
      <w:pPr>
        <w:spacing w:line="360" w:lineRule="auto"/>
        <w:ind w:firstLine="600" w:firstLineChars="250"/>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二、二级组件在中国境内生产的，其全部成本计入中国境内生产的组件成本；二级组件不在中国境内生产的，其成本不计入中国境内生产的组件成本。</w:t>
      </w:r>
    </w:p>
    <w:p>
      <w:pPr>
        <w:spacing w:line="360" w:lineRule="auto"/>
        <w:ind w:firstLine="600" w:firstLineChars="250"/>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三、产品总成本和组件成本以相关会计核算数据、采购合同、进货记录等为基础进行计算。</w:t>
      </w:r>
    </w:p>
    <w:p>
      <w:pPr>
        <w:spacing w:line="360" w:lineRule="auto"/>
        <w:ind w:firstLine="600" w:firstLineChars="250"/>
        <w:rPr>
          <w:color w:val="000000" w:themeColor="text1"/>
          <w14:textFill>
            <w14:solidFill>
              <w14:schemeClr w14:val="tx1"/>
            </w14:solidFill>
          </w14:textFill>
        </w:rPr>
        <w:sectPr>
          <w:footerReference r:id="rId8" w:type="default"/>
          <w:pgSz w:w="11906" w:h="16838"/>
          <w:pgMar w:top="1134" w:right="1134" w:bottom="1134" w:left="1134" w:header="720" w:footer="720" w:gutter="0"/>
          <w:pgNumType w:start="1"/>
          <w:cols w:space="720" w:num="1"/>
          <w:docGrid w:type="lines" w:linePitch="331" w:charSpace="0"/>
        </w:sectPr>
      </w:pPr>
      <w:r>
        <w:rPr>
          <w:rFonts w:hint="eastAsia" w:ascii="楷体" w:hAnsi="楷体" w:eastAsia="楷体" w:cs="宋体"/>
          <w:color w:val="000000" w:themeColor="text1"/>
          <w:sz w:val="24"/>
          <w14:textFill>
            <w14:solidFill>
              <w14:schemeClr w14:val="tx1"/>
            </w14:solidFill>
          </w14:textFill>
        </w:rPr>
        <w:t>四、需要对成本核算规则予以进一步明确的其他有关事项，由财政部会同有关部门另行规定。</w:t>
      </w:r>
      <w:r>
        <w:rPr>
          <w:rFonts w:hint="eastAsia" w:asciiTheme="minorEastAsia" w:hAnsiTheme="minorEastAsia" w:eastAsiaTheme="minorEastAsia" w:cstheme="minorEastAsia"/>
          <w:color w:val="000000" w:themeColor="text1"/>
          <w:szCs w:val="21"/>
          <w14:textFill>
            <w14:solidFill>
              <w14:schemeClr w14:val="tx1"/>
            </w14:solidFill>
          </w14:textFill>
        </w:rPr>
        <w:br w:type="page"/>
      </w:r>
    </w:p>
    <w:p>
      <w:pPr>
        <w:pStyle w:val="3"/>
        <w:spacing w:before="0" w:after="0" w:line="360" w:lineRule="auto"/>
        <w:ind w:firstLine="883"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第四章  </w:t>
      </w:r>
      <w:bookmarkStart w:id="40" w:name="_Hlk68601507"/>
      <w:r>
        <w:rPr>
          <w:rFonts w:hint="eastAsia" w:ascii="宋体" w:hAnsi="宋体" w:cs="宋体"/>
          <w:color w:val="000000" w:themeColor="text1"/>
          <w14:textFill>
            <w14:solidFill>
              <w14:schemeClr w14:val="tx1"/>
            </w14:solidFill>
          </w14:textFill>
        </w:rPr>
        <w:t>评审程序和评定成交的标准</w:t>
      </w:r>
      <w:bookmarkEnd w:id="33"/>
      <w:bookmarkEnd w:id="40"/>
    </w:p>
    <w:p>
      <w:pPr>
        <w:spacing w:line="360" w:lineRule="auto"/>
        <w:ind w:firstLine="643"/>
        <w:jc w:val="center"/>
        <w:rPr>
          <w:rFonts w:ascii="宋体" w:hAnsi="宋体" w:cs="宋体"/>
          <w:b/>
          <w:color w:val="000000" w:themeColor="text1"/>
          <w:sz w:val="32"/>
          <w:szCs w:val="32"/>
          <w14:textFill>
            <w14:solidFill>
              <w14:schemeClr w14:val="tx1"/>
            </w14:solidFill>
          </w14:textFill>
        </w:rPr>
      </w:pPr>
    </w:p>
    <w:p>
      <w:pPr>
        <w:ind w:firstLine="643"/>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一、评审程序</w:t>
      </w:r>
    </w:p>
    <w:p>
      <w:pPr>
        <w:spacing w:line="360" w:lineRule="auto"/>
        <w:ind w:firstLine="482" w:firstLineChars="200"/>
        <w:rPr>
          <w:rFonts w:ascii="宋体" w:hAnsi="宋体" w:cs="宋体"/>
          <w:b/>
          <w:bCs/>
          <w:color w:val="000000" w:themeColor="text1"/>
          <w:sz w:val="24"/>
          <w14:textFill>
            <w14:solidFill>
              <w14:schemeClr w14:val="tx1"/>
            </w14:solidFill>
          </w14:textFill>
        </w:rPr>
      </w:pPr>
    </w:p>
    <w:p>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1.确认谈判文件</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由谈判小组确认谈判文件。</w:t>
      </w:r>
    </w:p>
    <w:p>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2.资格审查</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2.1响应文件开启后，谈判小组依法对供应商的资格证明文件进行审查。</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（1）查询渠道：“信用中国”网站（www.creditchina.gov.cn）、中国政府采购网（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www.ccgp.gov.cn</w:t>
      </w:r>
      <w:r>
        <w:rPr>
          <w:rFonts w:hint="eastAsia" w:ascii="宋体" w:hAnsi="宋体" w:cs="宋体"/>
          <w:color w:val="000000" w:themeColor="text1"/>
          <w:sz w:val="24"/>
          <w14:textFill>
            <w14:solidFill>
              <w14:schemeClr w14:val="tx1"/>
            </w14:solidFill>
          </w14:textFill>
        </w:rPr>
        <w:fldChar w:fldCharType="end"/>
      </w:r>
      <w:r>
        <w:rPr>
          <w:rFonts w:hint="eastAsia" w:ascii="宋体" w:hAnsi="宋体" w:cs="宋体"/>
          <w:color w:val="000000" w:themeColor="text1"/>
          <w:sz w:val="24"/>
          <w14:textFill>
            <w14:solidFill>
              <w14:schemeClr w14:val="tx1"/>
            </w14:solidFill>
          </w14:textFill>
        </w:rPr>
        <w:t xml:space="preserve">） </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（2）信用查询截止时点：资格审查结束前</w:t>
      </w:r>
    </w:p>
    <w:p>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（3）查询记录和证据留存方式：将查询网站中的查询记录截图并作为评审资料保存。</w:t>
      </w:r>
    </w:p>
    <w:p>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2.2资格审查标准为本谈判文件中载明对供应商资格要求的条件。本项目资格审查采用合格制，凡符合谈判文件规定的供应商资格要求的供应商均通过资格审查。</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 供应商有下列情形之一的，资格审查不通过，其响应文件按无效响应处理：</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（1）不具备谈判文件中规定的资格要求的；</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（2）响应文件中的资格证明文件缺少任一项“供应商须知前附表”资格证明文件规定的“必须提供”的文件资料的；</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（3）响应文件中的资格证明文件出现任一项不符合“供应商须知前附表”资格证明文件规定的“必须提供”的文件资料要求或者无效的；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2.4通过资格审查的合格供应商不足3家（本章3.7条规定除外）的，不得进入符合性审查环节，应当重新开展采购活动。</w:t>
      </w:r>
    </w:p>
    <w:p>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3.符合性审查</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3.1由谈判小组对资格审查的合格的供应商的响应文件进行</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报价、商务、技术等实质性要求符合性审查，以确定其是否满足谈判文件的实质性要求。</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者其委托代理人签字或者加盖供应商公章。</w:t>
      </w:r>
    </w:p>
    <w:p>
      <w:pPr>
        <w:spacing w:line="360" w:lineRule="auto"/>
        <w:ind w:firstLine="456"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3.4</w:t>
      </w:r>
      <w:r>
        <w:rPr>
          <w:rFonts w:hint="eastAsia" w:ascii="宋体" w:hAnsi="宋体" w:cs="宋体"/>
          <w:color w:val="000000" w:themeColor="text1"/>
          <w:sz w:val="24"/>
          <w14:textFill>
            <w14:solidFill>
              <w14:schemeClr w14:val="tx1"/>
            </w14:solidFill>
          </w14:textFill>
        </w:rPr>
        <w:t xml:space="preserve">首次响应文件报价出现前后不一致的，按照下列规定修正：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（1）响应文件中报价表内容与响应文件中相应内容不一致的，以报价表为准；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（3）单价金额小数点或者百分比有明显错位的，以报价表的总价为准，并修改单价；</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3.5商务技术报价评审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在评审时，如发现下列情形之一的，将被视为响应文件无效响应处理：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（1）商务技术评审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1）响应文件未按谈判文件要求签署、盖章的；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2）委托代理人未能出具有效身份证或者出具的身份证与授权委托书中的信息不符的；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3）提交的谈判保证金无效的或者未按照谈判文件的规定提交谈判保证金；</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4）响应文件中的报价商务技术文件出现任一项不符合“供应商须知前附表”中“必须提供”或者“委托时必须提供”文件资料要求的规定或者提供的报价商务技术文件无效。</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5）商务条款中标“▲”的条款发生负偏离或者允许负偏离的条款数超过“供应商须知前附表”规定项数的；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6）未对</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有效期作出响应或者响应文件承诺的</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有效期不满足谈判文件要求；</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7）响应文件的实质性内容未使用中文表述、使用计量单位不符合谈判文件要求的；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8）响应文件中的文件资料因填写不齐全或者内容虚假或者出现其他情形而导致被谈判小组认定无效的；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9）响应文件含有采购人不能接受的附加条件的；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10）属于“供应商须知正文”第7.</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条的情形的；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11）技术要求中标“▲”的条款发生负偏离或允许负偏离的条款数超过“供应商须知前附表”规定项数的；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12）虚假响应，或者出现其他情形而导致被谈判小组认定无效的；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bookmarkStart w:id="41" w:name="_Hlk71704147"/>
      <w:r>
        <w:rPr>
          <w:rFonts w:hint="eastAsia" w:ascii="宋体" w:hAnsi="宋体" w:cs="宋体"/>
          <w:color w:val="000000" w:themeColor="text1"/>
          <w:sz w:val="24"/>
          <w14:textFill>
            <w14:solidFill>
              <w14:schemeClr w14:val="tx1"/>
            </w14:solidFill>
          </w14:textFill>
        </w:rPr>
        <w:t>谈判文件未载明允许提供备选（替代）响应方案或明确不允许提供备选（替代）响应方案时，供应商提供了备选（替代）响应方案的；</w:t>
      </w:r>
      <w:bookmarkEnd w:id="41"/>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14）响应文件标注的项目名称或者项目编号与谈判文件标注的项目名称或者项目编号不一致的；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15）谈判文件明确不允许分包，响应文件拟分包的；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16）未响应谈判文件实质性要求；</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17）法律、法规和谈判文件规定的其他无效情形。</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（2）报价评审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1）响应文件未提供“供应商须知前附表” 报价商务技术文件中规定的“</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报价表”的；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2）未采用人民币报价或者未按照谈判文件标明的币种报价的；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3）供应商未就所参与</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分标进行报价或者存在漏项报价的；供应商未就所参与</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分标的单项内容作唯一报价的；供应商未就所参与</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分标的全部内容作完整唯一总价报价的；供应商响应文件中存在有选择、有条件报价的（谈判文件允许有备选方案或者其他约定的除外）；</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报价（包含首次报价、最后报价）超过所参与</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分标规定的采购预算金额或者最高限价的；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报价（包含首次报价、最后报价）超过分项采购预算金额或者最高限价的，其响应文件将作无效处理；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）修正后的报价，供应商不确认的；或者经供应商确认修正后的最后报价超过所参与</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分标规定的采购预算金额或者最高限价（如本项目公布了最高限价）；</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）响应文件响应的标的数量及单位与竞争性谈判采购文件要求实质性不一致的。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谈判小组对响应文件进行评审，未实质性响应谈判文件的响应文件按无效响应处理。谈判小组应当将资格和符合性不通过的情况告知有关供应商。谈判小组从符合谈判文件规定的相应资格条件的供应商名单中确定不少于3家的供应商参加谈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竞争性谈判方式采购的货物、服务项目，竞争性谈判过程中提交响应文件或者经评审实质性响应文件要求的供应商只有两家时，采购人、采购代理机构按照《政府采购非招标采购方式管理办法》（财政部74号令）第四条经本级财政部门批准后可以与该两家供应商进行竞争性谈判采购，采购人、采购代理机构应当根据</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文件中的采购需求编制谈判文件，成立谈判小组，由谈判小组对谈判文件进行确认。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3.8通过符合性审查的合格供应商不足3家的，不得进入谈判环节，应当重新开展采购活动。</w:t>
      </w:r>
    </w:p>
    <w:p>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4.谈判程序</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4.1谈判小组按照“供应商须知前附表”第26条确定的</w:t>
      </w:r>
      <w:r>
        <w:rPr>
          <w:rFonts w:hint="eastAsia" w:ascii="宋体" w:hAnsi="宋体" w:cs="宋体"/>
          <w:color w:val="000000" w:themeColor="text1"/>
          <w:sz w:val="24"/>
          <w14:textFill>
            <w14:solidFill>
              <w14:schemeClr w14:val="tx1"/>
            </w14:solidFill>
          </w14:textFill>
        </w:rPr>
        <w:t>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4.3对谈判文件作出的实质性变动是谈判文件的有效组成部分，谈判小组应当及时以电子谈判记录形式同时通知所有参加谈判的供应商。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4.4供应商必须按照谈判文件的变动情况和谈判小组的要求以电子回函的形式重新提交响应文件，并由其法定代表人或者委托代理人签字或者加盖供应商公章。由委托代理人签字的，</w:t>
      </w:r>
      <w:r>
        <w:rPr>
          <w:rFonts w:hint="eastAsia" w:ascii="宋体" w:hAnsi="宋体" w:cs="宋体"/>
          <w:bCs/>
          <w:color w:val="000000" w:themeColor="text1"/>
          <w:sz w:val="24"/>
          <w14:textFill>
            <w14:solidFill>
              <w14:schemeClr w14:val="tx1"/>
            </w14:solidFill>
          </w14:textFill>
        </w:rPr>
        <w:t>若委托代理人不是响应文件中授权的委托代理人时，必须同时出示有效的授权委托书原件</w:t>
      </w:r>
      <w:r>
        <w:rPr>
          <w:rFonts w:hint="eastAsia" w:ascii="宋体" w:hAnsi="宋体" w:cs="宋体"/>
          <w:color w:val="000000" w:themeColor="text1"/>
          <w:sz w:val="24"/>
          <w14:textFill>
            <w14:solidFill>
              <w14:schemeClr w14:val="tx1"/>
            </w14:solidFill>
          </w14:textFill>
        </w:rPr>
        <w:t>。供应商为自然人的，必须由本人签字并附身份证明。参加谈判的供应商未在规定时间内以电子回函的形式重新提交响应文件的，视同退出谈判，其响应文件按无效响应处理。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4.5谈判中，谈判的任何一方不得透露与谈判有关的其他供应商的技术资料、价格和其他信息。</w:t>
      </w:r>
    </w:p>
    <w:p>
      <w:pPr>
        <w:tabs>
          <w:tab w:val="left" w:pos="283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4.6对谈判过程提交的响应文件进行有效性、完整性和响应程度审查，通过审查的合格供应商不足3家的，采购人或者采购代理机构应当重新开展采购活动。</w:t>
      </w:r>
    </w:p>
    <w:p>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5.最后报价</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谈判文件能够详细列明采购标的的技术、服务要求的，谈判结束后，谈判小组应当要求所有继续参加谈判的供应商在规定时间内以电子文件形式提交最后报价，提交最后报价的供应商不得少于3家，除本章第3.7条外，否则必须重新采购。</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以电子文件形式提交最后报价。</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5.3最后报价是供应商响应文件的有效组成部分。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5.4已经提交响应文件的供应商，在提交最后报价之前，可以根据谈判情况退出谈判。采购人、采购代理机构将退还退出谈判的供应商的保证金。</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5.5供应商未在规定时间内提交最后报价的，视为退出谈判，其响应文件按无效响应处理。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5.6谈判小组收齐某一分标最后报价后或达到规定时间后统一开启，谈判小组对最后报价进行有效性、完整性和响应程度的审查。</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5.7响应文件首次及最后报价出现前后不一致的，按照本章第3.4条的规定修正。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5.8经供应商确认修正后的最后报价作为评审及签订合同的依据。</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5.9供应商出现最后报价按无效响应处理或者响应文件按无效响应处理时，谈判小组应当告知有关供应商。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5.10最后报价结束后，谈判小组不得再与供应商进行任何形式的商谈。</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5.11采购评审中出现下列情形之一的，谈判小组应当启动异常低价响应审查程序：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A.最后报价低于全部通过符合性审查供应商最后报价平均值50%的，即最后报价＜全部通过符合性审查供应商最后报价平均值×50%；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B.最后报价低于通过符合性审查的次低报价供应商最后报价50%的，即最后报价＜通过符合性审查的次低报价供应商最后报价×50%；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C.最后报价低于采购项目最高限价45%的，即最后报价＜采购项目最高限价×45%；</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D.谈判小组基于专业判断，认为供应商报价过低，有可能影响产品质量或者不能诚信履约的其他情形。</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相关法律法规对供应商报价有规定的，从其规定。</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谈判小组启动异常低价响应审查后，属于上述A项至D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上述C项情形，供应商已随响应文件一并提交相关书面说明及必要的证明材料的，在评审现场可不再重复提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w:t>
      </w:r>
    </w:p>
    <w:p>
      <w:pPr>
        <w:spacing w:line="360" w:lineRule="auto"/>
        <w:ind w:firstLine="472" w:firstLineChars="196"/>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6.最后报价政府采购政策性扣除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6.1评标价为供应商的最后报价进行政策性扣除后的价格，评标价只是作为评审时使用。最终成交供应商的成交金额等于最后报价（如有修正，以确认修正后的最后报价为准）。</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6.2政策性扣除计算方法。</w:t>
      </w:r>
    </w:p>
    <w:p>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6.2.1对小微企业的价格评审优惠</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☑适用于非专门面向中小企业采购项目</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被评定为监狱企业或者残疾人福利性单位或者其提供的货物全部由符合政策要求的小型、微型企业制造，即货物由小型、微型企业生产且使用该小型、微型企业商号或者注册商标的，该供应商的最后报价给予 10%的扣除，扣除后的价格为评审价，即评审价=最后报价×（1-10%）；接受大中型企业与小微企业组成联合体或者允许大中型企业向一家或者多家小微企业分包的采购项目，对于联合协议或者分包意向协议约定小微企业的合同份额占到合同总金额 30%以上的，对联合体或者大中型企业的最后报价给予 4%的扣除，用扣除后的价格参加评审，扣除后的价格为评审价，即评审价=最后报价×（1－4%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□适用于专门面向中小企业采购项目</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按照《政府采购促进中小企业发展管理办法》（财库〔2020〕46号）的规定，对小微企业的最后报价不再执行价格评审优惠的扶持政策。</w:t>
      </w:r>
    </w:p>
    <w:p>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6.2.2对本国产品的价格评审优惠</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对本国产品的支持政策：政府采购活动中既有本国产品又有非本国产品参与竞争的，依法对本国产品给予价格评审优惠，对本国产品的最后报价给予20%的价格扣除，用扣除后的价格参与评审。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最后总报价给予20%的价格扣除，用扣除后的价格参与评审。</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6.3除上述情况外，评审价＝最后报价。</w:t>
      </w:r>
    </w:p>
    <w:p>
      <w:pPr>
        <w:spacing w:line="360" w:lineRule="auto"/>
        <w:jc w:val="center"/>
        <w:rPr>
          <w:rFonts w:ascii="宋体" w:hAnsi="宋体" w:cs="宋体"/>
          <w:b/>
          <w:color w:val="000000" w:themeColor="text1"/>
          <w:sz w:val="24"/>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二、评定成交的标准</w:t>
      </w:r>
    </w:p>
    <w:p>
      <w:pPr>
        <w:spacing w:line="360" w:lineRule="auto"/>
        <w:ind w:firstLine="482" w:firstLineChars="200"/>
        <w:rPr>
          <w:rFonts w:ascii="宋体" w:hAnsi="宋体" w:cs="宋体"/>
          <w:b/>
          <w:bCs/>
          <w:color w:val="000000" w:themeColor="text1"/>
          <w:sz w:val="24"/>
          <w14:textFill>
            <w14:solidFill>
              <w14:schemeClr w14:val="tx1"/>
            </w14:solidFill>
          </w14:textFill>
        </w:rPr>
      </w:pPr>
    </w:p>
    <w:p>
      <w:pPr>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7.成交候选人推荐原则</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小组应当从质量和服务均能满足谈判文件实质性响应要求的供应商中，按照评标价由低到高的顺序提出3名以上成交候选人（评标价相同时，按照最后报价由低到高顺序依次推荐；最后报价相同时，由谈判小组按“供应商须知前附表”第26条规定的顺序推荐）,并编写评审报告。</w:t>
      </w:r>
    </w:p>
    <w:p>
      <w:pPr>
        <w:pStyle w:val="3"/>
        <w:spacing w:before="0" w:after="0"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pPr>
        <w:rPr>
          <w:rFonts w:ascii="宋体" w:hAnsi="宋体" w:cs="宋体"/>
          <w:color w:val="000000" w:themeColor="text1"/>
          <w14:textFill>
            <w14:solidFill>
              <w14:schemeClr w14:val="tx1"/>
            </w14:solidFill>
          </w14:textFill>
        </w:rPr>
      </w:pPr>
    </w:p>
    <w:p>
      <w:pPr>
        <w:pStyle w:val="3"/>
        <w:spacing w:before="0" w:after="0"/>
        <w:jc w:val="center"/>
        <w:rPr>
          <w:rFonts w:ascii="宋体" w:hAnsi="宋体" w:cs="宋体"/>
          <w:color w:val="000000" w:themeColor="text1"/>
          <w14:textFill>
            <w14:solidFill>
              <w14:schemeClr w14:val="tx1"/>
            </w14:solidFill>
          </w14:textFill>
        </w:rPr>
      </w:pPr>
      <w:bookmarkStart w:id="42" w:name="_Toc74322012"/>
      <w:r>
        <w:rPr>
          <w:rFonts w:hint="eastAsia" w:ascii="宋体" w:hAnsi="宋体" w:cs="宋体"/>
          <w:color w:val="000000" w:themeColor="text1"/>
          <w14:textFill>
            <w14:solidFill>
              <w14:schemeClr w14:val="tx1"/>
            </w14:solidFill>
          </w14:textFill>
        </w:rPr>
        <w:t>第五章 响应文件格式</w:t>
      </w:r>
      <w:bookmarkEnd w:id="42"/>
    </w:p>
    <w:p>
      <w:pPr>
        <w:spacing w:line="240" w:lineRule="atLeast"/>
        <w:rPr>
          <w:rFonts w:ascii="宋体" w:hAnsi="宋体" w:cs="宋体"/>
          <w:b/>
          <w:color w:val="000000" w:themeColor="text1"/>
          <w:sz w:val="32"/>
          <w:szCs w:val="32"/>
          <w14:textFill>
            <w14:solidFill>
              <w14:schemeClr w14:val="tx1"/>
            </w14:solidFill>
          </w14:textFill>
        </w:rPr>
      </w:pPr>
    </w:p>
    <w:p>
      <w:pPr>
        <w:spacing w:line="240" w:lineRule="atLeast"/>
        <w:rPr>
          <w:rFonts w:ascii="宋体" w:hAnsi="宋体" w:cs="宋体"/>
          <w:b/>
          <w:color w:val="000000" w:themeColor="text1"/>
          <w:sz w:val="32"/>
          <w:szCs w:val="32"/>
          <w14:textFill>
            <w14:solidFill>
              <w14:schemeClr w14:val="tx1"/>
            </w14:solidFill>
          </w14:textFill>
        </w:rPr>
      </w:pPr>
    </w:p>
    <w:p>
      <w:pPr>
        <w:spacing w:line="360" w:lineRule="auto"/>
        <w:rPr>
          <w:rFonts w:ascii="宋体" w:hAnsi="宋体" w:cs="宋体"/>
          <w:b/>
          <w:color w:val="000000" w:themeColor="text1"/>
          <w:sz w:val="32"/>
          <w:szCs w:val="32"/>
          <w14:textFill>
            <w14:solidFill>
              <w14:schemeClr w14:val="tx1"/>
            </w14:solidFill>
          </w14:textFill>
        </w:rPr>
      </w:pPr>
      <w:bookmarkStart w:id="43" w:name="_Toc71365382"/>
      <w:bookmarkStart w:id="44" w:name="_Toc71366060"/>
      <w:r>
        <w:rPr>
          <w:rFonts w:hint="eastAsia" w:ascii="宋体" w:hAnsi="宋体" w:cs="宋体"/>
          <w:b/>
          <w:color w:val="000000" w:themeColor="text1"/>
          <w:sz w:val="32"/>
          <w:szCs w:val="32"/>
          <w14:textFill>
            <w14:solidFill>
              <w14:schemeClr w14:val="tx1"/>
            </w14:solidFill>
          </w14:textFill>
        </w:rPr>
        <w:t>一、资格证明文件格式</w:t>
      </w:r>
      <w:bookmarkEnd w:id="43"/>
      <w:bookmarkEnd w:id="44"/>
    </w:p>
    <w:p>
      <w:pPr>
        <w:snapToGrid w:val="0"/>
        <w:spacing w:line="360" w:lineRule="auto"/>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1.资格证明文件封面格式：</w:t>
      </w:r>
      <w:r>
        <w:rPr>
          <w:rFonts w:hint="eastAsia" w:ascii="宋体" w:hAnsi="宋体" w:cs="宋体"/>
          <w:b/>
          <w:color w:val="000000" w:themeColor="text1"/>
          <w:sz w:val="24"/>
          <w14:textFill>
            <w14:solidFill>
              <w14:schemeClr w14:val="tx1"/>
            </w14:solidFill>
          </w14:textFill>
        </w:rPr>
        <w:t xml:space="preserve"> </w:t>
      </w:r>
    </w:p>
    <w:p>
      <w:pPr>
        <w:snapToGrid w:val="0"/>
        <w:spacing w:line="360" w:lineRule="auto"/>
        <w:rPr>
          <w:rFonts w:ascii="宋体" w:hAnsi="宋体" w:cs="宋体"/>
          <w:bCs/>
          <w:color w:val="000000" w:themeColor="text1"/>
          <w:sz w:val="32"/>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napToGrid w:val="0"/>
        <w:spacing w:line="360" w:lineRule="auto"/>
        <w:jc w:val="center"/>
        <w:rPr>
          <w:rFonts w:ascii="宋体" w:hAnsi="宋体" w:cs="宋体"/>
          <w:bCs/>
          <w:color w:val="000000" w:themeColor="text1"/>
          <w:sz w:val="44"/>
          <w:szCs w:val="44"/>
          <w14:textFill>
            <w14:solidFill>
              <w14:schemeClr w14:val="tx1"/>
            </w14:solidFill>
          </w14:textFill>
        </w:rPr>
      </w:pPr>
    </w:p>
    <w:p>
      <w:pPr>
        <w:snapToGrid w:val="0"/>
        <w:spacing w:line="360" w:lineRule="auto"/>
        <w:jc w:val="center"/>
        <w:rPr>
          <w:rFonts w:ascii="宋体" w:hAnsi="宋体" w:cs="宋体"/>
          <w:bCs/>
          <w:color w:val="000000" w:themeColor="text1"/>
          <w:sz w:val="84"/>
          <w:szCs w:val="84"/>
          <w14:textFill>
            <w14:solidFill>
              <w14:schemeClr w14:val="tx1"/>
            </w14:solidFill>
          </w14:textFill>
        </w:rPr>
      </w:pPr>
      <w:r>
        <w:rPr>
          <w:rFonts w:hint="eastAsia" w:ascii="宋体" w:hAnsi="宋体" w:cs="宋体"/>
          <w:bCs/>
          <w:color w:val="000000" w:themeColor="text1"/>
          <w:sz w:val="84"/>
          <w:szCs w:val="84"/>
          <w14:textFill>
            <w14:solidFill>
              <w14:schemeClr w14:val="tx1"/>
            </w14:solidFill>
          </w14:textFill>
        </w:rPr>
        <w:t>响  应  文  件</w:t>
      </w:r>
    </w:p>
    <w:p>
      <w:pPr>
        <w:snapToGrid w:val="0"/>
        <w:spacing w:line="360" w:lineRule="auto"/>
        <w:rPr>
          <w:rFonts w:ascii="宋体" w:hAnsi="宋体" w:cs="宋体"/>
          <w:color w:val="000000" w:themeColor="text1"/>
          <w:sz w:val="24"/>
          <w:szCs w:val="20"/>
          <w14:textFill>
            <w14:solidFill>
              <w14:schemeClr w14:val="tx1"/>
            </w14:solidFill>
          </w14:textFill>
        </w:rPr>
      </w:pPr>
    </w:p>
    <w:p>
      <w:pPr>
        <w:snapToGrid w:val="0"/>
        <w:spacing w:line="360" w:lineRule="auto"/>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资  格  证  明  文  件</w:t>
      </w:r>
    </w:p>
    <w:p>
      <w:pPr>
        <w:snapToGrid w:val="0"/>
        <w:spacing w:line="360" w:lineRule="auto"/>
        <w:rPr>
          <w:rFonts w:ascii="宋体" w:hAnsi="宋体" w:cs="宋体"/>
          <w:bCs/>
          <w:color w:val="000000" w:themeColor="text1"/>
          <w:sz w:val="24"/>
          <w:szCs w:val="20"/>
          <w14:textFill>
            <w14:solidFill>
              <w14:schemeClr w14:val="tx1"/>
            </w14:solidFill>
          </w14:textFill>
        </w:rPr>
      </w:pPr>
    </w:p>
    <w:p>
      <w:pPr>
        <w:snapToGrid w:val="0"/>
        <w:spacing w:line="360" w:lineRule="auto"/>
        <w:rPr>
          <w:rFonts w:ascii="宋体" w:hAnsi="宋体" w:cs="宋体"/>
          <w:bCs/>
          <w:color w:val="000000" w:themeColor="text1"/>
          <w:sz w:val="24"/>
          <w:szCs w:val="20"/>
          <w14:textFill>
            <w14:solidFill>
              <w14:schemeClr w14:val="tx1"/>
            </w14:solidFill>
          </w14:textFill>
        </w:rPr>
      </w:pPr>
    </w:p>
    <w:p>
      <w:pPr>
        <w:snapToGrid w:val="0"/>
        <w:spacing w:line="360" w:lineRule="auto"/>
        <w:ind w:firstLine="2739" w:firstLineChars="856"/>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项目名称：</w:t>
      </w:r>
    </w:p>
    <w:p>
      <w:pPr>
        <w:snapToGrid w:val="0"/>
        <w:spacing w:line="360" w:lineRule="auto"/>
        <w:ind w:firstLine="2739" w:firstLineChars="856"/>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 xml:space="preserve">项目编号： </w:t>
      </w:r>
    </w:p>
    <w:p>
      <w:pPr>
        <w:snapToGrid w:val="0"/>
        <w:spacing w:line="360" w:lineRule="auto"/>
        <w:ind w:firstLine="2739" w:firstLineChars="856"/>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所竞分标（如有）：</w:t>
      </w:r>
    </w:p>
    <w:p>
      <w:pPr>
        <w:pStyle w:val="7"/>
        <w:snapToGrid w:val="0"/>
        <w:spacing w:line="360" w:lineRule="auto"/>
        <w:ind w:firstLine="2739" w:firstLineChars="856"/>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供应商名称：</w:t>
      </w:r>
    </w:p>
    <w:p>
      <w:pPr>
        <w:pStyle w:val="7"/>
        <w:snapToGrid w:val="0"/>
        <w:spacing w:line="360" w:lineRule="auto"/>
        <w:ind w:firstLine="0"/>
        <w:rPr>
          <w:rFonts w:ascii="宋体" w:hAnsi="宋体" w:cs="宋体"/>
          <w:bCs/>
          <w:color w:val="000000" w:themeColor="text1"/>
          <w:sz w:val="32"/>
          <w:szCs w:val="32"/>
          <w14:textFill>
            <w14:solidFill>
              <w14:schemeClr w14:val="tx1"/>
            </w14:solidFill>
          </w14:textFill>
        </w:rPr>
      </w:pPr>
    </w:p>
    <w:p>
      <w:pPr>
        <w:pStyle w:val="7"/>
        <w:snapToGrid w:val="0"/>
        <w:spacing w:line="360" w:lineRule="auto"/>
        <w:ind w:firstLine="1280" w:firstLineChars="400"/>
        <w:rPr>
          <w:rFonts w:ascii="宋体" w:hAnsi="宋体" w:cs="宋体"/>
          <w:bCs/>
          <w:color w:val="000000" w:themeColor="text1"/>
          <w:sz w:val="32"/>
          <w:szCs w:val="32"/>
          <w14:textFill>
            <w14:solidFill>
              <w14:schemeClr w14:val="tx1"/>
            </w14:solidFill>
          </w14:textFill>
        </w:rPr>
      </w:pPr>
    </w:p>
    <w:p>
      <w:pPr>
        <w:snapToGrid w:val="0"/>
        <w:spacing w:line="360" w:lineRule="auto"/>
        <w:jc w:val="center"/>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年    月    日</w:t>
      </w:r>
    </w:p>
    <w:p>
      <w:pPr>
        <w:snapToGrid w:val="0"/>
        <w:spacing w:line="360" w:lineRule="auto"/>
        <w:jc w:val="left"/>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2.资格证明文件目录</w:t>
      </w:r>
    </w:p>
    <w:p>
      <w:pPr>
        <w:snapToGrid w:val="0"/>
        <w:spacing w:line="360" w:lineRule="auto"/>
        <w:ind w:firstLine="645"/>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根据谈判文件规定及供应商提供的材料自行编写目录（部分格式后附）。</w:t>
      </w:r>
    </w:p>
    <w:p>
      <w:pPr>
        <w:snapToGrid w:val="0"/>
        <w:spacing w:line="360" w:lineRule="auto"/>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 </w:t>
      </w: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jc w:val="left"/>
        <w:rPr>
          <w:rFonts w:ascii="宋体" w:hAnsi="宋体" w:cs="宋体"/>
          <w:color w:val="000000" w:themeColor="text1"/>
          <w:szCs w:val="21"/>
          <w14:textFill>
            <w14:solidFill>
              <w14:schemeClr w14:val="tx1"/>
            </w14:solidFill>
          </w14:textFill>
        </w:rPr>
      </w:pPr>
    </w:p>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3.供应商直接控股、管理关系信息表</w:t>
      </w:r>
    </w:p>
    <w:p>
      <w:pPr>
        <w:snapToGrid w:val="0"/>
        <w:spacing w:line="360" w:lineRule="auto"/>
        <w:jc w:val="center"/>
        <w:rPr>
          <w:rFonts w:ascii="宋体" w:hAnsi="宋体" w:cs="宋体"/>
          <w:b/>
          <w:color w:val="000000" w:themeColor="text1"/>
          <w:sz w:val="32"/>
          <w:szCs w:val="32"/>
          <w14:textFill>
            <w14:solidFill>
              <w14:schemeClr w14:val="tx1"/>
            </w14:solidFill>
          </w14:textFill>
        </w:rPr>
      </w:pPr>
    </w:p>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供应商直接控股股东信息表</w:t>
      </w:r>
    </w:p>
    <w:p>
      <w:pPr>
        <w:snapToGrid w:val="0"/>
        <w:spacing w:line="360" w:lineRule="auto"/>
        <w:jc w:val="center"/>
        <w:rPr>
          <w:rFonts w:ascii="宋体" w:hAnsi="宋体" w:cs="宋体"/>
          <w:b/>
          <w:color w:val="000000" w:themeColor="text1"/>
          <w:sz w:val="32"/>
          <w:szCs w:val="32"/>
          <w14:textFill>
            <w14:solidFill>
              <w14:schemeClr w14:val="tx1"/>
            </w14:solidFill>
          </w14:textFill>
        </w:rPr>
      </w:pPr>
    </w:p>
    <w:tbl>
      <w:tblPr>
        <w:tblStyle w:val="27"/>
        <w:tblW w:w="9318" w:type="dxa"/>
        <w:jc w:val="center"/>
        <w:shd w:val="clear" w:color="auto" w:fill="FBFBFB"/>
        <w:tblLayout w:type="fixed"/>
        <w:tblCellMar>
          <w:top w:w="0" w:type="dxa"/>
          <w:left w:w="0" w:type="dxa"/>
          <w:bottom w:w="0" w:type="dxa"/>
          <w:right w:w="0" w:type="dxa"/>
        </w:tblCellMar>
      </w:tblPr>
      <w:tblGrid>
        <w:gridCol w:w="880"/>
        <w:gridCol w:w="2655"/>
        <w:gridCol w:w="1455"/>
        <w:gridCol w:w="3503"/>
        <w:gridCol w:w="825"/>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出资比例</w:t>
            </w:r>
          </w:p>
        </w:tc>
        <w:tc>
          <w:tcPr>
            <w:tcW w:w="350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身份证号码或者统一社会信用代码</w:t>
            </w:r>
          </w:p>
        </w:tc>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c>
          <w:tcPr>
            <w:tcW w:w="35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spacing w:line="360" w:lineRule="auto"/>
              <w:jc w:val="center"/>
              <w:rPr>
                <w:rFonts w:ascii="宋体" w:hAnsi="宋体" w:cs="宋体"/>
                <w:color w:val="000000" w:themeColor="text1"/>
                <w:kern w:val="0"/>
                <w:sz w:val="28"/>
                <w:szCs w:val="28"/>
                <w14:textFill>
                  <w14:solidFill>
                    <w14:schemeClr w14:val="tx1"/>
                  </w14:solidFill>
                </w14:textFill>
              </w:rPr>
            </w:pPr>
          </w:p>
        </w:tc>
      </w:tr>
    </w:tbl>
    <w:p>
      <w:pPr>
        <w:spacing w:line="360" w:lineRule="auto"/>
        <w:contextualSpacing/>
        <w:jc w:val="left"/>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注：</w:t>
      </w:r>
    </w:p>
    <w:p>
      <w:pPr>
        <w:spacing w:line="360" w:lineRule="auto"/>
        <w:ind w:firstLine="480" w:firstLineChars="200"/>
        <w:contextualSpacing/>
        <w:jc w:val="left"/>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3.供应商不存在直接控股股东的，则填“无”。</w:t>
      </w:r>
    </w:p>
    <w:p>
      <w:pPr>
        <w:spacing w:line="360" w:lineRule="auto"/>
        <w:ind w:firstLine="420" w:firstLineChars="200"/>
        <w:contextualSpacing/>
        <w:jc w:val="left"/>
        <w:rPr>
          <w:rFonts w:ascii="宋体" w:hAnsi="宋体" w:cs="宋体"/>
          <w:color w:val="000000" w:themeColor="text1"/>
          <w:szCs w:val="21"/>
          <w14:textFill>
            <w14:solidFill>
              <w14:schemeClr w14:val="tx1"/>
            </w14:solidFill>
          </w14:textFill>
        </w:rPr>
      </w:pPr>
    </w:p>
    <w:p>
      <w:pPr>
        <w:spacing w:line="360" w:lineRule="auto"/>
        <w:ind w:firstLine="560" w:firstLineChars="200"/>
        <w:contextualSpacing/>
        <w:jc w:val="left"/>
        <w:rPr>
          <w:rFonts w:ascii="宋体" w:hAnsi="宋体" w:cs="宋体"/>
          <w:color w:val="000000" w:themeColor="text1"/>
          <w:sz w:val="28"/>
          <w:szCs w:val="28"/>
          <w14:textFill>
            <w14:solidFill>
              <w14:schemeClr w14:val="tx1"/>
            </w14:solidFill>
          </w14:textFill>
        </w:rPr>
      </w:pPr>
    </w:p>
    <w:p>
      <w:pPr>
        <w:spacing w:line="360" w:lineRule="auto"/>
        <w:contextualSpacing/>
        <w:jc w:val="center"/>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法定代表人或者委托代理人签字：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120" w:firstLineChars="1300"/>
        <w:contextualSpacing/>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供应商（公章 ）： </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120" w:firstLineChars="1300"/>
        <w:contextualSpacing/>
        <w:rPr>
          <w:rFonts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r>
        <w:rPr>
          <w:rFonts w:hint="eastAsia" w:ascii="宋体" w:hAnsi="宋体" w:cs="宋体"/>
          <w:b/>
          <w:color w:val="000000" w:themeColor="text1"/>
          <w:sz w:val="28"/>
          <w:szCs w:val="28"/>
          <w14:textFill>
            <w14:solidFill>
              <w14:schemeClr w14:val="tx1"/>
            </w14:solidFill>
          </w14:textFill>
        </w:rPr>
        <w:br w:type="page"/>
      </w:r>
    </w:p>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供应商直接管理关系信息表</w:t>
      </w:r>
    </w:p>
    <w:p>
      <w:pPr>
        <w:snapToGrid w:val="0"/>
        <w:spacing w:line="360" w:lineRule="auto"/>
        <w:jc w:val="center"/>
        <w:rPr>
          <w:rFonts w:ascii="宋体" w:hAnsi="宋体" w:cs="宋体"/>
          <w:b/>
          <w:color w:val="000000" w:themeColor="text1"/>
          <w:sz w:val="32"/>
          <w:szCs w:val="32"/>
          <w14:textFill>
            <w14:solidFill>
              <w14:schemeClr w14:val="tx1"/>
            </w14:solidFill>
          </w14:textFill>
        </w:rPr>
      </w:pPr>
    </w:p>
    <w:tbl>
      <w:tblPr>
        <w:tblStyle w:val="27"/>
        <w:tblW w:w="8942" w:type="dxa"/>
        <w:jc w:val="center"/>
        <w:shd w:val="clear" w:color="auto" w:fill="FBFBFB"/>
        <w:tblLayout w:type="fixed"/>
        <w:tblCellMar>
          <w:top w:w="0" w:type="dxa"/>
          <w:left w:w="0" w:type="dxa"/>
          <w:bottom w:w="0" w:type="dxa"/>
          <w:right w:w="0" w:type="dxa"/>
        </w:tblCellMar>
      </w:tblPr>
      <w:tblGrid>
        <w:gridCol w:w="808"/>
        <w:gridCol w:w="3600"/>
        <w:gridCol w:w="3555"/>
        <w:gridCol w:w="97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统一社会信用代码</w:t>
            </w:r>
          </w:p>
        </w:tc>
        <w:tc>
          <w:tcPr>
            <w:tcW w:w="9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widowControl/>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c>
          <w:tcPr>
            <w:tcW w:w="9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widowControl/>
              <w:wordWrap w:val="0"/>
              <w:spacing w:line="360" w:lineRule="auto"/>
              <w:jc w:val="center"/>
              <w:rPr>
                <w:rFonts w:ascii="宋体" w:hAnsi="宋体" w:cs="宋体"/>
                <w:color w:val="000000" w:themeColor="text1"/>
                <w:kern w:val="0"/>
                <w:sz w:val="28"/>
                <w:szCs w:val="28"/>
                <w14:textFill>
                  <w14:solidFill>
                    <w14:schemeClr w14:val="tx1"/>
                  </w14:solidFill>
                </w14:textFill>
              </w:rPr>
            </w:pPr>
          </w:p>
        </w:tc>
      </w:tr>
    </w:tbl>
    <w:p>
      <w:pPr>
        <w:spacing w:line="360" w:lineRule="auto"/>
        <w:contextualSpacing/>
        <w:jc w:val="left"/>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注：</w:t>
      </w:r>
    </w:p>
    <w:p>
      <w:pPr>
        <w:spacing w:line="360" w:lineRule="auto"/>
        <w:ind w:firstLine="480" w:firstLineChars="200"/>
        <w:contextualSpacing/>
        <w:jc w:val="left"/>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2.</w:t>
      </w:r>
      <w:r>
        <w:rPr>
          <w:rFonts w:hint="eastAsia" w:ascii="楷体" w:hAnsi="楷体" w:eastAsia="楷体" w:cs="宋体"/>
          <w:color w:val="000000" w:themeColor="text1"/>
          <w:spacing w:val="-6"/>
          <w:sz w:val="24"/>
          <w14:textFill>
            <w14:solidFill>
              <w14:schemeClr w14:val="tx1"/>
            </w14:solidFill>
          </w14:textFill>
        </w:rPr>
        <w:t>本表所指的管理关系仅限于直接管理关系，不包括间接的管理关系。</w:t>
      </w:r>
    </w:p>
    <w:p>
      <w:pPr>
        <w:spacing w:line="360" w:lineRule="auto"/>
        <w:ind w:firstLine="480" w:firstLineChars="200"/>
        <w:contextualSpacing/>
        <w:jc w:val="left"/>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3.供应商不存在直接管理关系的，则填“无”。</w:t>
      </w:r>
    </w:p>
    <w:p>
      <w:pPr>
        <w:spacing w:line="360" w:lineRule="auto"/>
        <w:contextualSpacing/>
        <w:jc w:val="left"/>
        <w:rPr>
          <w:rFonts w:ascii="宋体" w:hAnsi="宋体" w:cs="宋体"/>
          <w:color w:val="000000" w:themeColor="text1"/>
          <w:sz w:val="28"/>
          <w:szCs w:val="28"/>
          <w14:textFill>
            <w14:solidFill>
              <w14:schemeClr w14:val="tx1"/>
            </w14:solidFill>
          </w14:textFill>
        </w:rPr>
      </w:pPr>
    </w:p>
    <w:p>
      <w:pPr>
        <w:spacing w:line="360" w:lineRule="auto"/>
        <w:contextualSpacing/>
        <w:jc w:val="left"/>
        <w:rPr>
          <w:rFonts w:ascii="宋体" w:hAnsi="宋体" w:cs="宋体"/>
          <w:color w:val="000000" w:themeColor="text1"/>
          <w:sz w:val="28"/>
          <w:szCs w:val="28"/>
          <w14:textFill>
            <w14:solidFill>
              <w14:schemeClr w14:val="tx1"/>
            </w14:solidFill>
          </w14:textFill>
        </w:rPr>
      </w:pPr>
    </w:p>
    <w:p>
      <w:pPr>
        <w:spacing w:line="360" w:lineRule="auto"/>
        <w:contextualSpacing/>
        <w:jc w:val="left"/>
        <w:rPr>
          <w:rFonts w:ascii="宋体" w:hAnsi="宋体" w:cs="宋体"/>
          <w:color w:val="000000" w:themeColor="text1"/>
          <w:sz w:val="28"/>
          <w:szCs w:val="28"/>
          <w14:textFill>
            <w14:solidFill>
              <w14:schemeClr w14:val="tx1"/>
            </w14:solidFill>
          </w14:textFill>
        </w:rPr>
      </w:pPr>
    </w:p>
    <w:p>
      <w:pPr>
        <w:spacing w:line="360" w:lineRule="auto"/>
        <w:contextualSpacing/>
        <w:jc w:val="left"/>
        <w:rPr>
          <w:rFonts w:ascii="宋体" w:hAnsi="宋体" w:cs="宋体"/>
          <w:color w:val="000000" w:themeColor="text1"/>
          <w:sz w:val="28"/>
          <w:szCs w:val="28"/>
          <w14:textFill>
            <w14:solidFill>
              <w14:schemeClr w14:val="tx1"/>
            </w14:solidFill>
          </w14:textFill>
        </w:rPr>
      </w:pPr>
    </w:p>
    <w:p>
      <w:pPr>
        <w:spacing w:line="360" w:lineRule="auto"/>
        <w:contextualSpacing/>
        <w:jc w:val="left"/>
        <w:rPr>
          <w:rFonts w:ascii="宋体" w:hAnsi="宋体" w:cs="宋体"/>
          <w:color w:val="000000" w:themeColor="text1"/>
          <w:sz w:val="28"/>
          <w:szCs w:val="28"/>
          <w14:textFill>
            <w14:solidFill>
              <w14:schemeClr w14:val="tx1"/>
            </w14:solidFill>
          </w14:textFill>
        </w:rPr>
      </w:pPr>
    </w:p>
    <w:p>
      <w:pPr>
        <w:spacing w:line="360" w:lineRule="auto"/>
        <w:contextualSpacing/>
        <w:jc w:val="left"/>
        <w:rPr>
          <w:rFonts w:ascii="宋体" w:hAnsi="宋体" w:cs="宋体"/>
          <w:color w:val="000000" w:themeColor="text1"/>
          <w:sz w:val="28"/>
          <w:szCs w:val="28"/>
          <w14:textFill>
            <w14:solidFill>
              <w14:schemeClr w14:val="tx1"/>
            </w14:solidFill>
          </w14:textFill>
        </w:rPr>
      </w:pPr>
    </w:p>
    <w:p>
      <w:pPr>
        <w:spacing w:line="360" w:lineRule="auto"/>
        <w:contextualSpacing/>
        <w:jc w:val="center"/>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法定代表人或者委托代理人签字：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600" w:firstLineChars="15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240" w:firstLineChars="100"/>
        <w:contextualSpacing/>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参与竞争性谈判声明</w:t>
      </w:r>
    </w:p>
    <w:p>
      <w:pPr>
        <w:spacing w:line="360" w:lineRule="auto"/>
        <w:jc w:val="center"/>
        <w:rPr>
          <w:rFonts w:ascii="宋体" w:hAnsi="宋体" w:cs="宋体"/>
          <w:color w:val="000000" w:themeColor="text1"/>
          <w:sz w:val="24"/>
          <w:szCs w:val="20"/>
          <w14:textFill>
            <w14:solidFill>
              <w14:schemeClr w14:val="tx1"/>
            </w14:solidFill>
          </w14:textFill>
        </w:rPr>
      </w:pP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项目的</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，为便于贵方公正、择优地确定成交供应商及其参与</w:t>
      </w:r>
      <w:r>
        <w:rPr>
          <w:rFonts w:hint="eastAsia" w:ascii="宋体" w:hAnsi="宋体" w:cs="宋体"/>
          <w:color w:val="000000" w:themeColor="text1"/>
          <w:sz w:val="24"/>
          <w:lang w:bidi="ar"/>
          <w14:textFill>
            <w14:solidFill>
              <w14:schemeClr w14:val="tx1"/>
            </w14:solidFill>
          </w14:textFill>
        </w:rPr>
        <w:t>竞争性谈判的</w:t>
      </w:r>
      <w:r>
        <w:rPr>
          <w:rFonts w:hint="eastAsia" w:ascii="宋体" w:hAnsi="宋体" w:cs="宋体"/>
          <w:color w:val="000000" w:themeColor="text1"/>
          <w:sz w:val="24"/>
          <w14:textFill>
            <w14:solidFill>
              <w14:schemeClr w14:val="tx1"/>
            </w14:solidFill>
          </w14:textFill>
        </w:rPr>
        <w:t>产品和服务，我方就本次参与</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有关事项郑重声明如下：</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1.我方向贵方提交的所有响应文件、资料都是准确的和真实的。</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2.我方不是为本次采购项目提供整体设计、规范编制或者项目管理、监理、检测等服务的供应商。</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3.在此，我方宣布同意如下：</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（1）将按谈判文件的约定履行合同责任和义务；</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（2）已详细审查全部谈判文件，包括补遗文件（如有）；</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（3）同意提供按照贵方可能要求的与谈判有关的一切数据或者资料；</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（4）响应谈判文件规定的</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有效期。</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内容中</w:t>
      </w: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kern w:val="0"/>
          <w:sz w:val="24"/>
          <w14:textFill>
            <w14:solidFill>
              <w14:schemeClr w14:val="tx1"/>
            </w14:solidFill>
          </w14:textFill>
        </w:rPr>
        <w:t>涉及商业秘密；</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涉及商业秘密的内容有：</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pPr>
        <w:pStyle w:val="17"/>
        <w:spacing w:line="360" w:lineRule="auto"/>
        <w:ind w:firstLine="480" w:firstLineChars="200"/>
        <w:contextualSpacing/>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6.与本谈判有关的一切正式往来信函请寄：</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邮政编码：</w:t>
      </w:r>
      <w:r>
        <w:rPr>
          <w:rFonts w:hint="eastAsia" w:hAnsi="宋体" w:cs="宋体"/>
          <w:color w:val="000000" w:themeColor="text1"/>
          <w:sz w:val="24"/>
          <w:szCs w:val="24"/>
          <w:u w:val="single"/>
          <w14:textFill>
            <w14:solidFill>
              <w14:schemeClr w14:val="tx1"/>
            </w14:solidFill>
          </w14:textFill>
        </w:rPr>
        <w:t xml:space="preserve">    </w:t>
      </w:r>
    </w:p>
    <w:p>
      <w:pPr>
        <w:pStyle w:val="17"/>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电话/传真：</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 xml:space="preserve"> 电子函件：</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 xml:space="preserve">    </w:t>
      </w:r>
    </w:p>
    <w:p>
      <w:pPr>
        <w:pStyle w:val="15"/>
        <w:tabs>
          <w:tab w:val="left" w:pos="939"/>
        </w:tabs>
        <w:spacing w:line="360" w:lineRule="auto"/>
        <w:ind w:left="0" w:leftChars="0" w:firstLine="360" w:firstLineChars="15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帐号/行号：</w:t>
      </w:r>
      <w:r>
        <w:rPr>
          <w:rFonts w:hint="eastAsia" w:ascii="宋体" w:hAnsi="宋体" w:cs="宋体"/>
          <w:color w:val="000000" w:themeColor="text1"/>
          <w:sz w:val="24"/>
          <w:u w:val="single"/>
          <w14:textFill>
            <w14:solidFill>
              <w14:schemeClr w14:val="tx1"/>
            </w14:solidFill>
          </w14:textFill>
        </w:rPr>
        <w:t xml:space="preserve">           </w:t>
      </w:r>
    </w:p>
    <w:p>
      <w:pPr>
        <w:pStyle w:val="15"/>
        <w:tabs>
          <w:tab w:val="left" w:pos="939"/>
        </w:tabs>
        <w:spacing w:line="360" w:lineRule="auto"/>
        <w:ind w:left="0" w:leftChars="0"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我方若</w:t>
      </w:r>
      <w:r>
        <w:rPr>
          <w:rFonts w:hint="eastAsia" w:ascii="宋体" w:hAnsi="宋体" w:cs="宋体"/>
          <w:color w:val="000000" w:themeColor="text1"/>
          <w:sz w:val="24"/>
          <w14:textFill>
            <w14:solidFill>
              <w14:schemeClr w14:val="tx1"/>
            </w14:solidFill>
          </w14:textFill>
        </w:rPr>
        <w:t>参与</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成功</w:t>
      </w:r>
      <w:r>
        <w:rPr>
          <w:rFonts w:ascii="宋体" w:hAnsi="宋体" w:cs="宋体"/>
          <w:color w:val="000000" w:themeColor="text1"/>
          <w:sz w:val="24"/>
          <w14:textFill>
            <w14:solidFill>
              <w14:schemeClr w14:val="tx1"/>
            </w14:solidFill>
          </w14:textFill>
        </w:rPr>
        <w:t>，将采取</w:t>
      </w:r>
      <w:r>
        <w:rPr>
          <w:rFonts w:ascii="宋体" w:hAnsi="宋体" w:cs="宋体"/>
          <w:color w:val="000000" w:themeColor="text1"/>
          <w:sz w:val="24"/>
          <w:u w:val="single"/>
          <w14:textFill>
            <w14:solidFill>
              <w14:schemeClr w14:val="tx1"/>
            </w14:solidFill>
          </w14:textFill>
        </w:rPr>
        <w:t>      </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汽车、火车、飞机等</w:t>
      </w:r>
      <w:r>
        <w:rPr>
          <w:rFonts w:ascii="宋体" w:hAnsi="宋体" w:cs="宋体"/>
          <w:color w:val="000000" w:themeColor="text1"/>
          <w:sz w:val="24"/>
          <w14:textFill>
            <w14:solidFill>
              <w14:schemeClr w14:val="tx1"/>
            </w14:solidFill>
          </w14:textFill>
        </w:rPr>
        <w:t>）方式运输货物。</w:t>
      </w:r>
    </w:p>
    <w:p>
      <w:pPr>
        <w:pStyle w:val="15"/>
        <w:tabs>
          <w:tab w:val="left" w:pos="939"/>
        </w:tabs>
        <w:spacing w:line="360" w:lineRule="auto"/>
        <w:ind w:left="0" w:leftChars="0"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我方若参与</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成功，除非发生不可抗力，承诺与采购人及时签订《合同书》。如果放弃，自愿按照本文件之《供应商须知正文》第2</w:t>
      </w:r>
      <w:r>
        <w:rPr>
          <w:rFonts w:ascii="宋体" w:hAnsi="宋体" w:cs="宋体"/>
          <w:color w:val="000000" w:themeColor="text1"/>
          <w:sz w:val="24"/>
          <w14:textFill>
            <w14:solidFill>
              <w14:schemeClr w14:val="tx1"/>
            </w14:solidFill>
          </w14:textFill>
        </w:rPr>
        <w:t>7.5</w:t>
      </w:r>
      <w:r>
        <w:rPr>
          <w:rFonts w:hint="eastAsia" w:ascii="宋体" w:hAnsi="宋体" w:cs="宋体"/>
          <w:color w:val="000000" w:themeColor="text1"/>
          <w:sz w:val="24"/>
          <w14:textFill>
            <w14:solidFill>
              <w14:schemeClr w14:val="tx1"/>
            </w14:solidFill>
          </w14:textFill>
        </w:rPr>
        <w:t>条的要求承担法律责任和失信惩戒。</w:t>
      </w:r>
    </w:p>
    <w:p>
      <w:pPr>
        <w:pStyle w:val="15"/>
        <w:tabs>
          <w:tab w:val="left" w:pos="939"/>
        </w:tabs>
        <w:spacing w:line="360" w:lineRule="auto"/>
        <w:ind w:left="0" w:leftChars="0" w:firstLine="360" w:firstLineChars="15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.以上事项如有虚假或者隐瞒，我方愿意承担一切后果，并不再寻求任何旨在减轻或者免除法律责任的辩解。</w:t>
      </w:r>
    </w:p>
    <w:p>
      <w:pPr>
        <w:pStyle w:val="15"/>
        <w:tabs>
          <w:tab w:val="left" w:pos="939"/>
        </w:tabs>
        <w:spacing w:line="360" w:lineRule="auto"/>
        <w:ind w:left="0" w:leftChars="0" w:firstLine="360"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contextualSpacing/>
        <w:jc w:val="left"/>
        <w:rPr>
          <w:rFonts w:ascii="楷体" w:hAnsi="楷体" w:eastAsia="楷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r>
        <w:rPr>
          <w:rFonts w:hint="eastAsia" w:ascii="楷体" w:hAnsi="楷体" w:eastAsia="楷体" w:cs="宋体"/>
          <w:b/>
          <w:color w:val="000000" w:themeColor="text1"/>
          <w:sz w:val="24"/>
          <w14:textFill>
            <w14:solidFill>
              <w14:schemeClr w14:val="tx1"/>
            </w14:solidFill>
          </w14:textFill>
        </w:rPr>
        <w:t xml:space="preserve"> 注：如为联合体参与</w:t>
      </w:r>
      <w:r>
        <w:rPr>
          <w:rFonts w:hint="eastAsia" w:ascii="楷体" w:hAnsi="楷体" w:eastAsia="楷体" w:cs="宋体"/>
          <w:b/>
          <w:color w:val="000000" w:themeColor="text1"/>
          <w:sz w:val="24"/>
          <w:lang w:bidi="ar"/>
          <w14:textFill>
            <w14:solidFill>
              <w14:schemeClr w14:val="tx1"/>
            </w14:solidFill>
          </w14:textFill>
        </w:rPr>
        <w:t>竞争性谈判</w:t>
      </w:r>
      <w:r>
        <w:rPr>
          <w:rFonts w:hint="eastAsia" w:ascii="楷体" w:hAnsi="楷体" w:eastAsia="楷体" w:cs="宋体"/>
          <w:b/>
          <w:color w:val="000000" w:themeColor="text1"/>
          <w:sz w:val="24"/>
          <w14:textFill>
            <w14:solidFill>
              <w14:schemeClr w14:val="tx1"/>
            </w14:solidFill>
          </w14:textFill>
        </w:rPr>
        <w:t>，盖章处须加盖联合体各方公章并由联合体各方法定代表人分别签署，否则响应文件按无效响应处理。</w:t>
      </w:r>
    </w:p>
    <w:p>
      <w:pPr>
        <w:spacing w:line="360" w:lineRule="auto"/>
        <w:contextualSpacing/>
        <w:jc w:val="left"/>
        <w:rPr>
          <w:rFonts w:ascii="宋体" w:hAnsi="宋体" w:cs="宋体"/>
          <w:color w:val="000000" w:themeColor="text1"/>
          <w:szCs w:val="21"/>
          <w14:textFill>
            <w14:solidFill>
              <w14:schemeClr w14:val="tx1"/>
            </w14:solidFill>
          </w14:textFill>
        </w:rPr>
      </w:pPr>
    </w:p>
    <w:p>
      <w:pPr>
        <w:spacing w:line="360" w:lineRule="auto"/>
        <w:ind w:firstLine="4320" w:firstLineChars="18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ind w:firstLine="4320" w:firstLineChars="1800"/>
        <w:contextualSpacing/>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供应商（公章）：</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ind w:firstLine="240" w:firstLineChars="100"/>
        <w:contextualSpacing/>
        <w:jc w:val="center"/>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联合体参与竞争性谈判协议书</w:t>
      </w:r>
    </w:p>
    <w:p>
      <w:pPr>
        <w:pStyle w:val="7"/>
        <w:overflowPunct w:val="0"/>
        <w:spacing w:line="360" w:lineRule="auto"/>
        <w:ind w:firstLine="0"/>
        <w:contextualSpacing/>
        <w:rPr>
          <w:rFonts w:ascii="宋体" w:hAnsi="宋体" w:cs="宋体"/>
          <w:color w:val="000000" w:themeColor="text1"/>
          <w:sz w:val="24"/>
          <w:szCs w:val="24"/>
          <w14:textFill>
            <w14:solidFill>
              <w14:schemeClr w14:val="tx1"/>
            </w14:solidFill>
          </w14:textFill>
        </w:rPr>
      </w:pPr>
    </w:p>
    <w:p>
      <w:pPr>
        <w:pStyle w:val="7"/>
        <w:overflowPunct w:val="0"/>
        <w:spacing w:line="360" w:lineRule="auto"/>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（所有成员单位名称）自愿组成</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（联合体名称）联合体，共同参加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（项目名称）采购项目</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szCs w:val="24"/>
          <w14:textFill>
            <w14:solidFill>
              <w14:schemeClr w14:val="tx1"/>
            </w14:solidFill>
          </w14:textFill>
        </w:rPr>
        <w:t>。现就联合体参与</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szCs w:val="24"/>
          <w14:textFill>
            <w14:solidFill>
              <w14:schemeClr w14:val="tx1"/>
            </w14:solidFill>
          </w14:textFill>
        </w:rPr>
        <w:t>事宜订立如下协议。</w:t>
      </w:r>
    </w:p>
    <w:p>
      <w:pPr>
        <w:pStyle w:val="7"/>
        <w:overflowPunct w:val="0"/>
        <w:spacing w:line="360" w:lineRule="auto"/>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ab/>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（某成员单位名称）为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（联合体名称）牵头人。</w:t>
      </w:r>
    </w:p>
    <w:p>
      <w:pPr>
        <w:pStyle w:val="7"/>
        <w:overflowPunct w:val="0"/>
        <w:spacing w:line="360" w:lineRule="auto"/>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2.联合体各成员授权牵头人代表联合体参加</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szCs w:val="24"/>
          <w14:textFill>
            <w14:solidFill>
              <w14:schemeClr w14:val="tx1"/>
            </w14:solidFill>
          </w14:textFill>
        </w:rPr>
        <w:t>活动，签署文件及对文件的盖章，提交和接收相关的资料、信息及指示，进行合同谈判活动，负责合同实施阶段的组织和协调工作，以及处理与本</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szCs w:val="24"/>
          <w14:textFill>
            <w14:solidFill>
              <w14:schemeClr w14:val="tx1"/>
            </w14:solidFill>
          </w14:textFill>
        </w:rPr>
        <w:t>项目有关的一切事宜。</w:t>
      </w:r>
    </w:p>
    <w:p>
      <w:pPr>
        <w:pStyle w:val="7"/>
        <w:overflowPunct w:val="0"/>
        <w:spacing w:line="360" w:lineRule="auto"/>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3.联合体牵头人在本项目中签署和盖章的一切文件和处理的一切事宜，联合体各成员均予以承认。联合体各成员将严格按照谈判文件、响应文件和合同的要求全面履行义务，并向采购人承担连带责任。</w:t>
      </w:r>
    </w:p>
    <w:p>
      <w:pPr>
        <w:pStyle w:val="7"/>
        <w:overflowPunct w:val="0"/>
        <w:spacing w:line="360" w:lineRule="auto"/>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4.联合体各成员单位内部的职责分工如下：</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pStyle w:val="7"/>
        <w:overflowPunct w:val="0"/>
        <w:spacing w:line="360" w:lineRule="auto"/>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5.本</w:t>
      </w:r>
      <w:r>
        <w:rPr>
          <w:rFonts w:hint="eastAsia" w:ascii="宋体" w:hAnsi="宋体" w:cs="宋体"/>
          <w:color w:val="000000" w:themeColor="text1"/>
          <w:spacing w:val="-6"/>
          <w:sz w:val="24"/>
          <w:szCs w:val="24"/>
          <w14:textFill>
            <w14:solidFill>
              <w14:schemeClr w14:val="tx1"/>
            </w14:solidFill>
          </w14:textFill>
        </w:rPr>
        <w:t>协议书自所有成员单位法定代表人或者其委托代理人签字或者盖单位章之日起生效，合同履行完毕后自动失效。</w:t>
      </w:r>
    </w:p>
    <w:p>
      <w:pPr>
        <w:pStyle w:val="7"/>
        <w:overflowPunct w:val="0"/>
        <w:spacing w:line="360" w:lineRule="auto"/>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6.本协议书一式</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份，联合体成员和采购人各执壹份。</w:t>
      </w:r>
    </w:p>
    <w:p>
      <w:pPr>
        <w:pStyle w:val="7"/>
        <w:overflowPunct w:val="0"/>
        <w:spacing w:line="360" w:lineRule="auto"/>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注：本协议书由法定代表人签字的，应附法定代表人身份证明；由委托代理人签字的，应附联合体协议签订授权委托书（格式自拟）。</w:t>
      </w:r>
    </w:p>
    <w:p>
      <w:pPr>
        <w:pStyle w:val="7"/>
        <w:overflowPunct w:val="0"/>
        <w:spacing w:line="360" w:lineRule="auto"/>
        <w:ind w:firstLineChars="175"/>
        <w:contextualSpacing/>
        <w:rPr>
          <w:rFonts w:ascii="宋体" w:hAnsi="宋体" w:cs="宋体"/>
          <w:color w:val="000000" w:themeColor="text1"/>
          <w:sz w:val="24"/>
          <w:szCs w:val="24"/>
          <w14:textFill>
            <w14:solidFill>
              <w14:schemeClr w14:val="tx1"/>
            </w14:solidFill>
          </w14:textFill>
        </w:rPr>
      </w:pPr>
    </w:p>
    <w:p>
      <w:pPr>
        <w:pStyle w:val="7"/>
        <w:overflowPunct w:val="0"/>
        <w:spacing w:line="360" w:lineRule="auto"/>
        <w:ind w:firstLine="0"/>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联合体牵头人名称（公章）：</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p>
    <w:p>
      <w:pPr>
        <w:pStyle w:val="7"/>
        <w:overflowPunct w:val="0"/>
        <w:spacing w:line="360" w:lineRule="auto"/>
        <w:ind w:firstLine="0"/>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法定代表人或者其委托代理人（签字）：</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p>
    <w:p>
      <w:pPr>
        <w:pStyle w:val="7"/>
        <w:overflowPunct w:val="0"/>
        <w:spacing w:line="360" w:lineRule="auto"/>
        <w:ind w:firstLine="0"/>
        <w:contextualSpacing/>
        <w:rPr>
          <w:rFonts w:ascii="宋体" w:hAnsi="宋体" w:cs="宋体"/>
          <w:color w:val="000000" w:themeColor="text1"/>
          <w:sz w:val="24"/>
          <w:szCs w:val="24"/>
          <w14:textFill>
            <w14:solidFill>
              <w14:schemeClr w14:val="tx1"/>
            </w14:solidFill>
          </w14:textFill>
        </w:rPr>
      </w:pPr>
    </w:p>
    <w:p>
      <w:pPr>
        <w:pStyle w:val="7"/>
        <w:overflowPunct w:val="0"/>
        <w:spacing w:line="360" w:lineRule="auto"/>
        <w:ind w:firstLine="0"/>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联合体成员名称（公章）：</w:t>
      </w:r>
      <w:r>
        <w:rPr>
          <w:rFonts w:ascii="宋体" w:hAnsi="宋体" w:cs="宋体"/>
          <w:color w:val="000000" w:themeColor="text1"/>
          <w:sz w:val="24"/>
          <w:szCs w:val="24"/>
          <w:u w:val="single"/>
          <w14:textFill>
            <w14:solidFill>
              <w14:schemeClr w14:val="tx1"/>
            </w14:solidFill>
          </w14:textFill>
        </w:rPr>
        <w:t xml:space="preserve">               </w:t>
      </w:r>
    </w:p>
    <w:p>
      <w:pPr>
        <w:pStyle w:val="7"/>
        <w:overflowPunct w:val="0"/>
        <w:spacing w:line="360" w:lineRule="auto"/>
        <w:ind w:firstLine="0"/>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法定代表人或者其委托代理人（签字）：</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p>
    <w:p>
      <w:pPr>
        <w:pStyle w:val="7"/>
        <w:overflowPunct w:val="0"/>
        <w:spacing w:line="360" w:lineRule="auto"/>
        <w:ind w:firstLine="0"/>
        <w:contextualSpacing/>
        <w:rPr>
          <w:rFonts w:ascii="宋体" w:hAnsi="宋体" w:cs="宋体"/>
          <w:color w:val="000000" w:themeColor="text1"/>
          <w:sz w:val="24"/>
          <w:szCs w:val="24"/>
          <w14:textFill>
            <w14:solidFill>
              <w14:schemeClr w14:val="tx1"/>
            </w14:solidFill>
          </w14:textFill>
        </w:rPr>
      </w:pPr>
    </w:p>
    <w:p>
      <w:pPr>
        <w:pStyle w:val="7"/>
        <w:overflowPunct w:val="0"/>
        <w:spacing w:line="360" w:lineRule="auto"/>
        <w:ind w:firstLine="0"/>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联合体成员名称（公章）：</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p>
    <w:p>
      <w:pPr>
        <w:pStyle w:val="7"/>
        <w:overflowPunct w:val="0"/>
        <w:spacing w:line="360" w:lineRule="auto"/>
        <w:ind w:firstLine="0"/>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法定代表人或者其委托代理人（签字）：</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p>
    <w:p>
      <w:pPr>
        <w:pStyle w:val="7"/>
        <w:overflowPunct w:val="0"/>
        <w:spacing w:line="360" w:lineRule="auto"/>
        <w:ind w:firstLine="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p>
      <w:pPr>
        <w:spacing w:line="360" w:lineRule="auto"/>
        <w:contextualSpacing/>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r>
        <w:rPr>
          <w:rFonts w:hint="eastAsia" w:ascii="宋体" w:hAnsi="宋体" w:cs="宋体"/>
          <w:color w:val="000000" w:themeColor="text1"/>
          <w:sz w:val="32"/>
          <w:szCs w:val="32"/>
          <w14:textFill>
            <w14:solidFill>
              <w14:schemeClr w14:val="tx1"/>
            </w14:solidFill>
          </w14:textFill>
        </w:rPr>
        <w:t xml:space="preserve"> </w:t>
      </w:r>
    </w:p>
    <w:p>
      <w:pPr>
        <w:spacing w:line="360" w:lineRule="auto"/>
        <w:contextualSpacing/>
        <w:jc w:val="left"/>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二、</w:t>
      </w:r>
      <w:r>
        <w:rPr>
          <w:rFonts w:hint="eastAsia" w:ascii="宋体" w:hAnsi="宋体" w:cs="宋体"/>
          <w:b/>
          <w:color w:val="000000" w:themeColor="text1"/>
          <w:sz w:val="32"/>
          <w:szCs w:val="32"/>
          <w14:textFill>
            <w14:solidFill>
              <w14:schemeClr w14:val="tx1"/>
            </w14:solidFill>
          </w14:textFill>
        </w:rPr>
        <w:t xml:space="preserve">报价商务技术文件格式 </w:t>
      </w:r>
    </w:p>
    <w:p>
      <w:pPr>
        <w:snapToGrid w:val="0"/>
        <w:spacing w:line="360" w:lineRule="auto"/>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1.报价商务技术文件封面格式</w:t>
      </w:r>
    </w:p>
    <w:p>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napToGrid w:val="0"/>
        <w:spacing w:line="360" w:lineRule="auto"/>
        <w:rPr>
          <w:rFonts w:ascii="宋体" w:hAnsi="宋体" w:cs="宋体"/>
          <w:color w:val="000000" w:themeColor="text1"/>
          <w:sz w:val="24"/>
          <w14:textFill>
            <w14:solidFill>
              <w14:schemeClr w14:val="tx1"/>
            </w14:solidFill>
          </w14:textFill>
        </w:rPr>
      </w:pPr>
    </w:p>
    <w:p>
      <w:pPr>
        <w:snapToGrid w:val="0"/>
        <w:spacing w:line="360" w:lineRule="auto"/>
        <w:rPr>
          <w:rFonts w:ascii="宋体" w:hAnsi="宋体" w:cs="宋体"/>
          <w:color w:val="000000" w:themeColor="text1"/>
          <w:sz w:val="24"/>
          <w:szCs w:val="20"/>
          <w14:textFill>
            <w14:solidFill>
              <w14:schemeClr w14:val="tx1"/>
            </w14:solidFill>
          </w14:textFill>
        </w:rPr>
      </w:pPr>
    </w:p>
    <w:p>
      <w:pPr>
        <w:snapToGrid w:val="0"/>
        <w:spacing w:line="360" w:lineRule="auto"/>
        <w:jc w:val="center"/>
        <w:rPr>
          <w:rFonts w:ascii="宋体" w:hAnsi="宋体" w:cs="宋体"/>
          <w:bCs/>
          <w:color w:val="000000" w:themeColor="text1"/>
          <w:sz w:val="84"/>
          <w:szCs w:val="84"/>
          <w14:textFill>
            <w14:solidFill>
              <w14:schemeClr w14:val="tx1"/>
            </w14:solidFill>
          </w14:textFill>
        </w:rPr>
      </w:pPr>
      <w:r>
        <w:rPr>
          <w:rFonts w:hint="eastAsia" w:ascii="宋体" w:hAnsi="宋体" w:cs="宋体"/>
          <w:b/>
          <w:color w:val="000000" w:themeColor="text1"/>
          <w:sz w:val="84"/>
          <w:szCs w:val="84"/>
          <w14:textFill>
            <w14:solidFill>
              <w14:schemeClr w14:val="tx1"/>
            </w14:solidFill>
          </w14:textFill>
        </w:rPr>
        <w:t>响  应  文  件</w:t>
      </w:r>
    </w:p>
    <w:p>
      <w:pPr>
        <w:snapToGrid w:val="0"/>
        <w:spacing w:line="360" w:lineRule="auto"/>
        <w:rPr>
          <w:rFonts w:ascii="宋体" w:hAnsi="宋体" w:cs="宋体"/>
          <w:color w:val="000000" w:themeColor="text1"/>
          <w:sz w:val="24"/>
          <w:szCs w:val="20"/>
          <w14:textFill>
            <w14:solidFill>
              <w14:schemeClr w14:val="tx1"/>
            </w14:solidFill>
          </w14:textFill>
        </w:rPr>
      </w:pPr>
    </w:p>
    <w:p>
      <w:pPr>
        <w:snapToGrid w:val="0"/>
        <w:spacing w:line="360" w:lineRule="auto"/>
        <w:jc w:val="center"/>
        <w:rPr>
          <w:rFonts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报价商务技术文件</w:t>
      </w:r>
    </w:p>
    <w:p>
      <w:pPr>
        <w:snapToGrid w:val="0"/>
        <w:spacing w:line="360" w:lineRule="auto"/>
        <w:rPr>
          <w:rFonts w:ascii="宋体" w:hAnsi="宋体" w:cs="宋体"/>
          <w:bCs/>
          <w:color w:val="000000" w:themeColor="text1"/>
          <w:sz w:val="28"/>
          <w:szCs w:val="28"/>
          <w14:textFill>
            <w14:solidFill>
              <w14:schemeClr w14:val="tx1"/>
            </w14:solidFill>
          </w14:textFill>
        </w:rPr>
      </w:pPr>
    </w:p>
    <w:p>
      <w:pPr>
        <w:snapToGrid w:val="0"/>
        <w:spacing w:line="360" w:lineRule="auto"/>
        <w:rPr>
          <w:rFonts w:ascii="宋体" w:hAnsi="宋体" w:cs="宋体"/>
          <w:bCs/>
          <w:color w:val="000000" w:themeColor="text1"/>
          <w:sz w:val="28"/>
          <w:szCs w:val="28"/>
          <w14:textFill>
            <w14:solidFill>
              <w14:schemeClr w14:val="tx1"/>
            </w14:solidFill>
          </w14:textFill>
        </w:rPr>
      </w:pPr>
    </w:p>
    <w:p>
      <w:pPr>
        <w:snapToGrid w:val="0"/>
        <w:spacing w:line="360" w:lineRule="auto"/>
        <w:ind w:firstLine="1680" w:firstLineChars="6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项目名称：</w:t>
      </w:r>
    </w:p>
    <w:p>
      <w:pPr>
        <w:snapToGrid w:val="0"/>
        <w:spacing w:line="360" w:lineRule="auto"/>
        <w:ind w:firstLine="1680" w:firstLineChars="6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 xml:space="preserve">项目编号： </w:t>
      </w:r>
    </w:p>
    <w:p>
      <w:pPr>
        <w:snapToGrid w:val="0"/>
        <w:spacing w:line="360" w:lineRule="auto"/>
        <w:ind w:firstLine="1680" w:firstLineChars="6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所竞分标（如有）：</w:t>
      </w:r>
    </w:p>
    <w:p>
      <w:pPr>
        <w:pStyle w:val="7"/>
        <w:snapToGrid w:val="0"/>
        <w:spacing w:line="360" w:lineRule="auto"/>
        <w:ind w:firstLine="1680" w:firstLineChars="6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供应商名称：</w:t>
      </w:r>
    </w:p>
    <w:p>
      <w:pPr>
        <w:pStyle w:val="7"/>
        <w:snapToGrid w:val="0"/>
        <w:spacing w:line="360" w:lineRule="auto"/>
        <w:ind w:firstLine="1680" w:firstLineChars="600"/>
        <w:rPr>
          <w:rFonts w:ascii="宋体" w:hAnsi="宋体" w:cs="宋体"/>
          <w:bCs/>
          <w:color w:val="000000" w:themeColor="text1"/>
          <w:sz w:val="28"/>
          <w:szCs w:val="28"/>
          <w14:textFill>
            <w14:solidFill>
              <w14:schemeClr w14:val="tx1"/>
            </w14:solidFill>
          </w14:textFill>
        </w:rPr>
      </w:pPr>
    </w:p>
    <w:p>
      <w:pPr>
        <w:snapToGrid w:val="0"/>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年    月    日</w:t>
      </w:r>
    </w:p>
    <w:p>
      <w:pPr>
        <w:snapToGrid w:val="0"/>
        <w:spacing w:line="360" w:lineRule="auto"/>
        <w:jc w:val="left"/>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2.报价商务技术文件目录</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根据谈判文件规定及供应商提供的材料自行编写目录（部分格式后附）。</w:t>
      </w:r>
    </w:p>
    <w:p>
      <w:pPr>
        <w:spacing w:line="360" w:lineRule="auto"/>
        <w:rPr>
          <w:rFonts w:ascii="宋体" w:hAnsi="宋体" w:cs="宋体"/>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无串通参与竞争性谈判行为的承诺函</w:t>
      </w:r>
    </w:p>
    <w:p>
      <w:pPr>
        <w:spacing w:line="360" w:lineRule="auto"/>
        <w:ind w:firstLine="640" w:firstLineChars="200"/>
        <w:contextualSpacing/>
        <w:rPr>
          <w:rFonts w:ascii="宋体" w:hAnsi="宋体" w:cs="宋体"/>
          <w:color w:val="000000" w:themeColor="text1"/>
          <w:sz w:val="32"/>
          <w:szCs w:val="32"/>
          <w14:textFill>
            <w14:solidFill>
              <w14:schemeClr w14:val="tx1"/>
            </w14:solidFill>
          </w14:textFill>
        </w:rPr>
      </w:pPr>
    </w:p>
    <w:p>
      <w:pPr>
        <w:spacing w:line="360" w:lineRule="auto"/>
        <w:ind w:firstLine="482" w:firstLineChars="200"/>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一、我方承诺无下列相互串通参与</w:t>
      </w:r>
      <w:r>
        <w:rPr>
          <w:rFonts w:hint="eastAsia" w:ascii="宋体" w:hAnsi="宋体" w:cs="宋体"/>
          <w:b/>
          <w:color w:val="000000" w:themeColor="text1"/>
          <w:sz w:val="24"/>
          <w:lang w:bidi="ar"/>
          <w14:textFill>
            <w14:solidFill>
              <w14:schemeClr w14:val="tx1"/>
            </w14:solidFill>
          </w14:textFill>
        </w:rPr>
        <w:t>竞争性谈判</w:t>
      </w:r>
      <w:r>
        <w:rPr>
          <w:rFonts w:hint="eastAsia" w:ascii="宋体" w:hAnsi="宋体" w:cs="宋体"/>
          <w:b/>
          <w:bCs/>
          <w:color w:val="000000" w:themeColor="text1"/>
          <w:sz w:val="24"/>
          <w14:textFill>
            <w14:solidFill>
              <w14:schemeClr w14:val="tx1"/>
            </w14:solidFill>
          </w14:textFill>
        </w:rPr>
        <w:t>的情形：</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1.不同供应商的响应文件由同一单位或者个人编制；</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2.不同供应商委托同一单位或者个人办理参与</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事宜；</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3.不同的供应商的响应文件载明的项目管理员为同一个人；</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4.不</w:t>
      </w:r>
      <w:r>
        <w:rPr>
          <w:rFonts w:hint="eastAsia" w:ascii="宋体" w:hAnsi="宋体" w:cs="宋体"/>
          <w:color w:val="000000" w:themeColor="text1"/>
          <w:spacing w:val="-6"/>
          <w:sz w:val="24"/>
          <w14:textFill>
            <w14:solidFill>
              <w14:schemeClr w14:val="tx1"/>
            </w14:solidFill>
          </w14:textFill>
        </w:rPr>
        <w:t>同供应商的响应文件异常一致或者参与</w:t>
      </w:r>
      <w:r>
        <w:rPr>
          <w:rFonts w:hint="eastAsia" w:ascii="宋体" w:hAnsi="宋体" w:cs="宋体"/>
          <w:color w:val="000000" w:themeColor="text1"/>
          <w:sz w:val="24"/>
          <w:lang w:bidi="ar"/>
          <w14:textFill>
            <w14:solidFill>
              <w14:schemeClr w14:val="tx1"/>
            </w14:solidFill>
          </w14:textFill>
        </w:rPr>
        <w:t>竞争性谈判的</w:t>
      </w:r>
      <w:r>
        <w:rPr>
          <w:rFonts w:hint="eastAsia" w:ascii="宋体" w:hAnsi="宋体" w:cs="宋体"/>
          <w:color w:val="000000" w:themeColor="text1"/>
          <w:spacing w:val="-6"/>
          <w:sz w:val="24"/>
          <w14:textFill>
            <w14:solidFill>
              <w14:schemeClr w14:val="tx1"/>
            </w14:solidFill>
          </w14:textFill>
        </w:rPr>
        <w:t>报价呈规律性差异；</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5.不同供应商的响应文件相互混装；</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6.不同供应商的谈判保证金从同一单位或者个人账户转出。</w:t>
      </w:r>
    </w:p>
    <w:p>
      <w:pPr>
        <w:spacing w:line="360" w:lineRule="auto"/>
        <w:ind w:firstLine="482" w:firstLineChars="200"/>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二、我方承诺无下列恶意串通的情形：</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2.供应商按照采购人或者采购代理机构的授意撤换、修改响应文件；</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w:t>
      </w:r>
      <w:r>
        <w:rPr>
          <w:rFonts w:hint="eastAsia" w:ascii="宋体" w:hAnsi="宋体" w:cs="宋体"/>
          <w:color w:val="000000" w:themeColor="text1"/>
          <w:spacing w:val="-6"/>
          <w:sz w:val="24"/>
          <w14:textFill>
            <w14:solidFill>
              <w14:schemeClr w14:val="tx1"/>
            </w14:solidFill>
          </w14:textFill>
        </w:rPr>
        <w:t>应商之间协商报价、技术方案等响应文件的实质性内容；</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4.属于同一集团、协会、商会等组织成员的供应商按照该组织要求协同参加政府采购活动；</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5.供应商之间事先约定一致抬高或者压低</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报价,或者在竞争性谈判项目中事先约定轮流以高价位或者低价位成交,或者事先约定由某一特定供应商成交,然后再参加</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6.供应商之间商定部分供应商放弃参加政府采购活动或者放弃成交；</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7.供应商与采购人或者采购代理机构之间、供应商相互之间，为</w:t>
      </w:r>
      <w:r>
        <w:rPr>
          <w:rFonts w:hint="eastAsia" w:ascii="宋体" w:hAnsi="宋体" w:cs="宋体"/>
          <w:color w:val="000000" w:themeColor="text1"/>
          <w:spacing w:val="-6"/>
          <w:sz w:val="24"/>
          <w14:textFill>
            <w14:solidFill>
              <w14:schemeClr w14:val="tx1"/>
            </w14:solidFill>
          </w14:textFill>
        </w:rPr>
        <w:t>谋求特定供应商成交或者排斥其他供应商的其他串通行为。</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p>
    <w:p>
      <w:pPr>
        <w:spacing w:line="360" w:lineRule="auto"/>
        <w:ind w:firstLine="482" w:firstLineChars="200"/>
        <w:contextualSpacing/>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以上情形一经核查属实，我方愿意承担一切后果，并不再寻求任何旨在减轻或者免除法律责任的辩解。</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p>
    <w:p>
      <w:pPr>
        <w:spacing w:line="360" w:lineRule="auto"/>
        <w:ind w:firstLine="3600" w:firstLineChars="1500"/>
        <w:contextualSpacing/>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供应商（公章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pPr>
        <w:spacing w:line="360" w:lineRule="auto"/>
        <w:ind w:firstLine="480" w:firstLineChars="200"/>
        <w:contextualSpacing/>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p>
    <w:p>
      <w:pPr>
        <w:tabs>
          <w:tab w:val="left" w:pos="3479"/>
        </w:tabs>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竞争性谈判报价表</w:t>
      </w:r>
    </w:p>
    <w:p>
      <w:pPr>
        <w:spacing w:line="360" w:lineRule="auto"/>
        <w:jc w:val="center"/>
        <w:rPr>
          <w:rFonts w:ascii="宋体" w:hAnsi="宋体" w:cs="宋体"/>
          <w:bCs/>
          <w:color w:val="000000" w:themeColor="text1"/>
          <w:sz w:val="24"/>
          <w14:textFill>
            <w14:solidFill>
              <w14:schemeClr w14:val="tx1"/>
            </w14:solidFill>
          </w14:textFill>
        </w:rPr>
      </w:pPr>
    </w:p>
    <w:p>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分标（如有）：</w:t>
      </w:r>
      <w:r>
        <w:rPr>
          <w:rFonts w:hint="eastAsia" w:ascii="宋体" w:hAnsi="宋体" w:cs="宋体"/>
          <w:color w:val="000000" w:themeColor="text1"/>
          <w:sz w:val="24"/>
          <w:u w:val="single"/>
          <w14:textFill>
            <w14:solidFill>
              <w14:schemeClr w14:val="tx1"/>
            </w14:solidFill>
          </w14:textFill>
        </w:rPr>
        <w:t xml:space="preserve">            </w:t>
      </w:r>
    </w:p>
    <w:p>
      <w:pPr>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napToGrid w:val="0"/>
        <w:spacing w:line="360" w:lineRule="auto"/>
        <w:ind w:firstLine="5520" w:firstLineChars="2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货币单位：人民币元</w:t>
      </w:r>
    </w:p>
    <w:tbl>
      <w:tblPr>
        <w:tblStyle w:val="27"/>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034"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标的名称</w:t>
            </w:r>
          </w:p>
        </w:tc>
        <w:tc>
          <w:tcPr>
            <w:tcW w:w="1134"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品牌（如有）</w:t>
            </w:r>
          </w:p>
        </w:tc>
        <w:tc>
          <w:tcPr>
            <w:tcW w:w="1276"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型号（与铭牌一致）</w:t>
            </w:r>
          </w:p>
        </w:tc>
        <w:tc>
          <w:tcPr>
            <w:tcW w:w="1134" w:type="dxa"/>
            <w:vAlign w:val="center"/>
          </w:tcPr>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生产厂家</w:t>
            </w:r>
          </w:p>
        </w:tc>
        <w:tc>
          <w:tcPr>
            <w:tcW w:w="992" w:type="dxa"/>
            <w:vAlign w:val="center"/>
          </w:tcPr>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产地</w:t>
            </w:r>
          </w:p>
        </w:tc>
        <w:tc>
          <w:tcPr>
            <w:tcW w:w="709" w:type="dxa"/>
            <w:vAlign w:val="center"/>
          </w:tcPr>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  量①</w:t>
            </w:r>
          </w:p>
        </w:tc>
        <w:tc>
          <w:tcPr>
            <w:tcW w:w="830" w:type="dxa"/>
            <w:vAlign w:val="center"/>
          </w:tcPr>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1722" w:type="dxa"/>
            <w:vAlign w:val="center"/>
          </w:tcPr>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  价</w:t>
            </w:r>
          </w:p>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w:t>
            </w:r>
          </w:p>
        </w:tc>
        <w:tc>
          <w:tcPr>
            <w:tcW w:w="1276" w:type="dxa"/>
            <w:vAlign w:val="center"/>
          </w:tcPr>
          <w:p>
            <w:pPr>
              <w:snapToGrid w:val="0"/>
              <w:spacing w:before="50" w:after="50"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报价</w:t>
            </w:r>
          </w:p>
          <w:p>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034"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134"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276"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134" w:type="dxa"/>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992"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709" w:type="dxa"/>
            <w:vAlign w:val="center"/>
          </w:tcPr>
          <w:p>
            <w:pPr>
              <w:pStyle w:val="75"/>
              <w:snapToGrid w:val="0"/>
              <w:spacing w:line="460" w:lineRule="exact"/>
              <w:ind w:left="360" w:firstLine="0" w:firstLineChars="0"/>
              <w:rPr>
                <w:rFonts w:ascii="宋体" w:hAnsi="宋体" w:cs="宋体"/>
                <w:color w:val="000000" w:themeColor="text1"/>
                <w:sz w:val="24"/>
                <w14:textFill>
                  <w14:solidFill>
                    <w14:schemeClr w14:val="tx1"/>
                  </w14:solidFill>
                </w14:textFill>
              </w:rPr>
            </w:pPr>
          </w:p>
        </w:tc>
        <w:tc>
          <w:tcPr>
            <w:tcW w:w="830" w:type="dxa"/>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722" w:type="dxa"/>
            <w:vAlign w:val="center"/>
          </w:tcPr>
          <w:p>
            <w:pPr>
              <w:pStyle w:val="75"/>
              <w:snapToGrid w:val="0"/>
              <w:spacing w:line="460" w:lineRule="exact"/>
              <w:ind w:left="360" w:firstLine="0" w:firstLineChars="0"/>
              <w:rPr>
                <w:rFonts w:ascii="宋体" w:hAnsi="宋体" w:cs="宋体"/>
                <w:color w:val="000000" w:themeColor="text1"/>
                <w:sz w:val="24"/>
                <w14:textFill>
                  <w14:solidFill>
                    <w14:schemeClr w14:val="tx1"/>
                  </w14:solidFill>
                </w14:textFill>
              </w:rPr>
            </w:pPr>
          </w:p>
        </w:tc>
        <w:tc>
          <w:tcPr>
            <w:tcW w:w="1276" w:type="dxa"/>
          </w:tcPr>
          <w:p>
            <w:pPr>
              <w:snapToGrid w:val="0"/>
              <w:spacing w:line="460" w:lineRule="exac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034"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134"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276"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134"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992"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709" w:type="dxa"/>
            <w:vAlign w:val="center"/>
          </w:tcPr>
          <w:p>
            <w:pPr>
              <w:snapToGrid w:val="0"/>
              <w:spacing w:line="460" w:lineRule="exact"/>
              <w:ind w:left="3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830"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722" w:type="dxa"/>
            <w:vAlign w:val="center"/>
          </w:tcPr>
          <w:p>
            <w:pPr>
              <w:snapToGrid w:val="0"/>
              <w:spacing w:line="460" w:lineRule="exact"/>
              <w:ind w:left="3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1276"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pPr>
              <w:snapToGrid w:val="0"/>
              <w:spacing w:line="460" w:lineRule="exact"/>
              <w:jc w:val="left"/>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合计金额（人民币大写</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 xml:space="preserve"> </w:t>
            </w:r>
            <w:r>
              <w:rPr>
                <w:rFonts w:ascii="宋体" w:hAnsi="宋体" w:cs="宋体"/>
                <w:b/>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u w:val="single"/>
                <w14:textFill>
                  <w14:solidFill>
                    <w14:schemeClr w14:val="tx1"/>
                  </w14:solidFill>
                </w14:textFill>
              </w:rPr>
              <w:t>元整</w:t>
            </w:r>
            <w:r>
              <w:rPr>
                <w:rFonts w:hint="eastAsia" w:ascii="宋体" w:hAnsi="宋体" w:cs="宋体"/>
                <w:bCs/>
                <w:color w:val="000000" w:themeColor="text1"/>
                <w:sz w:val="24"/>
                <w14:textFill>
                  <w14:solidFill>
                    <w14:schemeClr w14:val="tx1"/>
                  </w14:solidFill>
                </w14:textFill>
              </w:rPr>
              <w:t>（小写）</w:t>
            </w:r>
            <w:r>
              <w:rPr>
                <w:rFonts w:hint="eastAsia" w:ascii="宋体" w:hAnsi="宋体" w:cs="宋体"/>
                <w:bCs/>
                <w:color w:val="000000" w:themeColor="text1"/>
                <w:sz w:val="24"/>
                <w:u w:val="single"/>
                <w14:textFill>
                  <w14:solidFill>
                    <w14:schemeClr w14:val="tx1"/>
                  </w14:solidFill>
                </w14:textFill>
              </w:rPr>
              <w:t xml:space="preserve">¥ </w:t>
            </w:r>
            <w:r>
              <w:rPr>
                <w:rFonts w:ascii="宋体" w:hAnsi="宋体" w:cs="宋体"/>
                <w:bCs/>
                <w:color w:val="000000" w:themeColor="text1"/>
                <w:sz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pPr>
              <w:snapToGrid w:val="0"/>
              <w:spacing w:line="46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交付时间：自签订合同之日起</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日历天内到货安装调试完成并通过验收。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vAlign w:val="center"/>
          </w:tcPr>
          <w:p>
            <w:pPr>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根据《国务院办公厅关于在政府采购中实施本国产品标准及相关政策的通知》国办发〔2025〕34号的规定，我方为本政府采购项目提供的符合本国产品标准的产品成本之和占全部竞标产品成本之和的比例达到        。</w:t>
            </w:r>
          </w:p>
        </w:tc>
      </w:tr>
    </w:tbl>
    <w:p>
      <w:pPr>
        <w:pStyle w:val="36"/>
        <w:rPr>
          <w:color w:val="000000" w:themeColor="text1"/>
          <w14:textFill>
            <w14:solidFill>
              <w14:schemeClr w14:val="tx1"/>
            </w14:solidFill>
          </w14:textFill>
        </w:rPr>
      </w:pPr>
    </w:p>
    <w:p>
      <w:pPr>
        <w:contextualSpacing/>
        <w:jc w:val="left"/>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注</w:t>
      </w:r>
      <w:r>
        <w:rPr>
          <w:rFonts w:ascii="楷体" w:hAnsi="楷体" w:eastAsia="楷体" w:cs="宋体"/>
          <w:b/>
          <w:color w:val="000000" w:themeColor="text1"/>
          <w:sz w:val="24"/>
          <w14:textFill>
            <w14:solidFill>
              <w14:schemeClr w14:val="tx1"/>
            </w14:solidFill>
          </w14:textFill>
        </w:rPr>
        <w:t xml:space="preserve">: </w:t>
      </w:r>
    </w:p>
    <w:p>
      <w:pPr>
        <w:ind w:firstLine="480" w:firstLineChars="200"/>
        <w:contextualSpacing/>
        <w:jc w:val="left"/>
        <w:rPr>
          <w:rFonts w:ascii="楷体" w:hAnsi="楷体" w:eastAsia="楷体" w:cs="宋体"/>
          <w:b/>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1.</w:t>
      </w:r>
      <w:r>
        <w:rPr>
          <w:rFonts w:hint="eastAsia" w:ascii="楷体" w:hAnsi="楷体" w:eastAsia="楷体" w:cs="宋体"/>
          <w:color w:val="000000" w:themeColor="text1"/>
          <w:sz w:val="24"/>
          <w14:textFill>
            <w14:solidFill>
              <w14:schemeClr w14:val="tx1"/>
            </w14:solidFill>
          </w14:textFill>
        </w:rPr>
        <w:t>竞争性谈判报价表中“标的名称、数量、单位、单价、品牌（如有）、型号（与铭牌一致）、生产厂家、产地”必须按标的逐个如实填写完整。如果没有品牌，在“品牌（如有）”栏可填写“无”。定制产品、“建筑业”或“服务业”标的在“型号（与铭牌一致）”栏中可填写“定制”。</w:t>
      </w:r>
      <w:r>
        <w:rPr>
          <w:rFonts w:hint="eastAsia" w:ascii="楷体" w:hAnsi="楷体" w:eastAsia="楷体" w:cs="宋体"/>
          <w:b/>
          <w:color w:val="000000" w:themeColor="text1"/>
          <w:sz w:val="24"/>
          <w14:textFill>
            <w14:solidFill>
              <w14:schemeClr w14:val="tx1"/>
            </w14:solidFill>
          </w14:textFill>
        </w:rPr>
        <w:t>填写有缺漏</w:t>
      </w:r>
      <w:r>
        <w:rPr>
          <w:rFonts w:hint="eastAsia" w:ascii="楷体" w:hAnsi="楷体" w:eastAsia="楷体" w:cs="宋体"/>
          <w:b/>
          <w:bCs/>
          <w:color w:val="000000" w:themeColor="text1"/>
          <w:sz w:val="24"/>
          <w14:textFill>
            <w14:solidFill>
              <w14:schemeClr w14:val="tx1"/>
            </w14:solidFill>
          </w14:textFill>
        </w:rPr>
        <w:t>的，</w:t>
      </w:r>
      <w:r>
        <w:rPr>
          <w:rFonts w:hint="eastAsia" w:ascii="楷体" w:hAnsi="楷体" w:eastAsia="楷体" w:cs="宋体"/>
          <w:b/>
          <w:color w:val="000000" w:themeColor="text1"/>
          <w:sz w:val="24"/>
          <w14:textFill>
            <w14:solidFill>
              <w14:schemeClr w14:val="tx1"/>
            </w14:solidFill>
          </w14:textFill>
        </w:rPr>
        <w:t>其响应文件按无效响应处理。</w:t>
      </w:r>
    </w:p>
    <w:p>
      <w:pPr>
        <w:snapToGrid w:val="0"/>
        <w:spacing w:before="50" w:after="50"/>
        <w:ind w:firstLine="482" w:firstLineChars="200"/>
        <w:jc w:val="left"/>
        <w:rPr>
          <w:rFonts w:ascii="楷体" w:hAnsi="楷体" w:eastAsia="楷体"/>
          <w:color w:val="000000" w:themeColor="text1"/>
          <w14:textFill>
            <w14:solidFill>
              <w14:schemeClr w14:val="tx1"/>
            </w14:solidFill>
          </w14:textFill>
        </w:rPr>
      </w:pPr>
      <w:r>
        <w:rPr>
          <w:rFonts w:ascii="楷体" w:hAnsi="楷体" w:eastAsia="楷体" w:cs="宋体"/>
          <w:b/>
          <w:color w:val="000000" w:themeColor="text1"/>
          <w:sz w:val="24"/>
          <w14:textFill>
            <w14:solidFill>
              <w14:schemeClr w14:val="tx1"/>
            </w14:solidFill>
          </w14:textFill>
        </w:rPr>
        <w:t>2.所填写的型号与货物铭牌一致。</w:t>
      </w:r>
    </w:p>
    <w:p>
      <w:pPr>
        <w:ind w:firstLine="480" w:firstLineChars="200"/>
        <w:contextualSpacing/>
        <w:jc w:val="left"/>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3.供应商的报价表必须加盖供应商公章并由法定代表人或者委托代理人签字，</w:t>
      </w:r>
      <w:r>
        <w:rPr>
          <w:rFonts w:hint="eastAsia" w:ascii="楷体" w:hAnsi="楷体" w:eastAsia="楷体" w:cs="宋体"/>
          <w:b/>
          <w:color w:val="000000" w:themeColor="text1"/>
          <w:sz w:val="24"/>
          <w14:textFill>
            <w14:solidFill>
              <w14:schemeClr w14:val="tx1"/>
            </w14:solidFill>
          </w14:textFill>
        </w:rPr>
        <w:t>否则其响应文件按无效响应处理</w:t>
      </w:r>
      <w:r>
        <w:rPr>
          <w:rFonts w:hint="eastAsia" w:ascii="楷体" w:hAnsi="楷体" w:eastAsia="楷体" w:cs="宋体"/>
          <w:color w:val="000000" w:themeColor="text1"/>
          <w:sz w:val="24"/>
          <w14:textFill>
            <w14:solidFill>
              <w14:schemeClr w14:val="tx1"/>
            </w14:solidFill>
          </w14:textFill>
        </w:rPr>
        <w:t>。</w:t>
      </w:r>
    </w:p>
    <w:p>
      <w:pPr>
        <w:ind w:firstLine="480" w:firstLineChars="200"/>
        <w:contextualSpacing/>
        <w:jc w:val="left"/>
        <w:rPr>
          <w:rFonts w:ascii="楷体" w:hAnsi="楷体" w:eastAsia="楷体" w:cs="宋体"/>
          <w:b/>
          <w:color w:val="000000" w:themeColor="text1"/>
          <w:sz w:val="24"/>
          <w14:textFill>
            <w14:solidFill>
              <w14:schemeClr w14:val="tx1"/>
            </w14:solidFill>
          </w14:textFill>
        </w:rPr>
      </w:pPr>
      <w:r>
        <w:rPr>
          <w:rFonts w:ascii="楷体" w:hAnsi="楷体" w:eastAsia="楷体" w:cs="宋体"/>
          <w:bCs/>
          <w:color w:val="000000" w:themeColor="text1"/>
          <w:sz w:val="24"/>
          <w14:textFill>
            <w14:solidFill>
              <w14:schemeClr w14:val="tx1"/>
            </w14:solidFill>
          </w14:textFill>
        </w:rPr>
        <w:t>4.</w:t>
      </w:r>
      <w:r>
        <w:rPr>
          <w:rFonts w:hint="eastAsia" w:ascii="楷体" w:hAnsi="楷体" w:eastAsia="楷体" w:cs="宋体"/>
          <w:color w:val="000000" w:themeColor="text1"/>
          <w:sz w:val="24"/>
          <w14:textFill>
            <w14:solidFill>
              <w14:schemeClr w14:val="tx1"/>
            </w14:solidFill>
          </w14:textFill>
        </w:rPr>
        <w:t>报价一经涂改，应在涂改处加盖供应商公章或者由法定代表人或者授权委托人签字或者盖章</w:t>
      </w:r>
      <w:r>
        <w:rPr>
          <w:rFonts w:hint="eastAsia" w:ascii="楷体" w:hAnsi="楷体" w:eastAsia="楷体" w:cs="宋体"/>
          <w:b/>
          <w:color w:val="000000" w:themeColor="text1"/>
          <w:sz w:val="24"/>
          <w14:textFill>
            <w14:solidFill>
              <w14:schemeClr w14:val="tx1"/>
            </w14:solidFill>
          </w14:textFill>
        </w:rPr>
        <w:t>，否则其响应文件按无效响应处理。</w:t>
      </w:r>
      <w:bookmarkStart w:id="50" w:name="_GoBack"/>
      <w:bookmarkEnd w:id="50"/>
    </w:p>
    <w:p>
      <w:pPr>
        <w:ind w:firstLine="480" w:firstLineChars="200"/>
        <w:contextualSpacing/>
        <w:jc w:val="left"/>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5.谈判文件中列明采购专用耗材的，应按谈判文件规定的耗材量或者按耗材的常规</w:t>
      </w:r>
      <w:r>
        <w:rPr>
          <w:rFonts w:hint="eastAsia" w:ascii="楷体" w:hAnsi="楷体" w:eastAsia="楷体" w:cs="宋体"/>
          <w:color w:val="000000" w:themeColor="text1"/>
          <w:sz w:val="24"/>
          <w14:textFill>
            <w14:solidFill>
              <w14:schemeClr w14:val="tx1"/>
            </w14:solidFill>
          </w14:textFill>
        </w:rPr>
        <w:t>使用量提供报价。</w:t>
      </w:r>
    </w:p>
    <w:p>
      <w:pPr>
        <w:ind w:firstLine="480" w:firstLineChars="200"/>
        <w:contextualSpacing/>
        <w:rPr>
          <w:rFonts w:ascii="楷体" w:hAnsi="楷体" w:eastAsia="楷体" w:cs="宋体"/>
          <w:b/>
          <w:color w:val="000000" w:themeColor="text1"/>
          <w:spacing w:val="-6"/>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6.</w:t>
      </w:r>
      <w:r>
        <w:rPr>
          <w:rFonts w:hint="eastAsia" w:ascii="楷体" w:hAnsi="楷体" w:eastAsia="楷体" w:cs="宋体"/>
          <w:color w:val="000000" w:themeColor="text1"/>
          <w:spacing w:val="-6"/>
          <w:sz w:val="24"/>
          <w14:textFill>
            <w14:solidFill>
              <w14:schemeClr w14:val="tx1"/>
            </w14:solidFill>
          </w14:textFill>
        </w:rPr>
        <w:t>如有多分标，分别列明各分标的报价表，</w:t>
      </w:r>
      <w:r>
        <w:rPr>
          <w:rFonts w:hint="eastAsia" w:ascii="楷体" w:hAnsi="楷体" w:eastAsia="楷体" w:cs="宋体"/>
          <w:b/>
          <w:color w:val="000000" w:themeColor="text1"/>
          <w:spacing w:val="-6"/>
          <w:sz w:val="24"/>
          <w14:textFill>
            <w14:solidFill>
              <w14:schemeClr w14:val="tx1"/>
            </w14:solidFill>
          </w14:textFill>
        </w:rPr>
        <w:t>否则其响应文件按无效响应处理。</w:t>
      </w:r>
    </w:p>
    <w:p>
      <w:pPr>
        <w:ind w:firstLine="456" w:firstLineChars="200"/>
        <w:contextualSpacing/>
        <w:rPr>
          <w:rFonts w:ascii="楷体" w:hAnsi="楷体" w:eastAsia="楷体" w:cs="宋体"/>
          <w:b/>
          <w:color w:val="000000" w:themeColor="text1"/>
          <w:spacing w:val="-6"/>
          <w:sz w:val="24"/>
          <w14:textFill>
            <w14:solidFill>
              <w14:schemeClr w14:val="tx1"/>
            </w14:solidFill>
          </w14:textFill>
        </w:rPr>
      </w:pPr>
      <w:r>
        <w:rPr>
          <w:rFonts w:hint="eastAsia" w:ascii="楷体" w:hAnsi="楷体" w:eastAsia="楷体" w:cs="宋体"/>
          <w:bCs/>
          <w:color w:val="000000" w:themeColor="text1"/>
          <w:spacing w:val="-6"/>
          <w:sz w:val="24"/>
          <w14:textFill>
            <w14:solidFill>
              <w14:schemeClr w14:val="tx1"/>
            </w14:solidFill>
          </w14:textFill>
        </w:rPr>
        <w:t>7.进行最后报价时，供应商仍按此表的格式进行报价，并把“竞争性谈判报价表”改为“竞争性谈判最后报价表”，把此最后报价表作为最后报价的附件提交。</w:t>
      </w:r>
    </w:p>
    <w:p>
      <w:pPr>
        <w:pStyle w:val="36"/>
        <w:rPr>
          <w:color w:val="000000" w:themeColor="text1"/>
          <w14:textFill>
            <w14:solidFill>
              <w14:schemeClr w14:val="tx1"/>
            </w14:solidFill>
          </w14:textFill>
        </w:rPr>
      </w:pPr>
    </w:p>
    <w:p>
      <w:pPr>
        <w:spacing w:line="360" w:lineRule="auto"/>
        <w:ind w:firstLine="2640" w:firstLineChars="1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法定代表人或者委托代理人（签字）：</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ind w:firstLine="2640" w:firstLineChars="1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供应商（公章）：</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ind w:firstLine="2640" w:firstLineChars="1100"/>
        <w:contextualSpacing/>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p>
    <w:p>
      <w:pPr>
        <w:spacing w:line="360" w:lineRule="auto"/>
        <w:jc w:val="center"/>
        <w:rPr>
          <w:rFonts w:hint="eastAsia" w:ascii="宋体" w:hAnsi="宋体" w:cs="宋体"/>
          <w:b/>
          <w:color w:val="000000" w:themeColor="text1"/>
          <w:sz w:val="32"/>
          <w:szCs w:val="32"/>
          <w14:textFill>
            <w14:solidFill>
              <w14:schemeClr w14:val="tx1"/>
            </w14:solidFill>
          </w14:textFill>
        </w:rPr>
      </w:pPr>
    </w:p>
    <w:p>
      <w:pPr>
        <w:spacing w:line="360" w:lineRule="auto"/>
        <w:jc w:val="both"/>
        <w:rPr>
          <w:rFonts w:hint="eastAsia" w:ascii="宋体" w:hAnsi="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lang w:eastAsia="zh-CN"/>
          <w14:textFill>
            <w14:solidFill>
              <w14:schemeClr w14:val="tx1"/>
            </w14:solidFill>
          </w14:textFill>
        </w:rPr>
        <w:t>供应商在</w:t>
      </w:r>
      <w:r>
        <w:rPr>
          <w:rFonts w:hint="eastAsia" w:ascii="宋体" w:hAnsi="宋体" w:cs="宋体"/>
          <w:b/>
          <w:bCs/>
          <w:color w:val="000000" w:themeColor="text1"/>
          <w:sz w:val="24"/>
          <w14:textFill>
            <w14:solidFill>
              <w14:schemeClr w14:val="tx1"/>
            </w14:solidFill>
          </w14:textFill>
        </w:rPr>
        <w:t>广西政府采购云平台</w:t>
      </w:r>
      <w:r>
        <w:rPr>
          <w:rFonts w:hint="eastAsia" w:ascii="宋体" w:hAnsi="宋体" w:cs="宋体"/>
          <w:b/>
          <w:bCs/>
          <w:color w:val="000000" w:themeColor="text1"/>
          <w:sz w:val="24"/>
          <w:lang w:eastAsia="zh-CN"/>
          <w14:textFill>
            <w14:solidFill>
              <w14:schemeClr w14:val="tx1"/>
            </w14:solidFill>
          </w14:textFill>
        </w:rPr>
        <w:t>上填写“报价明细表”的说明：</w:t>
      </w:r>
    </w:p>
    <w:p>
      <w:pPr>
        <w:spacing w:line="460" w:lineRule="exact"/>
        <w:ind w:right="2" w:rightChars="1"/>
        <w:rPr>
          <w:rFonts w:hint="eastAsia" w:ascii="宋体" w:hAnsi="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1.“</w:t>
      </w:r>
      <w:r>
        <w:rPr>
          <w:rFonts w:hint="eastAsia" w:ascii="宋体" w:hAnsi="宋体" w:cs="宋体"/>
          <w:b/>
          <w:bCs/>
          <w:color w:val="000000" w:themeColor="text1"/>
          <w:sz w:val="24"/>
          <w:lang w:eastAsia="zh-CN"/>
          <w14:textFill>
            <w14:solidFill>
              <w14:schemeClr w14:val="tx1"/>
            </w14:solidFill>
          </w14:textFill>
        </w:rPr>
        <w:t>所属行业</w:t>
      </w:r>
      <w:r>
        <w:rPr>
          <w:rFonts w:hint="eastAsia" w:ascii="宋体" w:hAnsi="宋体" w:cs="宋体"/>
          <w:b/>
          <w:bCs/>
          <w:color w:val="000000" w:themeColor="text1"/>
          <w:sz w:val="24"/>
          <w:lang w:val="en-US" w:eastAsia="zh-CN"/>
          <w14:textFill>
            <w14:solidFill>
              <w14:schemeClr w14:val="tx1"/>
            </w14:solidFill>
          </w14:textFill>
        </w:rPr>
        <w:t>”栏请按此填写：《采购需求》中</w:t>
      </w:r>
      <w:r>
        <w:rPr>
          <w:rFonts w:hint="eastAsia" w:ascii="宋体" w:hAnsi="宋体" w:cs="宋体"/>
          <w:b/>
          <w:bCs/>
          <w:color w:val="000000" w:themeColor="text1"/>
          <w:sz w:val="24"/>
          <w:lang w:eastAsia="zh-CN"/>
          <w14:textFill>
            <w14:solidFill>
              <w14:schemeClr w14:val="tx1"/>
            </w14:solidFill>
          </w14:textFill>
        </w:rPr>
        <w:t>第（二），第（三）的23、24项，第（四）、（七）、（八）、（十）为建筑业，其余标的为工业。</w:t>
      </w:r>
    </w:p>
    <w:p>
      <w:pPr>
        <w:spacing w:line="460" w:lineRule="exact"/>
        <w:ind w:right="2" w:rightChars="1"/>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2.“品牌及规格型号”栏请按此填写：品牌及规格型号详见《</w:t>
      </w:r>
      <w:r>
        <w:rPr>
          <w:rFonts w:hint="eastAsia" w:ascii="宋体" w:hAnsi="宋体" w:cs="宋体"/>
          <w:b/>
          <w:bCs/>
          <w:color w:val="000000" w:themeColor="text1"/>
          <w:sz w:val="24"/>
          <w:lang w:eastAsia="zh-CN"/>
          <w14:textFill>
            <w14:solidFill>
              <w14:schemeClr w14:val="tx1"/>
            </w14:solidFill>
          </w14:textFill>
        </w:rPr>
        <w:t>竞争性谈判报价表</w:t>
      </w:r>
      <w:r>
        <w:rPr>
          <w:rFonts w:hint="eastAsia" w:ascii="宋体" w:hAnsi="宋体" w:cs="宋体"/>
          <w:b/>
          <w:bCs/>
          <w:color w:val="000000" w:themeColor="text1"/>
          <w:sz w:val="24"/>
          <w:lang w:val="en-US" w:eastAsia="zh-CN"/>
          <w14:textFill>
            <w14:solidFill>
              <w14:schemeClr w14:val="tx1"/>
            </w14:solidFill>
          </w14:textFill>
        </w:rPr>
        <w:t>》。</w:t>
      </w:r>
    </w:p>
    <w:p>
      <w:pPr>
        <w:spacing w:line="460" w:lineRule="exact"/>
        <w:ind w:right="2" w:rightChars="1"/>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r>
        <w:rPr>
          <w:rFonts w:hint="eastAsia" w:ascii="宋体" w:hAnsi="宋体" w:cs="宋体"/>
          <w:b/>
          <w:bCs/>
          <w:color w:val="000000" w:themeColor="text1"/>
          <w:sz w:val="44"/>
          <w:szCs w:val="44"/>
          <w14:textFill>
            <w14:solidFill>
              <w14:schemeClr w14:val="tx1"/>
            </w14:solidFill>
          </w14:textFill>
        </w:rPr>
        <w:t>法定代表人身份证明</w:t>
      </w:r>
    </w:p>
    <w:p>
      <w:pPr>
        <w:spacing w:line="360" w:lineRule="auto"/>
        <w:contextualSpacing/>
        <w:rPr>
          <w:rFonts w:ascii="宋体" w:hAnsi="宋体" w:cs="宋体"/>
          <w:color w:val="000000" w:themeColor="text1"/>
          <w:sz w:val="32"/>
          <w:szCs w:val="32"/>
          <w14:textFill>
            <w14:solidFill>
              <w14:schemeClr w14:val="tx1"/>
            </w14:solidFill>
          </w14:textFill>
        </w:rPr>
      </w:pP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性      别：</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contextualSpacing/>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 xml:space="preserve">    （供应商名称）   </w:t>
      </w:r>
      <w:r>
        <w:rPr>
          <w:rFonts w:hint="eastAsia" w:ascii="宋体" w:hAnsi="宋体" w:cs="宋体"/>
          <w:color w:val="000000" w:themeColor="text1"/>
          <w:sz w:val="24"/>
          <w14:textFill>
            <w14:solidFill>
              <w14:schemeClr w14:val="tx1"/>
            </w14:solidFill>
          </w14:textFill>
        </w:rPr>
        <w:t>的法定代表人。</w:t>
      </w: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附件：法定代表人有效身份证正反面复印件</w:t>
      </w: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ind w:right="960" w:firstLine="5040" w:firstLineChars="2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5040" w:firstLineChars="21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contextualSpacing/>
        <w:jc w:val="center"/>
        <w:rPr>
          <w:rFonts w:ascii="宋体" w:hAnsi="宋体" w:cs="宋体"/>
          <w:b/>
          <w:color w:val="000000" w:themeColor="text1"/>
          <w:sz w:val="24"/>
          <w14:textFill>
            <w14:solidFill>
              <w14:schemeClr w14:val="tx1"/>
            </w14:solidFill>
          </w14:textFill>
        </w:rPr>
      </w:pPr>
    </w:p>
    <w:p>
      <w:pPr>
        <w:spacing w:line="360" w:lineRule="auto"/>
        <w:contextualSpacing/>
        <w:jc w:val="left"/>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注：</w:t>
      </w:r>
    </w:p>
    <w:p>
      <w:pPr>
        <w:spacing w:line="360" w:lineRule="auto"/>
        <w:ind w:firstLine="480" w:firstLineChars="200"/>
        <w:contextualSpacing/>
        <w:jc w:val="left"/>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自然人参与</w:t>
      </w:r>
      <w:r>
        <w:rPr>
          <w:rFonts w:hint="eastAsia" w:ascii="楷体" w:hAnsi="楷体" w:eastAsia="楷体" w:cs="宋体"/>
          <w:color w:val="000000" w:themeColor="text1"/>
          <w:sz w:val="24"/>
          <w:lang w:bidi="ar"/>
          <w14:textFill>
            <w14:solidFill>
              <w14:schemeClr w14:val="tx1"/>
            </w14:solidFill>
          </w14:textFill>
        </w:rPr>
        <w:t>竞争性谈判</w:t>
      </w:r>
      <w:r>
        <w:rPr>
          <w:rFonts w:hint="eastAsia" w:ascii="楷体" w:hAnsi="楷体" w:eastAsia="楷体" w:cs="宋体"/>
          <w:color w:val="000000" w:themeColor="text1"/>
          <w:sz w:val="24"/>
          <w14:textFill>
            <w14:solidFill>
              <w14:schemeClr w14:val="tx1"/>
            </w14:solidFill>
          </w14:textFill>
        </w:rPr>
        <w:t>的无需提供，联合体参与</w:t>
      </w:r>
      <w:r>
        <w:rPr>
          <w:rFonts w:hint="eastAsia" w:ascii="楷体" w:hAnsi="楷体" w:eastAsia="楷体" w:cs="宋体"/>
          <w:color w:val="000000" w:themeColor="text1"/>
          <w:sz w:val="24"/>
          <w:lang w:bidi="ar"/>
          <w14:textFill>
            <w14:solidFill>
              <w14:schemeClr w14:val="tx1"/>
            </w14:solidFill>
          </w14:textFill>
        </w:rPr>
        <w:t>竞争性谈判</w:t>
      </w:r>
      <w:r>
        <w:rPr>
          <w:rFonts w:hint="eastAsia" w:ascii="楷体" w:hAnsi="楷体" w:eastAsia="楷体" w:cs="宋体"/>
          <w:color w:val="000000" w:themeColor="text1"/>
          <w:sz w:val="24"/>
          <w14:textFill>
            <w14:solidFill>
              <w14:schemeClr w14:val="tx1"/>
            </w14:solidFill>
          </w14:textFill>
        </w:rPr>
        <w:t>的只需牵头人出具。</w:t>
      </w:r>
    </w:p>
    <w:p>
      <w:pPr>
        <w:adjustRightInd w:val="0"/>
        <w:snapToGrid w:val="0"/>
        <w:spacing w:line="360" w:lineRule="auto"/>
        <w:jc w:val="left"/>
        <w:rPr>
          <w:rFonts w:ascii="楷体" w:hAnsi="楷体" w:eastAsia="楷体" w:cs="宋体"/>
          <w:b/>
          <w:color w:val="000000" w:themeColor="text1"/>
          <w:szCs w:val="21"/>
          <w14:textFill>
            <w14:solidFill>
              <w14:schemeClr w14:val="tx1"/>
            </w14:solidFill>
          </w14:textFill>
        </w:rPr>
      </w:pPr>
    </w:p>
    <w:p>
      <w:pPr>
        <w:spacing w:line="36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授权委托书</w:t>
      </w:r>
    </w:p>
    <w:p>
      <w:pPr>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（非联合体参与竞争性谈判格式）</w:t>
      </w:r>
    </w:p>
    <w:p>
      <w:pPr>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（如有委托时）</w:t>
      </w:r>
    </w:p>
    <w:p>
      <w:pPr>
        <w:spacing w:line="360" w:lineRule="auto"/>
        <w:contextualSpacing/>
        <w:rPr>
          <w:rFonts w:ascii="宋体" w:hAnsi="宋体" w:cs="宋体"/>
          <w:color w:val="000000" w:themeColor="text1"/>
          <w:sz w:val="32"/>
          <w:szCs w:val="32"/>
          <w14:textFill>
            <w14:solidFill>
              <w14:schemeClr w14:val="tx1"/>
            </w14:solidFill>
          </w14:textFill>
        </w:rPr>
      </w:pP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w:t>
      </w:r>
      <w:r>
        <w:rPr>
          <w:rFonts w:hint="eastAsia" w:ascii="宋体" w:hAnsi="宋体" w:cs="宋体"/>
          <w:color w:val="000000" w:themeColor="text1"/>
          <w:sz w:val="24"/>
          <w:u w:val="single"/>
          <w14:textFill>
            <w14:solidFill>
              <w14:schemeClr w14:val="tx1"/>
            </w14:solidFill>
          </w14:textFill>
        </w:rPr>
        <w:t xml:space="preserve">  （姓名）  </w:t>
      </w: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 xml:space="preserve">  （供应商名称）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□法定代表人/□负责人/□自然人本人</w:t>
      </w:r>
      <w:r>
        <w:rPr>
          <w:rFonts w:hint="eastAsia" w:ascii="宋体" w:hAnsi="宋体" w:cs="宋体"/>
          <w:color w:val="000000" w:themeColor="text1"/>
          <w:sz w:val="24"/>
          <w14:textFill>
            <w14:solidFill>
              <w14:schemeClr w14:val="tx1"/>
            </w14:solidFill>
          </w14:textFill>
        </w:rPr>
        <w:t>），现授权</w:t>
      </w:r>
      <w:r>
        <w:rPr>
          <w:rFonts w:hint="eastAsia" w:ascii="宋体" w:hAnsi="宋体" w:cs="宋体"/>
          <w:color w:val="000000" w:themeColor="text1"/>
          <w:sz w:val="24"/>
          <w:u w:val="single"/>
          <w14:textFill>
            <w14:solidFill>
              <w14:schemeClr w14:val="tx1"/>
            </w14:solidFill>
          </w14:textFill>
        </w:rPr>
        <w:t xml:space="preserve"> （姓名） </w:t>
      </w:r>
      <w:r>
        <w:rPr>
          <w:rFonts w:hint="eastAsia" w:ascii="宋体" w:hAnsi="宋体" w:cs="宋体"/>
          <w:color w:val="000000" w:themeColor="text1"/>
          <w:sz w:val="24"/>
          <w14:textFill>
            <w14:solidFill>
              <w14:schemeClr w14:val="tx1"/>
            </w14:solidFill>
          </w14:textFill>
        </w:rPr>
        <w:t>以我方的名义参加</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项目的</w:t>
      </w:r>
      <w:r>
        <w:rPr>
          <w:rFonts w:hint="eastAsia" w:ascii="宋体" w:hAnsi="宋体" w:cs="宋体"/>
          <w:color w:val="000000" w:themeColor="text1"/>
          <w:sz w:val="24"/>
          <w:lang w:bidi="ar"/>
          <w14:textFill>
            <w14:solidFill>
              <w14:schemeClr w14:val="tx1"/>
            </w14:solidFill>
          </w14:textFill>
        </w:rPr>
        <w:t>竞争性谈判</w:t>
      </w:r>
      <w:r>
        <w:rPr>
          <w:rFonts w:hint="eastAsia" w:ascii="宋体" w:hAnsi="宋体" w:cs="宋体"/>
          <w:color w:val="000000" w:themeColor="text1"/>
          <w:sz w:val="24"/>
          <w14:textFill>
            <w14:solidFill>
              <w14:schemeClr w14:val="tx1"/>
            </w14:solidFill>
          </w14:textFill>
        </w:rPr>
        <w:t>活动，并代表我方全权办理针对上述项目的所有采购程序和环节的具体事务和签署相关文件。</w:t>
      </w: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我方对委托代理人的签字事项负全部责任。</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委托代理人无转委托权，特此委托。</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附：法定代表人身份证明及委托代理人有效身份证正反面复印件</w:t>
      </w: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委托代理人（签字）：</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法定代表人（签字）：</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委托代理人身份证号码：</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供应商（公章）：</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contextualSpacing/>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注：</w:t>
      </w:r>
    </w:p>
    <w:p>
      <w:pPr>
        <w:spacing w:line="360" w:lineRule="auto"/>
        <w:ind w:firstLine="480" w:firstLineChars="200"/>
        <w:contextualSpacing/>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1.</w:t>
      </w:r>
      <w:r>
        <w:rPr>
          <w:rFonts w:hint="eastAsia" w:ascii="楷体" w:hAnsi="楷体" w:eastAsia="楷体" w:cs="宋体"/>
          <w:color w:val="000000" w:themeColor="text1"/>
          <w:sz w:val="24"/>
          <w14:textFill>
            <w14:solidFill>
              <w14:schemeClr w14:val="tx1"/>
            </w14:solidFill>
          </w14:textFill>
        </w:rPr>
        <w:t>法定代表人必须在授权委托书上亲笔签字或者盖章，委托代理人必须在授权委托书上亲笔签字，</w:t>
      </w:r>
      <w:r>
        <w:rPr>
          <w:rFonts w:hint="eastAsia" w:ascii="楷体" w:hAnsi="楷体" w:eastAsia="楷体" w:cs="宋体"/>
          <w:b/>
          <w:color w:val="000000" w:themeColor="text1"/>
          <w:sz w:val="24"/>
          <w14:textFill>
            <w14:solidFill>
              <w14:schemeClr w14:val="tx1"/>
            </w14:solidFill>
          </w14:textFill>
        </w:rPr>
        <w:t>否则其响应文件按无效响应处理。</w:t>
      </w:r>
    </w:p>
    <w:p>
      <w:pPr>
        <w:spacing w:line="360" w:lineRule="auto"/>
        <w:ind w:firstLine="480" w:firstLineChars="200"/>
        <w:contextualSpacing/>
        <w:jc w:val="left"/>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2.法人、其他组织</w:t>
      </w:r>
      <w:r>
        <w:rPr>
          <w:rFonts w:hint="eastAsia" w:ascii="楷体" w:hAnsi="楷体" w:eastAsia="楷体" w:cs="宋体"/>
          <w:color w:val="000000" w:themeColor="text1"/>
          <w:sz w:val="24"/>
          <w14:textFill>
            <w14:solidFill>
              <w14:schemeClr w14:val="tx1"/>
            </w14:solidFill>
          </w14:textFill>
        </w:rPr>
        <w:t>参与</w:t>
      </w:r>
      <w:r>
        <w:rPr>
          <w:rFonts w:hint="eastAsia" w:ascii="楷体" w:hAnsi="楷体" w:eastAsia="楷体" w:cs="宋体"/>
          <w:color w:val="000000" w:themeColor="text1"/>
          <w:sz w:val="24"/>
          <w:lang w:bidi="ar"/>
          <w14:textFill>
            <w14:solidFill>
              <w14:schemeClr w14:val="tx1"/>
            </w14:solidFill>
          </w14:textFill>
        </w:rPr>
        <w:t>竞争性谈判</w:t>
      </w:r>
      <w:r>
        <w:rPr>
          <w:rFonts w:hint="eastAsia" w:ascii="楷体" w:hAnsi="楷体" w:eastAsia="楷体" w:cs="宋体"/>
          <w:color w:val="000000" w:themeColor="text1"/>
          <w:sz w:val="24"/>
          <w14:textFill>
            <w14:solidFill>
              <w14:schemeClr w14:val="tx1"/>
            </w14:solidFill>
          </w14:textFill>
        </w:rPr>
        <w:t>时“我方”是指“我单位”，自然人参与</w:t>
      </w:r>
      <w:r>
        <w:rPr>
          <w:rFonts w:hint="eastAsia" w:ascii="楷体" w:hAnsi="楷体" w:eastAsia="楷体" w:cs="宋体"/>
          <w:color w:val="000000" w:themeColor="text1"/>
          <w:sz w:val="24"/>
          <w:lang w:bidi="ar"/>
          <w14:textFill>
            <w14:solidFill>
              <w14:schemeClr w14:val="tx1"/>
            </w14:solidFill>
          </w14:textFill>
        </w:rPr>
        <w:t>竞争性谈判</w:t>
      </w:r>
      <w:r>
        <w:rPr>
          <w:rFonts w:hint="eastAsia" w:ascii="楷体" w:hAnsi="楷体" w:eastAsia="楷体" w:cs="宋体"/>
          <w:color w:val="000000" w:themeColor="text1"/>
          <w:sz w:val="24"/>
          <w14:textFill>
            <w14:solidFill>
              <w14:schemeClr w14:val="tx1"/>
            </w14:solidFill>
          </w14:textFill>
        </w:rPr>
        <w:t>时“我方”是指“本人”。</w:t>
      </w:r>
    </w:p>
    <w:p>
      <w:pPr>
        <w:spacing w:line="360" w:lineRule="auto"/>
        <w:ind w:firstLine="420" w:firstLineChars="200"/>
        <w:contextualSpacing/>
        <w:jc w:val="left"/>
        <w:rPr>
          <w:rFonts w:ascii="宋体" w:hAnsi="宋体" w:cs="宋体"/>
          <w:color w:val="000000" w:themeColor="text1"/>
          <w:szCs w:val="21"/>
          <w14:textFill>
            <w14:solidFill>
              <w14:schemeClr w14:val="tx1"/>
            </w14:solidFill>
          </w14:textFill>
        </w:rPr>
      </w:pPr>
    </w:p>
    <w:p>
      <w:pPr>
        <w:spacing w:line="360" w:lineRule="auto"/>
        <w:contextualSpacing/>
        <w:jc w:val="center"/>
        <w:rPr>
          <w:rFonts w:ascii="宋体" w:hAnsi="宋体" w:cs="宋体"/>
          <w:b/>
          <w:color w:val="000000" w:themeColor="text1"/>
          <w:sz w:val="44"/>
          <w:szCs w:val="44"/>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授权委托书</w:t>
      </w:r>
    </w:p>
    <w:p>
      <w:pPr>
        <w:spacing w:line="360" w:lineRule="auto"/>
        <w:contextualSpacing/>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（联合体参与竞争性谈判格式）</w:t>
      </w:r>
    </w:p>
    <w:p>
      <w:pPr>
        <w:spacing w:line="360" w:lineRule="auto"/>
        <w:contextualSpacing/>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（如有委托时）</w:t>
      </w:r>
    </w:p>
    <w:p>
      <w:pPr>
        <w:spacing w:line="360" w:lineRule="auto"/>
        <w:contextualSpacing/>
        <w:rPr>
          <w:rFonts w:ascii="宋体" w:hAnsi="宋体" w:cs="宋体"/>
          <w:color w:val="000000" w:themeColor="text1"/>
          <w:sz w:val="32"/>
          <w:szCs w:val="32"/>
          <w14:textFill>
            <w14:solidFill>
              <w14:schemeClr w14:val="tx1"/>
            </w14:solidFill>
          </w14:textFill>
        </w:rPr>
      </w:pPr>
    </w:p>
    <w:p>
      <w:pPr>
        <w:spacing w:line="360" w:lineRule="auto"/>
        <w:ind w:firstLine="480" w:firstLineChars="200"/>
        <w:contextualSpacing/>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本授权委托书声明：根据</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（牵头人名称）与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（联合体其他成员名称）签订的《联合体参与竞争性谈判协议书》的内容，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（牵头人名称）的法定代表人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（姓名）现授权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（姓名）为联合委托代理人，并代表我方全权办理针对上述项目的所有采购程序和环节的具体事务和签署相关文件。</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我方对委托代理人的签字事项负全部责任。</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委托代理人无转委托权，特此委托。</w:t>
      </w:r>
    </w:p>
    <w:p>
      <w:pPr>
        <w:spacing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附：法定代表人身份证明及委托代理人有效身份证正反面复印件</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牵头人法定代表人（签字）：</w:t>
      </w:r>
    </w:p>
    <w:p>
      <w:pPr>
        <w:spacing w:line="360" w:lineRule="auto"/>
        <w:ind w:firstLine="3120" w:firstLineChars="1300"/>
        <w:contextualSpacing/>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牵头人（公章）：</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pPr>
        <w:spacing w:line="360" w:lineRule="auto"/>
        <w:ind w:firstLine="3840" w:firstLineChars="16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ind w:firstLine="3120" w:firstLineChars="1300"/>
        <w:contextualSpacing/>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被授权人（签字）：</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pPr>
        <w:spacing w:line="360" w:lineRule="auto"/>
        <w:ind w:firstLine="3840" w:firstLineChars="16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contextualSpacing/>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注：</w:t>
      </w:r>
    </w:p>
    <w:p>
      <w:pPr>
        <w:spacing w:line="360" w:lineRule="auto"/>
        <w:ind w:firstLine="480" w:firstLineChars="200"/>
        <w:contextualSpacing/>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1.</w:t>
      </w:r>
      <w:r>
        <w:rPr>
          <w:rFonts w:hint="eastAsia" w:ascii="楷体" w:hAnsi="楷体" w:eastAsia="楷体" w:cs="宋体"/>
          <w:color w:val="000000" w:themeColor="text1"/>
          <w:sz w:val="24"/>
          <w14:textFill>
            <w14:solidFill>
              <w14:schemeClr w14:val="tx1"/>
            </w14:solidFill>
          </w14:textFill>
        </w:rPr>
        <w:t>法定代表人必须在授权委托书上亲笔签字或者盖章，委托代理人必须在授权委托书上亲笔签字，</w:t>
      </w:r>
      <w:r>
        <w:rPr>
          <w:rFonts w:hint="eastAsia" w:ascii="楷体" w:hAnsi="楷体" w:eastAsia="楷体" w:cs="宋体"/>
          <w:b/>
          <w:bCs/>
          <w:color w:val="000000" w:themeColor="text1"/>
          <w:sz w:val="24"/>
          <w14:textFill>
            <w14:solidFill>
              <w14:schemeClr w14:val="tx1"/>
            </w14:solidFill>
          </w14:textFill>
        </w:rPr>
        <w:t>否</w:t>
      </w:r>
      <w:r>
        <w:rPr>
          <w:rFonts w:hint="eastAsia" w:ascii="楷体" w:hAnsi="楷体" w:eastAsia="楷体" w:cs="宋体"/>
          <w:b/>
          <w:color w:val="000000" w:themeColor="text1"/>
          <w:sz w:val="24"/>
          <w14:textFill>
            <w14:solidFill>
              <w14:schemeClr w14:val="tx1"/>
            </w14:solidFill>
          </w14:textFill>
        </w:rPr>
        <w:t>则其响应文件按无效响应处理。</w:t>
      </w:r>
    </w:p>
    <w:p>
      <w:pPr>
        <w:spacing w:line="360" w:lineRule="auto"/>
        <w:ind w:firstLine="480" w:firstLineChars="200"/>
        <w:contextualSpacing/>
        <w:jc w:val="left"/>
        <w:rPr>
          <w:rFonts w:ascii="楷体" w:hAnsi="楷体" w:eastAsia="楷体" w:cs="宋体"/>
          <w:color w:val="000000" w:themeColor="text1"/>
          <w:sz w:val="24"/>
          <w14:textFill>
            <w14:solidFill>
              <w14:schemeClr w14:val="tx1"/>
            </w14:solidFill>
          </w14:textFill>
        </w:rPr>
      </w:pPr>
      <w:r>
        <w:rPr>
          <w:rFonts w:ascii="楷体" w:hAnsi="楷体" w:eastAsia="楷体" w:cs="宋体"/>
          <w:color w:val="000000" w:themeColor="text1"/>
          <w:sz w:val="24"/>
          <w14:textFill>
            <w14:solidFill>
              <w14:schemeClr w14:val="tx1"/>
            </w14:solidFill>
          </w14:textFill>
        </w:rPr>
        <w:t>2.本授权委托书应由联合体牵头人的法定代表人按上述规定签署。</w:t>
      </w:r>
    </w:p>
    <w:p>
      <w:pPr>
        <w:spacing w:line="360" w:lineRule="auto"/>
        <w:ind w:firstLine="480" w:firstLineChars="200"/>
        <w:contextualSpacing/>
        <w:jc w:val="left"/>
        <w:rPr>
          <w:rFonts w:ascii="楷体" w:hAnsi="楷体" w:eastAsia="楷体" w:cs="宋体"/>
          <w:color w:val="000000" w:themeColor="text1"/>
          <w:szCs w:val="21"/>
          <w14:textFill>
            <w14:solidFill>
              <w14:schemeClr w14:val="tx1"/>
            </w14:solidFill>
          </w14:textFill>
        </w:rPr>
      </w:pPr>
      <w:r>
        <w:rPr>
          <w:rFonts w:ascii="楷体" w:hAnsi="楷体" w:eastAsia="楷体" w:cs="宋体"/>
          <w:color w:val="000000" w:themeColor="text1"/>
          <w:sz w:val="24"/>
          <w14:textFill>
            <w14:solidFill>
              <w14:schemeClr w14:val="tx1"/>
            </w14:solidFill>
          </w14:textFill>
        </w:rPr>
        <w:t>3.法人、其他组织</w:t>
      </w:r>
      <w:r>
        <w:rPr>
          <w:rFonts w:hint="eastAsia" w:ascii="楷体" w:hAnsi="楷体" w:eastAsia="楷体" w:cs="宋体"/>
          <w:color w:val="000000" w:themeColor="text1"/>
          <w:sz w:val="24"/>
          <w14:textFill>
            <w14:solidFill>
              <w14:schemeClr w14:val="tx1"/>
            </w14:solidFill>
          </w14:textFill>
        </w:rPr>
        <w:t>参与竞争性谈判时“我方”是指“我单位”，自然人参与竞争性谈判时“我方”是指“本人”。</w:t>
      </w:r>
    </w:p>
    <w:p>
      <w:pPr>
        <w:spacing w:line="360" w:lineRule="auto"/>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b/>
          <w:bCs/>
          <w:color w:val="000000" w:themeColor="text1"/>
          <w:sz w:val="44"/>
          <w:szCs w:val="44"/>
          <w14:textFill>
            <w14:solidFill>
              <w14:schemeClr w14:val="tx1"/>
            </w14:solidFill>
          </w14:textFill>
        </w:rPr>
        <w:t>商务要求偏离表格式</w:t>
      </w:r>
    </w:p>
    <w:p>
      <w:pPr>
        <w:spacing w:line="360" w:lineRule="auto"/>
        <w:jc w:val="center"/>
        <w:rPr>
          <w:rFonts w:ascii="宋体" w:hAnsi="宋体" w:cs="宋体"/>
          <w:b/>
          <w:color w:val="000000" w:themeColor="text1"/>
          <w:sz w:val="28"/>
          <w:szCs w:val="28"/>
          <w14:textFill>
            <w14:solidFill>
              <w14:schemeClr w14:val="tx1"/>
            </w14:solidFill>
          </w14:textFill>
        </w:rPr>
      </w:pPr>
    </w:p>
    <w:p>
      <w:pPr>
        <w:snapToGrid w:val="0"/>
        <w:spacing w:line="360" w:lineRule="auto"/>
        <w:jc w:val="left"/>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分标号：</w:t>
      </w:r>
      <w:r>
        <w:rPr>
          <w:rFonts w:hint="eastAsia" w:ascii="宋体" w:hAnsi="宋体" w:cs="宋体"/>
          <w:color w:val="000000" w:themeColor="text1"/>
          <w:sz w:val="24"/>
          <w:u w:val="single"/>
          <w14:textFill>
            <w14:solidFill>
              <w14:schemeClr w14:val="tx1"/>
            </w14:solidFill>
          </w14:textFill>
        </w:rPr>
        <w:t xml:space="preserve">                       </w:t>
      </w:r>
    </w:p>
    <w:tbl>
      <w:tblPr>
        <w:tblStyle w:val="27"/>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 w:val="24"/>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 w:val="24"/>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 w:val="24"/>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 w:val="24"/>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tc>
        <w:tc>
          <w:tcPr>
            <w:tcW w:w="2668"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p>
        </w:tc>
        <w:tc>
          <w:tcPr>
            <w:tcW w:w="263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p>
        </w:tc>
        <w:tc>
          <w:tcPr>
            <w:tcW w:w="1829"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宋体" w:hAnsi="宋体" w:cs="宋体"/>
                <w:color w:val="000000" w:themeColor="text1"/>
                <w:sz w:val="24"/>
                <w14:textFill>
                  <w14:solidFill>
                    <w14:schemeClr w14:val="tx1"/>
                  </w14:solidFill>
                </w14:textFill>
              </w:rPr>
            </w:pPr>
          </w:p>
        </w:tc>
      </w:tr>
    </w:tbl>
    <w:p>
      <w:pPr>
        <w:pStyle w:val="11"/>
        <w:spacing w:after="0" w:line="360" w:lineRule="auto"/>
        <w:contextualSpacing/>
        <w:rPr>
          <w:rFonts w:ascii="楷体" w:hAnsi="楷体" w:eastAsia="楷体" w:cs="宋体"/>
          <w:b/>
          <w:color w:val="000000" w:themeColor="text1"/>
          <w:kern w:val="0"/>
          <w:sz w:val="24"/>
          <w:szCs w:val="24"/>
          <w14:textFill>
            <w14:solidFill>
              <w14:schemeClr w14:val="tx1"/>
            </w14:solidFill>
          </w14:textFill>
        </w:rPr>
      </w:pPr>
      <w:r>
        <w:rPr>
          <w:rFonts w:hint="eastAsia" w:ascii="楷体" w:hAnsi="楷体" w:eastAsia="楷体" w:cs="宋体"/>
          <w:b/>
          <w:color w:val="000000" w:themeColor="text1"/>
          <w:kern w:val="0"/>
          <w:sz w:val="24"/>
          <w:szCs w:val="24"/>
          <w14:textFill>
            <w14:solidFill>
              <w14:schemeClr w14:val="tx1"/>
            </w14:solidFill>
          </w14:textFill>
        </w:rPr>
        <w:t>注：</w:t>
      </w:r>
    </w:p>
    <w:p>
      <w:pPr>
        <w:pStyle w:val="11"/>
        <w:spacing w:after="0" w:line="360" w:lineRule="auto"/>
        <w:ind w:firstLine="480" w:firstLineChars="200"/>
        <w:contextualSpacing/>
        <w:rPr>
          <w:rFonts w:ascii="楷体" w:hAnsi="楷体" w:eastAsia="楷体" w:cs="宋体"/>
          <w:color w:val="000000" w:themeColor="text1"/>
          <w:kern w:val="0"/>
          <w:sz w:val="24"/>
          <w:szCs w:val="24"/>
          <w14:textFill>
            <w14:solidFill>
              <w14:schemeClr w14:val="tx1"/>
            </w14:solidFill>
          </w14:textFill>
        </w:rPr>
      </w:pPr>
      <w:r>
        <w:rPr>
          <w:rFonts w:ascii="楷体" w:hAnsi="楷体" w:eastAsia="楷体" w:cs="宋体"/>
          <w:color w:val="000000" w:themeColor="text1"/>
          <w:kern w:val="0"/>
          <w:sz w:val="24"/>
          <w:szCs w:val="24"/>
          <w14:textFill>
            <w14:solidFill>
              <w14:schemeClr w14:val="tx1"/>
            </w14:solidFill>
          </w14:textFill>
        </w:rPr>
        <w:t>1.</w:t>
      </w:r>
      <w:r>
        <w:rPr>
          <w:rFonts w:hint="eastAsia" w:ascii="楷体" w:hAnsi="楷体" w:eastAsia="楷体" w:cs="宋体"/>
          <w:color w:val="000000" w:themeColor="text1"/>
          <w:kern w:val="0"/>
          <w:sz w:val="24"/>
          <w:szCs w:val="24"/>
          <w14:textFill>
            <w14:solidFill>
              <w14:schemeClr w14:val="tx1"/>
            </w14:solidFill>
          </w14:textFill>
        </w:rPr>
        <w:t>▲必须</w:t>
      </w:r>
      <w:r>
        <w:rPr>
          <w:rFonts w:ascii="楷体" w:hAnsi="楷体" w:eastAsia="楷体" w:cs="宋体"/>
          <w:color w:val="000000" w:themeColor="text1"/>
          <w:kern w:val="0"/>
          <w:sz w:val="24"/>
          <w:szCs w:val="24"/>
          <w14:textFill>
            <w14:solidFill>
              <w14:schemeClr w14:val="tx1"/>
            </w14:solidFill>
          </w14:textFill>
        </w:rPr>
        <w:t xml:space="preserve">对照谈判文件“第三章 </w:t>
      </w:r>
      <w:r>
        <w:rPr>
          <w:rFonts w:hint="eastAsia" w:ascii="楷体" w:hAnsi="楷体" w:eastAsia="楷体" w:cs="宋体"/>
          <w:color w:val="000000" w:themeColor="text1"/>
          <w:kern w:val="0"/>
          <w:sz w:val="24"/>
          <w:szCs w:val="24"/>
          <w14:textFill>
            <w14:solidFill>
              <w14:schemeClr w14:val="tx1"/>
            </w14:solidFill>
          </w14:textFill>
        </w:rPr>
        <w:t>采购需求”中的“</w:t>
      </w:r>
      <w:r>
        <w:rPr>
          <w:rFonts w:hint="eastAsia" w:ascii="楷体" w:hAnsi="楷体" w:eastAsia="楷体" w:cs="宋体"/>
          <w:b/>
          <w:bCs/>
          <w:color w:val="000000" w:themeColor="text1"/>
          <w:kern w:val="0"/>
          <w:sz w:val="24"/>
          <w:szCs w:val="24"/>
          <w14:textFill>
            <w14:solidFill>
              <w14:schemeClr w14:val="tx1"/>
            </w14:solidFill>
          </w14:textFill>
        </w:rPr>
        <w:t>商务要求表</w:t>
      </w:r>
      <w:r>
        <w:rPr>
          <w:rFonts w:hint="eastAsia" w:ascii="楷体" w:hAnsi="楷体" w:eastAsia="楷体" w:cs="宋体"/>
          <w:color w:val="000000" w:themeColor="text1"/>
          <w:kern w:val="0"/>
          <w:sz w:val="24"/>
          <w:szCs w:val="24"/>
          <w14:textFill>
            <w14:solidFill>
              <w14:schemeClr w14:val="tx1"/>
            </w14:solidFill>
          </w14:textFill>
        </w:rPr>
        <w:t>”逐条明确响应全部条款，详细填写响应的具体内容，并作出偏离说明。</w:t>
      </w:r>
    </w:p>
    <w:p>
      <w:pPr>
        <w:pStyle w:val="11"/>
        <w:spacing w:after="0" w:line="360" w:lineRule="auto"/>
        <w:ind w:firstLine="480" w:firstLineChars="200"/>
        <w:contextualSpacing/>
        <w:rPr>
          <w:rFonts w:ascii="楷体" w:hAnsi="楷体" w:eastAsia="楷体" w:cs="宋体"/>
          <w:color w:val="000000" w:themeColor="text1"/>
          <w:kern w:val="0"/>
          <w:sz w:val="24"/>
          <w:szCs w:val="24"/>
          <w14:textFill>
            <w14:solidFill>
              <w14:schemeClr w14:val="tx1"/>
            </w14:solidFill>
          </w14:textFill>
        </w:rPr>
      </w:pPr>
      <w:r>
        <w:rPr>
          <w:rFonts w:ascii="楷体" w:hAnsi="楷体" w:eastAsia="楷体" w:cs="宋体"/>
          <w:color w:val="000000" w:themeColor="text1"/>
          <w:kern w:val="0"/>
          <w:sz w:val="24"/>
          <w:szCs w:val="24"/>
          <w14:textFill>
            <w14:solidFill>
              <w14:schemeClr w14:val="tx1"/>
            </w14:solidFill>
          </w14:textFill>
        </w:rPr>
        <w:t>2.供应商应根据自身的承诺，对照谈判文件要求在“偏离说明”中注明“正偏离”、“负偏离”或者“无偏离”。既不属于“正偏离”也不属于“负偏离”即为“无偏离”。</w:t>
      </w:r>
    </w:p>
    <w:p>
      <w:pPr>
        <w:pStyle w:val="11"/>
        <w:spacing w:after="0" w:line="360" w:lineRule="auto"/>
        <w:ind w:firstLine="480" w:firstLineChars="200"/>
        <w:contextualSpacing/>
        <w:rPr>
          <w:rFonts w:ascii="楷体" w:hAnsi="楷体" w:eastAsia="楷体" w:cs="宋体"/>
          <w:color w:val="000000" w:themeColor="text1"/>
          <w:kern w:val="0"/>
          <w:sz w:val="24"/>
          <w:szCs w:val="24"/>
          <w14:textFill>
            <w14:solidFill>
              <w14:schemeClr w14:val="tx1"/>
            </w14:solidFill>
          </w14:textFill>
        </w:rPr>
      </w:pPr>
      <w:r>
        <w:rPr>
          <w:rFonts w:hint="eastAsia" w:ascii="楷体" w:hAnsi="楷体" w:eastAsia="楷体" w:cs="宋体"/>
          <w:color w:val="000000" w:themeColor="text1"/>
          <w:kern w:val="0"/>
          <w:sz w:val="24"/>
          <w:szCs w:val="24"/>
          <w14:textFill>
            <w14:solidFill>
              <w14:schemeClr w14:val="tx1"/>
            </w14:solidFill>
          </w14:textFill>
        </w:rPr>
        <w:t>3.表格内容均需按要求填写并盖公章，不得留空，否则按响应无效处理。</w:t>
      </w: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contextualSpacing/>
        <w:jc w:val="center"/>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法定代表人或者委托代理人（签字）：</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pPr>
        <w:spacing w:line="360" w:lineRule="auto"/>
        <w:ind w:firstLine="3240" w:firstLineChars="135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供应商（公章）：</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ind w:firstLine="3240" w:firstLineChars="135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p>
    <w:p>
      <w:pPr>
        <w:adjustRightInd w:val="0"/>
        <w:snapToGrid w:val="0"/>
        <w:spacing w:line="360" w:lineRule="auto"/>
        <w:ind w:firstLine="7040" w:firstLineChars="1600"/>
        <w:jc w:val="center"/>
        <w:rPr>
          <w:rFonts w:ascii="宋体" w:hAnsi="宋体" w:cs="宋体"/>
          <w:bCs/>
          <w:color w:val="000000" w:themeColor="text1"/>
          <w:sz w:val="44"/>
          <w:szCs w:val="44"/>
          <w14:textFill>
            <w14:solidFill>
              <w14:schemeClr w14:val="tx1"/>
            </w14:solidFill>
          </w14:textFill>
        </w:rPr>
      </w:pPr>
    </w:p>
    <w:p>
      <w:pPr>
        <w:adjustRightInd w:val="0"/>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Cs/>
          <w:color w:val="000000" w:themeColor="text1"/>
          <w:sz w:val="44"/>
          <w:szCs w:val="44"/>
          <w14:textFill>
            <w14:solidFill>
              <w14:schemeClr w14:val="tx1"/>
            </w14:solidFill>
          </w14:textFill>
        </w:rPr>
        <w:br w:type="page"/>
      </w:r>
      <w:r>
        <w:rPr>
          <w:rFonts w:hint="eastAsia" w:ascii="宋体" w:hAnsi="宋体" w:cs="宋体"/>
          <w:b/>
          <w:bCs/>
          <w:color w:val="000000" w:themeColor="text1"/>
          <w:sz w:val="44"/>
          <w:szCs w:val="44"/>
          <w14:textFill>
            <w14:solidFill>
              <w14:schemeClr w14:val="tx1"/>
            </w14:solidFill>
          </w14:textFill>
        </w:rPr>
        <w:t>货物配置清单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所竞分标（如有）：</w:t>
      </w:r>
      <w:r>
        <w:rPr>
          <w:rFonts w:hint="eastAsia" w:ascii="宋体" w:hAnsi="宋体" w:cs="宋体"/>
          <w:color w:val="000000" w:themeColor="text1"/>
          <w:sz w:val="24"/>
          <w:u w:val="single"/>
          <w14:textFill>
            <w14:solidFill>
              <w14:schemeClr w14:val="tx1"/>
            </w14:solidFill>
          </w14:textFill>
        </w:rPr>
        <w:t xml:space="preserve">                 </w:t>
      </w:r>
    </w:p>
    <w:tbl>
      <w:tblPr>
        <w:tblStyle w:val="27"/>
        <w:tblW w:w="97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1179"/>
        <w:gridCol w:w="1283"/>
        <w:gridCol w:w="1290"/>
        <w:gridCol w:w="885"/>
        <w:gridCol w:w="855"/>
        <w:gridCol w:w="690"/>
        <w:gridCol w:w="15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29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标的名称</w:t>
            </w:r>
          </w:p>
        </w:tc>
        <w:tc>
          <w:tcPr>
            <w:tcW w:w="11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品牌（如有）</w:t>
            </w: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型号</w:t>
            </w:r>
          </w:p>
        </w:tc>
        <w:tc>
          <w:tcPr>
            <w:tcW w:w="129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生产厂家</w:t>
            </w: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产地</w:t>
            </w:r>
          </w:p>
        </w:tc>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69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15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000000" w:themeColor="text1"/>
                <w:sz w:val="24"/>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000000" w:themeColor="text1"/>
                <w:sz w:val="24"/>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000000" w:themeColor="text1"/>
                <w:sz w:val="24"/>
                <w14:textFill>
                  <w14:solidFill>
                    <w14:schemeClr w14:val="tx1"/>
                  </w14:solidFill>
                </w14:textFill>
              </w:rPr>
            </w:pPr>
          </w:p>
        </w:tc>
        <w:tc>
          <w:tcPr>
            <w:tcW w:w="15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000000" w:themeColor="text1"/>
                <w:sz w:val="24"/>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000000" w:themeColor="text1"/>
                <w:sz w:val="24"/>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000000" w:themeColor="text1"/>
                <w:sz w:val="24"/>
                <w14:textFill>
                  <w14:solidFill>
                    <w14:schemeClr w14:val="tx1"/>
                  </w14:solidFill>
                </w14:textFill>
              </w:rPr>
            </w:pPr>
          </w:p>
        </w:tc>
        <w:tc>
          <w:tcPr>
            <w:tcW w:w="15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1283"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000000" w:themeColor="text1"/>
                <w:sz w:val="24"/>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000000" w:themeColor="text1"/>
                <w:sz w:val="24"/>
                <w14:textFill>
                  <w14:solidFill>
                    <w14:schemeClr w14:val="tx1"/>
                  </w14:solidFill>
                </w14:textFill>
              </w:rPr>
            </w:pPr>
          </w:p>
        </w:tc>
        <w:tc>
          <w:tcPr>
            <w:tcW w:w="690" w:type="dxa"/>
            <w:tcBorders>
              <w:top w:val="single" w:color="auto" w:sz="4" w:space="0"/>
              <w:left w:val="single" w:color="auto" w:sz="4" w:space="0"/>
              <w:bottom w:val="single" w:color="auto" w:sz="4" w:space="0"/>
              <w:right w:val="single" w:color="auto" w:sz="4" w:space="0"/>
            </w:tcBorders>
          </w:tcPr>
          <w:p>
            <w:pPr>
              <w:snapToGrid w:val="0"/>
              <w:spacing w:before="50" w:after="50"/>
              <w:jc w:val="center"/>
              <w:rPr>
                <w:rFonts w:ascii="宋体" w:hAnsi="宋体" w:cs="宋体"/>
                <w:color w:val="000000" w:themeColor="text1"/>
                <w:sz w:val="24"/>
                <w14:textFill>
                  <w14:solidFill>
                    <w14:schemeClr w14:val="tx1"/>
                  </w14:solidFill>
                </w14:textFill>
              </w:rPr>
            </w:pPr>
          </w:p>
        </w:tc>
        <w:tc>
          <w:tcPr>
            <w:tcW w:w="15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宋体"/>
                <w:color w:val="000000" w:themeColor="text1"/>
                <w:sz w:val="24"/>
                <w14:textFill>
                  <w14:solidFill>
                    <w14:schemeClr w14:val="tx1"/>
                  </w14:solidFill>
                </w14:textFill>
              </w:rPr>
            </w:pPr>
          </w:p>
        </w:tc>
      </w:tr>
    </w:tbl>
    <w:p>
      <w:pPr>
        <w:spacing w:line="360" w:lineRule="auto"/>
        <w:contextualSpacing/>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备注：</w:t>
      </w:r>
    </w:p>
    <w:p>
      <w:pPr>
        <w:tabs>
          <w:tab w:val="left" w:pos="1065"/>
        </w:tabs>
        <w:adjustRightInd w:val="0"/>
        <w:spacing w:line="360" w:lineRule="auto"/>
        <w:ind w:firstLine="482" w:firstLineChars="200"/>
        <w:contextualSpacing/>
        <w:rPr>
          <w:rFonts w:ascii="楷体" w:hAnsi="楷体" w:eastAsia="楷体" w:cs="宋体"/>
          <w:color w:val="000000" w:themeColor="text1"/>
          <w:sz w:val="24"/>
          <w14:textFill>
            <w14:solidFill>
              <w14:schemeClr w14:val="tx1"/>
            </w14:solidFill>
          </w14:textFill>
        </w:rPr>
      </w:pPr>
      <w:r>
        <w:rPr>
          <w:rFonts w:hint="eastAsia" w:ascii="楷体" w:hAnsi="楷体" w:eastAsia="楷体" w:cs="宋体"/>
          <w:b/>
          <w:bCs/>
          <w:color w:val="000000" w:themeColor="text1"/>
          <w:sz w:val="24"/>
          <w14:textFill>
            <w14:solidFill>
              <w14:schemeClr w14:val="tx1"/>
            </w14:solidFill>
          </w14:textFill>
        </w:rPr>
        <w:t>以上货物配置清单中“标的名称、数量、单位、品牌、型号、生产厂家、产地、参数性能、指标及配置”必须如实填写完整，定制产品、“建筑业”或“服务业”标的在型号栏中填写“定制”。填写有缺漏的，响应文件按无效响应处理</w:t>
      </w:r>
      <w:r>
        <w:rPr>
          <w:rFonts w:hint="eastAsia" w:ascii="楷体" w:hAnsi="楷体" w:eastAsia="楷体" w:cs="宋体"/>
          <w:b/>
          <w:color w:val="000000" w:themeColor="text1"/>
          <w:sz w:val="24"/>
          <w14:textFill>
            <w14:solidFill>
              <w14:schemeClr w14:val="tx1"/>
            </w14:solidFill>
          </w14:textFill>
        </w:rPr>
        <w:t>。</w:t>
      </w:r>
      <w:r>
        <w:rPr>
          <w:rFonts w:hint="eastAsia" w:ascii="楷体" w:hAnsi="楷体" w:eastAsia="楷体" w:cs="宋体"/>
          <w:color w:val="000000" w:themeColor="text1"/>
          <w:sz w:val="24"/>
          <w14:textFill>
            <w14:solidFill>
              <w14:schemeClr w14:val="tx1"/>
            </w14:solidFill>
          </w14:textFill>
        </w:rPr>
        <w:t>标的名称、数量、单位、品牌、型号等必须与“</w:t>
      </w:r>
      <w:r>
        <w:rPr>
          <w:rFonts w:hint="eastAsia" w:ascii="楷体" w:hAnsi="楷体" w:eastAsia="楷体" w:cs="宋体"/>
          <w:color w:val="000000" w:themeColor="text1"/>
          <w:sz w:val="24"/>
          <w:lang w:bidi="ar"/>
          <w14:textFill>
            <w14:solidFill>
              <w14:schemeClr w14:val="tx1"/>
            </w14:solidFill>
          </w14:textFill>
        </w:rPr>
        <w:t>竞争性谈判</w:t>
      </w:r>
      <w:r>
        <w:rPr>
          <w:rFonts w:hint="eastAsia" w:ascii="楷体" w:hAnsi="楷体" w:eastAsia="楷体" w:cs="宋体"/>
          <w:color w:val="000000" w:themeColor="text1"/>
          <w:sz w:val="24"/>
          <w14:textFill>
            <w14:solidFill>
              <w14:schemeClr w14:val="tx1"/>
            </w14:solidFill>
          </w14:textFill>
        </w:rPr>
        <w:t>报价表”一致，</w:t>
      </w:r>
      <w:r>
        <w:rPr>
          <w:rFonts w:hint="eastAsia" w:ascii="楷体" w:hAnsi="楷体" w:eastAsia="楷体" w:cs="宋体"/>
          <w:bCs/>
          <w:color w:val="000000" w:themeColor="text1"/>
          <w:sz w:val="24"/>
          <w14:textFill>
            <w14:solidFill>
              <w14:schemeClr w14:val="tx1"/>
            </w14:solidFill>
          </w14:textFill>
        </w:rPr>
        <w:t>否则响应文件按无效响应处理</w:t>
      </w:r>
      <w:r>
        <w:rPr>
          <w:rFonts w:hint="eastAsia" w:ascii="楷体" w:hAnsi="楷体" w:eastAsia="楷体" w:cs="宋体"/>
          <w:b/>
          <w:color w:val="000000" w:themeColor="text1"/>
          <w:sz w:val="24"/>
          <w14:textFill>
            <w14:solidFill>
              <w14:schemeClr w14:val="tx1"/>
            </w14:solidFill>
          </w14:textFill>
        </w:rPr>
        <w:t>。</w:t>
      </w:r>
      <w:r>
        <w:rPr>
          <w:rFonts w:ascii="楷体" w:hAnsi="楷体" w:eastAsia="楷体" w:cs="宋体"/>
          <w:color w:val="000000" w:themeColor="text1"/>
          <w:sz w:val="24"/>
          <w14:textFill>
            <w14:solidFill>
              <w14:schemeClr w14:val="tx1"/>
            </w14:solidFill>
          </w14:textFill>
        </w:rPr>
        <w:tab/>
      </w:r>
    </w:p>
    <w:p>
      <w:pPr>
        <w:adjustRightInd w:val="0"/>
        <w:spacing w:line="360" w:lineRule="auto"/>
        <w:contextualSpacing/>
        <w:jc w:val="left"/>
        <w:rPr>
          <w:rFonts w:ascii="宋体" w:hAnsi="宋体" w:cs="宋体"/>
          <w:color w:val="000000" w:themeColor="text1"/>
          <w:sz w:val="24"/>
          <w14:textFill>
            <w14:solidFill>
              <w14:schemeClr w14:val="tx1"/>
            </w14:solidFill>
          </w14:textFill>
        </w:rPr>
      </w:pPr>
    </w:p>
    <w:p>
      <w:pPr>
        <w:adjustRightInd w:val="0"/>
        <w:spacing w:line="360" w:lineRule="auto"/>
        <w:contextualSpacing/>
        <w:jc w:val="left"/>
        <w:rPr>
          <w:rFonts w:ascii="宋体" w:hAnsi="宋体" w:cs="宋体"/>
          <w:color w:val="000000" w:themeColor="text1"/>
          <w:sz w:val="24"/>
          <w14:textFill>
            <w14:solidFill>
              <w14:schemeClr w14:val="tx1"/>
            </w14:solidFill>
          </w14:textFill>
        </w:rPr>
      </w:pPr>
    </w:p>
    <w:p>
      <w:pPr>
        <w:adjustRightInd w:val="0"/>
        <w:spacing w:line="360" w:lineRule="auto"/>
        <w:contextualSpacing/>
        <w:jc w:val="left"/>
        <w:rPr>
          <w:rFonts w:ascii="宋体" w:hAnsi="宋体" w:cs="宋体"/>
          <w:color w:val="000000" w:themeColor="text1"/>
          <w:sz w:val="24"/>
          <w14:textFill>
            <w14:solidFill>
              <w14:schemeClr w14:val="tx1"/>
            </w14:solidFill>
          </w14:textFill>
        </w:rPr>
      </w:pPr>
    </w:p>
    <w:p>
      <w:pPr>
        <w:spacing w:line="360" w:lineRule="auto"/>
        <w:contextualSpacing/>
        <w:jc w:val="center"/>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法定代表人或者委托代理人（签字）：</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pPr>
        <w:spacing w:line="360" w:lineRule="auto"/>
        <w:ind w:firstLine="3240" w:firstLineChars="135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供应商（公章）：</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ind w:firstLine="3240" w:firstLineChars="1350"/>
        <w:contextualSpacing/>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p>
    <w:p>
      <w:pPr>
        <w:adjustRightInd w:val="0"/>
        <w:snapToGrid w:val="0"/>
        <w:spacing w:line="360" w:lineRule="auto"/>
        <w:rPr>
          <w:rFonts w:ascii="宋体" w:hAnsi="宋体" w:cs="宋体"/>
          <w:color w:val="000000" w:themeColor="text1"/>
          <w:szCs w:val="21"/>
          <w:u w:val="single"/>
          <w14:textFill>
            <w14:solidFill>
              <w14:schemeClr w14:val="tx1"/>
            </w14:solidFill>
          </w14:textFill>
        </w:rPr>
      </w:pPr>
    </w:p>
    <w:p>
      <w:pPr>
        <w:adjustRightInd w:val="0"/>
        <w:snapToGrid w:val="0"/>
        <w:spacing w:line="360" w:lineRule="auto"/>
        <w:rPr>
          <w:rFonts w:ascii="宋体" w:hAnsi="宋体" w:cs="宋体"/>
          <w:color w:val="000000" w:themeColor="text1"/>
          <w:szCs w:val="21"/>
          <w:u w:val="single"/>
          <w14:textFill>
            <w14:solidFill>
              <w14:schemeClr w14:val="tx1"/>
            </w14:solidFill>
          </w14:textFill>
        </w:rPr>
      </w:pPr>
    </w:p>
    <w:p>
      <w:pPr>
        <w:adjustRightInd w:val="0"/>
        <w:snapToGrid w:val="0"/>
        <w:spacing w:line="360" w:lineRule="auto"/>
        <w:rPr>
          <w:rFonts w:ascii="宋体" w:hAnsi="宋体" w:cs="宋体"/>
          <w:color w:val="000000" w:themeColor="text1"/>
          <w:szCs w:val="21"/>
          <w:u w:val="single"/>
          <w14:textFill>
            <w14:solidFill>
              <w14:schemeClr w14:val="tx1"/>
            </w14:solidFill>
          </w14:textFill>
        </w:rPr>
      </w:pPr>
    </w:p>
    <w:p>
      <w:pPr>
        <w:adjustRightInd w:val="0"/>
        <w:snapToGrid w:val="0"/>
        <w:spacing w:line="360" w:lineRule="auto"/>
        <w:rPr>
          <w:rFonts w:ascii="宋体" w:hAnsi="宋体" w:cs="宋体"/>
          <w:color w:val="000000" w:themeColor="text1"/>
          <w:szCs w:val="21"/>
          <w:u w:val="single"/>
          <w14:textFill>
            <w14:solidFill>
              <w14:schemeClr w14:val="tx1"/>
            </w14:solidFill>
          </w14:textFill>
        </w:rPr>
      </w:pPr>
    </w:p>
    <w:p>
      <w:pPr>
        <w:adjustRightInd w:val="0"/>
        <w:snapToGrid w:val="0"/>
        <w:spacing w:line="360" w:lineRule="auto"/>
        <w:rPr>
          <w:rFonts w:ascii="宋体" w:hAnsi="宋体" w:cs="宋体"/>
          <w:color w:val="000000" w:themeColor="text1"/>
          <w:szCs w:val="21"/>
          <w:u w:val="single"/>
          <w14:textFill>
            <w14:solidFill>
              <w14:schemeClr w14:val="tx1"/>
            </w14:solidFill>
          </w14:textFill>
        </w:rPr>
      </w:pPr>
    </w:p>
    <w:p>
      <w:pPr>
        <w:adjustRightInd w:val="0"/>
        <w:snapToGrid w:val="0"/>
        <w:spacing w:line="360" w:lineRule="auto"/>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Cs/>
          <w:color w:val="000000" w:themeColor="text1"/>
          <w:sz w:val="44"/>
          <w:szCs w:val="44"/>
          <w14:textFill>
            <w14:solidFill>
              <w14:schemeClr w14:val="tx1"/>
            </w14:solidFill>
          </w14:textFill>
        </w:rPr>
        <w:br w:type="page"/>
      </w:r>
      <w:r>
        <w:rPr>
          <w:rFonts w:hint="eastAsia" w:ascii="宋体" w:hAnsi="宋体" w:cs="宋体"/>
          <w:b/>
          <w:bCs/>
          <w:color w:val="000000" w:themeColor="text1"/>
          <w:sz w:val="44"/>
          <w:szCs w:val="44"/>
          <w14:textFill>
            <w14:solidFill>
              <w14:schemeClr w14:val="tx1"/>
            </w14:solidFill>
          </w14:textFill>
        </w:rPr>
        <w:t>技术要求偏离表</w:t>
      </w:r>
    </w:p>
    <w:p>
      <w:pPr>
        <w:spacing w:line="360" w:lineRule="auto"/>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分标号：</w:t>
      </w:r>
      <w:r>
        <w:rPr>
          <w:rFonts w:hint="eastAsia" w:ascii="宋体" w:hAnsi="宋体" w:cs="宋体"/>
          <w:color w:val="000000" w:themeColor="text1"/>
          <w:sz w:val="24"/>
          <w:u w:val="single"/>
          <w14:textFill>
            <w14:solidFill>
              <w14:schemeClr w14:val="tx1"/>
            </w14:solidFill>
          </w14:textFill>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28"/>
        <w:gridCol w:w="931"/>
        <w:gridCol w:w="3104"/>
        <w:gridCol w:w="2792"/>
        <w:gridCol w:w="15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0"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序号</w:t>
            </w:r>
          </w:p>
        </w:tc>
        <w:tc>
          <w:tcPr>
            <w:tcW w:w="501" w:type="pct"/>
            <w:tcBorders>
              <w:right w:val="single" w:color="auto" w:sz="4" w:space="0"/>
            </w:tcBorders>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标的名称</w:t>
            </w:r>
          </w:p>
        </w:tc>
        <w:tc>
          <w:tcPr>
            <w:tcW w:w="1671" w:type="pct"/>
            <w:tcBorders>
              <w:left w:val="single" w:color="auto" w:sz="4" w:space="0"/>
            </w:tcBorders>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谈判文件采购需求中的技术参数及配置</w:t>
            </w:r>
          </w:p>
        </w:tc>
        <w:tc>
          <w:tcPr>
            <w:tcW w:w="1503"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响应文件响应的技术参数及配置</w:t>
            </w:r>
          </w:p>
        </w:tc>
        <w:tc>
          <w:tcPr>
            <w:tcW w:w="823"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0"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p>
        </w:tc>
        <w:tc>
          <w:tcPr>
            <w:tcW w:w="501" w:type="pct"/>
            <w:tcBorders>
              <w:right w:val="single" w:color="auto" w:sz="4" w:space="0"/>
            </w:tcBorders>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c>
          <w:tcPr>
            <w:tcW w:w="1671" w:type="pct"/>
            <w:tcBorders>
              <w:left w:val="single" w:color="auto" w:sz="4" w:space="0"/>
            </w:tcBorders>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c>
          <w:tcPr>
            <w:tcW w:w="1503"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c>
          <w:tcPr>
            <w:tcW w:w="823"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0"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p>
        </w:tc>
        <w:tc>
          <w:tcPr>
            <w:tcW w:w="501" w:type="pct"/>
            <w:tcBorders>
              <w:right w:val="single" w:color="auto" w:sz="4" w:space="0"/>
            </w:tcBorders>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c>
          <w:tcPr>
            <w:tcW w:w="1671" w:type="pct"/>
            <w:tcBorders>
              <w:left w:val="single" w:color="auto" w:sz="4" w:space="0"/>
            </w:tcBorders>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c>
          <w:tcPr>
            <w:tcW w:w="1503"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c>
          <w:tcPr>
            <w:tcW w:w="823"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0"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w:t>
            </w:r>
          </w:p>
        </w:tc>
        <w:tc>
          <w:tcPr>
            <w:tcW w:w="501" w:type="pct"/>
            <w:tcBorders>
              <w:right w:val="single" w:color="auto" w:sz="4" w:space="0"/>
            </w:tcBorders>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c>
          <w:tcPr>
            <w:tcW w:w="1671" w:type="pct"/>
            <w:tcBorders>
              <w:left w:val="single" w:color="auto" w:sz="4" w:space="0"/>
            </w:tcBorders>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c>
          <w:tcPr>
            <w:tcW w:w="1503"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c>
          <w:tcPr>
            <w:tcW w:w="823"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0"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w:t>
            </w:r>
          </w:p>
        </w:tc>
        <w:tc>
          <w:tcPr>
            <w:tcW w:w="501" w:type="pct"/>
            <w:tcBorders>
              <w:right w:val="single" w:color="auto" w:sz="4" w:space="0"/>
            </w:tcBorders>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c>
          <w:tcPr>
            <w:tcW w:w="1671" w:type="pct"/>
            <w:tcBorders>
              <w:left w:val="single" w:color="auto" w:sz="4" w:space="0"/>
            </w:tcBorders>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c>
          <w:tcPr>
            <w:tcW w:w="1503" w:type="pct"/>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c>
          <w:tcPr>
            <w:tcW w:w="823" w:type="pct"/>
            <w:tcBorders>
              <w:right w:val="single" w:color="auto" w:sz="4" w:space="0"/>
            </w:tcBorders>
            <w:vAlign w:val="center"/>
          </w:tcPr>
          <w:p>
            <w:pPr>
              <w:pStyle w:val="14"/>
              <w:spacing w:line="500" w:lineRule="exact"/>
              <w:ind w:firstLine="0" w:firstLineChars="0"/>
              <w:jc w:val="center"/>
              <w:rPr>
                <w:rFonts w:ascii="宋体" w:hAnsi="宋体" w:eastAsia="宋体" w:cs="宋体"/>
                <w:color w:val="000000" w:themeColor="text1"/>
                <w:kern w:val="2"/>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00" w:type="pct"/>
            <w:gridSpan w:val="5"/>
            <w:tcBorders>
              <w:right w:val="single" w:color="auto" w:sz="4" w:space="0"/>
            </w:tcBorders>
            <w:vAlign w:val="center"/>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竞标货物中，属于优先采购节能产品</w:t>
            </w:r>
            <w:r>
              <w:rPr>
                <w:rFonts w:hint="eastAsia" w:ascii="宋体" w:hAnsi="宋体" w:cs="宋体"/>
                <w:color w:val="000000" w:themeColor="text1"/>
                <w14:textFill>
                  <w14:solidFill>
                    <w14:schemeClr w14:val="tx1"/>
                  </w14:solidFill>
                </w14:textFill>
              </w:rPr>
              <w:t>为</w:t>
            </w:r>
            <w:r>
              <w:rPr>
                <w:rFonts w:hint="eastAsia" w:ascii="宋体" w:hAnsi="宋体" w:cs="宋体"/>
                <w:color w:val="000000" w:themeColor="text1"/>
                <w:szCs w:val="21"/>
                <w14:textFill>
                  <w14:solidFill>
                    <w14:schemeClr w14:val="tx1"/>
                  </w14:solidFill>
                </w14:textFill>
              </w:rPr>
              <w:t>本项目竞争性谈判文件“第二章 采购需求”中</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需求一览表</w:t>
            </w:r>
            <w:r>
              <w:rPr>
                <w:rFonts w:hint="eastAsia" w:ascii="宋体" w:hAnsi="宋体" w:cs="宋体"/>
                <w:color w:val="000000" w:themeColor="text1"/>
                <w14:textFill>
                  <w14:solidFill>
                    <w14:schemeClr w14:val="tx1"/>
                  </w14:solidFill>
                </w14:textFill>
              </w:rPr>
              <w:t>”的第   项产品：</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，合计</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项</w:t>
            </w:r>
            <w:r>
              <w:rPr>
                <w:rFonts w:hint="eastAsia" w:ascii="宋体" w:hAnsi="宋体" w:cs="宋体"/>
                <w:color w:val="000000" w:themeColor="text1"/>
                <w:szCs w:val="21"/>
                <w14:textFill>
                  <w14:solidFill>
                    <w14:schemeClr w14:val="tx1"/>
                  </w14:solidFill>
                </w14:textFill>
              </w:rPr>
              <w:t>；属于优先采购环境标志产品为本项目竞争性谈判文件“第二章 采购需求”中</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需求一览表</w:t>
            </w:r>
            <w:r>
              <w:rPr>
                <w:rFonts w:hint="eastAsia" w:ascii="宋体" w:hAnsi="宋体" w:cs="宋体"/>
                <w:color w:val="000000" w:themeColor="text1"/>
                <w14:textFill>
                  <w14:solidFill>
                    <w14:schemeClr w14:val="tx1"/>
                  </w14:solidFill>
                </w14:textFill>
              </w:rPr>
              <w:t>”的第   项产品：</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，合计</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项</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 xml:space="preserve"> </w:t>
            </w:r>
            <w:r>
              <w:rPr>
                <w:rFonts w:hint="eastAsia" w:ascii="宋体" w:hAnsi="宋体" w:cs="宋体"/>
                <w:b/>
                <w:bCs/>
                <w:color w:val="000000" w:themeColor="text1"/>
                <w:szCs w:val="21"/>
                <w14:textFill>
                  <w14:solidFill>
                    <w14:schemeClr w14:val="tx1"/>
                  </w14:solidFill>
                </w14:textFill>
              </w:rPr>
              <w:t>（注：如有，请逐项列出，如无填写“无”或者留空。）</w:t>
            </w:r>
          </w:p>
        </w:tc>
      </w:tr>
    </w:tbl>
    <w:p>
      <w:pPr>
        <w:pStyle w:val="14"/>
        <w:spacing w:line="360" w:lineRule="auto"/>
        <w:ind w:firstLine="0" w:firstLineChars="0"/>
        <w:contextualSpacing/>
        <w:rPr>
          <w:rFonts w:ascii="楷体" w:hAnsi="楷体" w:eastAsia="楷体" w:cs="宋体"/>
          <w:b/>
          <w:color w:val="000000" w:themeColor="text1"/>
          <w:sz w:val="24"/>
          <w:szCs w:val="24"/>
          <w14:textFill>
            <w14:solidFill>
              <w14:schemeClr w14:val="tx1"/>
            </w14:solidFill>
          </w14:textFill>
        </w:rPr>
      </w:pPr>
      <w:r>
        <w:rPr>
          <w:rFonts w:hint="eastAsia" w:ascii="楷体" w:hAnsi="楷体" w:eastAsia="楷体" w:cs="宋体"/>
          <w:b/>
          <w:color w:val="000000" w:themeColor="text1"/>
          <w:sz w:val="24"/>
          <w:szCs w:val="24"/>
          <w14:textFill>
            <w14:solidFill>
              <w14:schemeClr w14:val="tx1"/>
            </w14:solidFill>
          </w14:textFill>
        </w:rPr>
        <w:t>注：</w:t>
      </w:r>
    </w:p>
    <w:p>
      <w:pPr>
        <w:pStyle w:val="14"/>
        <w:spacing w:line="360" w:lineRule="auto"/>
        <w:ind w:firstLine="480" w:firstLineChars="200"/>
        <w:contextualSpacing/>
        <w:rPr>
          <w:rFonts w:ascii="楷体" w:hAnsi="楷体" w:eastAsia="楷体" w:cs="宋体"/>
          <w:color w:val="000000" w:themeColor="text1"/>
          <w:sz w:val="24"/>
          <w:szCs w:val="24"/>
          <w14:textFill>
            <w14:solidFill>
              <w14:schemeClr w14:val="tx1"/>
            </w14:solidFill>
          </w14:textFill>
        </w:rPr>
      </w:pPr>
      <w:r>
        <w:rPr>
          <w:rFonts w:ascii="楷体" w:hAnsi="楷体" w:eastAsia="楷体" w:cs="宋体"/>
          <w:color w:val="000000" w:themeColor="text1"/>
          <w:sz w:val="24"/>
          <w:szCs w:val="24"/>
          <w14:textFill>
            <w14:solidFill>
              <w14:schemeClr w14:val="tx1"/>
            </w14:solidFill>
          </w14:textFill>
        </w:rPr>
        <w:t>1.</w:t>
      </w:r>
      <w:r>
        <w:rPr>
          <w:rFonts w:hint="eastAsia" w:ascii="楷体" w:hAnsi="楷体" w:eastAsia="楷体" w:cs="宋体"/>
          <w:color w:val="000000" w:themeColor="text1"/>
          <w:sz w:val="24"/>
          <w:szCs w:val="24"/>
          <w14:textFill>
            <w14:solidFill>
              <w14:schemeClr w14:val="tx1"/>
            </w14:solidFill>
          </w14:textFill>
        </w:rPr>
        <w:t>▲必须对照谈判文件“第三章</w:t>
      </w:r>
      <w:r>
        <w:rPr>
          <w:rFonts w:ascii="楷体" w:hAnsi="楷体" w:eastAsia="楷体" w:cs="宋体"/>
          <w:color w:val="000000" w:themeColor="text1"/>
          <w:sz w:val="24"/>
          <w:szCs w:val="24"/>
          <w14:textFill>
            <w14:solidFill>
              <w14:schemeClr w14:val="tx1"/>
            </w14:solidFill>
          </w14:textFill>
        </w:rPr>
        <w:t xml:space="preserve"> </w:t>
      </w:r>
      <w:r>
        <w:rPr>
          <w:rFonts w:hint="eastAsia" w:ascii="楷体" w:hAnsi="楷体" w:eastAsia="楷体" w:cs="宋体"/>
          <w:color w:val="000000" w:themeColor="text1"/>
          <w:sz w:val="24"/>
          <w:szCs w:val="24"/>
          <w14:textFill>
            <w14:solidFill>
              <w14:schemeClr w14:val="tx1"/>
            </w14:solidFill>
          </w14:textFill>
        </w:rPr>
        <w:t>采购需求”中的“</w:t>
      </w:r>
      <w:r>
        <w:rPr>
          <w:rFonts w:hint="eastAsia" w:ascii="宋体" w:hAnsi="宋体" w:cs="宋体"/>
          <w:b/>
          <w:bCs/>
          <w:color w:val="000000" w:themeColor="text1"/>
          <w:sz w:val="24"/>
          <w14:textFill>
            <w14:solidFill>
              <w14:schemeClr w14:val="tx1"/>
            </w14:solidFill>
          </w14:textFill>
        </w:rPr>
        <w:t>技术参数及性能（配置）要求</w:t>
      </w:r>
      <w:r>
        <w:rPr>
          <w:rFonts w:hint="eastAsia" w:ascii="楷体" w:hAnsi="楷体" w:eastAsia="楷体" w:cs="宋体"/>
          <w:color w:val="000000" w:themeColor="text1"/>
          <w:sz w:val="24"/>
          <w:szCs w:val="24"/>
          <w14:textFill>
            <w14:solidFill>
              <w14:schemeClr w14:val="tx1"/>
            </w14:solidFill>
          </w14:textFill>
        </w:rPr>
        <w:t>”逐条实质性响应全部条款，详细填写响应的具体内容，并作出偏离说明。</w:t>
      </w:r>
    </w:p>
    <w:p>
      <w:pPr>
        <w:pStyle w:val="14"/>
        <w:spacing w:line="360" w:lineRule="auto"/>
        <w:ind w:firstLine="480" w:firstLineChars="200"/>
        <w:contextualSpacing/>
        <w:rPr>
          <w:rFonts w:ascii="楷体" w:hAnsi="楷体" w:eastAsia="楷体" w:cs="宋体"/>
          <w:color w:val="000000" w:themeColor="text1"/>
          <w:sz w:val="24"/>
          <w:szCs w:val="24"/>
          <w14:textFill>
            <w14:solidFill>
              <w14:schemeClr w14:val="tx1"/>
            </w14:solidFill>
          </w14:textFill>
        </w:rPr>
      </w:pPr>
      <w:r>
        <w:rPr>
          <w:rFonts w:ascii="楷体" w:hAnsi="楷体" w:eastAsia="楷体" w:cs="宋体"/>
          <w:color w:val="000000" w:themeColor="text1"/>
          <w:sz w:val="24"/>
          <w:szCs w:val="24"/>
          <w14:textFill>
            <w14:solidFill>
              <w14:schemeClr w14:val="tx1"/>
            </w14:solidFill>
          </w14:textFill>
        </w:rPr>
        <w:t>2.供应商应根据</w:t>
      </w:r>
      <w:r>
        <w:rPr>
          <w:rFonts w:hint="eastAsia" w:ascii="楷体" w:hAnsi="楷体" w:eastAsia="楷体" w:cs="宋体"/>
          <w:color w:val="000000" w:themeColor="text1"/>
          <w:sz w:val="24"/>
          <w:szCs w:val="24"/>
          <w14:textFill>
            <w14:solidFill>
              <w14:schemeClr w14:val="tx1"/>
            </w14:solidFill>
          </w14:textFill>
        </w:rPr>
        <w:t>其参与</w:t>
      </w:r>
      <w:r>
        <w:rPr>
          <w:rFonts w:hint="eastAsia" w:ascii="楷体" w:hAnsi="楷体" w:eastAsia="楷体" w:cs="宋体"/>
          <w:color w:val="000000" w:themeColor="text1"/>
          <w:sz w:val="24"/>
          <w:lang w:bidi="ar"/>
          <w14:textFill>
            <w14:solidFill>
              <w14:schemeClr w14:val="tx1"/>
            </w14:solidFill>
          </w14:textFill>
        </w:rPr>
        <w:t>竞争性谈判</w:t>
      </w:r>
      <w:r>
        <w:rPr>
          <w:rFonts w:hint="eastAsia" w:ascii="楷体" w:hAnsi="楷体" w:eastAsia="楷体" w:cs="宋体"/>
          <w:color w:val="000000" w:themeColor="text1"/>
          <w:sz w:val="24"/>
          <w:szCs w:val="24"/>
          <w14:textFill>
            <w14:solidFill>
              <w14:schemeClr w14:val="tx1"/>
            </w14:solidFill>
          </w14:textFill>
        </w:rPr>
        <w:t>设备的性能指标，对照谈判文件要求，在“偏离说明”中注明“正偏离”、“负偏离”或者“无偏离”。既不属于“正偏离”也不属于“负偏离”即为“无偏离”。</w:t>
      </w:r>
    </w:p>
    <w:p>
      <w:pPr>
        <w:spacing w:line="360" w:lineRule="auto"/>
        <w:ind w:firstLine="480" w:firstLineChars="200"/>
        <w:contextualSpacing/>
        <w:jc w:val="left"/>
        <w:rPr>
          <w:rFonts w:ascii="楷体" w:hAnsi="楷体" w:eastAsia="楷体" w:cs="宋体"/>
          <w:b/>
          <w:bCs/>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3.</w:t>
      </w:r>
      <w:r>
        <w:rPr>
          <w:rFonts w:hint="eastAsia" w:ascii="楷体" w:hAnsi="楷体" w:eastAsia="楷体" w:cs="宋体"/>
          <w:b/>
          <w:bCs/>
          <w:color w:val="000000" w:themeColor="text1"/>
          <w:kern w:val="0"/>
          <w:sz w:val="24"/>
          <w14:textFill>
            <w14:solidFill>
              <w14:schemeClr w14:val="tx1"/>
            </w14:solidFill>
          </w14:textFill>
        </w:rPr>
        <w:t>投标人应当如实填写上表“竞争性谈判响应”处内容，对采购文件提出的要求和条件作出明确响应，列明具体响应数值或内容。供应商须根据实际投标产品特性，对于有具体数值而非范围值的参数，响应时需填写精确参数，如果仅复制采购文件中该参数而未具体响应数值或只注明符合、满足等无具体内容表述的将视为未实质性满足采购文件要求。</w:t>
      </w:r>
    </w:p>
    <w:p>
      <w:pPr>
        <w:pStyle w:val="14"/>
        <w:spacing w:line="360" w:lineRule="auto"/>
        <w:ind w:firstLine="480" w:firstLineChars="200"/>
        <w:contextualSpacing/>
        <w:rPr>
          <w:rFonts w:ascii="楷体" w:hAnsi="楷体" w:eastAsia="楷体" w:cs="宋体"/>
          <w:color w:val="000000" w:themeColor="text1"/>
          <w:sz w:val="24"/>
          <w:szCs w:val="24"/>
          <w14:textFill>
            <w14:solidFill>
              <w14:schemeClr w14:val="tx1"/>
            </w14:solidFill>
          </w14:textFill>
        </w:rPr>
      </w:pPr>
      <w:r>
        <w:rPr>
          <w:rFonts w:hint="eastAsia" w:ascii="楷体" w:hAnsi="楷体" w:eastAsia="楷体" w:cs="宋体"/>
          <w:color w:val="000000" w:themeColor="text1"/>
          <w:sz w:val="24"/>
          <w:szCs w:val="24"/>
          <w14:textFill>
            <w14:solidFill>
              <w14:schemeClr w14:val="tx1"/>
            </w14:solidFill>
          </w14:textFill>
        </w:rPr>
        <w:t>4</w:t>
      </w:r>
      <w:r>
        <w:rPr>
          <w:rFonts w:ascii="楷体" w:hAnsi="楷体" w:eastAsia="楷体" w:cs="宋体"/>
          <w:color w:val="000000" w:themeColor="text1"/>
          <w:sz w:val="24"/>
          <w:szCs w:val="24"/>
          <w14:textFill>
            <w14:solidFill>
              <w14:schemeClr w14:val="tx1"/>
            </w14:solidFill>
          </w14:textFill>
        </w:rPr>
        <w:t>.供应商认为其</w:t>
      </w:r>
      <w:r>
        <w:rPr>
          <w:rFonts w:hint="eastAsia" w:ascii="楷体" w:hAnsi="楷体" w:eastAsia="楷体" w:cs="宋体"/>
          <w:color w:val="000000" w:themeColor="text1"/>
          <w:sz w:val="24"/>
          <w:lang w:bidi="ar"/>
          <w14:textFill>
            <w14:solidFill>
              <w14:schemeClr w14:val="tx1"/>
            </w14:solidFill>
          </w14:textFill>
        </w:rPr>
        <w:t>竞争性谈判</w:t>
      </w:r>
      <w:r>
        <w:rPr>
          <w:rFonts w:hint="eastAsia" w:ascii="楷体" w:hAnsi="楷体" w:eastAsia="楷体" w:cs="宋体"/>
          <w:color w:val="000000" w:themeColor="text1"/>
          <w:sz w:val="24"/>
          <w:szCs w:val="24"/>
          <w14:textFill>
            <w14:solidFill>
              <w14:schemeClr w14:val="tx1"/>
            </w14:solidFill>
          </w14:textFill>
        </w:rPr>
        <w:t>响应有正偏离的，请在技术要求偏离表中列明，且在响应文件中提供参与</w:t>
      </w:r>
      <w:r>
        <w:rPr>
          <w:rFonts w:hint="eastAsia" w:ascii="楷体" w:hAnsi="楷体" w:eastAsia="楷体" w:cs="宋体"/>
          <w:color w:val="000000" w:themeColor="text1"/>
          <w:sz w:val="24"/>
          <w:lang w:bidi="ar"/>
          <w14:textFill>
            <w14:solidFill>
              <w14:schemeClr w14:val="tx1"/>
            </w14:solidFill>
          </w14:textFill>
        </w:rPr>
        <w:t>竞争性谈判</w:t>
      </w:r>
      <w:r>
        <w:rPr>
          <w:rFonts w:hint="eastAsia" w:ascii="楷体" w:hAnsi="楷体" w:eastAsia="楷体" w:cs="宋体"/>
          <w:color w:val="000000" w:themeColor="text1"/>
          <w:sz w:val="24"/>
          <w:szCs w:val="24"/>
          <w14:textFill>
            <w14:solidFill>
              <w14:schemeClr w14:val="tx1"/>
            </w14:solidFill>
          </w14:textFill>
        </w:rPr>
        <w:t>产品的彩页或国家认可有资质的第三方检测机构出具的检测报告复印件或产品生产厂家出具的技术参数说明证明作为佐证，以上佐证材料均需加盖生产厂家或代理商（附生产厂家授权资料）公章。</w:t>
      </w:r>
    </w:p>
    <w:p>
      <w:pPr>
        <w:pStyle w:val="14"/>
        <w:spacing w:line="360" w:lineRule="auto"/>
        <w:ind w:firstLine="480" w:firstLineChars="200"/>
        <w:contextualSpacing/>
        <w:rPr>
          <w:rFonts w:ascii="楷体" w:hAnsi="楷体" w:eastAsia="楷体" w:cs="宋体"/>
          <w:color w:val="000000" w:themeColor="text1"/>
          <w:sz w:val="24"/>
          <w:szCs w:val="24"/>
          <w14:textFill>
            <w14:solidFill>
              <w14:schemeClr w14:val="tx1"/>
            </w14:solidFill>
          </w14:textFill>
        </w:rPr>
      </w:pPr>
      <w:r>
        <w:rPr>
          <w:rFonts w:hint="eastAsia" w:ascii="楷体" w:hAnsi="楷体" w:eastAsia="楷体" w:cs="宋体"/>
          <w:color w:val="000000" w:themeColor="text1"/>
          <w:sz w:val="24"/>
          <w:szCs w:val="24"/>
          <w14:textFill>
            <w14:solidFill>
              <w14:schemeClr w14:val="tx1"/>
            </w14:solidFill>
          </w14:textFill>
        </w:rPr>
        <w:t>5</w:t>
      </w:r>
      <w:r>
        <w:rPr>
          <w:rFonts w:ascii="楷体" w:hAnsi="楷体" w:eastAsia="楷体" w:cs="宋体"/>
          <w:color w:val="000000" w:themeColor="text1"/>
          <w:sz w:val="24"/>
          <w:szCs w:val="24"/>
          <w14:textFill>
            <w14:solidFill>
              <w14:schemeClr w14:val="tx1"/>
            </w14:solidFill>
          </w14:textFill>
        </w:rPr>
        <w:t>.</w:t>
      </w:r>
      <w:r>
        <w:rPr>
          <w:rFonts w:hint="eastAsia" w:ascii="楷体" w:hAnsi="楷体" w:eastAsia="楷体" w:cs="宋体"/>
          <w:color w:val="000000" w:themeColor="text1"/>
          <w:sz w:val="24"/>
          <w:szCs w:val="24"/>
          <w14:textFill>
            <w14:solidFill>
              <w14:schemeClr w14:val="tx1"/>
            </w14:solidFill>
          </w14:textFill>
        </w:rPr>
        <w:t>如技术要求偏离表中的</w:t>
      </w:r>
      <w:r>
        <w:rPr>
          <w:rFonts w:hint="eastAsia" w:ascii="楷体" w:hAnsi="楷体" w:eastAsia="楷体" w:cs="宋体"/>
          <w:color w:val="000000" w:themeColor="text1"/>
          <w:sz w:val="24"/>
          <w:lang w:bidi="ar"/>
          <w14:textFill>
            <w14:solidFill>
              <w14:schemeClr w14:val="tx1"/>
            </w14:solidFill>
          </w14:textFill>
        </w:rPr>
        <w:t>竞争性谈判</w:t>
      </w:r>
      <w:r>
        <w:rPr>
          <w:rFonts w:hint="eastAsia" w:ascii="楷体" w:hAnsi="楷体" w:eastAsia="楷体" w:cs="宋体"/>
          <w:color w:val="000000" w:themeColor="text1"/>
          <w:sz w:val="24"/>
          <w:szCs w:val="24"/>
          <w14:textFill>
            <w14:solidFill>
              <w14:schemeClr w14:val="tx1"/>
            </w14:solidFill>
          </w14:textFill>
        </w:rPr>
        <w:t>响应与佐证材料不一致的，以佐证材料为准。</w:t>
      </w:r>
    </w:p>
    <w:p>
      <w:pPr>
        <w:pStyle w:val="14"/>
        <w:spacing w:line="360" w:lineRule="auto"/>
        <w:ind w:firstLine="480" w:firstLineChars="200"/>
        <w:contextualSpacing/>
        <w:rPr>
          <w:rFonts w:ascii="宋体" w:hAnsi="宋体" w:eastAsia="楷体" w:cs="宋体"/>
          <w:color w:val="000000" w:themeColor="text1"/>
          <w:sz w:val="24"/>
          <w:szCs w:val="24"/>
          <w14:textFill>
            <w14:solidFill>
              <w14:schemeClr w14:val="tx1"/>
            </w14:solidFill>
          </w14:textFill>
        </w:rPr>
      </w:pPr>
      <w:r>
        <w:rPr>
          <w:rFonts w:hint="eastAsia" w:ascii="楷体" w:hAnsi="楷体" w:eastAsia="楷体" w:cs="宋体"/>
          <w:color w:val="000000" w:themeColor="text1"/>
          <w:sz w:val="24"/>
          <w:szCs w:val="24"/>
          <w14:textFill>
            <w14:solidFill>
              <w14:schemeClr w14:val="tx1"/>
            </w14:solidFill>
          </w14:textFill>
        </w:rPr>
        <w:t>6.表格内容均需按要求填写并盖公章，不得留空，否则按响应无效处理 。</w:t>
      </w: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contextualSpacing/>
        <w:jc w:val="center"/>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法定代表人或者委托代理人（签字）：</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pPr>
        <w:spacing w:line="360" w:lineRule="auto"/>
        <w:ind w:firstLine="2880" w:firstLineChars="1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供应商（公章）：</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ind w:firstLine="2880" w:firstLineChars="1200"/>
        <w:contextualSpacing/>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其他文书、文件格式</w:t>
      </w:r>
    </w:p>
    <w:p>
      <w:pPr>
        <w:adjustRightInd w:val="0"/>
        <w:snapToGrid w:val="0"/>
        <w:spacing w:line="360" w:lineRule="auto"/>
        <w:jc w:val="center"/>
        <w:rPr>
          <w:rFonts w:ascii="宋体" w:hAnsi="宋体" w:cs="宋体"/>
          <w:b/>
          <w:bCs/>
          <w:color w:val="000000" w:themeColor="text1"/>
          <w:sz w:val="44"/>
          <w:szCs w:val="44"/>
          <w14:textFill>
            <w14:solidFill>
              <w14:schemeClr w14:val="tx1"/>
            </w14:solidFill>
          </w14:textFill>
        </w:rPr>
      </w:pPr>
      <w:bookmarkStart w:id="45" w:name="_Toc71365383"/>
      <w:bookmarkStart w:id="46" w:name="_Toc71366061"/>
      <w:r>
        <w:rPr>
          <w:rFonts w:hint="eastAsia" w:ascii="宋体" w:hAnsi="宋体" w:cs="宋体"/>
          <w:b/>
          <w:bCs/>
          <w:color w:val="000000" w:themeColor="text1"/>
          <w:sz w:val="44"/>
          <w:szCs w:val="44"/>
          <w14:textFill>
            <w14:solidFill>
              <w14:schemeClr w14:val="tx1"/>
            </w14:solidFill>
          </w14:textFill>
        </w:rPr>
        <w:t>中小企业声明函（货物）</w:t>
      </w:r>
      <w:bookmarkEnd w:id="45"/>
      <w:bookmarkEnd w:id="46"/>
    </w:p>
    <w:p>
      <w:pPr>
        <w:spacing w:line="360" w:lineRule="auto"/>
        <w:rPr>
          <w:rFonts w:ascii="宋体" w:hAnsi="宋体" w:cs="宋体"/>
          <w:color w:val="000000" w:themeColor="text1"/>
          <w14:textFill>
            <w14:solidFill>
              <w14:schemeClr w14:val="tx1"/>
            </w14:solidFill>
          </w14:textFill>
        </w:rPr>
      </w:pPr>
    </w:p>
    <w:p>
      <w:pPr>
        <w:pStyle w:val="12"/>
        <w:spacing w:after="0" w:line="360" w:lineRule="auto"/>
        <w:ind w:firstLine="64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u w:val="single"/>
          <w14:textFill>
            <w14:solidFill>
              <w14:schemeClr w14:val="tx1"/>
            </w14:solidFill>
          </w14:textFill>
        </w:rPr>
        <w:t>（广西大学）</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firstLine="655"/>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行业；制造商为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pPr>
        <w:tabs>
          <w:tab w:val="left" w:pos="1065"/>
          <w:tab w:val="left" w:pos="6477"/>
        </w:tabs>
        <w:spacing w:line="360" w:lineRule="auto"/>
        <w:ind w:firstLine="655"/>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行业；制造商为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pPr>
        <w:pStyle w:val="12"/>
        <w:spacing w:after="0" w:line="360" w:lineRule="auto"/>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12"/>
        <w:spacing w:after="0" w:line="360" w:lineRule="auto"/>
        <w:ind w:firstLine="453" w:firstLineChars="189"/>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pStyle w:val="12"/>
        <w:spacing w:after="0" w:line="360" w:lineRule="auto"/>
        <w:ind w:firstLine="567"/>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pStyle w:val="12"/>
        <w:spacing w:after="0" w:line="360" w:lineRule="auto"/>
        <w:contextualSpacing/>
        <w:rPr>
          <w:rFonts w:ascii="宋体" w:hAnsi="宋体" w:cs="宋体"/>
          <w:color w:val="000000" w:themeColor="text1"/>
          <w:sz w:val="24"/>
          <w14:textFill>
            <w14:solidFill>
              <w14:schemeClr w14:val="tx1"/>
            </w14:solidFill>
          </w14:textFill>
        </w:rPr>
      </w:pPr>
    </w:p>
    <w:p>
      <w:pPr>
        <w:pStyle w:val="12"/>
        <w:spacing w:after="0" w:line="360" w:lineRule="auto"/>
        <w:ind w:firstLine="3360" w:firstLineChars="1400"/>
        <w:contextualSpacing/>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企业名称（公章）： </w:t>
      </w:r>
      <w:r>
        <w:rPr>
          <w:rFonts w:ascii="宋体" w:hAnsi="宋体" w:cs="宋体"/>
          <w:color w:val="000000" w:themeColor="text1"/>
          <w:sz w:val="24"/>
          <w:u w:val="single"/>
          <w14:textFill>
            <w14:solidFill>
              <w14:schemeClr w14:val="tx1"/>
            </w14:solidFill>
          </w14:textFill>
        </w:rPr>
        <w:t xml:space="preserve">                   </w:t>
      </w:r>
    </w:p>
    <w:p>
      <w:pPr>
        <w:pStyle w:val="12"/>
        <w:spacing w:after="0" w:line="360" w:lineRule="auto"/>
        <w:ind w:firstLine="3360" w:firstLineChars="14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p>
    <w:p>
      <w:pPr>
        <w:pStyle w:val="12"/>
        <w:spacing w:after="0" w:line="360" w:lineRule="auto"/>
        <w:contextualSpacing/>
        <w:rPr>
          <w:rFonts w:ascii="宋体" w:hAnsi="宋体" w:cs="宋体"/>
          <w:color w:val="000000" w:themeColor="text1"/>
          <w14:textFill>
            <w14:solidFill>
              <w14:schemeClr w14:val="tx1"/>
            </w14:solidFill>
          </w14:textFill>
        </w:rPr>
      </w:pPr>
    </w:p>
    <w:p>
      <w:pPr>
        <w:spacing w:line="360" w:lineRule="auto"/>
        <w:contextualSpacing/>
        <w:jc w:val="left"/>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注：</w:t>
      </w:r>
    </w:p>
    <w:p>
      <w:pPr>
        <w:spacing w:line="360" w:lineRule="auto"/>
        <w:ind w:firstLine="480" w:firstLineChars="200"/>
        <w:contextualSpacing/>
        <w:jc w:val="left"/>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享受《政府采购促进中小企业发展管理办法》（财库〔</w:t>
      </w:r>
      <w:r>
        <w:rPr>
          <w:rFonts w:ascii="楷体" w:hAnsi="楷体" w:eastAsia="楷体" w:cs="宋体"/>
          <w:color w:val="000000" w:themeColor="text1"/>
          <w:sz w:val="24"/>
          <w14:textFill>
            <w14:solidFill>
              <w14:schemeClr w14:val="tx1"/>
            </w14:solidFill>
          </w14:textFill>
        </w:rPr>
        <w:t>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360" w:lineRule="auto"/>
        <w:contextualSpacing/>
        <w:jc w:val="center"/>
        <w:rPr>
          <w:rFonts w:ascii="宋体" w:hAnsi="宋体" w:cs="宋体"/>
          <w:color w:val="000000" w:themeColor="text1"/>
          <w:sz w:val="24"/>
          <w14:textFill>
            <w14:solidFill>
              <w14:schemeClr w14:val="tx1"/>
            </w14:solidFill>
          </w14:textFill>
        </w:rPr>
      </w:pPr>
    </w:p>
    <w:p>
      <w:pPr>
        <w:spacing w:line="360" w:lineRule="auto"/>
        <w:contextualSpacing/>
        <w:jc w:val="center"/>
        <w:rPr>
          <w:rFonts w:ascii="宋体" w:hAnsi="宋体" w:cs="宋体"/>
          <w:color w:val="000000" w:themeColor="text1"/>
          <w:sz w:val="24"/>
          <w14:textFill>
            <w14:solidFill>
              <w14:schemeClr w14:val="tx1"/>
            </w14:solidFill>
          </w14:textFill>
        </w:rPr>
      </w:pPr>
    </w:p>
    <w:p>
      <w:pPr>
        <w:spacing w:line="360" w:lineRule="auto"/>
        <w:ind w:firstLine="800" w:firstLineChars="250"/>
        <w:jc w:val="center"/>
        <w:rPr>
          <w:rFonts w:ascii="宋体" w:hAnsi="宋体" w:cs="宋体"/>
          <w:b/>
          <w:color w:val="000000" w:themeColor="text1"/>
          <w:sz w:val="32"/>
          <w:szCs w:val="32"/>
          <w14:textFill>
            <w14:solidFill>
              <w14:schemeClr w14:val="tx1"/>
            </w14:solidFill>
          </w14:textFill>
        </w:rPr>
      </w:pPr>
      <w:r>
        <w:rPr>
          <w:rFonts w:hint="eastAsia" w:hAnsi="宋体" w:cs="宋体"/>
          <w:color w:val="000000" w:themeColor="text1"/>
          <w:sz w:val="32"/>
          <w:szCs w:val="32"/>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残疾人福利性单位声明函</w:t>
      </w:r>
    </w:p>
    <w:p>
      <w:pPr>
        <w:spacing w:line="360" w:lineRule="auto"/>
        <w:rPr>
          <w:rFonts w:ascii="宋体" w:hAnsi="宋体" w:cs="宋体"/>
          <w:color w:val="000000" w:themeColor="text1"/>
          <w:sz w:val="32"/>
          <w:szCs w:val="32"/>
          <w14:textFill>
            <w14:solidFill>
              <w14:schemeClr w14:val="tx1"/>
            </w14:solidFill>
          </w14:textFill>
        </w:rPr>
      </w:pP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单位的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本单位对上述声明的真实性负责。如有虚假，将依法承担相应责任。</w:t>
      </w: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ind w:firstLine="3600" w:firstLineChars="1500"/>
        <w:contextualSpacing/>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单位名称（公章）：</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pPr>
        <w:spacing w:line="360" w:lineRule="auto"/>
        <w:ind w:firstLine="3600" w:firstLineChars="15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contextualSpacing/>
        <w:rPr>
          <w:rFonts w:ascii="宋体" w:hAnsi="宋体" w:cs="宋体"/>
          <w:color w:val="000000" w:themeColor="text1"/>
          <w:sz w:val="24"/>
          <w14:textFill>
            <w14:solidFill>
              <w14:schemeClr w14:val="tx1"/>
            </w14:solidFill>
          </w14:textFill>
        </w:rPr>
      </w:pPr>
    </w:p>
    <w:p>
      <w:pPr>
        <w:spacing w:line="360" w:lineRule="auto"/>
        <w:contextualSpacing/>
        <w:rPr>
          <w:rFonts w:ascii="楷体" w:hAnsi="楷体" w:eastAsia="楷体" w:cs="宋体"/>
          <w:b/>
          <w:color w:val="000000" w:themeColor="text1"/>
          <w:sz w:val="24"/>
          <w14:textFill>
            <w14:solidFill>
              <w14:schemeClr w14:val="tx1"/>
            </w14:solidFill>
          </w14:textFill>
        </w:rPr>
      </w:pPr>
      <w:r>
        <w:rPr>
          <w:rFonts w:hint="eastAsia" w:ascii="楷体" w:hAnsi="楷体" w:eastAsia="楷体" w:cs="宋体"/>
          <w:b/>
          <w:color w:val="000000" w:themeColor="text1"/>
          <w:sz w:val="24"/>
          <w14:textFill>
            <w14:solidFill>
              <w14:schemeClr w14:val="tx1"/>
            </w14:solidFill>
          </w14:textFill>
        </w:rPr>
        <w:t>注：</w:t>
      </w:r>
    </w:p>
    <w:p>
      <w:pPr>
        <w:spacing w:line="360" w:lineRule="auto"/>
        <w:ind w:firstLine="480" w:firstLineChars="200"/>
        <w:contextualSpacing/>
        <w:rPr>
          <w:rFonts w:ascii="楷体" w:hAnsi="楷体" w:eastAsia="楷体" w:cs="宋体"/>
          <w:color w:val="000000" w:themeColor="text1"/>
          <w:sz w:val="24"/>
          <w14:textFill>
            <w14:solidFill>
              <w14:schemeClr w14:val="tx1"/>
            </w14:solidFill>
          </w14:textFill>
        </w:rPr>
      </w:pPr>
      <w:r>
        <w:rPr>
          <w:rFonts w:hint="eastAsia" w:ascii="楷体" w:hAnsi="楷体" w:eastAsia="楷体" w:cs="宋体"/>
          <w:color w:val="000000" w:themeColor="text1"/>
          <w:sz w:val="24"/>
          <w14:textFill>
            <w14:solidFill>
              <w14:schemeClr w14:val="tx1"/>
            </w14:solidFill>
          </w14:textFill>
        </w:rPr>
        <w:t>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pStyle w:val="25"/>
        <w:widowControl/>
        <w:shd w:val="clear" w:color="auto" w:fill="FFFFFF"/>
        <w:spacing w:before="30" w:after="30"/>
        <w:jc w:val="center"/>
        <w:rPr>
          <w:rFonts w:ascii="宋体" w:hAnsi="宋体" w:cs="宋体"/>
          <w:b/>
          <w:color w:val="000000" w:themeColor="text1"/>
          <w:kern w:val="2"/>
          <w:sz w:val="30"/>
          <w:szCs w:val="30"/>
          <w14:textFill>
            <w14:solidFill>
              <w14:schemeClr w14:val="tx1"/>
            </w14:solidFill>
          </w14:textFill>
        </w:rPr>
      </w:pPr>
    </w:p>
    <w:p>
      <w:pPr>
        <w:pStyle w:val="25"/>
        <w:widowControl/>
        <w:shd w:val="clear" w:color="auto" w:fill="FFFFFF"/>
        <w:spacing w:before="30" w:after="30"/>
        <w:jc w:val="center"/>
        <w:rPr>
          <w:rFonts w:ascii="宋体" w:hAnsi="宋体" w:cs="宋体"/>
          <w:color w:val="000000" w:themeColor="text1"/>
          <w:kern w:val="2"/>
          <w14:textFill>
            <w14:solidFill>
              <w14:schemeClr w14:val="tx1"/>
            </w14:solidFill>
          </w14:textFill>
        </w:rPr>
      </w:pPr>
      <w:r>
        <w:rPr>
          <w:rFonts w:hint="eastAsia" w:ascii="宋体" w:hAnsi="宋体" w:cs="宋体"/>
          <w:b/>
          <w:color w:val="000000" w:themeColor="text1"/>
          <w:kern w:val="2"/>
          <w:sz w:val="30"/>
          <w:szCs w:val="30"/>
          <w14:textFill>
            <w14:solidFill>
              <w14:schemeClr w14:val="tx1"/>
            </w14:solidFill>
          </w14:textFill>
        </w:rPr>
        <w:t>关于符合本国产品标准的声明函</w:t>
      </w:r>
    </w:p>
    <w:p>
      <w:pPr>
        <w:pStyle w:val="25"/>
        <w:widowControl/>
        <w:shd w:val="clear" w:color="auto" w:fill="FFFFFF"/>
        <w:spacing w:before="30" w:after="30"/>
        <w:ind w:firstLine="420"/>
        <w:rPr>
          <w:rFonts w:ascii="宋体" w:hAnsi="宋体" w:cs="宋体"/>
          <w:color w:val="000000" w:themeColor="text1"/>
          <w:kern w:val="2"/>
          <w14:textFill>
            <w14:solidFill>
              <w14:schemeClr w14:val="tx1"/>
            </w14:solidFill>
          </w14:textFill>
        </w:rPr>
      </w:pPr>
    </w:p>
    <w:p>
      <w:pPr>
        <w:pStyle w:val="25"/>
        <w:widowControl/>
        <w:shd w:val="clear" w:color="auto" w:fill="FFFFFF"/>
        <w:spacing w:before="30" w:after="30" w:line="360" w:lineRule="auto"/>
        <w:ind w:firstLine="42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pStyle w:val="25"/>
        <w:widowControl/>
        <w:shd w:val="clear" w:color="auto" w:fill="FFFFFF"/>
        <w:spacing w:before="30" w:after="30" w:line="360" w:lineRule="auto"/>
        <w:ind w:firstLine="42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w:t>
      </w:r>
      <w:r>
        <w:rPr>
          <w:rStyle w:val="33"/>
          <w:rFonts w:hint="eastAsia" w:ascii="宋体" w:hAnsi="宋体" w:cs="宋体"/>
          <w:i w:val="0"/>
          <w:color w:val="000000" w:themeColor="text1"/>
          <w:u w:val="single"/>
          <w:shd w:val="clear" w:color="auto" w:fill="FFFFFF"/>
          <w14:textFill>
            <w14:solidFill>
              <w14:schemeClr w14:val="tx1"/>
            </w14:solidFill>
          </w14:textFill>
        </w:rPr>
        <w:t>（产品名称1）</w:t>
      </w:r>
      <w:r>
        <w:rPr>
          <w:rStyle w:val="33"/>
          <w:rFonts w:hint="eastAsia" w:ascii="宋体" w:hAnsi="宋体" w:cs="宋体"/>
          <w:i w:val="0"/>
          <w:color w:val="000000" w:themeColor="text1"/>
          <w:shd w:val="clear" w:color="auto" w:fill="FFFFFF"/>
          <w:vertAlign w:val="superscript"/>
          <w14:textFill>
            <w14:solidFill>
              <w14:schemeClr w14:val="tx1"/>
            </w14:solidFill>
          </w14:textFill>
        </w:rPr>
        <w:t>1</w:t>
      </w:r>
      <w:r>
        <w:rPr>
          <w:rFonts w:hint="eastAsia" w:ascii="宋体" w:hAnsi="宋体" w:cs="宋体"/>
          <w:color w:val="000000" w:themeColor="text1"/>
          <w:shd w:val="clear" w:color="auto" w:fill="FFFFFF"/>
          <w14:textFill>
            <w14:solidFill>
              <w14:schemeClr w14:val="tx1"/>
            </w14:solidFill>
          </w14:textFill>
        </w:rPr>
        <w:t>，生产厂为</w:t>
      </w:r>
      <w:r>
        <w:rPr>
          <w:rStyle w:val="33"/>
          <w:rFonts w:hint="eastAsia" w:ascii="宋体" w:hAnsi="宋体" w:cs="宋体"/>
          <w:i w:val="0"/>
          <w:color w:val="000000" w:themeColor="text1"/>
          <w:u w:val="single"/>
          <w:shd w:val="clear" w:color="auto" w:fill="FFFFFF"/>
          <w14:textFill>
            <w14:solidFill>
              <w14:schemeClr w14:val="tx1"/>
            </w14:solidFill>
          </w14:textFill>
        </w:rPr>
        <w:t>（厂名）</w:t>
      </w:r>
      <w:r>
        <w:rPr>
          <w:rStyle w:val="33"/>
          <w:rFonts w:hint="eastAsia" w:ascii="宋体" w:hAnsi="宋体" w:cs="宋体"/>
          <w:i w:val="0"/>
          <w:color w:val="000000" w:themeColor="text1"/>
          <w:shd w:val="clear" w:color="auto" w:fill="FFFFFF"/>
          <w:vertAlign w:val="superscript"/>
          <w14:textFill>
            <w14:solidFill>
              <w14:schemeClr w14:val="tx1"/>
            </w14:solidFill>
          </w14:textFill>
        </w:rPr>
        <w:t>2</w:t>
      </w:r>
      <w:r>
        <w:rPr>
          <w:rFonts w:hint="eastAsia" w:ascii="宋体" w:hAnsi="宋体" w:cs="宋体"/>
          <w:color w:val="000000" w:themeColor="text1"/>
          <w:shd w:val="clear" w:color="auto" w:fill="FFFFFF"/>
          <w14:textFill>
            <w14:solidFill>
              <w14:schemeClr w14:val="tx1"/>
            </w14:solidFill>
          </w14:textFill>
        </w:rPr>
        <w:t>，厂址为</w:t>
      </w:r>
      <w:r>
        <w:rPr>
          <w:rStyle w:val="33"/>
          <w:rFonts w:hint="eastAsia" w:ascii="宋体" w:hAnsi="宋体" w:cs="宋体"/>
          <w:i w:val="0"/>
          <w:color w:val="000000" w:themeColor="text1"/>
          <w:u w:val="single"/>
          <w:shd w:val="clear" w:color="auto" w:fill="FFFFFF"/>
          <w14:textFill>
            <w14:solidFill>
              <w14:schemeClr w14:val="tx1"/>
            </w14:solidFill>
          </w14:textFill>
        </w:rPr>
        <w:t>（生产厂址）</w:t>
      </w:r>
      <w:r>
        <w:rPr>
          <w:rFonts w:hint="eastAsia" w:ascii="宋体" w:hAnsi="宋体" w:cs="宋体"/>
          <w:color w:val="000000" w:themeColor="text1"/>
          <w:shd w:val="clear" w:color="auto" w:fill="FFFFFF"/>
          <w14:textFill>
            <w14:solidFill>
              <w14:schemeClr w14:val="tx1"/>
            </w14:solidFill>
          </w14:textFill>
        </w:rPr>
        <w:t>。</w:t>
      </w:r>
      <w:r>
        <w:rPr>
          <w:rStyle w:val="33"/>
          <w:rFonts w:hint="eastAsia" w:ascii="宋体" w:hAnsi="宋体" w:cs="宋体"/>
          <w:i w:val="0"/>
          <w:color w:val="000000" w:themeColor="text1"/>
          <w:u w:val="single"/>
          <w:shd w:val="clear" w:color="auto" w:fill="FFFFFF"/>
          <w14:textFill>
            <w14:solidFill>
              <w14:schemeClr w14:val="tx1"/>
            </w14:solidFill>
          </w14:textFill>
        </w:rPr>
        <w:t>（产品名称1）</w:t>
      </w:r>
      <w:r>
        <w:rPr>
          <w:rFonts w:hint="eastAsia" w:ascii="宋体" w:hAnsi="宋体" w:cs="宋体"/>
          <w:color w:val="000000" w:themeColor="text1"/>
          <w:shd w:val="clear" w:color="auto" w:fill="FFFFFF"/>
          <w14:textFill>
            <w14:solidFill>
              <w14:schemeClr w14:val="tx1"/>
            </w14:solidFill>
          </w14:textFill>
        </w:rPr>
        <w:t>的中国境内生产的组件成本占比≥</w:t>
      </w:r>
      <w:r>
        <w:rPr>
          <w:rStyle w:val="33"/>
          <w:rFonts w:hint="eastAsia" w:ascii="宋体" w:hAnsi="宋体" w:cs="宋体"/>
          <w:i w:val="0"/>
          <w:color w:val="000000" w:themeColor="text1"/>
          <w:u w:val="single"/>
          <w:shd w:val="clear" w:color="auto" w:fill="FFFFFF"/>
          <w14:textFill>
            <w14:solidFill>
              <w14:schemeClr w14:val="tx1"/>
            </w14:solidFill>
          </w14:textFill>
        </w:rPr>
        <w:t>（规定比例）</w:t>
      </w:r>
      <w:r>
        <w:rPr>
          <w:rStyle w:val="33"/>
          <w:rFonts w:hint="eastAsia" w:ascii="宋体" w:hAnsi="宋体" w:cs="宋体"/>
          <w:i w:val="0"/>
          <w:color w:val="000000" w:themeColor="text1"/>
          <w:shd w:val="clear" w:color="auto" w:fill="FFFFFF"/>
          <w:vertAlign w:val="superscript"/>
          <w14:textFill>
            <w14:solidFill>
              <w14:schemeClr w14:val="tx1"/>
            </w14:solidFill>
          </w14:textFill>
        </w:rPr>
        <w:t>3</w:t>
      </w:r>
      <w:r>
        <w:rPr>
          <w:rFonts w:hint="eastAsia" w:ascii="宋体" w:hAnsi="宋体" w:cs="宋体"/>
          <w:color w:val="000000" w:themeColor="text1"/>
          <w:shd w:val="clear" w:color="auto" w:fill="FFFFFF"/>
          <w14:textFill>
            <w14:solidFill>
              <w14:schemeClr w14:val="tx1"/>
            </w14:solidFill>
          </w14:textFill>
        </w:rPr>
        <w:t>。</w:t>
      </w:r>
      <w:r>
        <w:rPr>
          <w:rStyle w:val="33"/>
          <w:rFonts w:hint="eastAsia" w:ascii="宋体" w:hAnsi="宋体" w:cs="宋体"/>
          <w:i w:val="0"/>
          <w:color w:val="000000" w:themeColor="text1"/>
          <w:u w:val="single"/>
          <w:shd w:val="clear" w:color="auto" w:fill="FFFFFF"/>
          <w14:textFill>
            <w14:solidFill>
              <w14:schemeClr w14:val="tx1"/>
            </w14:solidFill>
          </w14:textFill>
        </w:rPr>
        <w:t>（产品名称1）</w:t>
      </w:r>
      <w:r>
        <w:rPr>
          <w:rFonts w:hint="eastAsia" w:ascii="宋体" w:hAnsi="宋体" w:cs="宋体"/>
          <w:color w:val="000000" w:themeColor="text1"/>
          <w:shd w:val="clear" w:color="auto" w:fill="FFFFFF"/>
          <w14:textFill>
            <w14:solidFill>
              <w14:schemeClr w14:val="tx1"/>
            </w14:solidFill>
          </w14:textFill>
        </w:rPr>
        <w:t>的</w:t>
      </w:r>
      <w:r>
        <w:rPr>
          <w:rStyle w:val="33"/>
          <w:rFonts w:hint="eastAsia" w:ascii="宋体" w:hAnsi="宋体" w:cs="宋体"/>
          <w:i w:val="0"/>
          <w:color w:val="000000" w:themeColor="text1"/>
          <w:u w:val="single"/>
          <w:shd w:val="clear" w:color="auto" w:fill="FFFFFF"/>
          <w14:textFill>
            <w14:solidFill>
              <w14:schemeClr w14:val="tx1"/>
            </w14:solidFill>
          </w14:textFill>
        </w:rPr>
        <w:t>（关键组件）</w:t>
      </w:r>
      <w:r>
        <w:rPr>
          <w:rStyle w:val="33"/>
          <w:rFonts w:hint="eastAsia" w:ascii="宋体" w:hAnsi="宋体" w:cs="宋体"/>
          <w:i w:val="0"/>
          <w:color w:val="000000" w:themeColor="text1"/>
          <w:shd w:val="clear" w:color="auto" w:fill="FFFFFF"/>
          <w:vertAlign w:val="superscript"/>
          <w14:textFill>
            <w14:solidFill>
              <w14:schemeClr w14:val="tx1"/>
            </w14:solidFill>
          </w14:textFill>
        </w:rPr>
        <w:t>4</w:t>
      </w:r>
      <w:r>
        <w:rPr>
          <w:rFonts w:hint="eastAsia" w:ascii="宋体" w:hAnsi="宋体" w:cs="宋体"/>
          <w:color w:val="000000" w:themeColor="text1"/>
          <w:shd w:val="clear" w:color="auto" w:fill="FFFFFF"/>
          <w14:textFill>
            <w14:solidFill>
              <w14:schemeClr w14:val="tx1"/>
            </w14:solidFill>
          </w14:textFill>
        </w:rPr>
        <w:t>在中国境内生产。</w:t>
      </w:r>
      <w:r>
        <w:rPr>
          <w:rStyle w:val="33"/>
          <w:rFonts w:hint="eastAsia" w:ascii="宋体" w:hAnsi="宋体" w:cs="宋体"/>
          <w:i w:val="0"/>
          <w:color w:val="000000" w:themeColor="text1"/>
          <w:u w:val="single"/>
          <w:shd w:val="clear" w:color="auto" w:fill="FFFFFF"/>
          <w14:textFill>
            <w14:solidFill>
              <w14:schemeClr w14:val="tx1"/>
            </w14:solidFill>
          </w14:textFill>
        </w:rPr>
        <w:t>（产品名称1）</w:t>
      </w:r>
      <w:r>
        <w:rPr>
          <w:rFonts w:hint="eastAsia" w:ascii="宋体" w:hAnsi="宋体" w:cs="宋体"/>
          <w:color w:val="000000" w:themeColor="text1"/>
          <w:shd w:val="clear" w:color="auto" w:fill="FFFFFF"/>
          <w14:textFill>
            <w14:solidFill>
              <w14:schemeClr w14:val="tx1"/>
            </w14:solidFill>
          </w14:textFill>
        </w:rPr>
        <w:t>的</w:t>
      </w:r>
      <w:r>
        <w:rPr>
          <w:rStyle w:val="33"/>
          <w:rFonts w:hint="eastAsia" w:ascii="宋体" w:hAnsi="宋体" w:cs="宋体"/>
          <w:i w:val="0"/>
          <w:color w:val="000000" w:themeColor="text1"/>
          <w:u w:val="single"/>
          <w:shd w:val="clear" w:color="auto" w:fill="FFFFFF"/>
          <w14:textFill>
            <w14:solidFill>
              <w14:schemeClr w14:val="tx1"/>
            </w14:solidFill>
          </w14:textFill>
        </w:rPr>
        <w:t>（关键工序）</w:t>
      </w:r>
      <w:r>
        <w:rPr>
          <w:rStyle w:val="33"/>
          <w:rFonts w:hint="eastAsia" w:ascii="宋体" w:hAnsi="宋体" w:cs="宋体"/>
          <w:i w:val="0"/>
          <w:color w:val="000000" w:themeColor="text1"/>
          <w:shd w:val="clear" w:color="auto" w:fill="FFFFFF"/>
          <w:vertAlign w:val="superscript"/>
          <w14:textFill>
            <w14:solidFill>
              <w14:schemeClr w14:val="tx1"/>
            </w14:solidFill>
          </w14:textFill>
        </w:rPr>
        <w:t>5</w:t>
      </w:r>
      <w:r>
        <w:rPr>
          <w:rFonts w:hint="eastAsia" w:ascii="宋体" w:hAnsi="宋体" w:cs="宋体"/>
          <w:color w:val="000000" w:themeColor="text1"/>
          <w:shd w:val="clear" w:color="auto" w:fill="FFFFFF"/>
          <w14:textFill>
            <w14:solidFill>
              <w14:schemeClr w14:val="tx1"/>
            </w14:solidFill>
          </w14:textFill>
        </w:rPr>
        <w:t>在中国境内完成。</w:t>
      </w:r>
    </w:p>
    <w:p>
      <w:pPr>
        <w:pStyle w:val="25"/>
        <w:widowControl/>
        <w:shd w:val="clear" w:color="auto" w:fill="FFFFFF"/>
        <w:spacing w:before="30" w:after="30" w:line="360" w:lineRule="auto"/>
        <w:ind w:firstLine="42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w:t>
      </w:r>
      <w:r>
        <w:rPr>
          <w:rStyle w:val="33"/>
          <w:rFonts w:hint="eastAsia" w:ascii="宋体" w:hAnsi="宋体" w:cs="宋体"/>
          <w:i w:val="0"/>
          <w:color w:val="000000" w:themeColor="text1"/>
          <w:u w:val="single"/>
          <w:shd w:val="clear" w:color="auto" w:fill="FFFFFF"/>
          <w14:textFill>
            <w14:solidFill>
              <w14:schemeClr w14:val="tx1"/>
            </w14:solidFill>
          </w14:textFill>
        </w:rPr>
        <w:t>（产品名称2）</w:t>
      </w:r>
      <w:r>
        <w:rPr>
          <w:rFonts w:hint="eastAsia" w:ascii="宋体" w:hAnsi="宋体" w:cs="宋体"/>
          <w:color w:val="000000" w:themeColor="text1"/>
          <w:shd w:val="clear" w:color="auto" w:fill="FFFFFF"/>
          <w14:textFill>
            <w14:solidFill>
              <w14:schemeClr w14:val="tx1"/>
            </w14:solidFill>
          </w14:textFill>
        </w:rPr>
        <w:t>，生产厂为</w:t>
      </w:r>
      <w:r>
        <w:rPr>
          <w:rStyle w:val="33"/>
          <w:rFonts w:hint="eastAsia" w:ascii="宋体" w:hAnsi="宋体" w:cs="宋体"/>
          <w:i w:val="0"/>
          <w:color w:val="000000" w:themeColor="text1"/>
          <w:u w:val="single"/>
          <w:shd w:val="clear" w:color="auto" w:fill="FFFFFF"/>
          <w14:textFill>
            <w14:solidFill>
              <w14:schemeClr w14:val="tx1"/>
            </w14:solidFill>
          </w14:textFill>
        </w:rPr>
        <w:t>（厂名）</w:t>
      </w:r>
      <w:r>
        <w:rPr>
          <w:rFonts w:hint="eastAsia" w:ascii="宋体" w:hAnsi="宋体" w:cs="宋体"/>
          <w:color w:val="000000" w:themeColor="text1"/>
          <w:shd w:val="clear" w:color="auto" w:fill="FFFFFF"/>
          <w14:textFill>
            <w14:solidFill>
              <w14:schemeClr w14:val="tx1"/>
            </w14:solidFill>
          </w14:textFill>
        </w:rPr>
        <w:t>，厂址为</w:t>
      </w:r>
      <w:r>
        <w:rPr>
          <w:rStyle w:val="33"/>
          <w:rFonts w:hint="eastAsia" w:ascii="宋体" w:hAnsi="宋体" w:cs="宋体"/>
          <w:i w:val="0"/>
          <w:color w:val="000000" w:themeColor="text1"/>
          <w:u w:val="single"/>
          <w:shd w:val="clear" w:color="auto" w:fill="FFFFFF"/>
          <w14:textFill>
            <w14:solidFill>
              <w14:schemeClr w14:val="tx1"/>
            </w14:solidFill>
          </w14:textFill>
        </w:rPr>
        <w:t>（生产厂址）</w:t>
      </w:r>
      <w:r>
        <w:rPr>
          <w:rFonts w:hint="eastAsia" w:ascii="宋体" w:hAnsi="宋体" w:cs="宋体"/>
          <w:color w:val="000000" w:themeColor="text1"/>
          <w:shd w:val="clear" w:color="auto" w:fill="FFFFFF"/>
          <w14:textFill>
            <w14:solidFill>
              <w14:schemeClr w14:val="tx1"/>
            </w14:solidFill>
          </w14:textFill>
        </w:rPr>
        <w:t>。</w:t>
      </w:r>
      <w:r>
        <w:rPr>
          <w:rStyle w:val="33"/>
          <w:rFonts w:hint="eastAsia" w:ascii="宋体" w:hAnsi="宋体" w:cs="宋体"/>
          <w:i w:val="0"/>
          <w:color w:val="000000" w:themeColor="text1"/>
          <w:u w:val="single"/>
          <w:shd w:val="clear" w:color="auto" w:fill="FFFFFF"/>
          <w14:textFill>
            <w14:solidFill>
              <w14:schemeClr w14:val="tx1"/>
            </w14:solidFill>
          </w14:textFill>
        </w:rPr>
        <w:t>（产品名称2）</w:t>
      </w:r>
      <w:r>
        <w:rPr>
          <w:rFonts w:hint="eastAsia" w:ascii="宋体" w:hAnsi="宋体" w:cs="宋体"/>
          <w:color w:val="000000" w:themeColor="text1"/>
          <w:shd w:val="clear" w:color="auto" w:fill="FFFFFF"/>
          <w14:textFill>
            <w14:solidFill>
              <w14:schemeClr w14:val="tx1"/>
            </w14:solidFill>
          </w14:textFill>
        </w:rPr>
        <w:t>的中国境内生产的组件成本占比≥</w:t>
      </w:r>
      <w:r>
        <w:rPr>
          <w:rStyle w:val="33"/>
          <w:rFonts w:hint="eastAsia" w:ascii="宋体" w:hAnsi="宋体" w:cs="宋体"/>
          <w:i w:val="0"/>
          <w:color w:val="000000" w:themeColor="text1"/>
          <w:u w:val="single"/>
          <w:shd w:val="clear" w:color="auto" w:fill="FFFFFF"/>
          <w14:textFill>
            <w14:solidFill>
              <w14:schemeClr w14:val="tx1"/>
            </w14:solidFill>
          </w14:textFill>
        </w:rPr>
        <w:t>（规定比例）</w:t>
      </w:r>
      <w:r>
        <w:rPr>
          <w:rFonts w:hint="eastAsia" w:ascii="宋体" w:hAnsi="宋体" w:cs="宋体"/>
          <w:color w:val="000000" w:themeColor="text1"/>
          <w:shd w:val="clear" w:color="auto" w:fill="FFFFFF"/>
          <w14:textFill>
            <w14:solidFill>
              <w14:schemeClr w14:val="tx1"/>
            </w14:solidFill>
          </w14:textFill>
        </w:rPr>
        <w:t>。</w:t>
      </w:r>
      <w:r>
        <w:rPr>
          <w:rStyle w:val="33"/>
          <w:rFonts w:hint="eastAsia" w:ascii="宋体" w:hAnsi="宋体" w:cs="宋体"/>
          <w:i w:val="0"/>
          <w:color w:val="000000" w:themeColor="text1"/>
          <w:u w:val="single"/>
          <w:shd w:val="clear" w:color="auto" w:fill="FFFFFF"/>
          <w14:textFill>
            <w14:solidFill>
              <w14:schemeClr w14:val="tx1"/>
            </w14:solidFill>
          </w14:textFill>
        </w:rPr>
        <w:t>（产品名称2）</w:t>
      </w:r>
      <w:r>
        <w:rPr>
          <w:rFonts w:hint="eastAsia" w:ascii="宋体" w:hAnsi="宋体" w:cs="宋体"/>
          <w:color w:val="000000" w:themeColor="text1"/>
          <w:shd w:val="clear" w:color="auto" w:fill="FFFFFF"/>
          <w14:textFill>
            <w14:solidFill>
              <w14:schemeClr w14:val="tx1"/>
            </w14:solidFill>
          </w14:textFill>
        </w:rPr>
        <w:t>的</w:t>
      </w:r>
      <w:r>
        <w:rPr>
          <w:rStyle w:val="33"/>
          <w:rFonts w:hint="eastAsia" w:ascii="宋体" w:hAnsi="宋体" w:cs="宋体"/>
          <w:i w:val="0"/>
          <w:color w:val="000000" w:themeColor="text1"/>
          <w:u w:val="single"/>
          <w:shd w:val="clear" w:color="auto" w:fill="FFFFFF"/>
          <w14:textFill>
            <w14:solidFill>
              <w14:schemeClr w14:val="tx1"/>
            </w14:solidFill>
          </w14:textFill>
        </w:rPr>
        <w:t>（关键组件）</w:t>
      </w:r>
      <w:r>
        <w:rPr>
          <w:rFonts w:hint="eastAsia" w:ascii="宋体" w:hAnsi="宋体" w:cs="宋体"/>
          <w:color w:val="000000" w:themeColor="text1"/>
          <w:shd w:val="clear" w:color="auto" w:fill="FFFFFF"/>
          <w14:textFill>
            <w14:solidFill>
              <w14:schemeClr w14:val="tx1"/>
            </w14:solidFill>
          </w14:textFill>
        </w:rPr>
        <w:t>在中国境内生产。</w:t>
      </w:r>
      <w:r>
        <w:rPr>
          <w:rStyle w:val="33"/>
          <w:rFonts w:hint="eastAsia" w:ascii="宋体" w:hAnsi="宋体" w:cs="宋体"/>
          <w:i w:val="0"/>
          <w:color w:val="000000" w:themeColor="text1"/>
          <w:u w:val="single"/>
          <w:shd w:val="clear" w:color="auto" w:fill="FFFFFF"/>
          <w14:textFill>
            <w14:solidFill>
              <w14:schemeClr w14:val="tx1"/>
            </w14:solidFill>
          </w14:textFill>
        </w:rPr>
        <w:t>（产品名称2）</w:t>
      </w:r>
      <w:r>
        <w:rPr>
          <w:rFonts w:hint="eastAsia" w:ascii="宋体" w:hAnsi="宋体" w:cs="宋体"/>
          <w:color w:val="000000" w:themeColor="text1"/>
          <w:shd w:val="clear" w:color="auto" w:fill="FFFFFF"/>
          <w14:textFill>
            <w14:solidFill>
              <w14:schemeClr w14:val="tx1"/>
            </w14:solidFill>
          </w14:textFill>
        </w:rPr>
        <w:t>的</w:t>
      </w:r>
      <w:r>
        <w:rPr>
          <w:rStyle w:val="33"/>
          <w:rFonts w:hint="eastAsia" w:ascii="宋体" w:hAnsi="宋体" w:cs="宋体"/>
          <w:i w:val="0"/>
          <w:color w:val="000000" w:themeColor="text1"/>
          <w:u w:val="single"/>
          <w:shd w:val="clear" w:color="auto" w:fill="FFFFFF"/>
          <w14:textFill>
            <w14:solidFill>
              <w14:schemeClr w14:val="tx1"/>
            </w14:solidFill>
          </w14:textFill>
        </w:rPr>
        <w:t>（关键工序）</w:t>
      </w:r>
      <w:r>
        <w:rPr>
          <w:rFonts w:hint="eastAsia" w:ascii="宋体" w:hAnsi="宋体" w:cs="宋体"/>
          <w:color w:val="000000" w:themeColor="text1"/>
          <w:shd w:val="clear" w:color="auto" w:fill="FFFFFF"/>
          <w14:textFill>
            <w14:solidFill>
              <w14:schemeClr w14:val="tx1"/>
            </w14:solidFill>
          </w14:textFill>
        </w:rPr>
        <w:t>在中国境内完成。</w:t>
      </w:r>
    </w:p>
    <w:p>
      <w:pPr>
        <w:pStyle w:val="25"/>
        <w:widowControl/>
        <w:shd w:val="clear" w:color="auto" w:fill="FFFFFF"/>
        <w:spacing w:before="30" w:after="30" w:line="360" w:lineRule="auto"/>
        <w:ind w:firstLine="42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w:t>
      </w:r>
    </w:p>
    <w:p>
      <w:pPr>
        <w:pStyle w:val="25"/>
        <w:widowControl/>
        <w:shd w:val="clear" w:color="auto" w:fill="FFFFFF"/>
        <w:spacing w:before="30" w:after="30" w:line="360" w:lineRule="auto"/>
        <w:ind w:firstLine="42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本公司（单位）对上述声明内容的真实性负责。如有虚假，愿承担相应法律责任。</w:t>
      </w:r>
    </w:p>
    <w:p>
      <w:pPr>
        <w:pStyle w:val="25"/>
        <w:widowControl/>
        <w:shd w:val="clear" w:color="auto" w:fill="FFFFFF"/>
        <w:spacing w:before="30" w:after="30" w:line="360" w:lineRule="auto"/>
        <w:rPr>
          <w:rFonts w:ascii="宋体" w:hAnsi="宋体" w:cs="宋体"/>
          <w:color w:val="000000" w:themeColor="text1"/>
          <w:kern w:val="2"/>
          <w14:textFill>
            <w14:solidFill>
              <w14:schemeClr w14:val="tx1"/>
            </w14:solidFill>
          </w14:textFill>
        </w:rPr>
      </w:pPr>
    </w:p>
    <w:p>
      <w:pPr>
        <w:pStyle w:val="25"/>
        <w:widowControl/>
        <w:shd w:val="clear" w:color="auto" w:fill="FFFFFF"/>
        <w:spacing w:before="30" w:after="30" w:line="360" w:lineRule="auto"/>
        <w:jc w:val="righ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公司（单位）名称（盖章）：　        </w:t>
      </w:r>
    </w:p>
    <w:p>
      <w:pPr>
        <w:pStyle w:val="25"/>
        <w:widowControl/>
        <w:shd w:val="clear" w:color="auto" w:fill="FFFFFF"/>
        <w:spacing w:before="30" w:after="30" w:line="360" w:lineRule="auto"/>
        <w:jc w:val="righ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日期：　     年　  月　  日         </w:t>
      </w:r>
    </w:p>
    <w:p>
      <w:pPr>
        <w:pStyle w:val="25"/>
        <w:widowControl/>
        <w:shd w:val="clear" w:color="auto" w:fill="FFFFFF"/>
        <w:spacing w:before="30" w:after="30" w:line="360" w:lineRule="auto"/>
        <w:jc w:val="lef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__________________</w:t>
      </w:r>
    </w:p>
    <w:p>
      <w:pPr>
        <w:pStyle w:val="25"/>
        <w:widowControl/>
        <w:shd w:val="clear" w:color="auto" w:fill="FFFFFF"/>
        <w:spacing w:before="30" w:after="30" w:line="360" w:lineRule="auto"/>
        <w:ind w:firstLine="42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1.产品如有型号，请在“产品名称”栏一并填写。</w:t>
      </w:r>
    </w:p>
    <w:p>
      <w:pPr>
        <w:pStyle w:val="25"/>
        <w:widowControl/>
        <w:shd w:val="clear" w:color="auto" w:fill="FFFFFF"/>
        <w:spacing w:before="30" w:after="30" w:line="360" w:lineRule="auto"/>
        <w:ind w:firstLine="42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2.生产厂名与厂址应与生产厂营业执照载明的相关信息保持一致。</w:t>
      </w:r>
    </w:p>
    <w:p>
      <w:pPr>
        <w:pStyle w:val="25"/>
        <w:widowControl/>
        <w:shd w:val="clear" w:color="auto" w:fill="FFFFFF"/>
        <w:spacing w:before="30" w:after="30" w:line="360" w:lineRule="auto"/>
        <w:ind w:firstLine="42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3.该产品的中国境内生产的组件成本占比相关要求实施前，“规定比例”栏可不填，下同。</w:t>
      </w:r>
    </w:p>
    <w:p>
      <w:pPr>
        <w:pStyle w:val="25"/>
        <w:widowControl/>
        <w:shd w:val="clear" w:color="auto" w:fill="FFFFFF"/>
        <w:spacing w:before="30" w:after="30" w:line="360" w:lineRule="auto"/>
        <w:ind w:firstLine="42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4.该产品的关键组件要求实施前，“关键组件”栏可不填，下同。</w:t>
      </w:r>
    </w:p>
    <w:p>
      <w:pPr>
        <w:spacing w:line="360" w:lineRule="auto"/>
        <w:ind w:right="42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5.该产品的关键工序要求实施前，“关键工序”栏可不填，下同。</w:t>
      </w:r>
    </w:p>
    <w:p>
      <w:pPr>
        <w:pStyle w:val="25"/>
        <w:widowControl/>
        <w:shd w:val="clear" w:color="auto" w:fill="FFFFFF"/>
        <w:spacing w:before="30" w:after="30"/>
        <w:jc w:val="center"/>
        <w:rPr>
          <w:rFonts w:ascii="宋体" w:hAnsi="宋体" w:cs="宋体"/>
          <w:color w:val="000000" w:themeColor="text1"/>
          <w:shd w:val="clear" w:color="auto" w:fill="FFFFFF"/>
          <w14:textFill>
            <w14:solidFill>
              <w14:schemeClr w14:val="tx1"/>
            </w14:solidFill>
          </w14:textFill>
        </w:rPr>
      </w:pPr>
    </w:p>
    <w:p>
      <w:pPr>
        <w:pStyle w:val="20"/>
        <w:rPr>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14:textFill>
            <w14:solidFill>
              <w14:schemeClr w14:val="tx1"/>
            </w14:solidFill>
          </w14:textFill>
        </w:rPr>
        <w:t>注：成交供应商提供的《声明函》或有关证明文件随成交结果同时公告。</w:t>
      </w:r>
    </w:p>
    <w:p>
      <w:pPr>
        <w:spacing w:line="360" w:lineRule="auto"/>
        <w:jc w:val="center"/>
        <w:rPr>
          <w:rFonts w:ascii="宋体" w:hAnsi="宋体" w:cs="宋体"/>
          <w:color w:val="000000" w:themeColor="text1"/>
          <w:sz w:val="24"/>
          <w14:textFill>
            <w14:solidFill>
              <w14:schemeClr w14:val="tx1"/>
            </w14:solidFill>
          </w14:textFill>
        </w:rPr>
      </w:pPr>
    </w:p>
    <w:p>
      <w:pPr>
        <w:pStyle w:val="2"/>
        <w:ind w:firstLine="480"/>
        <w:rPr>
          <w:rFonts w:ascii="宋体" w:hAnsi="宋体" w:cs="宋体"/>
          <w:color w:val="000000" w:themeColor="text1"/>
          <w:sz w:val="24"/>
          <w14:textFill>
            <w14:solidFill>
              <w14:schemeClr w14:val="tx1"/>
            </w14:solidFill>
          </w14:textFill>
        </w:rPr>
      </w:pPr>
    </w:p>
    <w:p>
      <w:pPr>
        <w:rPr>
          <w:color w:val="000000" w:themeColor="text1"/>
          <w14:textFill>
            <w14:solidFill>
              <w14:schemeClr w14:val="tx1"/>
            </w14:solidFill>
          </w14:textFill>
        </w:rPr>
      </w:pPr>
    </w:p>
    <w:p>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质疑函</w:t>
      </w:r>
      <w:r>
        <w:rPr>
          <w:rFonts w:hint="eastAsia" w:ascii="宋体" w:hAnsi="宋体" w:cs="宋体"/>
          <w:color w:val="000000" w:themeColor="text1"/>
          <w:sz w:val="28"/>
          <w:szCs w:val="28"/>
          <w14:textFill>
            <w14:solidFill>
              <w14:schemeClr w14:val="tx1"/>
            </w14:solidFill>
          </w14:textFill>
        </w:rPr>
        <w:t>（格式。响应文件中不需要提供）</w:t>
      </w:r>
    </w:p>
    <w:p>
      <w:pPr>
        <w:spacing w:line="360" w:lineRule="auto"/>
        <w:jc w:val="center"/>
        <w:rPr>
          <w:rFonts w:ascii="宋体" w:hAnsi="宋体" w:cs="宋体"/>
          <w:b/>
          <w:bCs/>
          <w:color w:val="000000" w:themeColor="text1"/>
          <w:sz w:val="32"/>
          <w:szCs w:val="32"/>
          <w14:textFill>
            <w14:solidFill>
              <w14:schemeClr w14:val="tx1"/>
            </w14:solidFill>
          </w14:textFill>
        </w:rPr>
      </w:pPr>
    </w:p>
    <w:p>
      <w:pPr>
        <w:pStyle w:val="17"/>
        <w:spacing w:line="360" w:lineRule="auto"/>
        <w:ind w:firstLine="482" w:firstLineChars="200"/>
        <w:contextualSpacing/>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一、质疑供应商基本信息：</w:t>
      </w:r>
    </w:p>
    <w:p>
      <w:pPr>
        <w:pStyle w:val="17"/>
        <w:spacing w:line="360" w:lineRule="auto"/>
        <w:ind w:firstLine="480" w:firstLineChars="200"/>
        <w:contextualSpacing/>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质疑供应商：</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 xml:space="preserve">                 </w:t>
      </w:r>
    </w:p>
    <w:p>
      <w:pPr>
        <w:pStyle w:val="17"/>
        <w:spacing w:line="360" w:lineRule="auto"/>
        <w:ind w:firstLine="480" w:firstLineChars="200"/>
        <w:contextualSpacing/>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地址：</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邮编：</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 xml:space="preserve">                 </w:t>
      </w:r>
    </w:p>
    <w:p>
      <w:pPr>
        <w:pStyle w:val="17"/>
        <w:spacing w:line="360" w:lineRule="auto"/>
        <w:ind w:firstLine="480" w:firstLineChars="200"/>
        <w:contextualSpacing/>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联系人：</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联系电话：</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80" w:firstLineChars="200"/>
        <w:contextualSpacing/>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授权代表：</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80" w:firstLineChars="200"/>
        <w:contextualSpacing/>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联系电话：</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80" w:firstLineChars="200"/>
        <w:contextualSpacing/>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地址：</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邮编：</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 xml:space="preserve">     </w:t>
      </w:r>
    </w:p>
    <w:p>
      <w:pPr>
        <w:pStyle w:val="17"/>
        <w:spacing w:line="360" w:lineRule="auto"/>
        <w:ind w:firstLine="482" w:firstLineChars="200"/>
        <w:contextualSpacing/>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二、质疑项目基本情况：</w:t>
      </w:r>
    </w:p>
    <w:p>
      <w:pPr>
        <w:pStyle w:val="17"/>
        <w:spacing w:line="360" w:lineRule="auto"/>
        <w:ind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质疑</w:t>
      </w:r>
      <w:r>
        <w:rPr>
          <w:rFonts w:hint="eastAsia" w:hAnsi="宋体" w:cs="宋体"/>
          <w:color w:val="000000" w:themeColor="text1"/>
          <w:sz w:val="24"/>
          <w:szCs w:val="24"/>
          <w14:textFill>
            <w14:solidFill>
              <w14:schemeClr w14:val="tx1"/>
            </w14:solidFill>
          </w14:textFill>
        </w:rPr>
        <w:t>项目的名称：</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质疑</w:t>
      </w:r>
      <w:r>
        <w:rPr>
          <w:rFonts w:hint="eastAsia" w:hAnsi="宋体" w:cs="宋体"/>
          <w:color w:val="000000" w:themeColor="text1"/>
          <w:sz w:val="24"/>
          <w:szCs w:val="24"/>
          <w14:textFill>
            <w14:solidFill>
              <w14:schemeClr w14:val="tx1"/>
            </w14:solidFill>
          </w14:textFill>
        </w:rPr>
        <w:t>项目的编号：</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采购人名称：</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质疑事项：</w:t>
      </w:r>
    </w:p>
    <w:p>
      <w:pPr>
        <w:pStyle w:val="17"/>
        <w:spacing w:line="360" w:lineRule="auto"/>
        <w:ind w:firstLine="352" w:firstLineChars="14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□采购文件   采购文件获取日期：</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352" w:firstLineChars="14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□采购过程   </w:t>
      </w:r>
    </w:p>
    <w:p>
      <w:pPr>
        <w:pStyle w:val="17"/>
        <w:spacing w:line="360" w:lineRule="auto"/>
        <w:ind w:firstLine="352" w:firstLineChars="147"/>
        <w:contextualSpacing/>
        <w:rPr>
          <w:rFonts w:hAnsi="宋体" w:cs="宋体"/>
          <w:bCs/>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□成交结果   </w:t>
      </w:r>
    </w:p>
    <w:p>
      <w:pPr>
        <w:pStyle w:val="17"/>
        <w:spacing w:line="360" w:lineRule="auto"/>
        <w:ind w:firstLine="472" w:firstLineChars="196"/>
        <w:contextualSpacing/>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三、质疑事项具体内容</w:t>
      </w:r>
    </w:p>
    <w:p>
      <w:pPr>
        <w:pStyle w:val="17"/>
        <w:spacing w:line="360" w:lineRule="auto"/>
        <w:ind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质疑事项1：</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事实依据：</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法律依据：</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质疑事项2</w:t>
      </w:r>
    </w:p>
    <w:p>
      <w:pPr>
        <w:pStyle w:val="17"/>
        <w:spacing w:line="360" w:lineRule="auto"/>
        <w:ind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w:t>
      </w:r>
    </w:p>
    <w:p>
      <w:pPr>
        <w:pStyle w:val="17"/>
        <w:spacing w:line="360" w:lineRule="auto"/>
        <w:ind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四、与质疑事项相关的质疑请求：</w:t>
      </w:r>
    </w:p>
    <w:p>
      <w:pPr>
        <w:pStyle w:val="17"/>
        <w:spacing w:line="360" w:lineRule="auto"/>
        <w:ind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请求：</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352" w:firstLineChars="147"/>
        <w:contextualSpacing/>
        <w:rPr>
          <w:rFonts w:hAnsi="宋体" w:cs="宋体"/>
          <w:color w:val="000000" w:themeColor="text1"/>
          <w:sz w:val="24"/>
          <w:szCs w:val="24"/>
          <w14:textFill>
            <w14:solidFill>
              <w14:schemeClr w14:val="tx1"/>
            </w14:solidFill>
          </w14:textFill>
        </w:rPr>
      </w:pPr>
    </w:p>
    <w:p>
      <w:pPr>
        <w:pStyle w:val="17"/>
        <w:spacing w:line="360" w:lineRule="auto"/>
        <w:ind w:firstLine="472" w:firstLineChars="197"/>
        <w:contextualSpacing/>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签字（签章）：</w:t>
      </w:r>
      <w:r>
        <w:rPr>
          <w:rFonts w:hint="eastAsia" w:hAnsi="宋体" w:cs="宋体"/>
          <w:color w:val="000000" w:themeColor="text1"/>
          <w:sz w:val="24"/>
          <w:szCs w:val="24"/>
          <w:u w:val="single"/>
          <w14:textFill>
            <w14:solidFill>
              <w14:schemeClr w14:val="tx1"/>
            </w14:solidFill>
          </w14:textFill>
        </w:rPr>
        <w:t xml:space="preserve"> </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 xml:space="preserve">                     公章：</w:t>
      </w:r>
      <w:r>
        <w:rPr>
          <w:rFonts w:hint="eastAsia" w:hAnsi="宋体" w:cs="宋体"/>
          <w:color w:val="000000" w:themeColor="text1"/>
          <w:sz w:val="24"/>
          <w:szCs w:val="24"/>
          <w:u w:val="single"/>
          <w14:textFill>
            <w14:solidFill>
              <w14:schemeClr w14:val="tx1"/>
            </w14:solidFill>
          </w14:textFill>
        </w:rPr>
        <w:t xml:space="preserve"> </w:t>
      </w:r>
      <w:r>
        <w:rPr>
          <w:rFonts w:hAnsi="宋体" w:cs="宋体"/>
          <w:color w:val="000000" w:themeColor="text1"/>
          <w:sz w:val="24"/>
          <w:szCs w:val="24"/>
          <w:u w:val="single"/>
          <w14:textFill>
            <w14:solidFill>
              <w14:schemeClr w14:val="tx1"/>
            </w14:solidFill>
          </w14:textFill>
        </w:rPr>
        <w:t xml:space="preserve">                 </w:t>
      </w:r>
    </w:p>
    <w:p>
      <w:pPr>
        <w:pStyle w:val="17"/>
        <w:spacing w:line="360" w:lineRule="auto"/>
        <w:ind w:firstLine="472" w:firstLineChars="197"/>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p>
    <w:p>
      <w:pPr>
        <w:pStyle w:val="17"/>
        <w:spacing w:line="360" w:lineRule="auto"/>
        <w:contextualSpacing/>
        <w:rPr>
          <w:rFonts w:hAnsi="宋体" w:cs="宋体"/>
          <w:b/>
          <w:color w:val="000000" w:themeColor="text1"/>
          <w:sz w:val="24"/>
          <w:szCs w:val="24"/>
          <w14:textFill>
            <w14:solidFill>
              <w14:schemeClr w14:val="tx1"/>
            </w14:solidFill>
          </w14:textFill>
        </w:rPr>
      </w:pPr>
    </w:p>
    <w:p>
      <w:pPr>
        <w:pStyle w:val="17"/>
        <w:spacing w:line="360" w:lineRule="auto"/>
        <w:contextualSpacing/>
        <w:rPr>
          <w:rFonts w:ascii="楷体" w:hAnsi="楷体" w:eastAsia="楷体" w:cs="宋体"/>
          <w:b/>
          <w:color w:val="000000" w:themeColor="text1"/>
          <w:sz w:val="24"/>
          <w:szCs w:val="24"/>
          <w14:textFill>
            <w14:solidFill>
              <w14:schemeClr w14:val="tx1"/>
            </w14:solidFill>
          </w14:textFill>
        </w:rPr>
      </w:pPr>
      <w:r>
        <w:rPr>
          <w:rFonts w:hint="eastAsia" w:ascii="楷体" w:hAnsi="楷体" w:eastAsia="楷体" w:cs="宋体"/>
          <w:b/>
          <w:color w:val="000000" w:themeColor="text1"/>
          <w:sz w:val="24"/>
          <w:szCs w:val="24"/>
          <w14:textFill>
            <w14:solidFill>
              <w14:schemeClr w14:val="tx1"/>
            </w14:solidFill>
          </w14:textFill>
        </w:rPr>
        <w:t>说明：</w:t>
      </w:r>
    </w:p>
    <w:p>
      <w:pPr>
        <w:pStyle w:val="17"/>
        <w:spacing w:line="360" w:lineRule="auto"/>
        <w:ind w:firstLine="354" w:firstLineChars="147"/>
        <w:contextualSpacing/>
        <w:rPr>
          <w:rFonts w:ascii="楷体" w:hAnsi="楷体" w:eastAsia="楷体" w:cs="宋体"/>
          <w:b/>
          <w:bCs/>
          <w:color w:val="000000" w:themeColor="text1"/>
          <w:sz w:val="24"/>
          <w:szCs w:val="24"/>
          <w14:textFill>
            <w14:solidFill>
              <w14:schemeClr w14:val="tx1"/>
            </w14:solidFill>
          </w14:textFill>
        </w:rPr>
      </w:pPr>
      <w:r>
        <w:rPr>
          <w:rFonts w:ascii="楷体" w:hAnsi="楷体" w:eastAsia="楷体" w:cs="宋体"/>
          <w:b/>
          <w:color w:val="000000" w:themeColor="text1"/>
          <w:sz w:val="24"/>
          <w:szCs w:val="24"/>
          <w14:textFill>
            <w14:solidFill>
              <w14:schemeClr w14:val="tx1"/>
            </w14:solidFill>
          </w14:textFill>
        </w:rPr>
        <w:t>1.供应商提出质疑时，应提交质疑函和必要的证明材料</w:t>
      </w:r>
      <w:r>
        <w:rPr>
          <w:rFonts w:hint="eastAsia" w:ascii="楷体" w:hAnsi="楷体" w:eastAsia="楷体" w:cs="宋体"/>
          <w:b/>
          <w:bCs/>
          <w:color w:val="000000" w:themeColor="text1"/>
          <w:sz w:val="24"/>
          <w:szCs w:val="24"/>
          <w14:textFill>
            <w14:solidFill>
              <w14:schemeClr w14:val="tx1"/>
            </w14:solidFill>
          </w14:textFill>
        </w:rPr>
        <w:t>。</w:t>
      </w:r>
    </w:p>
    <w:p>
      <w:pPr>
        <w:pStyle w:val="17"/>
        <w:spacing w:line="360" w:lineRule="auto"/>
        <w:ind w:firstLine="354" w:firstLineChars="147"/>
        <w:contextualSpacing/>
        <w:rPr>
          <w:rFonts w:ascii="楷体" w:hAnsi="楷体" w:eastAsia="楷体" w:cs="宋体"/>
          <w:b/>
          <w:color w:val="000000" w:themeColor="text1"/>
          <w:sz w:val="24"/>
          <w:szCs w:val="24"/>
          <w14:textFill>
            <w14:solidFill>
              <w14:schemeClr w14:val="tx1"/>
            </w14:solidFill>
          </w14:textFill>
        </w:rPr>
      </w:pPr>
      <w:r>
        <w:rPr>
          <w:rFonts w:ascii="楷体" w:hAnsi="楷体" w:eastAsia="楷体" w:cs="宋体"/>
          <w:b/>
          <w:color w:val="000000" w:themeColor="text1"/>
          <w:sz w:val="24"/>
          <w:szCs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7"/>
        <w:spacing w:line="360" w:lineRule="auto"/>
        <w:ind w:firstLine="354" w:firstLineChars="147"/>
        <w:contextualSpacing/>
        <w:rPr>
          <w:rFonts w:ascii="楷体" w:hAnsi="楷体" w:eastAsia="楷体" w:cs="宋体"/>
          <w:b/>
          <w:color w:val="000000" w:themeColor="text1"/>
          <w:sz w:val="24"/>
          <w:szCs w:val="24"/>
          <w14:textFill>
            <w14:solidFill>
              <w14:schemeClr w14:val="tx1"/>
            </w14:solidFill>
          </w14:textFill>
        </w:rPr>
      </w:pPr>
      <w:r>
        <w:rPr>
          <w:rFonts w:ascii="楷体" w:hAnsi="楷体" w:eastAsia="楷体" w:cs="宋体"/>
          <w:b/>
          <w:color w:val="000000" w:themeColor="text1"/>
          <w:sz w:val="24"/>
          <w:szCs w:val="24"/>
          <w14:textFill>
            <w14:solidFill>
              <w14:schemeClr w14:val="tx1"/>
            </w14:solidFill>
          </w14:textFill>
        </w:rPr>
        <w:t>3.质疑函的质疑事项应具体、明确，并有必要的事实依据和法律依据。</w:t>
      </w:r>
    </w:p>
    <w:p>
      <w:pPr>
        <w:pStyle w:val="17"/>
        <w:spacing w:line="360" w:lineRule="auto"/>
        <w:ind w:firstLine="354" w:firstLineChars="147"/>
        <w:contextualSpacing/>
        <w:rPr>
          <w:rFonts w:ascii="楷体" w:hAnsi="楷体" w:eastAsia="楷体" w:cs="宋体"/>
          <w:b/>
          <w:color w:val="000000" w:themeColor="text1"/>
          <w:sz w:val="24"/>
          <w:szCs w:val="24"/>
          <w14:textFill>
            <w14:solidFill>
              <w14:schemeClr w14:val="tx1"/>
            </w14:solidFill>
          </w14:textFill>
        </w:rPr>
      </w:pPr>
      <w:r>
        <w:rPr>
          <w:rFonts w:ascii="楷体" w:hAnsi="楷体" w:eastAsia="楷体" w:cs="宋体"/>
          <w:b/>
          <w:color w:val="000000" w:themeColor="text1"/>
          <w:sz w:val="24"/>
          <w:szCs w:val="24"/>
          <w14:textFill>
            <w14:solidFill>
              <w14:schemeClr w14:val="tx1"/>
            </w14:solidFill>
          </w14:textFill>
        </w:rPr>
        <w:t>4.质疑函的质疑请求应与质疑事项相关。</w:t>
      </w:r>
    </w:p>
    <w:p>
      <w:pPr>
        <w:pStyle w:val="17"/>
        <w:spacing w:line="360" w:lineRule="auto"/>
        <w:ind w:firstLine="354" w:firstLineChars="147"/>
        <w:contextualSpacing/>
        <w:rPr>
          <w:rFonts w:ascii="楷体" w:hAnsi="楷体" w:eastAsia="楷体" w:cs="宋体"/>
          <w:b/>
          <w:color w:val="000000" w:themeColor="text1"/>
          <w14:textFill>
            <w14:solidFill>
              <w14:schemeClr w14:val="tx1"/>
            </w14:solidFill>
          </w14:textFill>
        </w:rPr>
      </w:pPr>
      <w:r>
        <w:rPr>
          <w:rFonts w:ascii="楷体" w:hAnsi="楷体" w:eastAsia="楷体" w:cs="宋体"/>
          <w:b/>
          <w:color w:val="000000" w:themeColor="text1"/>
          <w:sz w:val="24"/>
          <w:szCs w:val="24"/>
          <w14:textFill>
            <w14:solidFill>
              <w14:schemeClr w14:val="tx1"/>
            </w14:solidFill>
          </w14:textFill>
        </w:rPr>
        <w:t>5.质疑供应商为法人或者其他组织的，质疑函应由法定代表人、主要负责人，或者其授权代表签字或者盖章，并加盖公章。</w:t>
      </w:r>
    </w:p>
    <w:p>
      <w:pPr>
        <w:pStyle w:val="17"/>
        <w:snapToGrid w:val="0"/>
        <w:spacing w:line="360" w:lineRule="auto"/>
        <w:rPr>
          <w:rFonts w:hAnsi="宋体" w:cs="宋体"/>
          <w:b/>
          <w:color w:val="000000" w:themeColor="text1"/>
          <w:sz w:val="24"/>
          <w:szCs w:val="24"/>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spacing w:line="360" w:lineRule="auto"/>
        <w:jc w:val="center"/>
        <w:rPr>
          <w:rFonts w:ascii="宋体" w:hAnsi="宋体" w:cs="宋体"/>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投诉书</w:t>
      </w:r>
      <w:r>
        <w:rPr>
          <w:rFonts w:hint="eastAsia" w:ascii="宋体" w:hAnsi="宋体" w:cs="宋体"/>
          <w:color w:val="000000" w:themeColor="text1"/>
          <w:sz w:val="28"/>
          <w:szCs w:val="28"/>
          <w14:textFill>
            <w14:solidFill>
              <w14:schemeClr w14:val="tx1"/>
            </w14:solidFill>
          </w14:textFill>
        </w:rPr>
        <w:t>（格式。响应文件中不需要提供）</w:t>
      </w:r>
    </w:p>
    <w:p>
      <w:pPr>
        <w:pStyle w:val="17"/>
        <w:snapToGrid w:val="0"/>
        <w:spacing w:line="360" w:lineRule="auto"/>
        <w:ind w:firstLine="482" w:firstLineChars="200"/>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一、投诉相关主体基本情况：</w:t>
      </w:r>
    </w:p>
    <w:p>
      <w:pPr>
        <w:pStyle w:val="17"/>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供应商：</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 xml:space="preserve">                 </w:t>
      </w:r>
    </w:p>
    <w:p>
      <w:pPr>
        <w:pStyle w:val="17"/>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地址：</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邮编：</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 xml:space="preserve">                 </w:t>
      </w:r>
    </w:p>
    <w:p>
      <w:pPr>
        <w:pStyle w:val="17"/>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法定代表人/主要负责人：</w:t>
      </w:r>
      <w:r>
        <w:rPr>
          <w:rFonts w:hint="eastAsia" w:hAnsi="宋体" w:cs="宋体"/>
          <w:bCs/>
          <w:color w:val="000000" w:themeColor="text1"/>
          <w:sz w:val="24"/>
          <w:szCs w:val="24"/>
          <w:u w:val="single"/>
          <w14:textFill>
            <w14:solidFill>
              <w14:schemeClr w14:val="tx1"/>
            </w14:solidFill>
          </w14:textFill>
        </w:rPr>
        <w:t xml:space="preserve">                                                         </w:t>
      </w:r>
    </w:p>
    <w:p>
      <w:pPr>
        <w:pStyle w:val="17"/>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联系电话：</w:t>
      </w:r>
      <w:r>
        <w:rPr>
          <w:rFonts w:hint="eastAsia" w:hAnsi="宋体" w:cs="宋体"/>
          <w:bCs/>
          <w:color w:val="000000" w:themeColor="text1"/>
          <w:sz w:val="24"/>
          <w:szCs w:val="24"/>
          <w:u w:val="single"/>
          <w14:textFill>
            <w14:solidFill>
              <w14:schemeClr w14:val="tx1"/>
            </w14:solidFill>
          </w14:textFill>
        </w:rPr>
        <w:t xml:space="preserve">                                         </w:t>
      </w:r>
    </w:p>
    <w:p>
      <w:pPr>
        <w:pStyle w:val="17"/>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授权代表：</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联系电话：</w:t>
      </w:r>
      <w:r>
        <w:rPr>
          <w:rFonts w:hint="eastAsia" w:hAnsi="宋体" w:cs="宋体"/>
          <w:bCs/>
          <w:color w:val="000000" w:themeColor="text1"/>
          <w:sz w:val="24"/>
          <w:szCs w:val="24"/>
          <w:u w:val="single"/>
          <w14:textFill>
            <w14:solidFill>
              <w14:schemeClr w14:val="tx1"/>
            </w14:solidFill>
          </w14:textFill>
        </w:rPr>
        <w:t xml:space="preserve">                   </w:t>
      </w:r>
    </w:p>
    <w:p>
      <w:pPr>
        <w:pStyle w:val="17"/>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地址：</w:t>
      </w:r>
      <w:r>
        <w:rPr>
          <w:rFonts w:hint="eastAsia" w:hAnsi="宋体" w:cs="宋体"/>
          <w:bCs/>
          <w:color w:val="000000" w:themeColor="text1"/>
          <w:sz w:val="24"/>
          <w:szCs w:val="24"/>
          <w:u w:val="single"/>
          <w14:textFill>
            <w14:solidFill>
              <w14:schemeClr w14:val="tx1"/>
            </w14:solidFill>
          </w14:textFill>
        </w:rPr>
        <w:t xml:space="preserve">                                                            </w:t>
      </w:r>
    </w:p>
    <w:p>
      <w:pPr>
        <w:pStyle w:val="17"/>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邮编：</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 xml:space="preserve">   </w:t>
      </w:r>
    </w:p>
    <w:p>
      <w:pPr>
        <w:pStyle w:val="17"/>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被投诉人1：</w:t>
      </w:r>
    </w:p>
    <w:p>
      <w:pPr>
        <w:pStyle w:val="17"/>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地址：</w:t>
      </w:r>
      <w:r>
        <w:rPr>
          <w:rFonts w:hint="eastAsia" w:hAnsi="宋体" w:cs="宋体"/>
          <w:bCs/>
          <w:color w:val="000000" w:themeColor="text1"/>
          <w:sz w:val="24"/>
          <w:szCs w:val="24"/>
          <w:u w:val="single"/>
          <w14:textFill>
            <w14:solidFill>
              <w14:schemeClr w14:val="tx1"/>
            </w14:solidFill>
          </w14:textFill>
        </w:rPr>
        <w:t xml:space="preserve">                                                            </w:t>
      </w:r>
    </w:p>
    <w:p>
      <w:pPr>
        <w:pStyle w:val="17"/>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邮编：</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 xml:space="preserve">  </w:t>
      </w:r>
    </w:p>
    <w:p>
      <w:pPr>
        <w:pStyle w:val="17"/>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联系人：</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联系电话：</w:t>
      </w:r>
      <w:r>
        <w:rPr>
          <w:rFonts w:hint="eastAsia" w:hAnsi="宋体" w:cs="宋体"/>
          <w:bCs/>
          <w:color w:val="000000" w:themeColor="text1"/>
          <w:sz w:val="24"/>
          <w:szCs w:val="24"/>
          <w:u w:val="single"/>
          <w14:textFill>
            <w14:solidFill>
              <w14:schemeClr w14:val="tx1"/>
            </w14:solidFill>
          </w14:textFill>
        </w:rPr>
        <w:t xml:space="preserve">                </w:t>
      </w:r>
    </w:p>
    <w:p>
      <w:pPr>
        <w:pStyle w:val="17"/>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被投诉人2：</w:t>
      </w:r>
    </w:p>
    <w:p>
      <w:pPr>
        <w:pStyle w:val="17"/>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w:t>
      </w:r>
    </w:p>
    <w:p>
      <w:pPr>
        <w:pStyle w:val="17"/>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相关供应商：</w:t>
      </w:r>
      <w:r>
        <w:rPr>
          <w:rFonts w:hint="eastAsia" w:hAnsi="宋体" w:cs="宋体"/>
          <w:bCs/>
          <w:color w:val="000000" w:themeColor="text1"/>
          <w:sz w:val="24"/>
          <w:szCs w:val="24"/>
          <w:u w:val="single"/>
          <w14:textFill>
            <w14:solidFill>
              <w14:schemeClr w14:val="tx1"/>
            </w14:solidFill>
          </w14:textFill>
        </w:rPr>
        <w:t xml:space="preserve">                                                                       </w:t>
      </w:r>
    </w:p>
    <w:p>
      <w:pPr>
        <w:pStyle w:val="17"/>
        <w:snapToGrid w:val="0"/>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地址：</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邮编：</w:t>
      </w:r>
      <w:r>
        <w:rPr>
          <w:rFonts w:hint="eastAsia" w:hAnsi="宋体" w:cs="宋体"/>
          <w:bCs/>
          <w:color w:val="000000" w:themeColor="text1"/>
          <w:sz w:val="24"/>
          <w:szCs w:val="24"/>
          <w:u w:val="single"/>
          <w14:textFill>
            <w14:solidFill>
              <w14:schemeClr w14:val="tx1"/>
            </w14:solidFill>
          </w14:textFill>
        </w:rPr>
        <w:t xml:space="preserve">                         </w:t>
      </w:r>
    </w:p>
    <w:p>
      <w:pPr>
        <w:pStyle w:val="17"/>
        <w:snapToGrid w:val="0"/>
        <w:spacing w:line="360" w:lineRule="auto"/>
        <w:ind w:firstLine="480" w:firstLineChars="200"/>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联系人：</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联系电话：</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 xml:space="preserve">                </w:t>
      </w:r>
    </w:p>
    <w:p>
      <w:pPr>
        <w:pStyle w:val="17"/>
        <w:snapToGrid w:val="0"/>
        <w:spacing w:line="360" w:lineRule="auto"/>
        <w:ind w:firstLine="482" w:firstLineChars="200"/>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二、投诉项目基本情况：</w:t>
      </w:r>
    </w:p>
    <w:p>
      <w:pPr>
        <w:pStyle w:val="17"/>
        <w:spacing w:line="360" w:lineRule="auto"/>
        <w:ind w:firstLine="472" w:firstLineChars="197"/>
        <w:rPr>
          <w:rFonts w:hAnsi="宋体" w:cs="宋体"/>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采购</w:t>
      </w:r>
      <w:r>
        <w:rPr>
          <w:rFonts w:hint="eastAsia" w:hAnsi="宋体" w:cs="宋体"/>
          <w:color w:val="000000" w:themeColor="text1"/>
          <w:sz w:val="24"/>
          <w:szCs w:val="24"/>
          <w14:textFill>
            <w14:solidFill>
              <w14:schemeClr w14:val="tx1"/>
            </w14:solidFill>
          </w14:textFill>
        </w:rPr>
        <w:t>项目的名称：</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7"/>
        <w:rPr>
          <w:rFonts w:hAnsi="宋体" w:cs="宋体"/>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采购</w:t>
      </w:r>
      <w:r>
        <w:rPr>
          <w:rFonts w:hint="eastAsia" w:hAnsi="宋体" w:cs="宋体"/>
          <w:color w:val="000000" w:themeColor="text1"/>
          <w:sz w:val="24"/>
          <w:szCs w:val="24"/>
          <w14:textFill>
            <w14:solidFill>
              <w14:schemeClr w14:val="tx1"/>
            </w14:solidFill>
          </w14:textFill>
        </w:rPr>
        <w:t>项目的编号：</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7"/>
        <w:rPr>
          <w:rFonts w:hAnsi="宋体" w:cs="宋体"/>
          <w:bCs/>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采购人名称：</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7"/>
        <w:rPr>
          <w:rFonts w:hAnsi="宋体" w:cs="宋体"/>
          <w:bCs/>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代理机构名称：</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7"/>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采购文件公告：</w:t>
      </w:r>
      <w:r>
        <w:rPr>
          <w:rFonts w:hint="eastAsia" w:hAnsi="宋体" w:cs="宋体"/>
          <w:bCs/>
          <w:color w:val="000000" w:themeColor="text1"/>
          <w:sz w:val="24"/>
          <w:szCs w:val="24"/>
          <w:u w:val="single"/>
          <w14:textFill>
            <w14:solidFill>
              <w14:schemeClr w14:val="tx1"/>
            </w14:solidFill>
          </w14:textFill>
        </w:rPr>
        <w:t>是/否</w:t>
      </w:r>
      <w:r>
        <w:rPr>
          <w:rFonts w:hint="eastAsia" w:hAnsi="宋体" w:cs="宋体"/>
          <w:bCs/>
          <w:color w:val="000000" w:themeColor="text1"/>
          <w:sz w:val="24"/>
          <w:szCs w:val="24"/>
          <w14:textFill>
            <w14:solidFill>
              <w14:schemeClr w14:val="tx1"/>
            </w14:solidFill>
          </w14:textFill>
        </w:rPr>
        <w:t>公告期限：</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7"/>
        <w:rPr>
          <w:rFonts w:hAnsi="宋体" w:cs="宋体"/>
          <w:b/>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采购结果公告：</w:t>
      </w:r>
      <w:r>
        <w:rPr>
          <w:rFonts w:hint="eastAsia" w:hAnsi="宋体" w:cs="宋体"/>
          <w:bCs/>
          <w:color w:val="000000" w:themeColor="text1"/>
          <w:sz w:val="24"/>
          <w:szCs w:val="24"/>
          <w:u w:val="single"/>
          <w14:textFill>
            <w14:solidFill>
              <w14:schemeClr w14:val="tx1"/>
            </w14:solidFill>
          </w14:textFill>
        </w:rPr>
        <w:t>是/否</w:t>
      </w:r>
      <w:r>
        <w:rPr>
          <w:rFonts w:hint="eastAsia" w:hAnsi="宋体" w:cs="宋体"/>
          <w:bCs/>
          <w:color w:val="000000" w:themeColor="text1"/>
          <w:sz w:val="24"/>
          <w:szCs w:val="24"/>
          <w14:textFill>
            <w14:solidFill>
              <w14:schemeClr w14:val="tx1"/>
            </w14:solidFill>
          </w14:textFill>
        </w:rPr>
        <w:t>公告期限：</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6"/>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三、质疑基本情况</w:t>
      </w:r>
    </w:p>
    <w:p>
      <w:pPr>
        <w:pStyle w:val="17"/>
        <w:spacing w:line="360" w:lineRule="auto"/>
        <w:ind w:left="479" w:leftChars="228" w:firstLine="60" w:firstLineChars="25"/>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投诉人于</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年</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月</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日，向</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提出质疑，质疑事项为：</w:t>
      </w:r>
    </w:p>
    <w:p>
      <w:pPr>
        <w:pStyle w:val="17"/>
        <w:spacing w:line="360" w:lineRule="auto"/>
        <w:ind w:firstLine="540" w:firstLineChars="225"/>
        <w:rPr>
          <w:rFonts w:hAnsi="宋体" w:cs="宋体"/>
          <w:bCs/>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540" w:firstLineChars="225"/>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 xml:space="preserve">    </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540" w:firstLineChars="225"/>
        <w:rPr>
          <w:rFonts w:hAnsi="宋体" w:cs="宋体"/>
          <w:color w:val="000000" w:themeColor="text1"/>
          <w:sz w:val="24"/>
          <w:szCs w:val="24"/>
          <w14:textFill>
            <w14:solidFill>
              <w14:schemeClr w14:val="tx1"/>
            </w14:solidFill>
          </w14:textFill>
        </w:rPr>
      </w:pPr>
      <w:r>
        <w:rPr>
          <w:rFonts w:hint="eastAsia" w:hAnsi="宋体" w:cs="宋体"/>
          <w:bCs/>
          <w:color w:val="000000" w:themeColor="text1"/>
          <w:sz w:val="24"/>
          <w:szCs w:val="24"/>
          <w:u w:val="single"/>
          <w14:textFill>
            <w14:solidFill>
              <w14:schemeClr w14:val="tx1"/>
            </w14:solidFill>
          </w14:textFill>
        </w:rPr>
        <w:t>采购人/代理机构</w:t>
      </w:r>
      <w:r>
        <w:rPr>
          <w:rFonts w:hint="eastAsia" w:hAnsi="宋体" w:cs="宋体"/>
          <w:bCs/>
          <w:color w:val="000000" w:themeColor="text1"/>
          <w:sz w:val="24"/>
          <w:szCs w:val="24"/>
          <w14:textFill>
            <w14:solidFill>
              <w14:schemeClr w14:val="tx1"/>
            </w14:solidFill>
          </w14:textFill>
        </w:rPr>
        <w:t>于</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年</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月</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日，</w:t>
      </w:r>
      <w:r>
        <w:rPr>
          <w:rFonts w:hint="eastAsia" w:hAnsi="宋体" w:cs="宋体"/>
          <w:bCs/>
          <w:color w:val="000000" w:themeColor="text1"/>
          <w:sz w:val="24"/>
          <w:szCs w:val="24"/>
          <w14:textFill>
            <w14:solidFill>
              <w14:schemeClr w14:val="tx1"/>
            </w14:solidFill>
          </w14:textFill>
        </w:rPr>
        <w:t xml:space="preserve">就质疑事项作出了答复/没有在法定期限内作出答复。                                                                                             </w:t>
      </w:r>
    </w:p>
    <w:p>
      <w:pPr>
        <w:pStyle w:val="17"/>
        <w:spacing w:line="360" w:lineRule="auto"/>
        <w:ind w:firstLine="472" w:firstLineChars="196"/>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四、投诉事项具体内容</w:t>
      </w:r>
    </w:p>
    <w:p>
      <w:pPr>
        <w:pStyle w:val="17"/>
        <w:spacing w:line="360" w:lineRule="auto"/>
        <w:ind w:firstLine="472" w:firstLineChars="197"/>
        <w:rPr>
          <w:rFonts w:hAnsi="宋体" w:cs="宋体"/>
          <w:bCs/>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投诉事项1：</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事实依据：</w:t>
      </w:r>
      <w:r>
        <w:rPr>
          <w:rFonts w:hint="eastAsia" w:hAnsi="宋体" w:cs="宋体"/>
          <w:color w:val="000000" w:themeColor="text1"/>
          <w:sz w:val="24"/>
          <w:szCs w:val="24"/>
          <w14:textFill>
            <w14:solidFill>
              <w14:schemeClr w14:val="tx1"/>
            </w14:solidFill>
          </w14:textFill>
        </w:rPr>
        <w:t xml:space="preserve"> </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7"/>
        <w:rPr>
          <w:rFonts w:hAnsi="宋体" w:cs="宋体"/>
          <w:color w:val="000000" w:themeColor="text1"/>
          <w:sz w:val="24"/>
          <w:szCs w:val="24"/>
          <w14:textFill>
            <w14:solidFill>
              <w14:schemeClr w14:val="tx1"/>
            </w14:solidFill>
          </w14:textFill>
        </w:rPr>
      </w:pP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80" w:firstLineChars="200"/>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法律依据：</w:t>
      </w:r>
      <w:r>
        <w:rPr>
          <w:rFonts w:hint="eastAsia" w:hAnsi="宋体" w:cs="宋体"/>
          <w:color w:val="000000" w:themeColor="text1"/>
          <w:sz w:val="24"/>
          <w:szCs w:val="24"/>
          <w14:textFill>
            <w14:solidFill>
              <w14:schemeClr w14:val="tx1"/>
            </w14:solidFill>
          </w14:textFill>
        </w:rPr>
        <w:t xml:space="preserve"> </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352" w:firstLineChars="147"/>
        <w:rPr>
          <w:rFonts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 xml:space="preserve"> </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472" w:firstLineChars="197"/>
        <w:rPr>
          <w:rFonts w:hAnsi="宋体" w:cs="宋体"/>
          <w:bCs/>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投诉事项2  </w:t>
      </w:r>
      <w:r>
        <w:rPr>
          <w:rFonts w:hint="eastAsia" w:hAnsi="宋体" w:cs="宋体"/>
          <w:bCs/>
          <w:color w:val="000000" w:themeColor="text1"/>
          <w:sz w:val="24"/>
          <w:szCs w:val="24"/>
          <w14:textFill>
            <w14:solidFill>
              <w14:schemeClr w14:val="tx1"/>
            </w14:solidFill>
          </w14:textFill>
        </w:rPr>
        <w:t xml:space="preserve">   </w:t>
      </w:r>
    </w:p>
    <w:p>
      <w:pPr>
        <w:pStyle w:val="17"/>
        <w:spacing w:line="360" w:lineRule="auto"/>
        <w:ind w:firstLine="472" w:firstLineChars="197"/>
        <w:rPr>
          <w:rFonts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w:t>
      </w:r>
    </w:p>
    <w:p>
      <w:pPr>
        <w:pStyle w:val="17"/>
        <w:spacing w:line="360" w:lineRule="auto"/>
        <w:ind w:firstLine="472" w:firstLineChars="196"/>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五、与投诉事项相关的投诉请求：</w:t>
      </w:r>
    </w:p>
    <w:p>
      <w:pPr>
        <w:pStyle w:val="17"/>
        <w:spacing w:line="360" w:lineRule="auto"/>
        <w:ind w:firstLine="472" w:firstLineChars="197"/>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请求：</w:t>
      </w:r>
      <w:r>
        <w:rPr>
          <w:rFonts w:hint="eastAsia" w:hAnsi="宋体" w:cs="宋体"/>
          <w:bCs/>
          <w:color w:val="000000" w:themeColor="text1"/>
          <w:sz w:val="24"/>
          <w:szCs w:val="24"/>
          <w:u w:val="single"/>
          <w14:textFill>
            <w14:solidFill>
              <w14:schemeClr w14:val="tx1"/>
            </w14:solidFill>
          </w14:textFill>
        </w:rPr>
        <w:t xml:space="preserve">                                                                                 </w:t>
      </w:r>
    </w:p>
    <w:p>
      <w:pPr>
        <w:pStyle w:val="17"/>
        <w:spacing w:line="360" w:lineRule="auto"/>
        <w:ind w:firstLine="352" w:firstLineChars="147"/>
        <w:rPr>
          <w:rFonts w:hAnsi="宋体" w:cs="宋体"/>
          <w:color w:val="000000" w:themeColor="text1"/>
          <w:sz w:val="24"/>
          <w:szCs w:val="24"/>
          <w14:textFill>
            <w14:solidFill>
              <w14:schemeClr w14:val="tx1"/>
            </w14:solidFill>
          </w14:textFill>
        </w:rPr>
      </w:pPr>
    </w:p>
    <w:p>
      <w:pPr>
        <w:pStyle w:val="17"/>
        <w:spacing w:line="360" w:lineRule="auto"/>
        <w:ind w:firstLine="472" w:firstLineChars="197"/>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签字（签章）：</w:t>
      </w:r>
      <w:r>
        <w:rPr>
          <w:rFonts w:hint="eastAsia" w:hAnsi="宋体" w:cs="宋体"/>
          <w:color w:val="000000" w:themeColor="text1"/>
          <w:sz w:val="24"/>
          <w:szCs w:val="24"/>
          <w:u w:val="single"/>
          <w14:textFill>
            <w14:solidFill>
              <w14:schemeClr w14:val="tx1"/>
            </w14:solidFill>
          </w14:textFill>
        </w:rPr>
        <w:t xml:space="preserve"> </w:t>
      </w:r>
      <w:r>
        <w:rPr>
          <w:rFonts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 xml:space="preserve">                          公章：</w:t>
      </w:r>
      <w:r>
        <w:rPr>
          <w:rFonts w:hAnsi="宋体" w:cs="宋体"/>
          <w:color w:val="000000" w:themeColor="text1"/>
          <w:sz w:val="24"/>
          <w:szCs w:val="24"/>
          <w:u w:val="single"/>
          <w14:textFill>
            <w14:solidFill>
              <w14:schemeClr w14:val="tx1"/>
            </w14:solidFill>
          </w14:textFill>
        </w:rPr>
        <w:t xml:space="preserve">            </w:t>
      </w:r>
    </w:p>
    <w:p>
      <w:pPr>
        <w:pStyle w:val="17"/>
        <w:spacing w:line="360" w:lineRule="auto"/>
        <w:ind w:firstLine="352" w:firstLineChars="147"/>
        <w:rPr>
          <w:rFonts w:hAnsi="宋体" w:cs="宋体"/>
          <w:color w:val="000000" w:themeColor="text1"/>
          <w:sz w:val="24"/>
          <w:szCs w:val="24"/>
          <w14:textFill>
            <w14:solidFill>
              <w14:schemeClr w14:val="tx1"/>
            </w14:solidFill>
          </w14:textFill>
        </w:rPr>
      </w:pPr>
    </w:p>
    <w:p>
      <w:pPr>
        <w:pStyle w:val="17"/>
        <w:spacing w:line="360" w:lineRule="auto"/>
        <w:ind w:firstLine="472" w:firstLineChars="197"/>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日期：</w:t>
      </w:r>
      <w:r>
        <w:rPr>
          <w:rFonts w:hint="eastAsia" w:hAnsi="宋体" w:cs="宋体"/>
          <w:bCs/>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年</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月</w:t>
      </w:r>
      <w:r>
        <w:rPr>
          <w:rFonts w:hint="eastAsia" w:cs="宋体" w:asciiTheme="minorEastAsia" w:hAnsiTheme="minorEastAsia" w:eastAsiaTheme="minorEastAsia"/>
          <w:color w:val="000000" w:themeColor="text1"/>
          <w:spacing w:val="2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pacing w:val="20"/>
          <w:sz w:val="24"/>
          <w14:textFill>
            <w14:solidFill>
              <w14:schemeClr w14:val="tx1"/>
            </w14:solidFill>
          </w14:textFill>
        </w:rPr>
        <w:t>日</w:t>
      </w:r>
      <w:r>
        <w:rPr>
          <w:rFonts w:hint="eastAsia" w:cs="宋体" w:asciiTheme="minorEastAsia" w:hAnsiTheme="minorEastAsia" w:eastAsiaTheme="minorEastAsia"/>
          <w:bCs/>
          <w:color w:val="000000" w:themeColor="text1"/>
          <w:sz w:val="24"/>
          <w:szCs w:val="24"/>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 xml:space="preserve">                                                        </w:t>
      </w:r>
    </w:p>
    <w:p>
      <w:pPr>
        <w:pStyle w:val="17"/>
        <w:snapToGrid w:val="0"/>
        <w:spacing w:line="360" w:lineRule="auto"/>
        <w:rPr>
          <w:rFonts w:hAnsi="宋体" w:cs="宋体"/>
          <w:b/>
          <w:color w:val="000000" w:themeColor="text1"/>
          <w:sz w:val="24"/>
          <w:szCs w:val="24"/>
          <w14:textFill>
            <w14:solidFill>
              <w14:schemeClr w14:val="tx1"/>
            </w14:solidFill>
          </w14:textFill>
        </w:rPr>
      </w:pPr>
    </w:p>
    <w:p>
      <w:pPr>
        <w:pStyle w:val="17"/>
        <w:snapToGrid w:val="0"/>
        <w:spacing w:line="360" w:lineRule="auto"/>
        <w:rPr>
          <w:rFonts w:ascii="楷体" w:hAnsi="楷体" w:eastAsia="楷体" w:cs="宋体"/>
          <w:b/>
          <w:color w:val="000000" w:themeColor="text1"/>
          <w:sz w:val="24"/>
          <w:szCs w:val="24"/>
          <w14:textFill>
            <w14:solidFill>
              <w14:schemeClr w14:val="tx1"/>
            </w14:solidFill>
          </w14:textFill>
        </w:rPr>
      </w:pPr>
      <w:r>
        <w:rPr>
          <w:rFonts w:hint="eastAsia" w:ascii="楷体" w:hAnsi="楷体" w:eastAsia="楷体" w:cs="宋体"/>
          <w:b/>
          <w:color w:val="000000" w:themeColor="text1"/>
          <w:sz w:val="24"/>
          <w:szCs w:val="24"/>
          <w14:textFill>
            <w14:solidFill>
              <w14:schemeClr w14:val="tx1"/>
            </w14:solidFill>
          </w14:textFill>
        </w:rPr>
        <w:t>说明：</w:t>
      </w:r>
    </w:p>
    <w:p>
      <w:pPr>
        <w:pStyle w:val="17"/>
        <w:spacing w:line="360" w:lineRule="auto"/>
        <w:ind w:firstLine="354" w:firstLineChars="147"/>
        <w:rPr>
          <w:rFonts w:ascii="楷体" w:hAnsi="楷体" w:eastAsia="楷体" w:cs="宋体"/>
          <w:b/>
          <w:bCs/>
          <w:color w:val="000000" w:themeColor="text1"/>
          <w:sz w:val="24"/>
          <w:szCs w:val="24"/>
          <w14:textFill>
            <w14:solidFill>
              <w14:schemeClr w14:val="tx1"/>
            </w14:solidFill>
          </w14:textFill>
        </w:rPr>
      </w:pPr>
      <w:r>
        <w:rPr>
          <w:rFonts w:ascii="楷体" w:hAnsi="楷体" w:eastAsia="楷体" w:cs="宋体"/>
          <w:b/>
          <w:color w:val="000000" w:themeColor="text1"/>
          <w:sz w:val="24"/>
          <w:szCs w:val="24"/>
          <w14:textFill>
            <w14:solidFill>
              <w14:schemeClr w14:val="tx1"/>
            </w14:solidFill>
          </w14:textFill>
        </w:rPr>
        <w:t>1.投诉人提起投诉时，应当提交投诉书和必要的证明材料，并按照被投诉人和与投诉事项有关的供应商数量提供投诉书副本</w:t>
      </w:r>
      <w:r>
        <w:rPr>
          <w:rFonts w:hint="eastAsia" w:ascii="楷体" w:hAnsi="楷体" w:eastAsia="楷体" w:cs="宋体"/>
          <w:b/>
          <w:bCs/>
          <w:color w:val="000000" w:themeColor="text1"/>
          <w:sz w:val="24"/>
          <w:szCs w:val="24"/>
          <w14:textFill>
            <w14:solidFill>
              <w14:schemeClr w14:val="tx1"/>
            </w14:solidFill>
          </w14:textFill>
        </w:rPr>
        <w:t>。</w:t>
      </w:r>
    </w:p>
    <w:p>
      <w:pPr>
        <w:pStyle w:val="17"/>
        <w:spacing w:line="360" w:lineRule="auto"/>
        <w:ind w:firstLine="354" w:firstLineChars="147"/>
        <w:rPr>
          <w:rFonts w:ascii="楷体" w:hAnsi="楷体" w:eastAsia="楷体" w:cs="宋体"/>
          <w:b/>
          <w:color w:val="000000" w:themeColor="text1"/>
          <w:sz w:val="24"/>
          <w:szCs w:val="24"/>
          <w14:textFill>
            <w14:solidFill>
              <w14:schemeClr w14:val="tx1"/>
            </w14:solidFill>
          </w14:textFill>
        </w:rPr>
      </w:pPr>
      <w:r>
        <w:rPr>
          <w:rFonts w:ascii="楷体" w:hAnsi="楷体" w:eastAsia="楷体" w:cs="宋体"/>
          <w:b/>
          <w:color w:val="000000" w:themeColor="text1"/>
          <w:sz w:val="24"/>
          <w:szCs w:val="24"/>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7"/>
        <w:spacing w:line="360" w:lineRule="auto"/>
        <w:ind w:firstLine="354" w:firstLineChars="147"/>
        <w:rPr>
          <w:rFonts w:ascii="楷体" w:hAnsi="楷体" w:eastAsia="楷体" w:cs="宋体"/>
          <w:b/>
          <w:color w:val="000000" w:themeColor="text1"/>
          <w:sz w:val="24"/>
          <w:szCs w:val="24"/>
          <w14:textFill>
            <w14:solidFill>
              <w14:schemeClr w14:val="tx1"/>
            </w14:solidFill>
          </w14:textFill>
        </w:rPr>
      </w:pPr>
      <w:r>
        <w:rPr>
          <w:rFonts w:ascii="楷体" w:hAnsi="楷体" w:eastAsia="楷体" w:cs="宋体"/>
          <w:b/>
          <w:color w:val="000000" w:themeColor="text1"/>
          <w:sz w:val="24"/>
          <w:szCs w:val="24"/>
          <w14:textFill>
            <w14:solidFill>
              <w14:schemeClr w14:val="tx1"/>
            </w14:solidFill>
          </w14:textFill>
        </w:rPr>
        <w:t>3.投诉书应简要列明质疑事项，质疑函、质疑答复等作为附件材料提供。</w:t>
      </w:r>
    </w:p>
    <w:p>
      <w:pPr>
        <w:pStyle w:val="17"/>
        <w:spacing w:line="360" w:lineRule="auto"/>
        <w:ind w:firstLine="354" w:firstLineChars="147"/>
        <w:rPr>
          <w:rFonts w:ascii="楷体" w:hAnsi="楷体" w:eastAsia="楷体" w:cs="宋体"/>
          <w:b/>
          <w:color w:val="000000" w:themeColor="text1"/>
          <w:sz w:val="24"/>
          <w:szCs w:val="24"/>
          <w14:textFill>
            <w14:solidFill>
              <w14:schemeClr w14:val="tx1"/>
            </w14:solidFill>
          </w14:textFill>
        </w:rPr>
      </w:pPr>
      <w:r>
        <w:rPr>
          <w:rFonts w:ascii="楷体" w:hAnsi="楷体" w:eastAsia="楷体" w:cs="宋体"/>
          <w:b/>
          <w:color w:val="000000" w:themeColor="text1"/>
          <w:sz w:val="24"/>
          <w:szCs w:val="24"/>
          <w14:textFill>
            <w14:solidFill>
              <w14:schemeClr w14:val="tx1"/>
            </w14:solidFill>
          </w14:textFill>
        </w:rPr>
        <w:t>4.投诉书的投诉事项应具体、明确，并有必要的事实依据和法律依据。</w:t>
      </w:r>
    </w:p>
    <w:p>
      <w:pPr>
        <w:pStyle w:val="17"/>
        <w:spacing w:line="360" w:lineRule="auto"/>
        <w:ind w:firstLine="354" w:firstLineChars="147"/>
        <w:rPr>
          <w:rFonts w:ascii="楷体" w:hAnsi="楷体" w:eastAsia="楷体" w:cs="宋体"/>
          <w:b/>
          <w:color w:val="000000" w:themeColor="text1"/>
          <w:sz w:val="24"/>
          <w:szCs w:val="24"/>
          <w14:textFill>
            <w14:solidFill>
              <w14:schemeClr w14:val="tx1"/>
            </w14:solidFill>
          </w14:textFill>
        </w:rPr>
      </w:pPr>
      <w:r>
        <w:rPr>
          <w:rFonts w:ascii="楷体" w:hAnsi="楷体" w:eastAsia="楷体" w:cs="宋体"/>
          <w:b/>
          <w:color w:val="000000" w:themeColor="text1"/>
          <w:sz w:val="24"/>
          <w:szCs w:val="24"/>
          <w14:textFill>
            <w14:solidFill>
              <w14:schemeClr w14:val="tx1"/>
            </w14:solidFill>
          </w14:textFill>
        </w:rPr>
        <w:t>5.投诉书的投诉请求应与投诉事项相关。</w:t>
      </w:r>
    </w:p>
    <w:p>
      <w:pPr>
        <w:pStyle w:val="17"/>
        <w:spacing w:line="360" w:lineRule="auto"/>
        <w:ind w:firstLine="354" w:firstLineChars="147"/>
        <w:rPr>
          <w:rFonts w:ascii="楷体" w:hAnsi="楷体" w:eastAsia="楷体" w:cs="宋体"/>
          <w:b/>
          <w:color w:val="000000" w:themeColor="text1"/>
          <w:sz w:val="24"/>
          <w:szCs w:val="24"/>
          <w14:textFill>
            <w14:solidFill>
              <w14:schemeClr w14:val="tx1"/>
            </w14:solidFill>
          </w14:textFill>
        </w:rPr>
      </w:pPr>
      <w:r>
        <w:rPr>
          <w:rFonts w:ascii="楷体" w:hAnsi="楷体" w:eastAsia="楷体" w:cs="宋体"/>
          <w:b/>
          <w:color w:val="000000" w:themeColor="text1"/>
          <w:sz w:val="24"/>
          <w:szCs w:val="24"/>
          <w14:textFill>
            <w14:solidFill>
              <w14:schemeClr w14:val="tx1"/>
            </w14:solidFill>
          </w14:textFill>
        </w:rPr>
        <w:t>6.投诉人为法人或者其他组织的，投诉书应由法定代表人、主要负责人，或者其授权代表签字或者盖章，并加盖公章。</w:t>
      </w:r>
    </w:p>
    <w:p>
      <w:pPr>
        <w:pStyle w:val="3"/>
        <w:spacing w:before="0" w:after="0" w:line="360" w:lineRule="auto"/>
        <w:jc w:val="center"/>
        <w:rPr>
          <w:rFonts w:ascii="宋体" w:hAnsi="宋体" w:cs="宋体"/>
          <w:color w:val="000000" w:themeColor="text1"/>
          <w14:textFill>
            <w14:solidFill>
              <w14:schemeClr w14:val="tx1"/>
            </w14:solidFill>
          </w14:textFill>
        </w:rPr>
      </w:pPr>
      <w:bookmarkStart w:id="47" w:name="_Toc74322013"/>
      <w:r>
        <w:rPr>
          <w:rFonts w:hint="eastAsia" w:ascii="宋体" w:hAnsi="宋体" w:cs="宋体"/>
          <w:color w:val="000000" w:themeColor="text1"/>
          <w14:textFill>
            <w14:solidFill>
              <w14:schemeClr w14:val="tx1"/>
            </w14:solidFill>
          </w14:textFill>
        </w:rPr>
        <w:t>第六章 合同文本</w:t>
      </w:r>
      <w:bookmarkEnd w:id="47"/>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一般货物类</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合同编号：GXZC2026-J1-000505-GXKL</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采购人（甲方）：广西大学                      </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供应商（乙方）：   </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项目编号：GXZC2026-J1-000505-GXKL</w:t>
      </w:r>
    </w:p>
    <w:p>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签订地点：</w:t>
      </w:r>
      <w:r>
        <w:rPr>
          <w:rFonts w:hint="eastAsia" w:ascii="宋体" w:hAnsi="宋体" w:cs="宋体"/>
          <w:color w:val="000000" w:themeColor="text1"/>
          <w:sz w:val="24"/>
          <w:u w:val="single"/>
          <w14:textFill>
            <w14:solidFill>
              <w14:schemeClr w14:val="tx1"/>
            </w14:solidFill>
          </w14:textFill>
        </w:rPr>
        <w:t>广西壮族自治区南宁市西乡塘区</w:t>
      </w:r>
      <w:r>
        <w:rPr>
          <w:rFonts w:hint="eastAsia" w:ascii="宋体" w:hAnsi="宋体" w:cs="宋体"/>
          <w:color w:val="000000" w:themeColor="text1"/>
          <w:sz w:val="24"/>
          <w14:textFill>
            <w14:solidFill>
              <w14:schemeClr w14:val="tx1"/>
            </w14:solidFill>
          </w14:textFill>
        </w:rPr>
        <w:t xml:space="preserve">  </w:t>
      </w:r>
    </w:p>
    <w:p>
      <w:pPr>
        <w:snapToGrid w:val="0"/>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本合同为中小企业预留合同：（是</w:t>
      </w:r>
      <w:r>
        <w:rPr>
          <w:rFonts w:hint="eastAsia" w:ascii="黑体" w:hAnsi="黑体" w:eastAsia="黑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/否</w:t>
      </w:r>
      <w:r>
        <w:rPr>
          <w:rFonts w:hint="eastAsia" w:ascii="黑体" w:hAnsi="黑体" w:eastAsia="黑体" w:cs="宋体"/>
          <w:b/>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pPr>
        <w:pStyle w:val="36"/>
        <w:rPr>
          <w:color w:val="000000" w:themeColor="text1"/>
          <w14:textFill>
            <w14:solidFill>
              <w14:schemeClr w14:val="tx1"/>
            </w14:solidFill>
          </w14:textFill>
        </w:rPr>
      </w:pP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bookmarkStart w:id="48" w:name="_Hlk55381736"/>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根据《中华人民共和国政府采购法》《中华人民共和国民法典》等法律、法规规定，按照竞争性谈判采购文件规定条款和成交供应商承诺，甲乙双方签订本合同。</w:t>
      </w:r>
    </w:p>
    <w:p>
      <w:pPr>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第一条　合同标的</w:t>
      </w:r>
    </w:p>
    <w:p>
      <w:pPr>
        <w:snapToGrid w:val="0"/>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供货一览表</w:t>
      </w:r>
    </w:p>
    <w:tbl>
      <w:tblPr>
        <w:tblStyle w:val="27"/>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pPr>
              <w:snapToGrid w:val="0"/>
              <w:spacing w:line="4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1034" w:type="dxa"/>
            <w:vAlign w:val="center"/>
          </w:tcPr>
          <w:p>
            <w:pPr>
              <w:snapToGrid w:val="0"/>
              <w:spacing w:line="4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标的名称</w:t>
            </w:r>
          </w:p>
        </w:tc>
        <w:tc>
          <w:tcPr>
            <w:tcW w:w="1134" w:type="dxa"/>
            <w:vAlign w:val="center"/>
          </w:tcPr>
          <w:p>
            <w:pPr>
              <w:snapToGrid w:val="0"/>
              <w:spacing w:line="4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商标品牌</w:t>
            </w:r>
          </w:p>
        </w:tc>
        <w:tc>
          <w:tcPr>
            <w:tcW w:w="1276" w:type="dxa"/>
            <w:vAlign w:val="center"/>
          </w:tcPr>
          <w:p>
            <w:pPr>
              <w:snapToGrid w:val="0"/>
              <w:spacing w:line="46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规格型号</w:t>
            </w:r>
          </w:p>
        </w:tc>
        <w:tc>
          <w:tcPr>
            <w:tcW w:w="1134" w:type="dxa"/>
            <w:vAlign w:val="center"/>
          </w:tcPr>
          <w:p>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生产厂家</w:t>
            </w:r>
          </w:p>
        </w:tc>
        <w:tc>
          <w:tcPr>
            <w:tcW w:w="992" w:type="dxa"/>
            <w:vAlign w:val="center"/>
          </w:tcPr>
          <w:p>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产地</w:t>
            </w:r>
          </w:p>
        </w:tc>
        <w:tc>
          <w:tcPr>
            <w:tcW w:w="709" w:type="dxa"/>
            <w:vAlign w:val="center"/>
          </w:tcPr>
          <w:p>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数  量</w:t>
            </w:r>
          </w:p>
        </w:tc>
        <w:tc>
          <w:tcPr>
            <w:tcW w:w="830" w:type="dxa"/>
            <w:vAlign w:val="center"/>
          </w:tcPr>
          <w:p>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单位</w:t>
            </w:r>
          </w:p>
        </w:tc>
        <w:tc>
          <w:tcPr>
            <w:tcW w:w="1722" w:type="dxa"/>
            <w:vAlign w:val="center"/>
          </w:tcPr>
          <w:p>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  价</w:t>
            </w:r>
          </w:p>
          <w:p>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（元/人民币）</w:t>
            </w:r>
          </w:p>
        </w:tc>
        <w:tc>
          <w:tcPr>
            <w:tcW w:w="1276" w:type="dxa"/>
            <w:vAlign w:val="center"/>
          </w:tcPr>
          <w:p>
            <w:pPr>
              <w:snapToGrid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单项合计</w:t>
            </w:r>
            <w:r>
              <w:rPr>
                <w:rFonts w:hint="eastAsia" w:ascii="宋体" w:hAnsi="宋体" w:cs="宋体"/>
                <w:b/>
                <w:color w:val="000000" w:themeColor="text1"/>
                <w:szCs w:val="21"/>
                <w14:textFill>
                  <w14:solidFill>
                    <w14:schemeClr w14:val="tx1"/>
                  </w14:solidFill>
                </w14:textFill>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034"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134"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276"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134" w:type="dxa"/>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992"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709"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830" w:type="dxa"/>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722"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276" w:type="dxa"/>
          </w:tcPr>
          <w:p>
            <w:pPr>
              <w:snapToGrid w:val="0"/>
              <w:spacing w:line="460" w:lineRule="exac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034"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134"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276"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134" w:type="dxa"/>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992"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709"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830" w:type="dxa"/>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722" w:type="dxa"/>
            <w:vAlign w:val="center"/>
          </w:tcPr>
          <w:p>
            <w:pPr>
              <w:snapToGrid w:val="0"/>
              <w:spacing w:line="460" w:lineRule="exact"/>
              <w:jc w:val="center"/>
              <w:rPr>
                <w:rFonts w:ascii="宋体" w:hAnsi="宋体" w:cs="宋体"/>
                <w:color w:val="000000" w:themeColor="text1"/>
                <w:sz w:val="24"/>
                <w14:textFill>
                  <w14:solidFill>
                    <w14:schemeClr w14:val="tx1"/>
                  </w14:solidFill>
                </w14:textFill>
              </w:rPr>
            </w:pPr>
          </w:p>
        </w:tc>
        <w:tc>
          <w:tcPr>
            <w:tcW w:w="1276" w:type="dxa"/>
          </w:tcPr>
          <w:p>
            <w:pPr>
              <w:snapToGrid w:val="0"/>
              <w:spacing w:line="460" w:lineRule="exac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pPr>
              <w:snapToGrid w:val="0"/>
              <w:spacing w:line="46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合计金额（人民币大写</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 xml:space="preserve"> </w:t>
            </w:r>
            <w:r>
              <w:rPr>
                <w:rFonts w:ascii="宋体" w:hAnsi="宋体" w:cs="宋体"/>
                <w:b/>
                <w:bCs/>
                <w:color w:val="000000" w:themeColor="text1"/>
                <w:sz w:val="24"/>
                <w:u w:val="single"/>
                <w14:textFill>
                  <w14:solidFill>
                    <w14:schemeClr w14:val="tx1"/>
                  </w14:solidFill>
                </w14:textFill>
              </w:rPr>
              <w:t xml:space="preserve">            </w:t>
            </w:r>
            <w:r>
              <w:rPr>
                <w:rFonts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（小写）</w:t>
            </w:r>
            <w:r>
              <w:rPr>
                <w:rFonts w:hint="eastAsia" w:ascii="宋体" w:hAnsi="宋体" w:cs="宋体"/>
                <w:bCs/>
                <w:color w:val="000000" w:themeColor="text1"/>
                <w:sz w:val="24"/>
                <w:u w:val="single"/>
                <w14:textFill>
                  <w14:solidFill>
                    <w14:schemeClr w14:val="tx1"/>
                  </w14:solidFill>
                </w14:textFill>
              </w:rPr>
              <w:t xml:space="preserve">¥ </w:t>
            </w:r>
            <w:r>
              <w:rPr>
                <w:rFonts w:ascii="宋体" w:hAnsi="宋体" w:cs="宋体"/>
                <w:bCs/>
                <w:color w:val="000000" w:themeColor="text1"/>
                <w:sz w:val="24"/>
                <w:u w:val="single"/>
                <w14:textFill>
                  <w14:solidFill>
                    <w14:schemeClr w14:val="tx1"/>
                  </w14:solidFill>
                </w14:textFill>
              </w:rPr>
              <w:t xml:space="preserve">         .**</w:t>
            </w:r>
          </w:p>
        </w:tc>
      </w:tr>
    </w:tbl>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合同合计金额包括货物价款、配套软件、标准附件、备品备件、专用工具、包装、运输、装卸、货到就位、安装、施工、调试、检验、技术培训、技术资料、质量保证期内服务、售后服务、保险、竞争性谈判费用、一切税金等全部费用，甲方不再支付合同合计金额以外的其他费用。</w:t>
      </w:r>
    </w:p>
    <w:p>
      <w:pPr>
        <w:snapToGrid w:val="0"/>
        <w:spacing w:line="4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第二条　质量要求</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1.乙方所提供的产品名称、商标品牌、生产厂家、规格型号、技术参数等质量必须与采购文件规定及响应文件承诺相一致。乙方提供的节能和环保产品必须是列入政府采购品目清单的产品。</w:t>
      </w:r>
    </w:p>
    <w:p>
      <w:pPr>
        <w:snapToGrid w:val="0"/>
        <w:spacing w:line="4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2.乙方所提供的货物必须是全新、未使用的原装产品，且在正常安装、使用和保养条件下，其使用寿命期内各项指标均达到采购文件规定或者响应文件承诺的质量要求。</w:t>
      </w:r>
    </w:p>
    <w:p>
      <w:pPr>
        <w:snapToGrid w:val="0"/>
        <w:spacing w:line="4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第三条　权利保证</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1.乙方应保证所提供货物在使用时不会侵犯任何第三方的专利权、商标权、工业设计权或者其他权利。</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2.乙方应按采购文件规定或者响应文件承诺的时间向甲方提供使用货物的有关技术资料。</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4.乙方保证将要交付的货物的所有权完全属于乙方且无任何抵押、质押、查封等产权瑕疵。</w:t>
      </w:r>
    </w:p>
    <w:p>
      <w:pPr>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第四条　包装、运输和签收</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1.乙方提供的货物均应包装完整，每一包装单元内应附详细的装箱单和质量合格证。</w:t>
      </w:r>
    </w:p>
    <w:p>
      <w:pPr>
        <w:pStyle w:val="17"/>
        <w:snapToGrid w:val="0"/>
        <w:spacing w:line="44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2.货物的运输：</w:t>
      </w:r>
      <w:r>
        <w:rPr>
          <w:rFonts w:hAnsi="宋体" w:cs="宋体"/>
          <w:color w:val="000000" w:themeColor="text1"/>
          <w:sz w:val="24"/>
          <w:szCs w:val="24"/>
          <w:u w:val="single"/>
          <w14:textFill>
            <w14:solidFill>
              <w14:schemeClr w14:val="tx1"/>
            </w14:solidFill>
          </w14:textFill>
        </w:rPr>
        <w:t xml:space="preserve"> 。</w:t>
      </w:r>
    </w:p>
    <w:p>
      <w:pPr>
        <w:pStyle w:val="17"/>
        <w:snapToGrid w:val="0"/>
        <w:spacing w:line="44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 乙方负责货物运输，货物运输合理损耗及计算方法：</w:t>
      </w:r>
      <w:r>
        <w:rPr>
          <w:rFonts w:hint="eastAsia" w:hAnsi="宋体" w:cs="宋体"/>
          <w:color w:val="000000" w:themeColor="text1"/>
          <w:sz w:val="24"/>
          <w:szCs w:val="24"/>
          <w:u w:val="single"/>
          <w14:textFill>
            <w14:solidFill>
              <w14:schemeClr w14:val="tx1"/>
            </w14:solidFill>
          </w14:textFill>
        </w:rPr>
        <w:t>甲方不接受损耗。</w:t>
      </w:r>
    </w:p>
    <w:p>
      <w:pPr>
        <w:pStyle w:val="17"/>
        <w:snapToGrid w:val="0"/>
        <w:spacing w:line="440" w:lineRule="exact"/>
        <w:ind w:firstLine="480" w:firstLineChars="200"/>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4.</w:t>
      </w:r>
      <w:r>
        <w:rPr>
          <w:rFonts w:hint="eastAsia" w:hAnsi="宋体" w:cs="宋体"/>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7"/>
        <w:snapToGrid w:val="0"/>
        <w:spacing w:line="440" w:lineRule="exact"/>
        <w:ind w:firstLine="480" w:firstLineChars="200"/>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5.</w:t>
      </w:r>
      <w:r>
        <w:rPr>
          <w:rFonts w:hint="eastAsia" w:hAnsi="宋体" w:cs="宋体"/>
          <w:color w:val="000000" w:themeColor="text1"/>
          <w:sz w:val="24"/>
          <w:szCs w:val="24"/>
          <w14:textFill>
            <w14:solidFill>
              <w14:schemeClr w14:val="tx1"/>
            </w14:solidFill>
          </w14:textFill>
        </w:rPr>
        <w:t xml:space="preserve"> 使用说明书（货物属于进口产品的，供货时应同时附上中文使用说明书）、质量检验证明书、随配附件和工具以及清单一并附于货物内。</w:t>
      </w:r>
    </w:p>
    <w:p>
      <w:pPr>
        <w:pStyle w:val="17"/>
        <w:snapToGrid w:val="0"/>
        <w:spacing w:line="440" w:lineRule="exact"/>
        <w:ind w:firstLine="480" w:firstLineChars="200"/>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6</w:t>
      </w:r>
      <w:r>
        <w:rPr>
          <w:rFonts w:hint="eastAsia" w:hAnsi="宋体" w:cs="宋体"/>
          <w:color w:val="000000" w:themeColor="text1"/>
          <w:sz w:val="24"/>
          <w:szCs w:val="24"/>
          <w14:textFill>
            <w14:solidFill>
              <w14:schemeClr w14:val="tx1"/>
            </w14:solidFill>
          </w14:textFill>
        </w:rPr>
        <w:t>.乙方在货物发运手续办理完毕后2</w:t>
      </w:r>
      <w:r>
        <w:rPr>
          <w:rFonts w:hAnsi="宋体" w:cs="宋体"/>
          <w:color w:val="000000" w:themeColor="text1"/>
          <w:sz w:val="24"/>
          <w:szCs w:val="24"/>
          <w14:textFill>
            <w14:solidFill>
              <w14:schemeClr w14:val="tx1"/>
            </w14:solidFill>
          </w14:textFill>
        </w:rPr>
        <w:t>4</w:t>
      </w:r>
      <w:r>
        <w:rPr>
          <w:rFonts w:hint="eastAsia" w:hAnsi="宋体" w:cs="宋体"/>
          <w:color w:val="000000" w:themeColor="text1"/>
          <w:sz w:val="24"/>
          <w:szCs w:val="24"/>
          <w14:textFill>
            <w14:solidFill>
              <w14:schemeClr w14:val="tx1"/>
            </w14:solidFill>
          </w14:textFill>
        </w:rPr>
        <w:t>小时内或者货到甲方4</w:t>
      </w:r>
      <w:r>
        <w:rPr>
          <w:rFonts w:hAnsi="宋体" w:cs="宋体"/>
          <w:color w:val="000000" w:themeColor="text1"/>
          <w:sz w:val="24"/>
          <w:szCs w:val="24"/>
          <w14:textFill>
            <w14:solidFill>
              <w14:schemeClr w14:val="tx1"/>
            </w14:solidFill>
          </w14:textFill>
        </w:rPr>
        <w:t>8</w:t>
      </w:r>
      <w:r>
        <w:rPr>
          <w:rFonts w:hint="eastAsia" w:hAnsi="宋体" w:cs="宋体"/>
          <w:color w:val="000000" w:themeColor="text1"/>
          <w:sz w:val="24"/>
          <w:szCs w:val="24"/>
          <w14:textFill>
            <w14:solidFill>
              <w14:schemeClr w14:val="tx1"/>
            </w14:solidFill>
          </w14:textFill>
        </w:rPr>
        <w:t>小时前通知甲方，以准备接货。</w:t>
      </w:r>
    </w:p>
    <w:p>
      <w:pPr>
        <w:pStyle w:val="17"/>
        <w:snapToGrid w:val="0"/>
        <w:spacing w:line="440" w:lineRule="exact"/>
        <w:ind w:firstLine="480" w:firstLineChars="200"/>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.货物在规定的交付期限内由乙方送达甲方指定的地点，乙方同时需通知甲方货物已送达，甲方清点货物后签收，货物签收不作为最终验收合格的依据。</w:t>
      </w:r>
    </w:p>
    <w:p>
      <w:pPr>
        <w:snapToGrid w:val="0"/>
        <w:spacing w:line="460" w:lineRule="exact"/>
        <w:ind w:firstLine="482" w:firstLineChars="200"/>
        <w:rPr>
          <w:rFonts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第五条　</w:t>
      </w:r>
      <w:r>
        <w:rPr>
          <w:rFonts w:hint="eastAsia" w:hAnsi="宋体" w:cs="宋体"/>
          <w:b/>
          <w:color w:val="000000" w:themeColor="text1"/>
          <w:sz w:val="24"/>
          <w14:textFill>
            <w14:solidFill>
              <w14:schemeClr w14:val="tx1"/>
            </w14:solidFill>
          </w14:textFill>
        </w:rPr>
        <w:t>安装和培训</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1.甲方应提供必要安装条件（如场地、电源、水源等）。</w:t>
      </w:r>
    </w:p>
    <w:p>
      <w:pPr>
        <w:snapToGrid w:val="0"/>
        <w:spacing w:line="4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2.乙方响应文件承诺负责甲方有关人员的培训：</w:t>
      </w:r>
      <w:r>
        <w:rPr>
          <w:rFonts w:hint="eastAsia" w:ascii="宋体" w:hAnsi="宋体" w:cs="宋体"/>
          <w:color w:val="000000" w:themeColor="text1"/>
          <w:sz w:val="24"/>
          <w:u w:val="single"/>
          <w14:textFill>
            <w14:solidFill>
              <w14:schemeClr w14:val="tx1"/>
            </w14:solidFill>
          </w14:textFill>
        </w:rPr>
        <w:t>根据甲方要求开展。</w:t>
      </w:r>
    </w:p>
    <w:p>
      <w:pPr>
        <w:snapToGrid w:val="0"/>
        <w:spacing w:line="460" w:lineRule="exact"/>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3.培训时间、地点：</w:t>
      </w:r>
      <w:r>
        <w:rPr>
          <w:rFonts w:hint="eastAsia" w:ascii="宋体" w:hAnsi="宋体" w:cs="宋体"/>
          <w:color w:val="000000" w:themeColor="text1"/>
          <w:sz w:val="24"/>
          <w:u w:val="single"/>
          <w14:textFill>
            <w14:solidFill>
              <w14:schemeClr w14:val="tx1"/>
            </w14:solidFill>
          </w14:textFill>
        </w:rPr>
        <w:t>甲方指定。</w:t>
      </w:r>
    </w:p>
    <w:p>
      <w:pPr>
        <w:snapToGrid w:val="0"/>
        <w:spacing w:line="4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第六条　调试、交付和验收</w:t>
      </w:r>
    </w:p>
    <w:p>
      <w:pPr>
        <w:snapToGrid w:val="0"/>
        <w:spacing w:line="4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1.交付时间：国产设备自签订合同之日起</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日历天内到货安装调试完成并通过验收。进口设备</w:t>
      </w:r>
      <w:r>
        <w:rPr>
          <w:rFonts w:ascii="宋体" w:hAnsi="宋体" w:cs="宋体"/>
          <w:color w:val="000000" w:themeColor="text1"/>
          <w:sz w:val="24"/>
          <w14:textFill>
            <w14:solidFill>
              <w14:schemeClr w14:val="tx1"/>
            </w14:solidFill>
          </w14:textFill>
        </w:rPr>
        <w:t>签</w:t>
      </w:r>
      <w:r>
        <w:rPr>
          <w:rFonts w:hint="eastAsia" w:ascii="宋体" w:hAnsi="宋体" w:cs="宋体"/>
          <w:color w:val="000000" w:themeColor="text1"/>
          <w:sz w:val="24"/>
          <w14:textFill>
            <w14:solidFill>
              <w14:schemeClr w14:val="tx1"/>
            </w14:solidFill>
          </w14:textFill>
        </w:rPr>
        <w:t>自签订合同之日起</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日历天内到货安装调试完成并通过验收。交付地点：</w:t>
      </w:r>
      <w:r>
        <w:rPr>
          <w:rFonts w:hint="eastAsia" w:ascii="宋体" w:hAnsi="宋体" w:cs="宋体"/>
          <w:color w:val="000000" w:themeColor="text1"/>
          <w:sz w:val="24"/>
          <w:u w:val="single"/>
          <w14:textFill>
            <w14:solidFill>
              <w14:schemeClr w14:val="tx1"/>
            </w14:solidFill>
          </w14:textFill>
        </w:rPr>
        <w:t>甲方指定地点。</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2.乙方提供不符合采购文件规定或者响应文件承诺的和本合同规定的货物，甲方有权拒绝接受。</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乙方应对产品作出全面检查和对验收文件进行整理，并列出清单，作为甲方验收和使用的技术条件依据，检验的结果应随货物交甲方。</w:t>
      </w:r>
    </w:p>
    <w:p>
      <w:pPr>
        <w:pStyle w:val="17"/>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5.</w:t>
      </w:r>
      <w:r>
        <w:rPr>
          <w:rFonts w:hint="eastAsia" w:hAnsi="宋体" w:cs="宋体"/>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乙方应当在到货并安装、调试完毕后，达到验收条件时以书面形式提请甲方进行验收，甲方应在收到验收请求后</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个工作日内组织开展履约验收。验收合格后由甲乙双方签署货物验收单并加盖甲方公章，甲乙双方各执壹份。</w:t>
      </w:r>
    </w:p>
    <w:p>
      <w:pPr>
        <w:pStyle w:val="17"/>
        <w:snapToGrid w:val="0"/>
        <w:spacing w:line="360" w:lineRule="auto"/>
        <w:ind w:firstLine="480" w:firstLineChars="200"/>
        <w:rPr>
          <w:rFonts w:hAnsi="宋体" w:cs="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对技术复杂的货物，甲方可请国家认可的专业检测机构参与初步验收及最终验收，并由其出具质量检测报告。</w:t>
      </w:r>
    </w:p>
    <w:p>
      <w:pPr>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甲方委托采购代理机构组织的验收项目，其验收时间以该项目验收方案确定的验收时间为准，验收结果以该项目验收报告结论为准。在验收过程中发现乙方有违约情形，可暂缓资金结算，待乙方违约情形整改后，方可办理资金结算事宜。</w:t>
      </w:r>
    </w:p>
    <w:p>
      <w:pPr>
        <w:snapToGrid w:val="0"/>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甲方对验收有异议的，在验收后</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个工作日内以书面形式向乙方提出，乙方应自收到甲方书面异议后</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日内及时予以解决。</w:t>
      </w:r>
    </w:p>
    <w:p>
      <w:pPr>
        <w:snapToGrid w:val="0"/>
        <w:spacing w:line="360" w:lineRule="auto"/>
        <w:ind w:left="-61" w:firstLine="514"/>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验收时乙方必须在现场，验收完毕后作出验收结果报告；验收过程所产生的一切费用均由乙方承担。</w:t>
      </w:r>
    </w:p>
    <w:p>
      <w:pPr>
        <w:snapToGrid w:val="0"/>
        <w:spacing w:line="360" w:lineRule="auto"/>
        <w:ind w:left="-61" w:firstLine="514"/>
        <w:rPr>
          <w:rFonts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货物在交付甲方前发生的风险均由乙方负责。</w:t>
      </w:r>
    </w:p>
    <w:p>
      <w:pPr>
        <w:pStyle w:val="12"/>
        <w:ind w:firstLine="480" w:firstLineChars="200"/>
        <w:rPr>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本合同的验收条款与采购需求商务条款中的货物验收条款互为补充。</w:t>
      </w:r>
    </w:p>
    <w:p>
      <w:pPr>
        <w:snapToGrid w:val="0"/>
        <w:spacing w:line="360" w:lineRule="auto"/>
        <w:ind w:left="-61" w:firstLine="514"/>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第七条　付款方式</w:t>
      </w:r>
    </w:p>
    <w:p>
      <w:pPr>
        <w:snapToGrid w:val="0"/>
        <w:spacing w:line="360" w:lineRule="auto"/>
        <w:ind w:left="-61" w:firstLine="51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1.国产设备付款：</w:t>
      </w:r>
      <w:r>
        <w:rPr>
          <w:rFonts w:hint="eastAsia" w:ascii="宋体" w:hAnsi="宋体" w:cs="宋体"/>
          <w:color w:val="000000" w:themeColor="text1"/>
          <w:sz w:val="24"/>
          <w:u w:val="single"/>
          <w14:textFill>
            <w14:solidFill>
              <w14:schemeClr w14:val="tx1"/>
            </w14:solidFill>
          </w14:textFill>
        </w:rPr>
        <w:t>本项目无预付款,全部货物安装调试完毕并经验收合格后,甲方</w:t>
      </w:r>
      <w:r>
        <w:rPr>
          <w:rFonts w:hint="eastAsia" w:ascii="宋体" w:hAnsi="宋体"/>
          <w:color w:val="000000" w:themeColor="text1"/>
          <w:sz w:val="24"/>
          <w14:textFill>
            <w14:solidFill>
              <w14:schemeClr w14:val="tx1"/>
            </w14:solidFill>
          </w14:textFill>
        </w:rPr>
        <w:t>在办理支付审批手续后，</w:t>
      </w:r>
      <w:r>
        <w:rPr>
          <w:rFonts w:hint="eastAsia" w:ascii="宋体" w:hAnsi="宋体" w:cs="宋体"/>
          <w:color w:val="000000" w:themeColor="text1"/>
          <w:sz w:val="24"/>
          <w:u w:val="single"/>
          <w14:textFill>
            <w14:solidFill>
              <w14:schemeClr w14:val="tx1"/>
            </w14:solidFill>
          </w14:textFill>
        </w:rPr>
        <w:t>一次性向乙方支付全部合同款（无息）；付款前，乙方开具等额增值税专用发票给甲方。</w:t>
      </w:r>
      <w:r>
        <w:rPr>
          <w:rFonts w:hint="eastAsia" w:ascii="宋体" w:hAnsi="宋体" w:cs="宋体"/>
          <w:color w:val="000000" w:themeColor="text1"/>
          <w:sz w:val="24"/>
          <w14:textFill>
            <w14:solidFill>
              <w14:schemeClr w14:val="tx1"/>
            </w14:solidFill>
          </w14:textFill>
        </w:rPr>
        <w:t>工程结算以实际发生工程量计算。</w:t>
      </w:r>
    </w:p>
    <w:p>
      <w:pPr>
        <w:snapToGrid w:val="0"/>
        <w:spacing w:line="360" w:lineRule="auto"/>
        <w:ind w:left="-61" w:firstLine="51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进口设备付款：本项目外贸进口代理业务由甲方指定外贸代理承担，并按下述方式支付合同款：合同生效后，甲方支付100%合同款给指定外贸代理商，指定外贸代理商与乙方按以下方式结算：（1）指定外贸代理商向成交产品国外生产商开出设备款100%的即期不可撤销信用证或者电汇支付；（2）设备到货并经甲方验收合格后，指定外贸代理商与乙方结算合同款。（注：双方以人民币结算）甲方、乙方及指定外贸代理商三方另行签订《外贸进口代理协议书（三方协议）》，约定外贸进口业务有关事宜。</w:t>
      </w:r>
    </w:p>
    <w:p>
      <w:pPr>
        <w:snapToGrid w:val="0"/>
        <w:spacing w:line="360" w:lineRule="auto"/>
        <w:ind w:left="-61" w:firstLine="51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3.依法不能办理免税的进口设备按国产设备付款方式支付。</w:t>
      </w:r>
    </w:p>
    <w:p>
      <w:pPr>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第八条　履约保证金</w:t>
      </w:r>
    </w:p>
    <w:p>
      <w:pPr>
        <w:snapToGrid w:val="0"/>
        <w:spacing w:line="46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1.履约保证金金额：</w:t>
      </w:r>
      <w:r>
        <w:rPr>
          <w:rFonts w:hint="eastAsia" w:ascii="宋体" w:hAnsi="宋体" w:cs="宋体"/>
          <w:color w:val="000000" w:themeColor="text1"/>
          <w:sz w:val="24"/>
          <w:u w:val="single"/>
          <w:lang w:eastAsia="zh-Hans"/>
          <w14:textFill>
            <w14:solidFill>
              <w14:schemeClr w14:val="tx1"/>
            </w14:solidFill>
          </w14:textFill>
        </w:rPr>
        <w:t>合同金额的</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即人民币（大写）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乙方在签订合同时交至指定账户（履约保证金缴纳时须备注项目编号及项目名称：</w:t>
      </w:r>
      <w:r>
        <w:rPr>
          <w:rFonts w:hint="eastAsia" w:ascii="宋体" w:hAnsi="宋体" w:cs="宋体"/>
          <w:color w:val="000000" w:themeColor="text1"/>
          <w:sz w:val="24"/>
          <w:u w:val="single"/>
          <w14:textFill>
            <w14:solidFill>
              <w14:schemeClr w14:val="tx1"/>
            </w14:solidFill>
          </w14:textFill>
        </w:rPr>
        <w:t>GXZC20</w:t>
      </w:r>
      <w:r>
        <w:rPr>
          <w:rFonts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-J1-000</w:t>
      </w:r>
      <w:r>
        <w:rPr>
          <w:rFonts w:ascii="宋体" w:hAnsi="宋体" w:cs="宋体"/>
          <w:color w:val="000000" w:themeColor="text1"/>
          <w:sz w:val="24"/>
          <w:u w:val="single"/>
          <w14:textFill>
            <w14:solidFill>
              <w14:schemeClr w14:val="tx1"/>
            </w14:solidFill>
          </w14:textFill>
        </w:rPr>
        <w:t>000</w:t>
      </w:r>
      <w:r>
        <w:rPr>
          <w:rFonts w:hint="eastAsia" w:ascii="宋体" w:hAnsi="宋体" w:cs="宋体"/>
          <w:color w:val="000000" w:themeColor="text1"/>
          <w:sz w:val="24"/>
          <w:u w:val="single"/>
          <w14:textFill>
            <w14:solidFill>
              <w14:schemeClr w14:val="tx1"/>
            </w14:solidFill>
          </w14:textFill>
        </w:rPr>
        <w:t>-****（项目名称 ）</w:t>
      </w:r>
      <w:r>
        <w:rPr>
          <w:rFonts w:hint="eastAsia" w:ascii="宋体" w:hAnsi="宋体" w:cs="宋体"/>
          <w:color w:val="000000" w:themeColor="text1"/>
          <w:sz w:val="24"/>
          <w14:textFill>
            <w14:solidFill>
              <w14:schemeClr w14:val="tx1"/>
            </w14:solidFill>
          </w14:textFill>
        </w:rPr>
        <w:t>履约保证金。）</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2.履约保证金递交方式：银行转账、支票、汇票、本票、保函等非现金方式。由乙方在签订合同时按规定的金额直接缴入以下甲方账户。</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履约保证金退付方式、时间及条件：乙方若不能完全履行合同，履约保证金不予退还；乙方若完全履行合同，货物验收合格后，乙方凭履约保证金缴款凭证、退付意见书到甲方财务部门办理无息退还手续。由乙方向甲方提供《广西壮族自治区政府采购项目合同验收书》或广西大学的验收报告（甲方提供格式）、《政府采购项目履约保证金退付意见书》，甲方在收到合格材料后办理退还手续（不计利息）。</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4.备注：</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（1）履约保证金必须足额缴纳，或出具的保函额度必须足额且保函有效期不能低于合同履行期限（即签订采购合同之日起至履行完合同约定的权利及义务之日止），否则视为无效履约保证金。</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（2）采用保函的，必须为无条件保函，否则视为无效履约保证金。</w:t>
      </w:r>
    </w:p>
    <w:p>
      <w:pPr>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w:t>
      </w:r>
      <w:r>
        <w:rPr>
          <w:rFonts w:ascii="宋体" w:hAnsi="宋体" w:cs="宋体"/>
          <w:b/>
          <w:color w:val="000000" w:themeColor="text1"/>
          <w:sz w:val="24"/>
          <w14:textFill>
            <w14:solidFill>
              <w14:schemeClr w14:val="tx1"/>
            </w14:solidFill>
          </w14:textFill>
        </w:rPr>
        <w:t>履约保证金缴纳时须明确备注项目</w:t>
      </w:r>
      <w:r>
        <w:rPr>
          <w:rFonts w:hint="eastAsia" w:ascii="宋体" w:hAnsi="宋体" w:cs="宋体"/>
          <w:b/>
          <w:color w:val="000000" w:themeColor="text1"/>
          <w:sz w:val="24"/>
          <w14:textFill>
            <w14:solidFill>
              <w14:schemeClr w14:val="tx1"/>
            </w14:solidFill>
          </w14:textFill>
        </w:rPr>
        <w:t>名称（编号）：</w:t>
      </w:r>
      <w:r>
        <w:rPr>
          <w:rFonts w:ascii="宋体" w:hAnsi="宋体" w:cs="宋体"/>
          <w:b/>
          <w:color w:val="000000" w:themeColor="text1"/>
          <w:sz w:val="24"/>
          <w:u w:val="single"/>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（GXZC2026-J1-000505-GXKL）履约保证金。</w:t>
      </w:r>
    </w:p>
    <w:p>
      <w:pPr>
        <w:snapToGrid w:val="0"/>
        <w:spacing w:line="42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（4）甲方账户信息如下：</w:t>
      </w:r>
    </w:p>
    <w:p>
      <w:pPr>
        <w:snapToGrid w:val="0"/>
        <w:spacing w:line="42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统一社会信用代码：124500004985009929</w:t>
      </w:r>
    </w:p>
    <w:p>
      <w:pPr>
        <w:snapToGrid w:val="0"/>
        <w:spacing w:line="42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户名： 广西大学</w:t>
      </w:r>
    </w:p>
    <w:p>
      <w:pPr>
        <w:snapToGrid w:val="0"/>
        <w:spacing w:line="42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开户行：中国银行广西南宁市西大支行（行号：104611010324）</w:t>
      </w:r>
    </w:p>
    <w:p>
      <w:pPr>
        <w:snapToGrid w:val="0"/>
        <w:spacing w:line="42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账号： 618 457 484 938</w:t>
      </w:r>
    </w:p>
    <w:p>
      <w:pPr>
        <w:snapToGrid w:val="0"/>
        <w:spacing w:line="42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地址：广西壮族自治区南宁市大学东路100号  联系电话：3232888</w:t>
      </w:r>
    </w:p>
    <w:p>
      <w:pPr>
        <w:snapToGrid w:val="0"/>
        <w:spacing w:line="420" w:lineRule="exact"/>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签订合同后，如乙方不按双方签订的合同规定履约，则其全部履约保证金甲方不予退还；履约保证金不足以赔偿甲方损失的，按实际损失赔偿。</w:t>
      </w:r>
    </w:p>
    <w:p>
      <w:pPr>
        <w:snapToGrid w:val="0"/>
        <w:spacing w:line="460" w:lineRule="exact"/>
        <w:ind w:firstLine="514"/>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第九条  税费</w:t>
      </w:r>
    </w:p>
    <w:p>
      <w:pPr>
        <w:snapToGrid w:val="0"/>
        <w:spacing w:line="460" w:lineRule="exact"/>
        <w:ind w:firstLine="51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本合同执行中相关的一切税费均由乙方负担，合同另有约定的除外。</w:t>
      </w:r>
    </w:p>
    <w:p>
      <w:pPr>
        <w:snapToGrid w:val="0"/>
        <w:spacing w:line="460" w:lineRule="exact"/>
        <w:ind w:firstLine="514"/>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第十条  质量保证、售后服务</w:t>
      </w:r>
    </w:p>
    <w:p>
      <w:pPr>
        <w:snapToGrid w:val="0"/>
        <w:spacing w:line="460" w:lineRule="exact"/>
        <w:ind w:firstLine="480" w:firstLineChars="200"/>
        <w:rPr>
          <w:rFonts w:ascii="宋体" w:hAnsi="宋体" w:cs="宋体"/>
          <w:bCs/>
          <w:color w:val="000000" w:themeColor="text1"/>
          <w:kern w:val="0"/>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r>
        <w:rPr>
          <w:rFonts w:hint="eastAsia" w:ascii="宋体" w:hAnsi="宋体" w:cs="宋体"/>
          <w:bCs/>
          <w:color w:val="000000" w:themeColor="text1"/>
          <w:kern w:val="0"/>
          <w:sz w:val="24"/>
          <w14:textFill>
            <w14:solidFill>
              <w14:schemeClr w14:val="tx1"/>
            </w14:solidFill>
          </w14:textFill>
        </w:rPr>
        <w:t>.乙方应按照国家有关法律法规和“三包”规定以及采购文件要求、响应文件承诺和本合同所附的《售后服务承诺》，为甲方提供售后服务。</w:t>
      </w:r>
    </w:p>
    <w:p>
      <w:pPr>
        <w:snapToGrid w:val="0"/>
        <w:spacing w:line="460" w:lineRule="exact"/>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2.乙方应按采购文件规定的设备和软件性能、技术要求、质量标准向甲方提供未经使用的全新产品。对达不到要求者，根据实际情况，经双方协商，可按以下办法处理：</w:t>
      </w:r>
    </w:p>
    <w:p>
      <w:pPr>
        <w:snapToGrid w:val="0"/>
        <w:spacing w:line="460" w:lineRule="exact"/>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（1）更换：由乙方承担所发生的全部费用。</w:t>
      </w:r>
    </w:p>
    <w:p>
      <w:pPr>
        <w:snapToGrid w:val="0"/>
        <w:spacing w:line="460" w:lineRule="exact"/>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（2）贬值处理：由甲乙双方合议定价。</w:t>
      </w:r>
    </w:p>
    <w:p>
      <w:pPr>
        <w:snapToGrid w:val="0"/>
        <w:spacing w:line="460" w:lineRule="exact"/>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（3）退货处理：乙方应退还甲方支付的合同款，同时应承担该货物的直接费用（运输、保险、检验、货款利息及银行手续费等）。</w:t>
      </w:r>
    </w:p>
    <w:p>
      <w:pPr>
        <w:snapToGrid w:val="0"/>
        <w:spacing w:line="460" w:lineRule="exact"/>
        <w:ind w:firstLine="480" w:firstLineChars="2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如果双方不能就上述第（1）、（2）项达成协议，则甲方有权单方选择第（3）项方式。</w:t>
      </w:r>
    </w:p>
    <w:p>
      <w:pPr>
        <w:snapToGrid w:val="0"/>
        <w:spacing w:line="460" w:lineRule="exact"/>
        <w:ind w:firstLine="480" w:firstLineChars="200"/>
        <w:rPr>
          <w:rFonts w:ascii="宋体" w:hAnsi="宋体" w:cs="宋体"/>
          <w:bCs/>
          <w:color w:val="000000" w:themeColor="text1"/>
          <w:kern w:val="0"/>
          <w:sz w:val="24"/>
          <w14:textFill>
            <w14:solidFill>
              <w14:schemeClr w14:val="tx1"/>
            </w14:solidFill>
          </w14:textFill>
        </w:rPr>
      </w:pPr>
      <w:r>
        <w:rPr>
          <w:rFonts w:ascii="宋体" w:hAnsi="宋体" w:cs="宋体"/>
          <w:bCs/>
          <w:color w:val="000000" w:themeColor="text1"/>
          <w:kern w:val="0"/>
          <w:sz w:val="24"/>
          <w14:textFill>
            <w14:solidFill>
              <w14:schemeClr w14:val="tx1"/>
            </w14:solidFill>
          </w14:textFill>
        </w:rPr>
        <w:t>3</w:t>
      </w:r>
      <w:r>
        <w:rPr>
          <w:rFonts w:hint="eastAsia" w:ascii="宋体" w:hAnsi="宋体" w:cs="宋体"/>
          <w:bCs/>
          <w:color w:val="000000" w:themeColor="text1"/>
          <w:kern w:val="0"/>
          <w:sz w:val="24"/>
          <w14:textFill>
            <w14:solidFill>
              <w14:schemeClr w14:val="tx1"/>
            </w14:solidFill>
          </w14:textFill>
        </w:rPr>
        <w:t>.乙方提供的服务承诺和售后服务及质量保证期责任等其他具体约定事项（见合同附件）。</w:t>
      </w:r>
    </w:p>
    <w:p>
      <w:pPr>
        <w:snapToGrid w:val="0"/>
        <w:spacing w:line="460" w:lineRule="exact"/>
        <w:ind w:firstLine="480" w:firstLineChars="200"/>
        <w:rPr>
          <w:rFonts w:ascii="宋体" w:hAnsi="宋体" w:cs="宋体"/>
          <w:bCs/>
          <w:color w:val="000000" w:themeColor="text1"/>
          <w:kern w:val="0"/>
          <w:sz w:val="24"/>
          <w14:textFill>
            <w14:solidFill>
              <w14:schemeClr w14:val="tx1"/>
            </w14:solidFill>
          </w14:textFill>
        </w:rPr>
      </w:pPr>
      <w:r>
        <w:rPr>
          <w:rFonts w:hAnsi="宋体" w:cs="宋体"/>
          <w:color w:val="000000" w:themeColor="text1"/>
          <w:sz w:val="24"/>
          <w14:textFill>
            <w14:solidFill>
              <w14:schemeClr w14:val="tx1"/>
            </w14:solidFill>
          </w14:textFill>
        </w:rPr>
        <w:t>4</w:t>
      </w:r>
      <w:r>
        <w:rPr>
          <w:rFonts w:hint="eastAsia" w:ascii="宋体" w:hAnsi="宋体" w:cs="宋体"/>
          <w:bCs/>
          <w:color w:val="000000" w:themeColor="text1"/>
          <w:kern w:val="0"/>
          <w:sz w:val="24"/>
          <w14:textFill>
            <w14:solidFill>
              <w14:schemeClr w14:val="tx1"/>
            </w14:solidFill>
          </w14:textFill>
        </w:rPr>
        <w:t>.乙方除承担运输、安装、调试、验收与培训等义务外，还将为甲方提供技术支持，包括质量保证期外的技术指导。</w:t>
      </w:r>
    </w:p>
    <w:p>
      <w:pPr>
        <w:snapToGrid w:val="0"/>
        <w:spacing w:line="460" w:lineRule="exact"/>
        <w:ind w:firstLine="480" w:firstLineChars="200"/>
        <w:rPr>
          <w:rFonts w:ascii="宋体" w:hAnsi="宋体" w:cs="宋体"/>
          <w:bCs/>
          <w:color w:val="000000" w:themeColor="text1"/>
          <w:kern w:val="0"/>
          <w:sz w:val="24"/>
          <w14:textFill>
            <w14:solidFill>
              <w14:schemeClr w14:val="tx1"/>
            </w14:solidFill>
          </w14:textFill>
        </w:rPr>
      </w:pPr>
      <w:r>
        <w:rPr>
          <w:rFonts w:hAnsi="宋体" w:cs="宋体"/>
          <w:color w:val="000000" w:themeColor="text1"/>
          <w:sz w:val="24"/>
          <w14:textFill>
            <w14:solidFill>
              <w14:schemeClr w14:val="tx1"/>
            </w14:solidFill>
          </w14:textFill>
        </w:rPr>
        <w:t>5</w:t>
      </w:r>
      <w:r>
        <w:rPr>
          <w:rFonts w:hint="eastAsia" w:ascii="宋体" w:hAnsi="宋体" w:cs="宋体"/>
          <w:bCs/>
          <w:color w:val="000000" w:themeColor="text1"/>
          <w:kern w:val="0"/>
          <w:sz w:val="24"/>
          <w14:textFill>
            <w14:solidFill>
              <w14:schemeClr w14:val="tx1"/>
            </w14:solidFill>
          </w14:textFill>
        </w:rPr>
        <w:t>.在质保期内，乙方应对货物出现的质量及安全问题负责处理解决并承担一切费用。</w:t>
      </w:r>
    </w:p>
    <w:p>
      <w:pPr>
        <w:snapToGrid w:val="0"/>
        <w:spacing w:line="460" w:lineRule="exact"/>
        <w:ind w:firstLine="480" w:firstLineChars="200"/>
        <w:rPr>
          <w:rFonts w:ascii="宋体" w:hAnsi="宋体" w:cs="宋体"/>
          <w:bCs/>
          <w:color w:val="000000" w:themeColor="text1"/>
          <w:kern w:val="0"/>
          <w:sz w:val="24"/>
          <w14:textFill>
            <w14:solidFill>
              <w14:schemeClr w14:val="tx1"/>
            </w14:solidFill>
          </w14:textFill>
        </w:rPr>
      </w:pPr>
      <w:r>
        <w:rPr>
          <w:rFonts w:hAnsi="宋体" w:cs="宋体"/>
          <w:color w:val="000000" w:themeColor="text1"/>
          <w:sz w:val="24"/>
          <w14:textFill>
            <w14:solidFill>
              <w14:schemeClr w14:val="tx1"/>
            </w14:solidFill>
          </w14:textFill>
        </w:rPr>
        <w:t>6</w:t>
      </w:r>
      <w:r>
        <w:rPr>
          <w:rFonts w:hint="eastAsia" w:ascii="宋体" w:hAnsi="宋体" w:cs="宋体"/>
          <w:bCs/>
          <w:color w:val="000000" w:themeColor="text1"/>
          <w:kern w:val="0"/>
          <w:sz w:val="24"/>
          <w14:textFill>
            <w14:solidFill>
              <w14:schemeClr w14:val="tx1"/>
            </w14:solidFill>
          </w14:textFill>
        </w:rPr>
        <w:t>.超过质量保证期的机器设备，终身维修，维修时只收部件成本费。</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Ansi="宋体" w:cs="宋体"/>
          <w:color w:val="000000" w:themeColor="text1"/>
          <w:sz w:val="24"/>
          <w14:textFill>
            <w14:solidFill>
              <w14:schemeClr w14:val="tx1"/>
            </w14:solidFill>
          </w14:textFill>
        </w:rPr>
        <w:t>7</w:t>
      </w:r>
      <w:r>
        <w:rPr>
          <w:rFonts w:hint="eastAsia" w:ascii="宋体" w:hAnsi="宋体" w:cs="宋体"/>
          <w:bCs/>
          <w:color w:val="000000" w:themeColor="text1"/>
          <w:kern w:val="0"/>
          <w:sz w:val="24"/>
          <w14:textFill>
            <w14:solidFill>
              <w14:schemeClr w14:val="tx1"/>
            </w14:solidFill>
          </w14:textFill>
        </w:rPr>
        <w:t>.货物质量保证期：</w:t>
      </w:r>
      <w:r>
        <w:rPr>
          <w:rFonts w:hint="eastAsia" w:ascii="宋体" w:hAnsi="宋体" w:cs="宋体"/>
          <w:color w:val="000000" w:themeColor="text1"/>
          <w:sz w:val="24"/>
          <w:u w:val="single"/>
          <w14:textFill>
            <w14:solidFill>
              <w14:schemeClr w14:val="tx1"/>
            </w14:solidFill>
          </w14:textFill>
        </w:rPr>
        <w:t>按国家有关产品“三包”规定执行“三包”，质量保证期不少于</w:t>
      </w:r>
      <w:r>
        <w:rPr>
          <w:rFonts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年（质量保证期自货物验收合格之日起计。分项货物或配置有明确要求的按分项要求；生产厂家承诺的</w:t>
      </w:r>
      <w:r>
        <w:rPr>
          <w:rFonts w:hint="eastAsia" w:ascii="宋体" w:hAnsi="宋体" w:cs="宋体"/>
          <w:bCs/>
          <w:color w:val="000000" w:themeColor="text1"/>
          <w:kern w:val="0"/>
          <w:sz w:val="24"/>
          <w:u w:val="single"/>
          <w14:textFill>
            <w14:solidFill>
              <w14:schemeClr w14:val="tx1"/>
            </w14:solidFill>
          </w14:textFill>
        </w:rPr>
        <w:t>质量保证期</w:t>
      </w:r>
      <w:r>
        <w:rPr>
          <w:rFonts w:hint="eastAsia" w:ascii="宋体" w:hAnsi="宋体" w:cs="宋体"/>
          <w:color w:val="000000" w:themeColor="text1"/>
          <w:sz w:val="24"/>
          <w:u w:val="single"/>
          <w14:textFill>
            <w14:solidFill>
              <w14:schemeClr w14:val="tx1"/>
            </w14:solidFill>
          </w14:textFill>
        </w:rPr>
        <w:t>更长的按生产厂家的承诺；</w:t>
      </w:r>
      <w:r>
        <w:rPr>
          <w:rFonts w:hint="eastAsia" w:ascii="宋体" w:hAnsi="宋体" w:cs="宋体"/>
          <w:bCs/>
          <w:color w:val="000000" w:themeColor="text1"/>
          <w:kern w:val="0"/>
          <w:sz w:val="24"/>
          <w:u w:val="single"/>
          <w14:textFill>
            <w14:solidFill>
              <w14:schemeClr w14:val="tx1"/>
            </w14:solidFill>
          </w14:textFill>
        </w:rPr>
        <w:t>乙方响应文件承诺更优的，以乙方响应文件承诺为准</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bCs/>
          <w:color w:val="000000" w:themeColor="text1"/>
          <w:kern w:val="0"/>
          <w:sz w:val="24"/>
          <w:u w:val="single"/>
          <w14:textFill>
            <w14:solidFill>
              <w14:schemeClr w14:val="tx1"/>
            </w14:solidFill>
          </w14:textFill>
        </w:rPr>
        <w:t>。</w:t>
      </w:r>
    </w:p>
    <w:p>
      <w:pPr>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第十一条　违约责任</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1.乙方所提供的产品名称、商标品牌、生产厂家、规格型号、技术参数等质量不合格的，应及时更换，更换不及时的按逾期交货处理；因质量问题甲方不同意接收的或者特殊情况甲方同意接收的，乙方应按违约货款额 5%向甲方支付违约金并赔偿甲方经济损失。                                       </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2.乙方提供的货物如侵犯了第三方合法权益而引发的任何纠纷或者诉讼，均由乙方负责交涉并承担全部责任。</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3.因包装、运输引起的货物损坏，按质量不合格处理。</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4.合同一方不履行合同义务、履行合同义务不符合约定或者违反合同项下所作保证的，应向对方承担继续履行、采取修理、更换、退货等补救措施或者赔偿损失等违约责任。</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5.乙方未能按时交付货物的，应向甲方支付迟延交付违约金。迟延交付违约金的计算方法如下：</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（1）从迟交的第1日到第3</w:t>
      </w:r>
      <w:r>
        <w:rPr>
          <w:rFonts w:hAnsi="宋体" w:cs="宋体"/>
          <w:color w:val="000000" w:themeColor="text1"/>
          <w:sz w:val="24"/>
          <w:szCs w:val="24"/>
          <w14:textFill>
            <w14:solidFill>
              <w14:schemeClr w14:val="tx1"/>
            </w14:solidFill>
          </w14:textFill>
        </w:rPr>
        <w:t>0</w:t>
      </w:r>
      <w:r>
        <w:rPr>
          <w:rFonts w:hint="eastAsia" w:hAnsi="宋体" w:cs="宋体"/>
          <w:color w:val="000000" w:themeColor="text1"/>
          <w:sz w:val="24"/>
          <w:szCs w:val="24"/>
          <w14:textFill>
            <w14:solidFill>
              <w14:schemeClr w14:val="tx1"/>
            </w14:solidFill>
          </w14:textFill>
        </w:rPr>
        <w:t>日，每日迟延交付违约金为合同总价的 1.5‰；</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（2）从迟交的第3</w:t>
      </w:r>
      <w:r>
        <w:rPr>
          <w:rFonts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14:textFill>
            <w14:solidFill>
              <w14:schemeClr w14:val="tx1"/>
            </w14:solidFill>
          </w14:textFill>
        </w:rPr>
        <w:t>到第6</w:t>
      </w:r>
      <w:r>
        <w:rPr>
          <w:rFonts w:hAnsi="宋体" w:cs="宋体"/>
          <w:color w:val="000000" w:themeColor="text1"/>
          <w:sz w:val="24"/>
          <w:szCs w:val="24"/>
          <w14:textFill>
            <w14:solidFill>
              <w14:schemeClr w14:val="tx1"/>
            </w14:solidFill>
          </w14:textFill>
        </w:rPr>
        <w:t>0</w:t>
      </w:r>
      <w:r>
        <w:rPr>
          <w:rFonts w:hint="eastAsia" w:hAnsi="宋体" w:cs="宋体"/>
          <w:color w:val="000000" w:themeColor="text1"/>
          <w:sz w:val="24"/>
          <w:szCs w:val="24"/>
          <w14:textFill>
            <w14:solidFill>
              <w14:schemeClr w14:val="tx1"/>
            </w14:solidFill>
          </w14:textFill>
        </w:rPr>
        <w:t>日，每日迟延交付违约金为合同总价的 3‰；</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（3）从迟交的第6</w:t>
      </w:r>
      <w:r>
        <w:rPr>
          <w:rFonts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14:textFill>
            <w14:solidFill>
              <w14:schemeClr w14:val="tx1"/>
            </w14:solidFill>
          </w14:textFill>
        </w:rPr>
        <w:t>日起，每日迟延交付违约金为合同总价的5‰。</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（4）迟延交付违约金的总额不得超过合同总价的30%。迟延交付违约金的支付不能免除乙方继续交付相关合同货物的义务，但如迟延交付必然导致合同货物安装、调试、验收等工作推迟的，相关工作应相应顺延。</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6.甲方未能按合同约定支付合同价款的，应向乙方支付延迟付款违约金。迟延付款违约金的计算方法如下：</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（1）从迟交的第1日到第3</w:t>
      </w:r>
      <w:r>
        <w:rPr>
          <w:rFonts w:hAnsi="宋体" w:cs="宋体"/>
          <w:color w:val="000000" w:themeColor="text1"/>
          <w:sz w:val="24"/>
          <w:szCs w:val="24"/>
          <w14:textFill>
            <w14:solidFill>
              <w14:schemeClr w14:val="tx1"/>
            </w14:solidFill>
          </w14:textFill>
        </w:rPr>
        <w:t>0</w:t>
      </w:r>
      <w:r>
        <w:rPr>
          <w:rFonts w:hint="eastAsia" w:hAnsi="宋体" w:cs="宋体"/>
          <w:color w:val="000000" w:themeColor="text1"/>
          <w:sz w:val="24"/>
          <w:szCs w:val="24"/>
          <w14:textFill>
            <w14:solidFill>
              <w14:schemeClr w14:val="tx1"/>
            </w14:solidFill>
          </w14:textFill>
        </w:rPr>
        <w:t>日，每日迟延付款违约金为迟延付款金额的1.5‰；</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（2）从迟交的第3</w:t>
      </w:r>
      <w:r>
        <w:rPr>
          <w:rFonts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14:textFill>
            <w14:solidFill>
              <w14:schemeClr w14:val="tx1"/>
            </w14:solidFill>
          </w14:textFill>
        </w:rPr>
        <w:t>日到第60日，每日迟延付款违约金为迟延付款金额的3‰；</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（3）从迟交的第6</w:t>
      </w:r>
      <w:r>
        <w:rPr>
          <w:rFonts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14:textFill>
            <w14:solidFill>
              <w14:schemeClr w14:val="tx1"/>
            </w14:solidFill>
          </w14:textFill>
        </w:rPr>
        <w:t>日起，每日迟延付款违约金为迟延付款金额的 5‰。迟延付款违约金的总额不得超过迟延付款金额的30% 。</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7.乙方未按本合同和响应文件承诺提供售后服务的，乙方应按本合同总价的5%向甲方支付违约金。</w:t>
      </w:r>
    </w:p>
    <w:p>
      <w:pPr>
        <w:pStyle w:val="17"/>
        <w:snapToGrid w:val="0"/>
        <w:spacing w:line="44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8.</w:t>
      </w:r>
      <w:r>
        <w:rPr>
          <w:rFonts w:hint="eastAsia" w:asciiTheme="minorEastAsia" w:hAnsiTheme="minorEastAsia" w:eastAsiaTheme="minorEastAsia"/>
          <w:color w:val="000000" w:themeColor="text1"/>
          <w:sz w:val="24"/>
          <w:szCs w:val="24"/>
          <w14:textFill>
            <w14:solidFill>
              <w14:schemeClr w14:val="tx1"/>
            </w14:solidFill>
          </w14:textFill>
        </w:rPr>
        <w:t>乙方违约，甲方对本合同享有单方解除权。</w:t>
      </w:r>
    </w:p>
    <w:p>
      <w:pPr>
        <w:pStyle w:val="17"/>
        <w:snapToGrid w:val="0"/>
        <w:spacing w:line="440" w:lineRule="exact"/>
        <w:ind w:firstLine="480" w:firstLineChars="200"/>
        <w:rPr>
          <w:rFonts w:cs="宋体" w:asciiTheme="minorEastAsia" w:hAnsiTheme="minorEastAsia" w:eastAsiaTheme="minorEastAsia"/>
          <w:color w:val="000000" w:themeColor="text1"/>
          <w:sz w:val="24"/>
          <w:szCs w:val="24"/>
          <w14:textFill>
            <w14:solidFill>
              <w14:schemeClr w14:val="tx1"/>
            </w14:solidFill>
          </w14:textFill>
        </w:rPr>
      </w:pPr>
      <w:r>
        <w:rPr>
          <w:rFonts w:cs="宋体" w:asciiTheme="minorEastAsia" w:hAnsiTheme="minorEastAsia" w:eastAsiaTheme="minorEastAsia"/>
          <w:color w:val="000000" w:themeColor="text1"/>
          <w:sz w:val="24"/>
          <w:szCs w:val="24"/>
          <w14:textFill>
            <w14:solidFill>
              <w14:schemeClr w14:val="tx1"/>
            </w14:solidFill>
          </w14:textFill>
        </w:rPr>
        <w:t>9</w:t>
      </w:r>
      <w:r>
        <w:rPr>
          <w:rFonts w:hint="eastAsia" w:cs="宋体" w:asciiTheme="minorEastAsia" w:hAnsiTheme="minorEastAsia" w:eastAsiaTheme="minorEastAsia"/>
          <w:color w:val="000000" w:themeColor="text1"/>
          <w:sz w:val="24"/>
          <w:szCs w:val="24"/>
          <w14:textFill>
            <w14:solidFill>
              <w14:schemeClr w14:val="tx1"/>
            </w14:solidFill>
          </w14:textFill>
        </w:rPr>
        <w:t>.因某一方</w:t>
      </w:r>
      <w:r>
        <w:rPr>
          <w:rFonts w:hint="eastAsia" w:asciiTheme="minorEastAsia" w:hAnsiTheme="minorEastAsia" w:eastAsiaTheme="minorEastAsia"/>
          <w:bCs/>
          <w:color w:val="000000" w:themeColor="text1"/>
          <w:sz w:val="24"/>
          <w:shd w:val="clear" w:color="auto" w:fill="FFFFFF"/>
          <w14:textFill>
            <w14:solidFill>
              <w14:schemeClr w14:val="tx1"/>
            </w14:solidFill>
          </w14:textFill>
        </w:rPr>
        <w:t>单方面</w:t>
      </w:r>
      <w:r>
        <w:rPr>
          <w:rFonts w:hint="eastAsia" w:cs="宋体" w:asciiTheme="minorEastAsia" w:hAnsiTheme="minorEastAsia" w:eastAsiaTheme="minorEastAsia"/>
          <w:color w:val="000000" w:themeColor="text1"/>
          <w:sz w:val="24"/>
          <w:szCs w:val="24"/>
          <w14:textFill>
            <w14:solidFill>
              <w14:schemeClr w14:val="tx1"/>
            </w14:solidFill>
          </w14:textFill>
        </w:rPr>
        <w:t>原因导致变更、中止或者终止</w:t>
      </w:r>
      <w:bookmarkStart w:id="49" w:name="_Hlk123747227"/>
      <w:r>
        <w:rPr>
          <w:rFonts w:hint="eastAsia" w:asciiTheme="minorEastAsia" w:hAnsiTheme="minorEastAsia" w:eastAsiaTheme="minorEastAsia"/>
          <w:bCs/>
          <w:color w:val="000000" w:themeColor="text1"/>
          <w:sz w:val="24"/>
          <w:shd w:val="clear" w:color="auto" w:fill="FFFFFF"/>
          <w14:textFill>
            <w14:solidFill>
              <w14:schemeClr w14:val="tx1"/>
            </w14:solidFill>
          </w14:textFill>
        </w:rPr>
        <w:t>本</w:t>
      </w:r>
      <w:bookmarkEnd w:id="49"/>
      <w:r>
        <w:rPr>
          <w:rFonts w:hint="eastAsia" w:cs="宋体" w:asciiTheme="minorEastAsia" w:hAnsiTheme="minorEastAsia" w:eastAsiaTheme="minorEastAsia"/>
          <w:color w:val="000000" w:themeColor="text1"/>
          <w:sz w:val="24"/>
          <w:szCs w:val="24"/>
          <w14:textFill>
            <w14:solidFill>
              <w14:schemeClr w14:val="tx1"/>
            </w14:solidFill>
          </w14:textFill>
        </w:rPr>
        <w:t>合同的，该方应当对另一方</w:t>
      </w:r>
      <w:r>
        <w:rPr>
          <w:rFonts w:hint="eastAsia" w:asciiTheme="minorEastAsia" w:hAnsiTheme="minorEastAsia" w:eastAsiaTheme="minorEastAsia"/>
          <w:bCs/>
          <w:color w:val="000000" w:themeColor="text1"/>
          <w:sz w:val="24"/>
          <w:shd w:val="clear" w:color="auto" w:fill="FFFFFF"/>
          <w14:textFill>
            <w14:solidFill>
              <w14:schemeClr w14:val="tx1"/>
            </w14:solidFill>
          </w14:textFill>
        </w:rPr>
        <w:t>因此</w:t>
      </w:r>
      <w:r>
        <w:rPr>
          <w:rFonts w:hint="eastAsia" w:cs="宋体" w:asciiTheme="minorEastAsia" w:hAnsiTheme="minorEastAsia" w:eastAsiaTheme="minorEastAsia"/>
          <w:color w:val="000000" w:themeColor="text1"/>
          <w:sz w:val="24"/>
          <w:szCs w:val="24"/>
          <w14:textFill>
            <w14:solidFill>
              <w14:schemeClr w14:val="tx1"/>
            </w14:solidFill>
          </w14:textFill>
        </w:rPr>
        <w:t>受到的损失予以赔偿或者补偿。</w:t>
      </w:r>
    </w:p>
    <w:p>
      <w:pPr>
        <w:pStyle w:val="17"/>
        <w:snapToGrid w:val="0"/>
        <w:spacing w:line="440" w:lineRule="exact"/>
        <w:ind w:firstLine="480" w:firstLineChars="200"/>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10</w:t>
      </w:r>
      <w:r>
        <w:rPr>
          <w:rFonts w:hint="eastAsia" w:hAnsi="宋体" w:cs="宋体"/>
          <w:color w:val="000000" w:themeColor="text1"/>
          <w:sz w:val="24"/>
          <w:szCs w:val="24"/>
          <w14:textFill>
            <w14:solidFill>
              <w14:schemeClr w14:val="tx1"/>
            </w14:solidFill>
          </w14:textFill>
        </w:rPr>
        <w:t>.乙方提供的货物在质量保证期内，因设计、工艺或者材料的缺陷和其它质量原因造成的问题，由乙方负责，费用从余款或者履约保证金中扣除，不足另补。</w:t>
      </w:r>
    </w:p>
    <w:p>
      <w:pPr>
        <w:pStyle w:val="17"/>
        <w:snapToGrid w:val="0"/>
        <w:spacing w:line="44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r>
        <w:rPr>
          <w:rFonts w:hAnsi="宋体" w:cs="宋体"/>
          <w:color w:val="000000" w:themeColor="text1"/>
          <w:sz w:val="24"/>
          <w:szCs w:val="24"/>
          <w14:textFill>
            <w14:solidFill>
              <w14:schemeClr w14:val="tx1"/>
            </w14:solidFill>
          </w14:textFill>
        </w:rPr>
        <w:t>1</w:t>
      </w:r>
      <w:r>
        <w:rPr>
          <w:rFonts w:hint="eastAsia" w:hAnsi="宋体" w:cs="宋体"/>
          <w:color w:val="000000" w:themeColor="text1"/>
          <w:sz w:val="24"/>
          <w:szCs w:val="24"/>
          <w14:textFill>
            <w14:solidFill>
              <w14:schemeClr w14:val="tx1"/>
            </w14:solidFill>
          </w14:textFill>
        </w:rPr>
        <w:t>.甲乙双方有其他违约行为的，由违约方向对方支付违约货款额的5%，违约货款额的5%不足以赔偿经济损失的，须按实际损失作出赔偿。</w:t>
      </w:r>
    </w:p>
    <w:p>
      <w:pPr>
        <w:pStyle w:val="17"/>
        <w:snapToGrid w:val="0"/>
        <w:spacing w:line="44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w:t>
      </w:r>
      <w:r>
        <w:rPr>
          <w:rFonts w:hAnsi="宋体" w:cs="宋体"/>
          <w:color w:val="000000" w:themeColor="text1"/>
          <w:sz w:val="24"/>
          <w:szCs w:val="24"/>
          <w14:textFill>
            <w14:solidFill>
              <w14:schemeClr w14:val="tx1"/>
            </w14:solidFill>
          </w14:textFill>
        </w:rPr>
        <w:t>2</w:t>
      </w:r>
      <w:r>
        <w:rPr>
          <w:rFonts w:hint="eastAsia" w:hAnsi="宋体" w:cs="宋体"/>
          <w:color w:val="000000" w:themeColor="text1"/>
          <w:sz w:val="24"/>
          <w:szCs w:val="24"/>
          <w14:textFill>
            <w14:solidFill>
              <w14:schemeClr w14:val="tx1"/>
            </w14:solidFill>
          </w14:textFill>
        </w:rPr>
        <w:t>.其他违约责任按《中华人民共和国民法典》处理。</w:t>
      </w:r>
    </w:p>
    <w:p>
      <w:pPr>
        <w:pStyle w:val="17"/>
        <w:snapToGrid w:val="0"/>
        <w:spacing w:line="460" w:lineRule="exact"/>
        <w:ind w:firstLine="472" w:firstLineChars="196"/>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第十二条  不可抗力事件处理</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1.在合同有效期内，任何一方因不可抗力事件导致不能履行合同，则合同履行期可延长，其延长期与不可抗力影响期相同。</w:t>
      </w:r>
    </w:p>
    <w:p>
      <w:pPr>
        <w:pStyle w:val="17"/>
        <w:snapToGrid w:val="0"/>
        <w:spacing w:line="46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2.不可抗力事件发生后，应立即通知对方，并寄送有关权威机构出具的证明。</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3.不可抗力事件延续</w:t>
      </w:r>
      <w:r>
        <w:rPr>
          <w:rFonts w:ascii="宋体" w:hAnsi="宋体" w:cs="宋体"/>
          <w:color w:val="000000" w:themeColor="text1"/>
          <w:sz w:val="24"/>
          <w14:textFill>
            <w14:solidFill>
              <w14:schemeClr w14:val="tx1"/>
            </w14:solidFill>
          </w14:textFill>
        </w:rPr>
        <w:t>60</w:t>
      </w:r>
      <w:r>
        <w:rPr>
          <w:rFonts w:hint="eastAsia" w:ascii="宋体" w:hAnsi="宋体" w:cs="宋体"/>
          <w:color w:val="000000" w:themeColor="text1"/>
          <w:sz w:val="24"/>
          <w14:textFill>
            <w14:solidFill>
              <w14:schemeClr w14:val="tx1"/>
            </w14:solidFill>
          </w14:textFill>
        </w:rPr>
        <w:t>天以上，双方应通过友好协商，确定是否继续履行合同。</w:t>
      </w:r>
    </w:p>
    <w:p>
      <w:pPr>
        <w:snapToGrid w:val="0"/>
        <w:spacing w:line="4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第十三条  合同争议解决</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1.因货物质量问题发生争议的，应邀请国家认可的质量检测机构对货物质量进行鉴定。货物符合标准的，鉴定费由甲方承担；货物不符合标准的，鉴定费由乙方承担。</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2.因履行本合同引起的或者与本合同有关的争议，甲乙双方应首先通过友好协商解决，如果协商不能解决，任何一方可向甲方所在地有管辖权的人民法院提起诉讼。</w:t>
      </w:r>
    </w:p>
    <w:p>
      <w:pPr>
        <w:snapToGrid w:val="0"/>
        <w:spacing w:line="460" w:lineRule="exact"/>
        <w:ind w:firstLine="51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3.诉讼期间，本合同无争议部分须继续履行。</w:t>
      </w:r>
    </w:p>
    <w:p>
      <w:pPr>
        <w:pStyle w:val="17"/>
        <w:snapToGrid w:val="0"/>
        <w:spacing w:line="460" w:lineRule="exact"/>
        <w:ind w:firstLine="472" w:firstLineChars="196"/>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第十四条  合同生效及其他</w:t>
      </w:r>
    </w:p>
    <w:p>
      <w:pPr>
        <w:pStyle w:val="17"/>
        <w:snapToGrid w:val="0"/>
        <w:spacing w:line="460" w:lineRule="exact"/>
        <w:ind w:firstLine="480" w:firstLineChars="20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1.合同自双方法定代表人或者委托代理人签字并加盖单位公章或合同专用章之日起生效（委托代理人签字的须后附授权委托书，格式自拟）。</w:t>
      </w:r>
    </w:p>
    <w:p>
      <w:pPr>
        <w:pStyle w:val="17"/>
        <w:snapToGrid w:val="0"/>
        <w:spacing w:line="460" w:lineRule="exact"/>
        <w:ind w:firstLine="480" w:firstLineChars="20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2.本合同未尽事宜，遵照《中华人民共和国民法典》有关条文执行。</w:t>
      </w:r>
    </w:p>
    <w:p>
      <w:pPr>
        <w:pStyle w:val="17"/>
        <w:snapToGrid w:val="0"/>
        <w:spacing w:line="460" w:lineRule="exact"/>
        <w:ind w:firstLine="480" w:firstLineChars="20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3</w:t>
      </w:r>
      <w:r>
        <w:rPr>
          <w:rFonts w:hAnsi="宋体" w:cs="宋体"/>
          <w:color w:val="000000" w:themeColor="text1"/>
          <w:kern w:val="2"/>
          <w:sz w:val="24"/>
          <w:szCs w:val="24"/>
          <w14:textFill>
            <w14:solidFill>
              <w14:schemeClr w14:val="tx1"/>
            </w14:solidFill>
          </w14:textFill>
        </w:rPr>
        <w:t>.</w:t>
      </w:r>
      <w:r>
        <w:rPr>
          <w:rFonts w:hint="eastAsia" w:hAnsi="宋体" w:cs="宋体"/>
          <w:color w:val="000000" w:themeColor="text1"/>
          <w:kern w:val="2"/>
          <w:sz w:val="24"/>
          <w:szCs w:val="24"/>
          <w14:textFill>
            <w14:solidFill>
              <w14:schemeClr w14:val="tx1"/>
            </w14:solidFill>
          </w14:textFill>
        </w:rPr>
        <w:t>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pPr>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第十五条　合同的变更、终止与转让</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1.除《中华人民共和国政府采购法》第五十条规定的情形外，本合同一经签订，甲乙双方不得擅自变更、中止或者终止。</w:t>
      </w:r>
    </w:p>
    <w:p>
      <w:pPr>
        <w:snapToGrid w:val="0"/>
        <w:spacing w:line="460" w:lineRule="exact"/>
        <w:ind w:firstLine="51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2.乙方不得擅自转让其应履行的合同义务。</w:t>
      </w:r>
    </w:p>
    <w:p>
      <w:pPr>
        <w:pStyle w:val="17"/>
        <w:snapToGrid w:val="0"/>
        <w:spacing w:line="460" w:lineRule="exact"/>
        <w:ind w:firstLine="472" w:firstLineChars="196"/>
        <w:rPr>
          <w:rFonts w:hAnsi="宋体" w:cs="宋体"/>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第十六条　</w:t>
      </w:r>
      <w:r>
        <w:rPr>
          <w:rFonts w:hint="eastAsia" w:hAnsi="宋体" w:cs="宋体"/>
          <w:color w:val="000000" w:themeColor="text1"/>
          <w:spacing w:val="-2"/>
          <w:sz w:val="24"/>
          <w:szCs w:val="24"/>
          <w14:textFill>
            <w14:solidFill>
              <w14:schemeClr w14:val="tx1"/>
            </w14:solidFill>
          </w14:textFill>
        </w:rPr>
        <w:t>本</w:t>
      </w:r>
      <w:r>
        <w:rPr>
          <w:rFonts w:hint="eastAsia" w:hAnsi="宋体" w:cs="宋体"/>
          <w:color w:val="000000" w:themeColor="text1"/>
          <w:sz w:val="24"/>
          <w:szCs w:val="24"/>
          <w14:textFill>
            <w14:solidFill>
              <w14:schemeClr w14:val="tx1"/>
            </w14:solidFill>
          </w14:textFill>
        </w:rPr>
        <w:t>合同书</w:t>
      </w:r>
      <w:r>
        <w:rPr>
          <w:rFonts w:hint="eastAsia" w:hAnsi="宋体" w:cs="宋体"/>
          <w:color w:val="000000" w:themeColor="text1"/>
          <w:spacing w:val="-2"/>
          <w:sz w:val="24"/>
          <w:szCs w:val="24"/>
          <w14:textFill>
            <w14:solidFill>
              <w14:schemeClr w14:val="tx1"/>
            </w14:solidFill>
          </w14:textFill>
        </w:rPr>
        <w:t>与</w:t>
      </w:r>
      <w:r>
        <w:rPr>
          <w:rFonts w:hint="eastAsia" w:hAnsi="宋体" w:cs="宋体"/>
          <w:color w:val="000000" w:themeColor="text1"/>
          <w:sz w:val="24"/>
          <w:szCs w:val="24"/>
          <w14:textFill>
            <w14:solidFill>
              <w14:schemeClr w14:val="tx1"/>
            </w14:solidFill>
          </w14:textFill>
        </w:rPr>
        <w:t>下</w:t>
      </w:r>
      <w:r>
        <w:rPr>
          <w:rFonts w:hint="eastAsia" w:hAnsi="宋体" w:cs="宋体"/>
          <w:color w:val="000000" w:themeColor="text1"/>
          <w:spacing w:val="-2"/>
          <w:sz w:val="24"/>
          <w:szCs w:val="24"/>
          <w14:textFill>
            <w14:solidFill>
              <w14:schemeClr w14:val="tx1"/>
            </w14:solidFill>
          </w14:textFill>
        </w:rPr>
        <w:t>列</w:t>
      </w:r>
      <w:r>
        <w:rPr>
          <w:rFonts w:hint="eastAsia" w:hAnsi="宋体" w:cs="宋体"/>
          <w:color w:val="000000" w:themeColor="text1"/>
          <w:sz w:val="24"/>
          <w:szCs w:val="24"/>
          <w14:textFill>
            <w14:solidFill>
              <w14:schemeClr w14:val="tx1"/>
            </w14:solidFill>
          </w14:textFill>
        </w:rPr>
        <w:t>文</w:t>
      </w:r>
      <w:r>
        <w:rPr>
          <w:rFonts w:hint="eastAsia" w:hAnsi="宋体" w:cs="宋体"/>
          <w:color w:val="000000" w:themeColor="text1"/>
          <w:spacing w:val="-2"/>
          <w:sz w:val="24"/>
          <w:szCs w:val="24"/>
          <w14:textFill>
            <w14:solidFill>
              <w14:schemeClr w14:val="tx1"/>
            </w14:solidFill>
          </w14:textFill>
        </w:rPr>
        <w:t>件一</w:t>
      </w:r>
      <w:r>
        <w:rPr>
          <w:rFonts w:hint="eastAsia" w:hAnsi="宋体" w:cs="宋体"/>
          <w:color w:val="000000" w:themeColor="text1"/>
          <w:sz w:val="24"/>
          <w:szCs w:val="24"/>
          <w14:textFill>
            <w14:solidFill>
              <w14:schemeClr w14:val="tx1"/>
            </w14:solidFill>
          </w14:textFill>
        </w:rPr>
        <w:t>起构</w:t>
      </w:r>
      <w:r>
        <w:rPr>
          <w:rFonts w:hint="eastAsia" w:hAnsi="宋体" w:cs="宋体"/>
          <w:color w:val="000000" w:themeColor="text1"/>
          <w:spacing w:val="-2"/>
          <w:sz w:val="24"/>
          <w:szCs w:val="24"/>
          <w14:textFill>
            <w14:solidFill>
              <w14:schemeClr w14:val="tx1"/>
            </w14:solidFill>
          </w14:textFill>
        </w:rPr>
        <w:t>成</w:t>
      </w:r>
      <w:r>
        <w:rPr>
          <w:rFonts w:hint="eastAsia" w:hAnsi="宋体" w:cs="宋体"/>
          <w:color w:val="000000" w:themeColor="text1"/>
          <w:sz w:val="24"/>
          <w:szCs w:val="24"/>
          <w14:textFill>
            <w14:solidFill>
              <w14:schemeClr w14:val="tx1"/>
            </w14:solidFill>
          </w14:textFill>
        </w:rPr>
        <w:t>合</w:t>
      </w:r>
      <w:r>
        <w:rPr>
          <w:rFonts w:hint="eastAsia" w:hAnsi="宋体" w:cs="宋体"/>
          <w:color w:val="000000" w:themeColor="text1"/>
          <w:spacing w:val="-2"/>
          <w:sz w:val="24"/>
          <w:szCs w:val="24"/>
          <w14:textFill>
            <w14:solidFill>
              <w14:schemeClr w14:val="tx1"/>
            </w14:solidFill>
          </w14:textFill>
        </w:rPr>
        <w:t>同</w:t>
      </w:r>
      <w:r>
        <w:rPr>
          <w:rFonts w:hint="eastAsia" w:hAnsi="宋体" w:cs="宋体"/>
          <w:color w:val="000000" w:themeColor="text1"/>
          <w:sz w:val="24"/>
          <w:szCs w:val="24"/>
          <w14:textFill>
            <w14:solidFill>
              <w14:schemeClr w14:val="tx1"/>
            </w14:solidFill>
          </w14:textFill>
        </w:rPr>
        <w:t>文</w:t>
      </w:r>
      <w:r>
        <w:rPr>
          <w:rFonts w:hint="eastAsia" w:hAnsi="宋体" w:cs="宋体"/>
          <w:color w:val="000000" w:themeColor="text1"/>
          <w:spacing w:val="-2"/>
          <w:sz w:val="24"/>
          <w:szCs w:val="24"/>
          <w14:textFill>
            <w14:solidFill>
              <w14:schemeClr w14:val="tx1"/>
            </w14:solidFill>
          </w14:textFill>
        </w:rPr>
        <w:t>件</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1.成交通知书</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2.采购需求</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w:t>
      </w:r>
      <w:r>
        <w:rPr>
          <w:rFonts w:hint="eastAsia" w:hAnsi="宋体" w:cs="宋体"/>
          <w:color w:val="000000" w:themeColor="text1"/>
          <w:sz w:val="24"/>
          <w14:textFill>
            <w14:solidFill>
              <w14:schemeClr w14:val="tx1"/>
            </w14:solidFill>
          </w14:textFill>
        </w:rPr>
        <w:t>参与竞争性谈判</w:t>
      </w:r>
      <w:r>
        <w:rPr>
          <w:rFonts w:hint="eastAsia" w:hAnsi="宋体" w:cs="宋体"/>
          <w:color w:val="000000" w:themeColor="text1"/>
          <w:sz w:val="24"/>
          <w:szCs w:val="24"/>
          <w14:textFill>
            <w14:solidFill>
              <w14:schemeClr w14:val="tx1"/>
            </w14:solidFill>
          </w14:textFill>
        </w:rPr>
        <w:t>声明函</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w:t>
      </w:r>
      <w:r>
        <w:rPr>
          <w:rFonts w:hint="eastAsia" w:hAnsi="宋体" w:cs="宋体"/>
          <w:color w:val="000000" w:themeColor="text1"/>
          <w:sz w:val="24"/>
          <w14:textFill>
            <w14:solidFill>
              <w14:schemeClr w14:val="tx1"/>
            </w14:solidFill>
          </w14:textFill>
        </w:rPr>
        <w:t>竞争性谈判</w:t>
      </w:r>
      <w:r>
        <w:rPr>
          <w:rFonts w:hint="eastAsia" w:hAnsi="宋体" w:cs="宋体"/>
          <w:color w:val="000000" w:themeColor="text1"/>
          <w:sz w:val="24"/>
          <w:szCs w:val="24"/>
          <w14:textFill>
            <w14:solidFill>
              <w14:schemeClr w14:val="tx1"/>
            </w14:solidFill>
          </w14:textFill>
        </w:rPr>
        <w:t>报价表及货物配置清单</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5.商务要求偏离表和技术要求偏离表</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6.售后服务承诺</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7.其他合同文件</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上述合同文件互相补充和解释。如果合同文件之间存在矛盾或者不一致之处，以上述文件的排列顺序在先者为准。</w:t>
      </w:r>
    </w:p>
    <w:p>
      <w:pPr>
        <w:pStyle w:val="17"/>
        <w:snapToGrid w:val="0"/>
        <w:spacing w:line="460" w:lineRule="exact"/>
        <w:ind w:firstLine="472" w:firstLineChars="196"/>
        <w:rPr>
          <w:rFonts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第十七条　</w:t>
      </w:r>
      <w:r>
        <w:rPr>
          <w:rFonts w:hint="eastAsia" w:hAnsi="宋体" w:cs="宋体"/>
          <w:color w:val="000000" w:themeColor="text1"/>
          <w:sz w:val="24"/>
          <w:szCs w:val="24"/>
          <w14:textFill>
            <w14:solidFill>
              <w14:schemeClr w14:val="tx1"/>
            </w14:solidFill>
          </w14:textFill>
        </w:rPr>
        <w:t>本合同一式柒份，具有同等法律效力，甲方伍份，乙方壹份，采购代理机构壹份。</w:t>
      </w:r>
    </w:p>
    <w:p>
      <w:pPr>
        <w:pStyle w:val="17"/>
        <w:snapToGrid w:val="0"/>
        <w:spacing w:line="460" w:lineRule="exact"/>
        <w:ind w:firstLine="470" w:firstLineChars="196"/>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（以下无正文）</w:t>
      </w:r>
    </w:p>
    <w:p>
      <w:pPr>
        <w:pStyle w:val="17"/>
        <w:snapToGrid w:val="0"/>
        <w:spacing w:line="460" w:lineRule="exact"/>
        <w:ind w:firstLine="470" w:firstLineChars="196"/>
        <w:rPr>
          <w:rFonts w:hAnsi="宋体" w:cs="宋体"/>
          <w:color w:val="000000" w:themeColor="text1"/>
          <w:sz w:val="24"/>
          <w14:textFill>
            <w14:solidFill>
              <w14:schemeClr w14:val="tx1"/>
            </w14:solidFill>
          </w14:textFill>
        </w:rPr>
      </w:pPr>
    </w:p>
    <w:bookmarkEnd w:id="48"/>
    <w:tbl>
      <w:tblPr>
        <w:tblStyle w:val="27"/>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4359" w:type="dxa"/>
            <w:vAlign w:val="center"/>
          </w:tcPr>
          <w:p>
            <w:pPr>
              <w:snapToGrid w:val="0"/>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甲方（章）           </w:t>
            </w:r>
          </w:p>
          <w:p>
            <w:pPr>
              <w:snapToGrid w:val="0"/>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广西大学</w:t>
            </w:r>
          </w:p>
          <w:p>
            <w:pPr>
              <w:snapToGrid w:val="0"/>
              <w:spacing w:line="460" w:lineRule="exact"/>
              <w:ind w:firstLine="1080" w:firstLineChars="45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tc>
        <w:tc>
          <w:tcPr>
            <w:tcW w:w="4360" w:type="dxa"/>
            <w:vAlign w:val="center"/>
          </w:tcPr>
          <w:p>
            <w:pPr>
              <w:snapToGrid w:val="0"/>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乙方（章）              </w:t>
            </w:r>
          </w:p>
          <w:p>
            <w:pPr>
              <w:snapToGrid w:val="0"/>
              <w:spacing w:line="46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pPr>
              <w:snapToGrid w:val="0"/>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单位地址：广西壮族自治区南宁市大学东路100号</w:t>
            </w:r>
          </w:p>
        </w:tc>
        <w:tc>
          <w:tcPr>
            <w:tcW w:w="4360" w:type="dxa"/>
            <w:vAlign w:val="center"/>
          </w:tcPr>
          <w:p>
            <w:pPr>
              <w:pStyle w:val="25"/>
              <w:widowControl/>
              <w:spacing w:line="4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pPr>
              <w:snapToGrid w:val="0"/>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w:t>
            </w:r>
          </w:p>
        </w:tc>
        <w:tc>
          <w:tcPr>
            <w:tcW w:w="4360" w:type="dxa"/>
            <w:vAlign w:val="center"/>
          </w:tcPr>
          <w:p>
            <w:pPr>
              <w:snapToGrid w:val="0"/>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vAlign w:val="center"/>
          </w:tcPr>
          <w:p>
            <w:pPr>
              <w:snapToGrid w:val="0"/>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委托代理人（签字）：</w:t>
            </w:r>
          </w:p>
        </w:tc>
        <w:tc>
          <w:tcPr>
            <w:tcW w:w="4360" w:type="dxa"/>
            <w:vAlign w:val="center"/>
          </w:tcPr>
          <w:p>
            <w:pPr>
              <w:snapToGrid w:val="0"/>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pPr>
              <w:snapToGrid w:val="0"/>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ascii="宋体" w:hAnsi="宋体" w:cs="宋体"/>
                <w:color w:val="000000" w:themeColor="text1"/>
                <w:sz w:val="24"/>
                <w14:textFill>
                  <w14:solidFill>
                    <w14:schemeClr w14:val="tx1"/>
                  </w14:solidFill>
                </w14:textFill>
              </w:rPr>
              <w:t>0771-*******</w:t>
            </w:r>
          </w:p>
        </w:tc>
        <w:tc>
          <w:tcPr>
            <w:tcW w:w="4360" w:type="dxa"/>
            <w:vAlign w:val="center"/>
          </w:tcPr>
          <w:p>
            <w:pPr>
              <w:widowControl/>
              <w:spacing w:line="4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电话：</w:t>
            </w:r>
            <w:r>
              <w:rPr>
                <w:rFonts w:hint="eastAsia" w:ascii="宋体" w:hAnsi="宋体" w:cs="宋体"/>
                <w:color w:val="000000" w:themeColor="text1"/>
                <w:kern w:val="0"/>
                <w:sz w:val="24"/>
                <w:lang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pPr>
              <w:snapToGrid w:val="0"/>
              <w:spacing w:line="46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电子邮箱：gxdxsbk@163.com</w:t>
            </w:r>
          </w:p>
        </w:tc>
        <w:tc>
          <w:tcPr>
            <w:tcW w:w="4360" w:type="dxa"/>
            <w:vAlign w:val="center"/>
          </w:tcPr>
          <w:p>
            <w:pPr>
              <w:snapToGrid w:val="0"/>
              <w:spacing w:line="46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pPr>
              <w:snapToGrid w:val="0"/>
              <w:spacing w:line="46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开户银行：中国银行广西南宁市西大支行</w:t>
            </w:r>
          </w:p>
        </w:tc>
        <w:tc>
          <w:tcPr>
            <w:tcW w:w="4360" w:type="dxa"/>
            <w:vAlign w:val="center"/>
          </w:tcPr>
          <w:p>
            <w:pPr>
              <w:widowControl/>
              <w:spacing w:line="4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pPr>
              <w:pStyle w:val="25"/>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账号：6184 5748 4938</w:t>
            </w:r>
          </w:p>
        </w:tc>
        <w:tc>
          <w:tcPr>
            <w:tcW w:w="4360" w:type="dxa"/>
            <w:vAlign w:val="center"/>
          </w:tcPr>
          <w:p>
            <w:pPr>
              <w:widowControl/>
              <w:spacing w:line="46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359" w:type="dxa"/>
            <w:vAlign w:val="center"/>
          </w:tcPr>
          <w:p>
            <w:pPr>
              <w:pStyle w:val="25"/>
              <w:widowControl/>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邮政编码：530004</w:t>
            </w:r>
          </w:p>
        </w:tc>
        <w:tc>
          <w:tcPr>
            <w:tcW w:w="4360" w:type="dxa"/>
            <w:vAlign w:val="center"/>
          </w:tcPr>
          <w:p>
            <w:pPr>
              <w:widowControl/>
              <w:spacing w:line="46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邮政编码：</w:t>
            </w:r>
          </w:p>
        </w:tc>
      </w:tr>
    </w:tbl>
    <w:p>
      <w:pPr>
        <w:spacing w:line="460" w:lineRule="exac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br w:type="page"/>
      </w:r>
    </w:p>
    <w:p>
      <w:pPr>
        <w:jc w:val="center"/>
        <w:rPr>
          <w:rFonts w:ascii="宋体" w:hAnsi="宋体" w:cs="宋体"/>
          <w:color w:val="000000" w:themeColor="text1"/>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广西大学采购项目履约保证金退付意见书</w:t>
      </w:r>
    </w:p>
    <w:tbl>
      <w:tblPr>
        <w:tblStyle w:val="27"/>
        <w:tblW w:w="89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7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30" w:type="dxa"/>
            <w:vMerge w:val="restart"/>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供应商申请</w:t>
            </w:r>
          </w:p>
        </w:tc>
        <w:tc>
          <w:tcPr>
            <w:tcW w:w="7174" w:type="dxa"/>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0" w:type="dxa"/>
            <w:vMerge w:val="continue"/>
          </w:tcPr>
          <w:p>
            <w:pPr>
              <w:rPr>
                <w:rFonts w:ascii="宋体" w:hAnsi="宋体"/>
                <w:color w:val="000000" w:themeColor="text1"/>
                <w:sz w:val="24"/>
                <w14:textFill>
                  <w14:solidFill>
                    <w14:schemeClr w14:val="tx1"/>
                  </w14:solidFill>
                </w14:textFill>
              </w:rPr>
            </w:pPr>
          </w:p>
        </w:tc>
        <w:tc>
          <w:tcPr>
            <w:tcW w:w="7174" w:type="dxa"/>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4" w:hRule="atLeast"/>
        </w:trPr>
        <w:tc>
          <w:tcPr>
            <w:tcW w:w="1730" w:type="dxa"/>
            <w:vMerge w:val="continue"/>
          </w:tcPr>
          <w:p>
            <w:pPr>
              <w:rPr>
                <w:rFonts w:ascii="宋体" w:hAnsi="宋体"/>
                <w:color w:val="000000" w:themeColor="text1"/>
                <w:sz w:val="24"/>
                <w14:textFill>
                  <w14:solidFill>
                    <w14:schemeClr w14:val="tx1"/>
                  </w14:solidFill>
                </w14:textFill>
              </w:rPr>
            </w:pPr>
          </w:p>
        </w:tc>
        <w:tc>
          <w:tcPr>
            <w:tcW w:w="7174" w:type="dxa"/>
          </w:tcPr>
          <w:p>
            <w:pPr>
              <w:rPr>
                <w:rFonts w:ascii="宋体" w:hAnsi="宋体"/>
                <w:color w:val="000000" w:themeColor="text1"/>
                <w:sz w:val="24"/>
                <w14:textFill>
                  <w14:solidFill>
                    <w14:schemeClr w14:val="tx1"/>
                  </w14:solidFill>
                </w14:textFill>
              </w:rPr>
            </w:pPr>
          </w:p>
          <w:p>
            <w:pPr>
              <w:ind w:firstLine="600" w:firstLineChars="2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该项目已于   年    月   日按合同要求履约完成。根据合同规定，可将履约保证金（大写）人民币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（小写）￥</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.00</w:t>
            </w:r>
            <w:r>
              <w:rPr>
                <w:rFonts w:hint="eastAsia" w:ascii="宋体" w:hAnsi="宋体"/>
                <w:color w:val="000000" w:themeColor="text1"/>
                <w:sz w:val="24"/>
                <w14:textFill>
                  <w14:solidFill>
                    <w14:schemeClr w14:val="tx1"/>
                  </w14:solidFill>
                </w14:textFill>
              </w:rPr>
              <w:t>退付到达以下帐户：</w:t>
            </w:r>
          </w:p>
          <w:p>
            <w:pPr>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w:t>
            </w:r>
          </w:p>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开户银行：</w:t>
            </w:r>
          </w:p>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银行帐号：</w:t>
            </w:r>
          </w:p>
          <w:p>
            <w:pPr>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p>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p>
            <w:pPr>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供应商（签章）：</w:t>
            </w:r>
          </w:p>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73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使用单位</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意见</w:t>
            </w:r>
          </w:p>
        </w:tc>
        <w:tc>
          <w:tcPr>
            <w:tcW w:w="7174" w:type="dxa"/>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（退付意见：是否同意退付履约保证金）</w:t>
            </w: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项目负责人意见：</w:t>
            </w:r>
          </w:p>
          <w:p>
            <w:pPr>
              <w:spacing w:line="420" w:lineRule="exact"/>
              <w:rPr>
                <w:rFonts w:ascii="宋体" w:hAnsi="宋体"/>
                <w:color w:val="000000" w:themeColor="text1"/>
                <w:sz w:val="24"/>
                <w14:textFill>
                  <w14:solidFill>
                    <w14:schemeClr w14:val="tx1"/>
                  </w14:solidFill>
                </w14:textFill>
              </w:rPr>
            </w:pPr>
          </w:p>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w:t>
            </w:r>
          </w:p>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单位（签章）：</w:t>
            </w:r>
          </w:p>
          <w:p>
            <w:pPr>
              <w:spacing w:line="4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173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国有资产与实验室管理处（招标与采购管理中心）意见</w:t>
            </w:r>
          </w:p>
        </w:tc>
        <w:tc>
          <w:tcPr>
            <w:tcW w:w="7174" w:type="dxa"/>
          </w:tcPr>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rPr>
                <w:rFonts w:ascii="宋体" w:hAnsi="宋体"/>
                <w:color w:val="000000" w:themeColor="text1"/>
                <w:sz w:val="24"/>
                <w14:textFill>
                  <w14:solidFill>
                    <w14:schemeClr w14:val="tx1"/>
                  </w14:solidFill>
                </w14:textFill>
              </w:rPr>
            </w:pPr>
          </w:p>
          <w:p>
            <w:pPr>
              <w:ind w:firstLine="4080" w:firstLineChars="17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单位（签章）：</w:t>
            </w: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tc>
      </w:tr>
    </w:tbl>
    <w:p>
      <w:pPr>
        <w:snapToGrid w:val="0"/>
        <w:spacing w:line="360" w:lineRule="auto"/>
        <w:rPr>
          <w:rFonts w:ascii="宋体" w:hAnsi="宋体" w:cs="宋体"/>
          <w:color w:val="000000" w:themeColor="text1"/>
          <w:sz w:val="24"/>
          <w14:textFill>
            <w14:solidFill>
              <w14:schemeClr w14:val="tx1"/>
            </w14:solidFill>
          </w14:textFill>
        </w:rPr>
      </w:pPr>
    </w:p>
    <w:sectPr>
      <w:footerReference r:id="rId9" w:type="first"/>
      <w:pgSz w:w="11905" w:h="16838"/>
      <w:pgMar w:top="1417" w:right="1417" w:bottom="1417" w:left="1417" w:header="850" w:footer="992" w:gutter="0"/>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auto"/>
    <w:pitch w:val="default"/>
    <w:sig w:usb0="00000000" w:usb1="00000000" w:usb2="00082016" w:usb3="00000000" w:csb0="00040001" w:csb1="00000000"/>
  </w:font>
  <w:font w:name="Calibri Light">
    <w:altName w:val="Calibri"/>
    <w:panose1 w:val="020F030202020403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方正小标宋简体">
    <w:panose1 w:val="02000000000000000000"/>
    <w:charset w:val="86"/>
    <w:family w:val="auto"/>
    <w:pitch w:val="default"/>
    <w:sig w:usb0="00000001" w:usb1="0800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Style w:val="31"/>
      </w:rPr>
    </w:pPr>
    <w:r>
      <w:fldChar w:fldCharType="begin"/>
    </w:r>
    <w:r>
      <w:rPr>
        <w:rStyle w:val="31"/>
      </w:rPr>
      <w:instrText xml:space="preserve">PAGE  </w:instrText>
    </w:r>
    <w:r>
      <w:fldChar w:fldCharType="separate"/>
    </w:r>
    <w:r>
      <w:rPr>
        <w:rStyle w:val="31"/>
      </w:rPr>
      <w:t>27</w:t>
    </w:r>
    <w: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Style w:val="31"/>
      </w:rPr>
    </w:pPr>
    <w:r>
      <w:fldChar w:fldCharType="begin"/>
    </w:r>
    <w:r>
      <w:rPr>
        <w:rStyle w:val="31"/>
      </w:rPr>
      <w:instrText xml:space="preserve">PAGE  </w:instrText>
    </w:r>
    <w:r>
      <w:fldChar w:fldCharType="separate"/>
    </w:r>
    <w:r>
      <w:rPr>
        <w:rStyle w:val="31"/>
      </w:rPr>
      <w:t>1</w: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 PAGE   \* MERGEFORMAT </w:instrText>
    </w:r>
    <w:r>
      <w:fldChar w:fldCharType="separate"/>
    </w:r>
    <w:r>
      <w:rPr>
        <w:lang w:val="zh-CN"/>
      </w:rPr>
      <w:t>28</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4xfsUBAACQ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JiPVAP/2ELFw7iehjlBTMRxUZjQtVdqEP+856+lH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7uMX7FAQAAkAMAAA4AAAAAAAAAAQAgAAAAHgEAAGRycy9lMm9Eb2MueG1s&#10;UEsFBgAAAAAGAAYAWQEAAFUFAAAAAA==&#10;">
              <v:fill on="f" focussize="0,0"/>
              <v:stroke on="f"/>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6E96A"/>
    <w:multiLevelType w:val="singleLevel"/>
    <w:tmpl w:val="9126E96A"/>
    <w:lvl w:ilvl="0" w:tentative="0">
      <w:start w:val="17"/>
      <w:numFmt w:val="decimal"/>
      <w:lvlText w:val="%1."/>
      <w:lvlJc w:val="left"/>
      <w:pPr>
        <w:tabs>
          <w:tab w:val="left" w:pos="312"/>
        </w:tabs>
      </w:pPr>
    </w:lvl>
  </w:abstractNum>
  <w:abstractNum w:abstractNumId="1">
    <w:nsid w:val="A0B921BC"/>
    <w:multiLevelType w:val="singleLevel"/>
    <w:tmpl w:val="A0B921BC"/>
    <w:lvl w:ilvl="0" w:tentative="0">
      <w:start w:val="1"/>
      <w:numFmt w:val="decimal"/>
      <w:suff w:val="nothing"/>
      <w:lvlText w:val="%1、"/>
      <w:lvlJc w:val="left"/>
    </w:lvl>
  </w:abstractNum>
  <w:abstractNum w:abstractNumId="2">
    <w:nsid w:val="A5934E6B"/>
    <w:multiLevelType w:val="singleLevel"/>
    <w:tmpl w:val="A5934E6B"/>
    <w:lvl w:ilvl="0" w:tentative="0">
      <w:start w:val="1"/>
      <w:numFmt w:val="decimal"/>
      <w:lvlText w:val="%1."/>
      <w:lvlJc w:val="left"/>
      <w:pPr>
        <w:tabs>
          <w:tab w:val="left" w:pos="312"/>
        </w:tabs>
      </w:pPr>
    </w:lvl>
  </w:abstractNum>
  <w:abstractNum w:abstractNumId="3">
    <w:nsid w:val="C3347909"/>
    <w:multiLevelType w:val="singleLevel"/>
    <w:tmpl w:val="C3347909"/>
    <w:lvl w:ilvl="0" w:tentative="0">
      <w:start w:val="1"/>
      <w:numFmt w:val="decimal"/>
      <w:lvlText w:val="%1."/>
      <w:lvlJc w:val="left"/>
      <w:pPr>
        <w:tabs>
          <w:tab w:val="left" w:pos="312"/>
        </w:tabs>
      </w:pPr>
    </w:lvl>
  </w:abstractNum>
  <w:abstractNum w:abstractNumId="4">
    <w:nsid w:val="C6444BCA"/>
    <w:multiLevelType w:val="singleLevel"/>
    <w:tmpl w:val="C6444BCA"/>
    <w:lvl w:ilvl="0" w:tentative="0">
      <w:start w:val="1"/>
      <w:numFmt w:val="decimal"/>
      <w:lvlText w:val="%1."/>
      <w:lvlJc w:val="left"/>
      <w:pPr>
        <w:tabs>
          <w:tab w:val="left" w:pos="312"/>
        </w:tabs>
      </w:pPr>
    </w:lvl>
  </w:abstractNum>
  <w:abstractNum w:abstractNumId="5">
    <w:nsid w:val="17D3B5C3"/>
    <w:multiLevelType w:val="singleLevel"/>
    <w:tmpl w:val="17D3B5C3"/>
    <w:lvl w:ilvl="0" w:tentative="0">
      <w:start w:val="1"/>
      <w:numFmt w:val="decimal"/>
      <w:suff w:val="nothing"/>
      <w:lvlText w:val="%1、"/>
      <w:lvlJc w:val="left"/>
    </w:lvl>
  </w:abstractNum>
  <w:abstractNum w:abstractNumId="6">
    <w:nsid w:val="319CEA27"/>
    <w:multiLevelType w:val="singleLevel"/>
    <w:tmpl w:val="319CEA27"/>
    <w:lvl w:ilvl="0" w:tentative="0">
      <w:start w:val="1"/>
      <w:numFmt w:val="decimal"/>
      <w:lvlText w:val="%1."/>
      <w:lvlJc w:val="left"/>
      <w:pPr>
        <w:tabs>
          <w:tab w:val="left" w:pos="312"/>
        </w:tabs>
      </w:pPr>
    </w:lvl>
  </w:abstractNum>
  <w:abstractNum w:abstractNumId="7">
    <w:nsid w:val="557B7B99"/>
    <w:multiLevelType w:val="singleLevel"/>
    <w:tmpl w:val="557B7B99"/>
    <w:lvl w:ilvl="0" w:tentative="0">
      <w:start w:val="9"/>
      <w:numFmt w:val="decimal"/>
      <w:lvlText w:val="%1."/>
      <w:lvlJc w:val="left"/>
      <w:pPr>
        <w:tabs>
          <w:tab w:val="left" w:pos="312"/>
        </w:tabs>
      </w:pPr>
    </w:lvl>
  </w:abstractNum>
  <w:abstractNum w:abstractNumId="8">
    <w:nsid w:val="61BF1AE8"/>
    <w:multiLevelType w:val="multilevel"/>
    <w:tmpl w:val="61BF1AE8"/>
    <w:lvl w:ilvl="0" w:tentative="0">
      <w:start w:val="1"/>
      <w:numFmt w:val="japaneseCounting"/>
      <w:lvlText w:val="第%1章"/>
      <w:lvlJc w:val="left"/>
      <w:pPr>
        <w:ind w:left="1545" w:hanging="154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7"/>
  </w:num>
  <w:num w:numId="3">
    <w:abstractNumId w:val="0"/>
  </w:num>
  <w:num w:numId="4">
    <w:abstractNumId w:val="4"/>
  </w:num>
  <w:num w:numId="5">
    <w:abstractNumId w:val="3"/>
  </w:num>
  <w:num w:numId="6">
    <w:abstractNumId w:val="6"/>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kN2ViODExMTQ2NDBiYjcxMmIzNTI3NWIxYmEzZDMifQ=="/>
  </w:docVars>
  <w:rsids>
    <w:rsidRoot w:val="00172A27"/>
    <w:rsid w:val="00000672"/>
    <w:rsid w:val="00001799"/>
    <w:rsid w:val="000022D9"/>
    <w:rsid w:val="00002D29"/>
    <w:rsid w:val="000040C5"/>
    <w:rsid w:val="000045C6"/>
    <w:rsid w:val="00004A8A"/>
    <w:rsid w:val="0000574C"/>
    <w:rsid w:val="00005B07"/>
    <w:rsid w:val="00005E55"/>
    <w:rsid w:val="00005FDF"/>
    <w:rsid w:val="00006586"/>
    <w:rsid w:val="000065BA"/>
    <w:rsid w:val="0001045D"/>
    <w:rsid w:val="00010D39"/>
    <w:rsid w:val="000112BB"/>
    <w:rsid w:val="0001149B"/>
    <w:rsid w:val="0001172C"/>
    <w:rsid w:val="00012854"/>
    <w:rsid w:val="00012E50"/>
    <w:rsid w:val="00012EA6"/>
    <w:rsid w:val="000139DC"/>
    <w:rsid w:val="00013D8C"/>
    <w:rsid w:val="00013DFE"/>
    <w:rsid w:val="00013F03"/>
    <w:rsid w:val="000141EA"/>
    <w:rsid w:val="00014385"/>
    <w:rsid w:val="00014D2F"/>
    <w:rsid w:val="000159F6"/>
    <w:rsid w:val="00016960"/>
    <w:rsid w:val="00017396"/>
    <w:rsid w:val="000177DB"/>
    <w:rsid w:val="00020227"/>
    <w:rsid w:val="000203E4"/>
    <w:rsid w:val="00020455"/>
    <w:rsid w:val="00020CCE"/>
    <w:rsid w:val="00022731"/>
    <w:rsid w:val="00022792"/>
    <w:rsid w:val="00022A07"/>
    <w:rsid w:val="000242CE"/>
    <w:rsid w:val="00025382"/>
    <w:rsid w:val="00025636"/>
    <w:rsid w:val="00025E36"/>
    <w:rsid w:val="00026627"/>
    <w:rsid w:val="00026886"/>
    <w:rsid w:val="0002793A"/>
    <w:rsid w:val="00030496"/>
    <w:rsid w:val="000329E0"/>
    <w:rsid w:val="000333A0"/>
    <w:rsid w:val="00034060"/>
    <w:rsid w:val="000352E9"/>
    <w:rsid w:val="00036A07"/>
    <w:rsid w:val="00036E33"/>
    <w:rsid w:val="00036FAD"/>
    <w:rsid w:val="00037363"/>
    <w:rsid w:val="00037E2D"/>
    <w:rsid w:val="00040571"/>
    <w:rsid w:val="000414EC"/>
    <w:rsid w:val="0004156E"/>
    <w:rsid w:val="00041597"/>
    <w:rsid w:val="00041800"/>
    <w:rsid w:val="0004440C"/>
    <w:rsid w:val="00045880"/>
    <w:rsid w:val="00045A4C"/>
    <w:rsid w:val="000462CB"/>
    <w:rsid w:val="00046B5E"/>
    <w:rsid w:val="0004783A"/>
    <w:rsid w:val="000509D9"/>
    <w:rsid w:val="0005398D"/>
    <w:rsid w:val="000552A6"/>
    <w:rsid w:val="00055D41"/>
    <w:rsid w:val="000569C7"/>
    <w:rsid w:val="00057CEC"/>
    <w:rsid w:val="00060DCE"/>
    <w:rsid w:val="00061A5A"/>
    <w:rsid w:val="000623B4"/>
    <w:rsid w:val="000634A3"/>
    <w:rsid w:val="000634A7"/>
    <w:rsid w:val="00063E85"/>
    <w:rsid w:val="00063F81"/>
    <w:rsid w:val="00064847"/>
    <w:rsid w:val="0006484B"/>
    <w:rsid w:val="000673E2"/>
    <w:rsid w:val="000703B6"/>
    <w:rsid w:val="000711E4"/>
    <w:rsid w:val="000719F9"/>
    <w:rsid w:val="0007228C"/>
    <w:rsid w:val="000722D1"/>
    <w:rsid w:val="00072AED"/>
    <w:rsid w:val="00072F2F"/>
    <w:rsid w:val="00073F47"/>
    <w:rsid w:val="00075B7E"/>
    <w:rsid w:val="00077215"/>
    <w:rsid w:val="00077C70"/>
    <w:rsid w:val="00080B57"/>
    <w:rsid w:val="00081BA3"/>
    <w:rsid w:val="00081D2E"/>
    <w:rsid w:val="00081E30"/>
    <w:rsid w:val="0008267B"/>
    <w:rsid w:val="00082A5B"/>
    <w:rsid w:val="00082D02"/>
    <w:rsid w:val="000833E9"/>
    <w:rsid w:val="00083B91"/>
    <w:rsid w:val="0008520B"/>
    <w:rsid w:val="000870AA"/>
    <w:rsid w:val="000871B8"/>
    <w:rsid w:val="00087DB6"/>
    <w:rsid w:val="000913BE"/>
    <w:rsid w:val="000918F8"/>
    <w:rsid w:val="00092442"/>
    <w:rsid w:val="00094183"/>
    <w:rsid w:val="00095233"/>
    <w:rsid w:val="0009588E"/>
    <w:rsid w:val="000959EE"/>
    <w:rsid w:val="00095B51"/>
    <w:rsid w:val="00097DA0"/>
    <w:rsid w:val="000A079B"/>
    <w:rsid w:val="000A0D6B"/>
    <w:rsid w:val="000A1389"/>
    <w:rsid w:val="000A166E"/>
    <w:rsid w:val="000A2B0E"/>
    <w:rsid w:val="000A398F"/>
    <w:rsid w:val="000A509C"/>
    <w:rsid w:val="000A5516"/>
    <w:rsid w:val="000A6007"/>
    <w:rsid w:val="000A65A6"/>
    <w:rsid w:val="000A7275"/>
    <w:rsid w:val="000A7A12"/>
    <w:rsid w:val="000A7CA5"/>
    <w:rsid w:val="000B039A"/>
    <w:rsid w:val="000B1801"/>
    <w:rsid w:val="000B1D0C"/>
    <w:rsid w:val="000B2D03"/>
    <w:rsid w:val="000B3815"/>
    <w:rsid w:val="000B3C7B"/>
    <w:rsid w:val="000B5214"/>
    <w:rsid w:val="000B5B24"/>
    <w:rsid w:val="000B6874"/>
    <w:rsid w:val="000B6C95"/>
    <w:rsid w:val="000C06D3"/>
    <w:rsid w:val="000C0C58"/>
    <w:rsid w:val="000C1679"/>
    <w:rsid w:val="000C2F89"/>
    <w:rsid w:val="000C30BB"/>
    <w:rsid w:val="000C30E7"/>
    <w:rsid w:val="000C366E"/>
    <w:rsid w:val="000C3B94"/>
    <w:rsid w:val="000C4635"/>
    <w:rsid w:val="000C548E"/>
    <w:rsid w:val="000C5698"/>
    <w:rsid w:val="000C5775"/>
    <w:rsid w:val="000C6DE4"/>
    <w:rsid w:val="000C716B"/>
    <w:rsid w:val="000C7C12"/>
    <w:rsid w:val="000D01EB"/>
    <w:rsid w:val="000D056E"/>
    <w:rsid w:val="000D0675"/>
    <w:rsid w:val="000D0A89"/>
    <w:rsid w:val="000D1389"/>
    <w:rsid w:val="000D1798"/>
    <w:rsid w:val="000D1A2A"/>
    <w:rsid w:val="000D1A53"/>
    <w:rsid w:val="000D2626"/>
    <w:rsid w:val="000D2B7D"/>
    <w:rsid w:val="000D42DF"/>
    <w:rsid w:val="000D4A06"/>
    <w:rsid w:val="000D5C86"/>
    <w:rsid w:val="000D6DCD"/>
    <w:rsid w:val="000D73DD"/>
    <w:rsid w:val="000D7AB4"/>
    <w:rsid w:val="000D7D9B"/>
    <w:rsid w:val="000E11BB"/>
    <w:rsid w:val="000E18E2"/>
    <w:rsid w:val="000E28AB"/>
    <w:rsid w:val="000E28C1"/>
    <w:rsid w:val="000E2E3E"/>
    <w:rsid w:val="000E33C5"/>
    <w:rsid w:val="000E3583"/>
    <w:rsid w:val="000E3AF0"/>
    <w:rsid w:val="000E3D53"/>
    <w:rsid w:val="000E4E04"/>
    <w:rsid w:val="000E6200"/>
    <w:rsid w:val="000E684C"/>
    <w:rsid w:val="000E6EC9"/>
    <w:rsid w:val="000E70B4"/>
    <w:rsid w:val="000E743E"/>
    <w:rsid w:val="000F06FC"/>
    <w:rsid w:val="000F0742"/>
    <w:rsid w:val="000F3281"/>
    <w:rsid w:val="000F3733"/>
    <w:rsid w:val="000F4D88"/>
    <w:rsid w:val="000F4FC9"/>
    <w:rsid w:val="000F64AA"/>
    <w:rsid w:val="000F7AF4"/>
    <w:rsid w:val="000F7C33"/>
    <w:rsid w:val="000F7F0C"/>
    <w:rsid w:val="00100246"/>
    <w:rsid w:val="001004D6"/>
    <w:rsid w:val="00100D90"/>
    <w:rsid w:val="00102309"/>
    <w:rsid w:val="00102ECA"/>
    <w:rsid w:val="00103918"/>
    <w:rsid w:val="00104889"/>
    <w:rsid w:val="00104897"/>
    <w:rsid w:val="00104D7E"/>
    <w:rsid w:val="00104EDE"/>
    <w:rsid w:val="00105AA1"/>
    <w:rsid w:val="00105FAC"/>
    <w:rsid w:val="00106BEE"/>
    <w:rsid w:val="00110339"/>
    <w:rsid w:val="00110C92"/>
    <w:rsid w:val="00113134"/>
    <w:rsid w:val="00113AC0"/>
    <w:rsid w:val="001146BF"/>
    <w:rsid w:val="00114851"/>
    <w:rsid w:val="00115E11"/>
    <w:rsid w:val="00115F56"/>
    <w:rsid w:val="00117CBD"/>
    <w:rsid w:val="0012006A"/>
    <w:rsid w:val="00120990"/>
    <w:rsid w:val="001217B5"/>
    <w:rsid w:val="00121979"/>
    <w:rsid w:val="00122064"/>
    <w:rsid w:val="0012378B"/>
    <w:rsid w:val="00123B26"/>
    <w:rsid w:val="00125004"/>
    <w:rsid w:val="001263B8"/>
    <w:rsid w:val="00126763"/>
    <w:rsid w:val="00130217"/>
    <w:rsid w:val="00130783"/>
    <w:rsid w:val="00130990"/>
    <w:rsid w:val="001312CB"/>
    <w:rsid w:val="00132B47"/>
    <w:rsid w:val="00132E64"/>
    <w:rsid w:val="00134816"/>
    <w:rsid w:val="001351CB"/>
    <w:rsid w:val="001359A2"/>
    <w:rsid w:val="00135E37"/>
    <w:rsid w:val="00136020"/>
    <w:rsid w:val="00136445"/>
    <w:rsid w:val="0013746E"/>
    <w:rsid w:val="001374F3"/>
    <w:rsid w:val="00140132"/>
    <w:rsid w:val="00141C9C"/>
    <w:rsid w:val="00142668"/>
    <w:rsid w:val="001434BE"/>
    <w:rsid w:val="00144275"/>
    <w:rsid w:val="0014479F"/>
    <w:rsid w:val="001452B4"/>
    <w:rsid w:val="00146EC6"/>
    <w:rsid w:val="001478D2"/>
    <w:rsid w:val="00151C48"/>
    <w:rsid w:val="00152A87"/>
    <w:rsid w:val="00154486"/>
    <w:rsid w:val="00154663"/>
    <w:rsid w:val="00156D0E"/>
    <w:rsid w:val="00156DD9"/>
    <w:rsid w:val="0016086E"/>
    <w:rsid w:val="00160D0C"/>
    <w:rsid w:val="00161172"/>
    <w:rsid w:val="0016139E"/>
    <w:rsid w:val="00161E65"/>
    <w:rsid w:val="00162597"/>
    <w:rsid w:val="001629AF"/>
    <w:rsid w:val="00162C1D"/>
    <w:rsid w:val="001633A3"/>
    <w:rsid w:val="0016428A"/>
    <w:rsid w:val="001647C9"/>
    <w:rsid w:val="00164837"/>
    <w:rsid w:val="001661A3"/>
    <w:rsid w:val="0016782B"/>
    <w:rsid w:val="00170B05"/>
    <w:rsid w:val="00171C8A"/>
    <w:rsid w:val="00172A27"/>
    <w:rsid w:val="00173256"/>
    <w:rsid w:val="001733E1"/>
    <w:rsid w:val="00173F74"/>
    <w:rsid w:val="00175086"/>
    <w:rsid w:val="00175BA6"/>
    <w:rsid w:val="0017617F"/>
    <w:rsid w:val="00176CA7"/>
    <w:rsid w:val="001778C5"/>
    <w:rsid w:val="00177E56"/>
    <w:rsid w:val="00177F0A"/>
    <w:rsid w:val="00185617"/>
    <w:rsid w:val="00186ADE"/>
    <w:rsid w:val="00187F35"/>
    <w:rsid w:val="0019171E"/>
    <w:rsid w:val="0019220F"/>
    <w:rsid w:val="001928B1"/>
    <w:rsid w:val="00194129"/>
    <w:rsid w:val="00194ED5"/>
    <w:rsid w:val="00195424"/>
    <w:rsid w:val="001955FF"/>
    <w:rsid w:val="0019692F"/>
    <w:rsid w:val="00197EDD"/>
    <w:rsid w:val="00197F70"/>
    <w:rsid w:val="001A02B3"/>
    <w:rsid w:val="001A0322"/>
    <w:rsid w:val="001A04BB"/>
    <w:rsid w:val="001A07EE"/>
    <w:rsid w:val="001A08D0"/>
    <w:rsid w:val="001A14B1"/>
    <w:rsid w:val="001A1B39"/>
    <w:rsid w:val="001A2492"/>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184"/>
    <w:rsid w:val="001B327A"/>
    <w:rsid w:val="001B35DE"/>
    <w:rsid w:val="001B3A13"/>
    <w:rsid w:val="001B59FF"/>
    <w:rsid w:val="001B636D"/>
    <w:rsid w:val="001B65D7"/>
    <w:rsid w:val="001B6752"/>
    <w:rsid w:val="001B6768"/>
    <w:rsid w:val="001B6F1F"/>
    <w:rsid w:val="001B7ECC"/>
    <w:rsid w:val="001C25A7"/>
    <w:rsid w:val="001C318C"/>
    <w:rsid w:val="001C38B0"/>
    <w:rsid w:val="001C4287"/>
    <w:rsid w:val="001C4479"/>
    <w:rsid w:val="001C76B7"/>
    <w:rsid w:val="001C76FB"/>
    <w:rsid w:val="001D1165"/>
    <w:rsid w:val="001D2764"/>
    <w:rsid w:val="001D324F"/>
    <w:rsid w:val="001D3697"/>
    <w:rsid w:val="001D51DE"/>
    <w:rsid w:val="001D540E"/>
    <w:rsid w:val="001D58A1"/>
    <w:rsid w:val="001D5A8A"/>
    <w:rsid w:val="001D735E"/>
    <w:rsid w:val="001D73C8"/>
    <w:rsid w:val="001D74D4"/>
    <w:rsid w:val="001D756D"/>
    <w:rsid w:val="001D778C"/>
    <w:rsid w:val="001D7E1F"/>
    <w:rsid w:val="001E0756"/>
    <w:rsid w:val="001E0A8D"/>
    <w:rsid w:val="001E0FFB"/>
    <w:rsid w:val="001E129E"/>
    <w:rsid w:val="001E1F33"/>
    <w:rsid w:val="001E2B9F"/>
    <w:rsid w:val="001E30C0"/>
    <w:rsid w:val="001E3221"/>
    <w:rsid w:val="001E33BA"/>
    <w:rsid w:val="001E49F2"/>
    <w:rsid w:val="001E4A8D"/>
    <w:rsid w:val="001E5A94"/>
    <w:rsid w:val="001E7648"/>
    <w:rsid w:val="001F127B"/>
    <w:rsid w:val="001F15A8"/>
    <w:rsid w:val="001F2260"/>
    <w:rsid w:val="001F2A2E"/>
    <w:rsid w:val="001F3B72"/>
    <w:rsid w:val="001F3C63"/>
    <w:rsid w:val="001F4460"/>
    <w:rsid w:val="001F5DAF"/>
    <w:rsid w:val="001F637C"/>
    <w:rsid w:val="001F6B6C"/>
    <w:rsid w:val="001F711A"/>
    <w:rsid w:val="001F75B0"/>
    <w:rsid w:val="001F7686"/>
    <w:rsid w:val="0020035F"/>
    <w:rsid w:val="0020072B"/>
    <w:rsid w:val="00200CE5"/>
    <w:rsid w:val="002014DB"/>
    <w:rsid w:val="00201E12"/>
    <w:rsid w:val="00202AEC"/>
    <w:rsid w:val="002031E2"/>
    <w:rsid w:val="00203215"/>
    <w:rsid w:val="002033B5"/>
    <w:rsid w:val="0020382C"/>
    <w:rsid w:val="0020437A"/>
    <w:rsid w:val="00204B5F"/>
    <w:rsid w:val="0020532C"/>
    <w:rsid w:val="00205870"/>
    <w:rsid w:val="00205D23"/>
    <w:rsid w:val="002060A1"/>
    <w:rsid w:val="00207A16"/>
    <w:rsid w:val="00207C4C"/>
    <w:rsid w:val="0021064F"/>
    <w:rsid w:val="002114C7"/>
    <w:rsid w:val="00212756"/>
    <w:rsid w:val="0021302C"/>
    <w:rsid w:val="00213045"/>
    <w:rsid w:val="00213483"/>
    <w:rsid w:val="00213B1C"/>
    <w:rsid w:val="00214202"/>
    <w:rsid w:val="002146F3"/>
    <w:rsid w:val="002148E3"/>
    <w:rsid w:val="00215373"/>
    <w:rsid w:val="0021552D"/>
    <w:rsid w:val="002156AE"/>
    <w:rsid w:val="002177BD"/>
    <w:rsid w:val="00217861"/>
    <w:rsid w:val="0022054D"/>
    <w:rsid w:val="00220949"/>
    <w:rsid w:val="002225FA"/>
    <w:rsid w:val="0022413B"/>
    <w:rsid w:val="00224DE1"/>
    <w:rsid w:val="002255B2"/>
    <w:rsid w:val="00225664"/>
    <w:rsid w:val="00226463"/>
    <w:rsid w:val="002269DC"/>
    <w:rsid w:val="00227F2D"/>
    <w:rsid w:val="00231851"/>
    <w:rsid w:val="002319FB"/>
    <w:rsid w:val="00231B89"/>
    <w:rsid w:val="00231B8E"/>
    <w:rsid w:val="00233727"/>
    <w:rsid w:val="002355BE"/>
    <w:rsid w:val="00236024"/>
    <w:rsid w:val="00236D82"/>
    <w:rsid w:val="00236DE9"/>
    <w:rsid w:val="00237D5A"/>
    <w:rsid w:val="00241300"/>
    <w:rsid w:val="00241D3C"/>
    <w:rsid w:val="002439AB"/>
    <w:rsid w:val="002442F6"/>
    <w:rsid w:val="002450D5"/>
    <w:rsid w:val="00245587"/>
    <w:rsid w:val="002458A7"/>
    <w:rsid w:val="00245F2B"/>
    <w:rsid w:val="00246F95"/>
    <w:rsid w:val="0024703E"/>
    <w:rsid w:val="00247676"/>
    <w:rsid w:val="00247F3A"/>
    <w:rsid w:val="00250122"/>
    <w:rsid w:val="00250755"/>
    <w:rsid w:val="00250AE3"/>
    <w:rsid w:val="00251C4A"/>
    <w:rsid w:val="0025271C"/>
    <w:rsid w:val="00252A91"/>
    <w:rsid w:val="00252C5C"/>
    <w:rsid w:val="002533CD"/>
    <w:rsid w:val="002544C1"/>
    <w:rsid w:val="00254EAB"/>
    <w:rsid w:val="002557AF"/>
    <w:rsid w:val="00256474"/>
    <w:rsid w:val="002566B1"/>
    <w:rsid w:val="002575E3"/>
    <w:rsid w:val="002603C1"/>
    <w:rsid w:val="002609A1"/>
    <w:rsid w:val="002612B1"/>
    <w:rsid w:val="0026327C"/>
    <w:rsid w:val="00265600"/>
    <w:rsid w:val="00266165"/>
    <w:rsid w:val="0026782A"/>
    <w:rsid w:val="0027017B"/>
    <w:rsid w:val="002708B3"/>
    <w:rsid w:val="0027125E"/>
    <w:rsid w:val="00271767"/>
    <w:rsid w:val="002719C1"/>
    <w:rsid w:val="00272293"/>
    <w:rsid w:val="002723C8"/>
    <w:rsid w:val="00273379"/>
    <w:rsid w:val="00273CBE"/>
    <w:rsid w:val="00277F24"/>
    <w:rsid w:val="00280240"/>
    <w:rsid w:val="002802D7"/>
    <w:rsid w:val="0028135A"/>
    <w:rsid w:val="0028232C"/>
    <w:rsid w:val="002827F1"/>
    <w:rsid w:val="00282EC3"/>
    <w:rsid w:val="002835B0"/>
    <w:rsid w:val="0028407E"/>
    <w:rsid w:val="0028410F"/>
    <w:rsid w:val="002854BF"/>
    <w:rsid w:val="00286603"/>
    <w:rsid w:val="00286A98"/>
    <w:rsid w:val="00286FB5"/>
    <w:rsid w:val="00287763"/>
    <w:rsid w:val="00287BA5"/>
    <w:rsid w:val="00290606"/>
    <w:rsid w:val="00290F9D"/>
    <w:rsid w:val="002918A7"/>
    <w:rsid w:val="00291D6D"/>
    <w:rsid w:val="00291FF1"/>
    <w:rsid w:val="002923F6"/>
    <w:rsid w:val="00293361"/>
    <w:rsid w:val="00293BAA"/>
    <w:rsid w:val="00294AE8"/>
    <w:rsid w:val="00295137"/>
    <w:rsid w:val="00295287"/>
    <w:rsid w:val="002952B1"/>
    <w:rsid w:val="00295D11"/>
    <w:rsid w:val="00295FA0"/>
    <w:rsid w:val="00297626"/>
    <w:rsid w:val="00297A7A"/>
    <w:rsid w:val="002A0620"/>
    <w:rsid w:val="002A0C3A"/>
    <w:rsid w:val="002A1130"/>
    <w:rsid w:val="002A14D3"/>
    <w:rsid w:val="002A1880"/>
    <w:rsid w:val="002A1D47"/>
    <w:rsid w:val="002A23B7"/>
    <w:rsid w:val="002A2D71"/>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B2B"/>
    <w:rsid w:val="002B6D17"/>
    <w:rsid w:val="002B6E71"/>
    <w:rsid w:val="002B6FA5"/>
    <w:rsid w:val="002B7169"/>
    <w:rsid w:val="002C0C1C"/>
    <w:rsid w:val="002C0F5A"/>
    <w:rsid w:val="002C184E"/>
    <w:rsid w:val="002C2639"/>
    <w:rsid w:val="002C28F5"/>
    <w:rsid w:val="002C29EF"/>
    <w:rsid w:val="002C54C2"/>
    <w:rsid w:val="002C5D34"/>
    <w:rsid w:val="002C5EA7"/>
    <w:rsid w:val="002C661A"/>
    <w:rsid w:val="002C7C6E"/>
    <w:rsid w:val="002D0AF5"/>
    <w:rsid w:val="002D1C54"/>
    <w:rsid w:val="002D1FAA"/>
    <w:rsid w:val="002D2231"/>
    <w:rsid w:val="002D25FC"/>
    <w:rsid w:val="002D318B"/>
    <w:rsid w:val="002D3380"/>
    <w:rsid w:val="002D44D6"/>
    <w:rsid w:val="002D4925"/>
    <w:rsid w:val="002D4AC6"/>
    <w:rsid w:val="002D5C7B"/>
    <w:rsid w:val="002D6DFC"/>
    <w:rsid w:val="002D7648"/>
    <w:rsid w:val="002D7909"/>
    <w:rsid w:val="002D7AB7"/>
    <w:rsid w:val="002E109C"/>
    <w:rsid w:val="002E115E"/>
    <w:rsid w:val="002E131F"/>
    <w:rsid w:val="002E1439"/>
    <w:rsid w:val="002E193E"/>
    <w:rsid w:val="002E1D76"/>
    <w:rsid w:val="002E243C"/>
    <w:rsid w:val="002E26C4"/>
    <w:rsid w:val="002E30B3"/>
    <w:rsid w:val="002E33E9"/>
    <w:rsid w:val="002E4B37"/>
    <w:rsid w:val="002E4BF9"/>
    <w:rsid w:val="002E6F5B"/>
    <w:rsid w:val="002F16DD"/>
    <w:rsid w:val="002F199D"/>
    <w:rsid w:val="002F23B2"/>
    <w:rsid w:val="002F2558"/>
    <w:rsid w:val="002F4084"/>
    <w:rsid w:val="002F4672"/>
    <w:rsid w:val="002F4A08"/>
    <w:rsid w:val="002F4ADB"/>
    <w:rsid w:val="002F531E"/>
    <w:rsid w:val="002F5ACC"/>
    <w:rsid w:val="002F6C2C"/>
    <w:rsid w:val="002F704B"/>
    <w:rsid w:val="002F72C3"/>
    <w:rsid w:val="002F768C"/>
    <w:rsid w:val="002F7D1E"/>
    <w:rsid w:val="00301839"/>
    <w:rsid w:val="00301A68"/>
    <w:rsid w:val="003026AF"/>
    <w:rsid w:val="00302929"/>
    <w:rsid w:val="00302F0F"/>
    <w:rsid w:val="00303243"/>
    <w:rsid w:val="00303BCC"/>
    <w:rsid w:val="00303F2B"/>
    <w:rsid w:val="00303F8D"/>
    <w:rsid w:val="00304541"/>
    <w:rsid w:val="00304580"/>
    <w:rsid w:val="0030586A"/>
    <w:rsid w:val="003074C5"/>
    <w:rsid w:val="00307A3C"/>
    <w:rsid w:val="00307AF8"/>
    <w:rsid w:val="00307FA4"/>
    <w:rsid w:val="00310CC1"/>
    <w:rsid w:val="00313026"/>
    <w:rsid w:val="00313213"/>
    <w:rsid w:val="00313C14"/>
    <w:rsid w:val="0031421F"/>
    <w:rsid w:val="00314B31"/>
    <w:rsid w:val="00314B36"/>
    <w:rsid w:val="00315158"/>
    <w:rsid w:val="00315346"/>
    <w:rsid w:val="00315A65"/>
    <w:rsid w:val="00315EB9"/>
    <w:rsid w:val="00316E85"/>
    <w:rsid w:val="00317BA7"/>
    <w:rsid w:val="00320BE2"/>
    <w:rsid w:val="00321886"/>
    <w:rsid w:val="00321902"/>
    <w:rsid w:val="00323694"/>
    <w:rsid w:val="00324D63"/>
    <w:rsid w:val="003255AF"/>
    <w:rsid w:val="003256EB"/>
    <w:rsid w:val="003259DB"/>
    <w:rsid w:val="00325F20"/>
    <w:rsid w:val="00326039"/>
    <w:rsid w:val="003267F2"/>
    <w:rsid w:val="003300EA"/>
    <w:rsid w:val="00331A48"/>
    <w:rsid w:val="003330C9"/>
    <w:rsid w:val="0033364C"/>
    <w:rsid w:val="00334415"/>
    <w:rsid w:val="00335460"/>
    <w:rsid w:val="0033591B"/>
    <w:rsid w:val="0033691E"/>
    <w:rsid w:val="00336CCB"/>
    <w:rsid w:val="0033745F"/>
    <w:rsid w:val="00337631"/>
    <w:rsid w:val="00337F44"/>
    <w:rsid w:val="003401AC"/>
    <w:rsid w:val="003411D1"/>
    <w:rsid w:val="003416BA"/>
    <w:rsid w:val="00341BD6"/>
    <w:rsid w:val="00342A8A"/>
    <w:rsid w:val="00342F99"/>
    <w:rsid w:val="0034339D"/>
    <w:rsid w:val="003433DA"/>
    <w:rsid w:val="00344726"/>
    <w:rsid w:val="003454A4"/>
    <w:rsid w:val="00345988"/>
    <w:rsid w:val="00350E6C"/>
    <w:rsid w:val="003518A6"/>
    <w:rsid w:val="00351E7F"/>
    <w:rsid w:val="003526FD"/>
    <w:rsid w:val="00352953"/>
    <w:rsid w:val="00354062"/>
    <w:rsid w:val="003542B0"/>
    <w:rsid w:val="00354313"/>
    <w:rsid w:val="00355C0D"/>
    <w:rsid w:val="0035622C"/>
    <w:rsid w:val="003566A9"/>
    <w:rsid w:val="00356988"/>
    <w:rsid w:val="00356B20"/>
    <w:rsid w:val="00357128"/>
    <w:rsid w:val="0035755E"/>
    <w:rsid w:val="00357A80"/>
    <w:rsid w:val="00361B8B"/>
    <w:rsid w:val="00363F39"/>
    <w:rsid w:val="003643C6"/>
    <w:rsid w:val="00364AB0"/>
    <w:rsid w:val="00365A6E"/>
    <w:rsid w:val="003664B8"/>
    <w:rsid w:val="003667B0"/>
    <w:rsid w:val="003667DD"/>
    <w:rsid w:val="00366842"/>
    <w:rsid w:val="00366B48"/>
    <w:rsid w:val="00367764"/>
    <w:rsid w:val="00370316"/>
    <w:rsid w:val="00370DC7"/>
    <w:rsid w:val="0037156C"/>
    <w:rsid w:val="00371CBD"/>
    <w:rsid w:val="00373CBE"/>
    <w:rsid w:val="003740CC"/>
    <w:rsid w:val="0037435E"/>
    <w:rsid w:val="00374E79"/>
    <w:rsid w:val="00375388"/>
    <w:rsid w:val="00375B7E"/>
    <w:rsid w:val="00375FB9"/>
    <w:rsid w:val="00376851"/>
    <w:rsid w:val="00376FA2"/>
    <w:rsid w:val="00377A3B"/>
    <w:rsid w:val="00377E3C"/>
    <w:rsid w:val="00380B5C"/>
    <w:rsid w:val="00380BBE"/>
    <w:rsid w:val="00381D70"/>
    <w:rsid w:val="00382128"/>
    <w:rsid w:val="0038235E"/>
    <w:rsid w:val="003829D0"/>
    <w:rsid w:val="00382FBA"/>
    <w:rsid w:val="003835DD"/>
    <w:rsid w:val="0038444F"/>
    <w:rsid w:val="00384E83"/>
    <w:rsid w:val="00385C34"/>
    <w:rsid w:val="00386B36"/>
    <w:rsid w:val="00387051"/>
    <w:rsid w:val="00387ECF"/>
    <w:rsid w:val="0039021B"/>
    <w:rsid w:val="00390429"/>
    <w:rsid w:val="00391298"/>
    <w:rsid w:val="0039327C"/>
    <w:rsid w:val="003933A2"/>
    <w:rsid w:val="0039366C"/>
    <w:rsid w:val="003938F3"/>
    <w:rsid w:val="00393C4B"/>
    <w:rsid w:val="00393DE7"/>
    <w:rsid w:val="00393EC8"/>
    <w:rsid w:val="00395E42"/>
    <w:rsid w:val="00396052"/>
    <w:rsid w:val="00396A2D"/>
    <w:rsid w:val="00396FC3"/>
    <w:rsid w:val="00397988"/>
    <w:rsid w:val="003A1A94"/>
    <w:rsid w:val="003A204E"/>
    <w:rsid w:val="003A2D25"/>
    <w:rsid w:val="003A4DDB"/>
    <w:rsid w:val="003A60E7"/>
    <w:rsid w:val="003B07DF"/>
    <w:rsid w:val="003B0B6A"/>
    <w:rsid w:val="003B0F79"/>
    <w:rsid w:val="003B29CF"/>
    <w:rsid w:val="003B54DF"/>
    <w:rsid w:val="003B6659"/>
    <w:rsid w:val="003B7733"/>
    <w:rsid w:val="003B7BC8"/>
    <w:rsid w:val="003C0166"/>
    <w:rsid w:val="003C21AA"/>
    <w:rsid w:val="003C2B79"/>
    <w:rsid w:val="003C350C"/>
    <w:rsid w:val="003C3903"/>
    <w:rsid w:val="003C3BA0"/>
    <w:rsid w:val="003C4580"/>
    <w:rsid w:val="003C52D8"/>
    <w:rsid w:val="003C5C5E"/>
    <w:rsid w:val="003C6746"/>
    <w:rsid w:val="003C7133"/>
    <w:rsid w:val="003C7555"/>
    <w:rsid w:val="003C7898"/>
    <w:rsid w:val="003D0FF5"/>
    <w:rsid w:val="003D2D1B"/>
    <w:rsid w:val="003D30AB"/>
    <w:rsid w:val="003D3D94"/>
    <w:rsid w:val="003D48C7"/>
    <w:rsid w:val="003D4C08"/>
    <w:rsid w:val="003D51ED"/>
    <w:rsid w:val="003D7CE8"/>
    <w:rsid w:val="003E1032"/>
    <w:rsid w:val="003E1904"/>
    <w:rsid w:val="003E2114"/>
    <w:rsid w:val="003E285E"/>
    <w:rsid w:val="003E3300"/>
    <w:rsid w:val="003E53DC"/>
    <w:rsid w:val="003E5B89"/>
    <w:rsid w:val="003E6340"/>
    <w:rsid w:val="003E65AC"/>
    <w:rsid w:val="003E6948"/>
    <w:rsid w:val="003E6E24"/>
    <w:rsid w:val="003E72B9"/>
    <w:rsid w:val="003E755C"/>
    <w:rsid w:val="003E7ED4"/>
    <w:rsid w:val="003F0E52"/>
    <w:rsid w:val="003F0EF2"/>
    <w:rsid w:val="003F0F6B"/>
    <w:rsid w:val="003F1F40"/>
    <w:rsid w:val="003F1FE3"/>
    <w:rsid w:val="003F3865"/>
    <w:rsid w:val="003F3A0A"/>
    <w:rsid w:val="003F4632"/>
    <w:rsid w:val="003F47BA"/>
    <w:rsid w:val="003F5DA1"/>
    <w:rsid w:val="003F6617"/>
    <w:rsid w:val="0040063B"/>
    <w:rsid w:val="00401070"/>
    <w:rsid w:val="004013C0"/>
    <w:rsid w:val="00402332"/>
    <w:rsid w:val="004025C2"/>
    <w:rsid w:val="00403E55"/>
    <w:rsid w:val="00404532"/>
    <w:rsid w:val="00404681"/>
    <w:rsid w:val="0040496D"/>
    <w:rsid w:val="00405010"/>
    <w:rsid w:val="0040595A"/>
    <w:rsid w:val="00406923"/>
    <w:rsid w:val="0040713A"/>
    <w:rsid w:val="0040763D"/>
    <w:rsid w:val="004105B0"/>
    <w:rsid w:val="00410DC1"/>
    <w:rsid w:val="00410EC5"/>
    <w:rsid w:val="00411B1F"/>
    <w:rsid w:val="004133A8"/>
    <w:rsid w:val="00413821"/>
    <w:rsid w:val="00413D43"/>
    <w:rsid w:val="004141A3"/>
    <w:rsid w:val="004143E9"/>
    <w:rsid w:val="00414909"/>
    <w:rsid w:val="00415E66"/>
    <w:rsid w:val="00416112"/>
    <w:rsid w:val="00416DF0"/>
    <w:rsid w:val="00417AE0"/>
    <w:rsid w:val="00417BAA"/>
    <w:rsid w:val="00420BA9"/>
    <w:rsid w:val="00420D7A"/>
    <w:rsid w:val="00420D9E"/>
    <w:rsid w:val="004223DE"/>
    <w:rsid w:val="00422718"/>
    <w:rsid w:val="0042293E"/>
    <w:rsid w:val="00422A10"/>
    <w:rsid w:val="00424D17"/>
    <w:rsid w:val="00425DFD"/>
    <w:rsid w:val="004263A3"/>
    <w:rsid w:val="00426903"/>
    <w:rsid w:val="00427713"/>
    <w:rsid w:val="00427CCC"/>
    <w:rsid w:val="00427D54"/>
    <w:rsid w:val="00427DB8"/>
    <w:rsid w:val="0043013A"/>
    <w:rsid w:val="00430421"/>
    <w:rsid w:val="00430B4F"/>
    <w:rsid w:val="004314B1"/>
    <w:rsid w:val="00431AD0"/>
    <w:rsid w:val="00431E65"/>
    <w:rsid w:val="00432589"/>
    <w:rsid w:val="00432A94"/>
    <w:rsid w:val="00433827"/>
    <w:rsid w:val="00433D87"/>
    <w:rsid w:val="00435041"/>
    <w:rsid w:val="004360C8"/>
    <w:rsid w:val="0044006B"/>
    <w:rsid w:val="0044033F"/>
    <w:rsid w:val="00440630"/>
    <w:rsid w:val="00441123"/>
    <w:rsid w:val="0044127B"/>
    <w:rsid w:val="00442095"/>
    <w:rsid w:val="00442965"/>
    <w:rsid w:val="00444157"/>
    <w:rsid w:val="0044417C"/>
    <w:rsid w:val="00444DB3"/>
    <w:rsid w:val="004452B9"/>
    <w:rsid w:val="00445A2F"/>
    <w:rsid w:val="00446328"/>
    <w:rsid w:val="00446341"/>
    <w:rsid w:val="0044684E"/>
    <w:rsid w:val="004479CA"/>
    <w:rsid w:val="004503A4"/>
    <w:rsid w:val="00450555"/>
    <w:rsid w:val="00450DC6"/>
    <w:rsid w:val="004516A5"/>
    <w:rsid w:val="004535AE"/>
    <w:rsid w:val="00453C42"/>
    <w:rsid w:val="0045463A"/>
    <w:rsid w:val="00454AC9"/>
    <w:rsid w:val="004554A3"/>
    <w:rsid w:val="00455A6E"/>
    <w:rsid w:val="004569CD"/>
    <w:rsid w:val="00456F2B"/>
    <w:rsid w:val="004578EB"/>
    <w:rsid w:val="00460303"/>
    <w:rsid w:val="00460697"/>
    <w:rsid w:val="004609AB"/>
    <w:rsid w:val="0046247F"/>
    <w:rsid w:val="00462593"/>
    <w:rsid w:val="0046549B"/>
    <w:rsid w:val="00465EEF"/>
    <w:rsid w:val="00466D03"/>
    <w:rsid w:val="0046711B"/>
    <w:rsid w:val="00467312"/>
    <w:rsid w:val="00471156"/>
    <w:rsid w:val="00472429"/>
    <w:rsid w:val="004725E5"/>
    <w:rsid w:val="004726FE"/>
    <w:rsid w:val="00472751"/>
    <w:rsid w:val="00473128"/>
    <w:rsid w:val="0047470A"/>
    <w:rsid w:val="00475078"/>
    <w:rsid w:val="00475226"/>
    <w:rsid w:val="004777F1"/>
    <w:rsid w:val="004779A0"/>
    <w:rsid w:val="00477A7A"/>
    <w:rsid w:val="004808E3"/>
    <w:rsid w:val="0048097D"/>
    <w:rsid w:val="00481016"/>
    <w:rsid w:val="004814C8"/>
    <w:rsid w:val="004814D3"/>
    <w:rsid w:val="0048193D"/>
    <w:rsid w:val="0048204C"/>
    <w:rsid w:val="004821BB"/>
    <w:rsid w:val="00482233"/>
    <w:rsid w:val="004826FE"/>
    <w:rsid w:val="004827D5"/>
    <w:rsid w:val="004830C9"/>
    <w:rsid w:val="00483347"/>
    <w:rsid w:val="00483D06"/>
    <w:rsid w:val="00483E2E"/>
    <w:rsid w:val="00484B69"/>
    <w:rsid w:val="00485406"/>
    <w:rsid w:val="0048590F"/>
    <w:rsid w:val="004867A5"/>
    <w:rsid w:val="00486D60"/>
    <w:rsid w:val="00487C87"/>
    <w:rsid w:val="00492A25"/>
    <w:rsid w:val="0049474A"/>
    <w:rsid w:val="004951C8"/>
    <w:rsid w:val="00496350"/>
    <w:rsid w:val="00496F91"/>
    <w:rsid w:val="00497274"/>
    <w:rsid w:val="0049797C"/>
    <w:rsid w:val="00497C2C"/>
    <w:rsid w:val="00497E9D"/>
    <w:rsid w:val="004A036E"/>
    <w:rsid w:val="004A1405"/>
    <w:rsid w:val="004A1FC6"/>
    <w:rsid w:val="004A3C03"/>
    <w:rsid w:val="004A3DB7"/>
    <w:rsid w:val="004A3FB3"/>
    <w:rsid w:val="004A4628"/>
    <w:rsid w:val="004A5088"/>
    <w:rsid w:val="004A5255"/>
    <w:rsid w:val="004A6097"/>
    <w:rsid w:val="004A6CB0"/>
    <w:rsid w:val="004A70FF"/>
    <w:rsid w:val="004B1B84"/>
    <w:rsid w:val="004B29AC"/>
    <w:rsid w:val="004B29E3"/>
    <w:rsid w:val="004B3220"/>
    <w:rsid w:val="004B35DF"/>
    <w:rsid w:val="004B3627"/>
    <w:rsid w:val="004B3F3A"/>
    <w:rsid w:val="004B4779"/>
    <w:rsid w:val="004B4922"/>
    <w:rsid w:val="004B57DF"/>
    <w:rsid w:val="004C0238"/>
    <w:rsid w:val="004C03A0"/>
    <w:rsid w:val="004C2138"/>
    <w:rsid w:val="004C2ED0"/>
    <w:rsid w:val="004C32D4"/>
    <w:rsid w:val="004C3940"/>
    <w:rsid w:val="004C51FD"/>
    <w:rsid w:val="004C65A8"/>
    <w:rsid w:val="004C6902"/>
    <w:rsid w:val="004C786C"/>
    <w:rsid w:val="004C7963"/>
    <w:rsid w:val="004D2314"/>
    <w:rsid w:val="004D2F63"/>
    <w:rsid w:val="004D35BA"/>
    <w:rsid w:val="004D45B8"/>
    <w:rsid w:val="004D4701"/>
    <w:rsid w:val="004D47C7"/>
    <w:rsid w:val="004D50E9"/>
    <w:rsid w:val="004D618D"/>
    <w:rsid w:val="004D6202"/>
    <w:rsid w:val="004D62A9"/>
    <w:rsid w:val="004D6FC3"/>
    <w:rsid w:val="004D7476"/>
    <w:rsid w:val="004E0306"/>
    <w:rsid w:val="004E0572"/>
    <w:rsid w:val="004E0C97"/>
    <w:rsid w:val="004E25A8"/>
    <w:rsid w:val="004E2AA0"/>
    <w:rsid w:val="004E3930"/>
    <w:rsid w:val="004E3ED9"/>
    <w:rsid w:val="004E5866"/>
    <w:rsid w:val="004E6097"/>
    <w:rsid w:val="004E61EF"/>
    <w:rsid w:val="004E6772"/>
    <w:rsid w:val="004E76A7"/>
    <w:rsid w:val="004E7736"/>
    <w:rsid w:val="004E7B03"/>
    <w:rsid w:val="004F0064"/>
    <w:rsid w:val="004F050A"/>
    <w:rsid w:val="004F069F"/>
    <w:rsid w:val="004F06AC"/>
    <w:rsid w:val="004F1AE6"/>
    <w:rsid w:val="004F243F"/>
    <w:rsid w:val="004F38C9"/>
    <w:rsid w:val="004F3E0C"/>
    <w:rsid w:val="004F6929"/>
    <w:rsid w:val="004F6A2D"/>
    <w:rsid w:val="004F7160"/>
    <w:rsid w:val="00500258"/>
    <w:rsid w:val="0050175E"/>
    <w:rsid w:val="00501A99"/>
    <w:rsid w:val="00502CF3"/>
    <w:rsid w:val="00503180"/>
    <w:rsid w:val="00503FB6"/>
    <w:rsid w:val="00504044"/>
    <w:rsid w:val="0050417C"/>
    <w:rsid w:val="00505450"/>
    <w:rsid w:val="005100B7"/>
    <w:rsid w:val="005111C2"/>
    <w:rsid w:val="005113C9"/>
    <w:rsid w:val="0051280C"/>
    <w:rsid w:val="00512842"/>
    <w:rsid w:val="005128BE"/>
    <w:rsid w:val="00512B7B"/>
    <w:rsid w:val="00512E6C"/>
    <w:rsid w:val="0051356F"/>
    <w:rsid w:val="00513E7C"/>
    <w:rsid w:val="005140BB"/>
    <w:rsid w:val="005143C2"/>
    <w:rsid w:val="00514FD9"/>
    <w:rsid w:val="0051518F"/>
    <w:rsid w:val="0051608F"/>
    <w:rsid w:val="005165E9"/>
    <w:rsid w:val="005210F7"/>
    <w:rsid w:val="00521753"/>
    <w:rsid w:val="00521A44"/>
    <w:rsid w:val="00521D16"/>
    <w:rsid w:val="005222BE"/>
    <w:rsid w:val="005224EE"/>
    <w:rsid w:val="00523BB1"/>
    <w:rsid w:val="00524401"/>
    <w:rsid w:val="0052451A"/>
    <w:rsid w:val="00524737"/>
    <w:rsid w:val="005253E7"/>
    <w:rsid w:val="005258DF"/>
    <w:rsid w:val="00526265"/>
    <w:rsid w:val="0052652D"/>
    <w:rsid w:val="0052655D"/>
    <w:rsid w:val="005265E0"/>
    <w:rsid w:val="00526930"/>
    <w:rsid w:val="00526BC3"/>
    <w:rsid w:val="00530F9E"/>
    <w:rsid w:val="00531A72"/>
    <w:rsid w:val="0053274E"/>
    <w:rsid w:val="0053358A"/>
    <w:rsid w:val="00534668"/>
    <w:rsid w:val="00534D38"/>
    <w:rsid w:val="00534DDD"/>
    <w:rsid w:val="00535291"/>
    <w:rsid w:val="00535A94"/>
    <w:rsid w:val="00536822"/>
    <w:rsid w:val="00537874"/>
    <w:rsid w:val="00537909"/>
    <w:rsid w:val="00540204"/>
    <w:rsid w:val="00540578"/>
    <w:rsid w:val="005407D2"/>
    <w:rsid w:val="00540808"/>
    <w:rsid w:val="0054080E"/>
    <w:rsid w:val="005408B4"/>
    <w:rsid w:val="00540EA1"/>
    <w:rsid w:val="005423B1"/>
    <w:rsid w:val="0054358E"/>
    <w:rsid w:val="00543AF4"/>
    <w:rsid w:val="00544191"/>
    <w:rsid w:val="00544F39"/>
    <w:rsid w:val="00547EFB"/>
    <w:rsid w:val="005531DF"/>
    <w:rsid w:val="00553874"/>
    <w:rsid w:val="00553ACC"/>
    <w:rsid w:val="00554AD8"/>
    <w:rsid w:val="00554F78"/>
    <w:rsid w:val="005556A5"/>
    <w:rsid w:val="005561F0"/>
    <w:rsid w:val="00556BF7"/>
    <w:rsid w:val="00560838"/>
    <w:rsid w:val="00560DB5"/>
    <w:rsid w:val="00562084"/>
    <w:rsid w:val="00562149"/>
    <w:rsid w:val="005630D8"/>
    <w:rsid w:val="00563FFD"/>
    <w:rsid w:val="00565855"/>
    <w:rsid w:val="005677CE"/>
    <w:rsid w:val="00567B5D"/>
    <w:rsid w:val="00570445"/>
    <w:rsid w:val="00572E9A"/>
    <w:rsid w:val="00573733"/>
    <w:rsid w:val="005739F5"/>
    <w:rsid w:val="00574064"/>
    <w:rsid w:val="00574554"/>
    <w:rsid w:val="00576089"/>
    <w:rsid w:val="005764B1"/>
    <w:rsid w:val="00576A0D"/>
    <w:rsid w:val="00576A56"/>
    <w:rsid w:val="00576D06"/>
    <w:rsid w:val="005777CA"/>
    <w:rsid w:val="005779E4"/>
    <w:rsid w:val="00577D8D"/>
    <w:rsid w:val="00580AC5"/>
    <w:rsid w:val="005815E4"/>
    <w:rsid w:val="005815E5"/>
    <w:rsid w:val="0058289C"/>
    <w:rsid w:val="00582C35"/>
    <w:rsid w:val="00582DC6"/>
    <w:rsid w:val="005836C7"/>
    <w:rsid w:val="0058408E"/>
    <w:rsid w:val="00585374"/>
    <w:rsid w:val="005876DF"/>
    <w:rsid w:val="0058789A"/>
    <w:rsid w:val="00590B77"/>
    <w:rsid w:val="005913A3"/>
    <w:rsid w:val="00591DCD"/>
    <w:rsid w:val="00594A7B"/>
    <w:rsid w:val="00594AFA"/>
    <w:rsid w:val="0059580E"/>
    <w:rsid w:val="00596A6F"/>
    <w:rsid w:val="005976E1"/>
    <w:rsid w:val="005A0541"/>
    <w:rsid w:val="005A0D64"/>
    <w:rsid w:val="005A1525"/>
    <w:rsid w:val="005A1EC3"/>
    <w:rsid w:val="005A252B"/>
    <w:rsid w:val="005A2A71"/>
    <w:rsid w:val="005A3204"/>
    <w:rsid w:val="005A32B6"/>
    <w:rsid w:val="005A3341"/>
    <w:rsid w:val="005A46EC"/>
    <w:rsid w:val="005A47AA"/>
    <w:rsid w:val="005A4847"/>
    <w:rsid w:val="005A494F"/>
    <w:rsid w:val="005A4B11"/>
    <w:rsid w:val="005A5145"/>
    <w:rsid w:val="005A6B39"/>
    <w:rsid w:val="005A7BE5"/>
    <w:rsid w:val="005B0160"/>
    <w:rsid w:val="005B0185"/>
    <w:rsid w:val="005B07EC"/>
    <w:rsid w:val="005B09D8"/>
    <w:rsid w:val="005B24F3"/>
    <w:rsid w:val="005B28A1"/>
    <w:rsid w:val="005B2B11"/>
    <w:rsid w:val="005B2E00"/>
    <w:rsid w:val="005B370E"/>
    <w:rsid w:val="005B4DA3"/>
    <w:rsid w:val="005B5B71"/>
    <w:rsid w:val="005B5BEE"/>
    <w:rsid w:val="005B7784"/>
    <w:rsid w:val="005B77D2"/>
    <w:rsid w:val="005C019B"/>
    <w:rsid w:val="005C144E"/>
    <w:rsid w:val="005C1625"/>
    <w:rsid w:val="005C2D0A"/>
    <w:rsid w:val="005C30F5"/>
    <w:rsid w:val="005C357E"/>
    <w:rsid w:val="005C3604"/>
    <w:rsid w:val="005C42B5"/>
    <w:rsid w:val="005C51A5"/>
    <w:rsid w:val="005C5403"/>
    <w:rsid w:val="005C557A"/>
    <w:rsid w:val="005C5A03"/>
    <w:rsid w:val="005C61DD"/>
    <w:rsid w:val="005C6438"/>
    <w:rsid w:val="005C6B8B"/>
    <w:rsid w:val="005C701A"/>
    <w:rsid w:val="005D02E3"/>
    <w:rsid w:val="005D1E76"/>
    <w:rsid w:val="005D1F34"/>
    <w:rsid w:val="005D2529"/>
    <w:rsid w:val="005D25BF"/>
    <w:rsid w:val="005D2C1F"/>
    <w:rsid w:val="005D328B"/>
    <w:rsid w:val="005D34B2"/>
    <w:rsid w:val="005D3B54"/>
    <w:rsid w:val="005D40CD"/>
    <w:rsid w:val="005D6B59"/>
    <w:rsid w:val="005D7037"/>
    <w:rsid w:val="005E03E4"/>
    <w:rsid w:val="005E0454"/>
    <w:rsid w:val="005E171D"/>
    <w:rsid w:val="005E34C2"/>
    <w:rsid w:val="005E35C6"/>
    <w:rsid w:val="005E3711"/>
    <w:rsid w:val="005E3AF9"/>
    <w:rsid w:val="005E5099"/>
    <w:rsid w:val="005E5B01"/>
    <w:rsid w:val="005E7933"/>
    <w:rsid w:val="005E7E0B"/>
    <w:rsid w:val="005F009E"/>
    <w:rsid w:val="005F080C"/>
    <w:rsid w:val="005F0A88"/>
    <w:rsid w:val="005F0DF1"/>
    <w:rsid w:val="005F1516"/>
    <w:rsid w:val="005F229E"/>
    <w:rsid w:val="005F2564"/>
    <w:rsid w:val="005F3822"/>
    <w:rsid w:val="005F3E0B"/>
    <w:rsid w:val="005F4D16"/>
    <w:rsid w:val="005F4E52"/>
    <w:rsid w:val="005F5967"/>
    <w:rsid w:val="005F77C8"/>
    <w:rsid w:val="0060058E"/>
    <w:rsid w:val="00602A3C"/>
    <w:rsid w:val="00602EA4"/>
    <w:rsid w:val="00603EFD"/>
    <w:rsid w:val="006041DF"/>
    <w:rsid w:val="0060475B"/>
    <w:rsid w:val="00604FB6"/>
    <w:rsid w:val="00604FD6"/>
    <w:rsid w:val="00605387"/>
    <w:rsid w:val="00606302"/>
    <w:rsid w:val="006072EF"/>
    <w:rsid w:val="006076FD"/>
    <w:rsid w:val="00607BA3"/>
    <w:rsid w:val="00610CAA"/>
    <w:rsid w:val="0061143F"/>
    <w:rsid w:val="006114D8"/>
    <w:rsid w:val="00611585"/>
    <w:rsid w:val="00611C19"/>
    <w:rsid w:val="006124E6"/>
    <w:rsid w:val="00612931"/>
    <w:rsid w:val="00613601"/>
    <w:rsid w:val="00613791"/>
    <w:rsid w:val="00613AAB"/>
    <w:rsid w:val="006148C7"/>
    <w:rsid w:val="006150D6"/>
    <w:rsid w:val="006166A3"/>
    <w:rsid w:val="00617EEE"/>
    <w:rsid w:val="006210FE"/>
    <w:rsid w:val="00622811"/>
    <w:rsid w:val="00622894"/>
    <w:rsid w:val="00622BB7"/>
    <w:rsid w:val="00622F3B"/>
    <w:rsid w:val="00623130"/>
    <w:rsid w:val="00623389"/>
    <w:rsid w:val="0062352A"/>
    <w:rsid w:val="00624494"/>
    <w:rsid w:val="00625E45"/>
    <w:rsid w:val="006265C4"/>
    <w:rsid w:val="00627383"/>
    <w:rsid w:val="00627733"/>
    <w:rsid w:val="006301BB"/>
    <w:rsid w:val="00630ABB"/>
    <w:rsid w:val="00632605"/>
    <w:rsid w:val="00633F8D"/>
    <w:rsid w:val="006341EF"/>
    <w:rsid w:val="006344AE"/>
    <w:rsid w:val="00634BED"/>
    <w:rsid w:val="00635A4A"/>
    <w:rsid w:val="00635F1C"/>
    <w:rsid w:val="00635FB9"/>
    <w:rsid w:val="00636765"/>
    <w:rsid w:val="00637774"/>
    <w:rsid w:val="006379D8"/>
    <w:rsid w:val="0064024C"/>
    <w:rsid w:val="00640291"/>
    <w:rsid w:val="00641FAC"/>
    <w:rsid w:val="0064262E"/>
    <w:rsid w:val="00642791"/>
    <w:rsid w:val="006432A5"/>
    <w:rsid w:val="00643664"/>
    <w:rsid w:val="00643CAA"/>
    <w:rsid w:val="0064413D"/>
    <w:rsid w:val="0064448B"/>
    <w:rsid w:val="00652137"/>
    <w:rsid w:val="00652680"/>
    <w:rsid w:val="00652A09"/>
    <w:rsid w:val="006530A1"/>
    <w:rsid w:val="0065371D"/>
    <w:rsid w:val="00653CDE"/>
    <w:rsid w:val="006540B4"/>
    <w:rsid w:val="0065636A"/>
    <w:rsid w:val="00656C3C"/>
    <w:rsid w:val="00657003"/>
    <w:rsid w:val="00657126"/>
    <w:rsid w:val="006572C1"/>
    <w:rsid w:val="00660238"/>
    <w:rsid w:val="006602EF"/>
    <w:rsid w:val="00661277"/>
    <w:rsid w:val="006616FE"/>
    <w:rsid w:val="00661717"/>
    <w:rsid w:val="006619D1"/>
    <w:rsid w:val="006628AD"/>
    <w:rsid w:val="00663FEA"/>
    <w:rsid w:val="00664253"/>
    <w:rsid w:val="00664803"/>
    <w:rsid w:val="006661A4"/>
    <w:rsid w:val="006670E0"/>
    <w:rsid w:val="00667532"/>
    <w:rsid w:val="006701F5"/>
    <w:rsid w:val="006704FD"/>
    <w:rsid w:val="00670F3A"/>
    <w:rsid w:val="006715E6"/>
    <w:rsid w:val="0067294B"/>
    <w:rsid w:val="006735C7"/>
    <w:rsid w:val="00673AA4"/>
    <w:rsid w:val="00674066"/>
    <w:rsid w:val="00674187"/>
    <w:rsid w:val="0067508F"/>
    <w:rsid w:val="00675349"/>
    <w:rsid w:val="00675E7E"/>
    <w:rsid w:val="0068051E"/>
    <w:rsid w:val="00680B9D"/>
    <w:rsid w:val="00681F13"/>
    <w:rsid w:val="0068231C"/>
    <w:rsid w:val="00682344"/>
    <w:rsid w:val="00682E78"/>
    <w:rsid w:val="00682F28"/>
    <w:rsid w:val="00683823"/>
    <w:rsid w:val="00684842"/>
    <w:rsid w:val="00685BD6"/>
    <w:rsid w:val="00686433"/>
    <w:rsid w:val="006878A6"/>
    <w:rsid w:val="00690437"/>
    <w:rsid w:val="00690E65"/>
    <w:rsid w:val="0069188E"/>
    <w:rsid w:val="00691974"/>
    <w:rsid w:val="00691A3F"/>
    <w:rsid w:val="00692CE6"/>
    <w:rsid w:val="00692DA8"/>
    <w:rsid w:val="00693B6C"/>
    <w:rsid w:val="006942AE"/>
    <w:rsid w:val="0069483C"/>
    <w:rsid w:val="00695421"/>
    <w:rsid w:val="00695AE4"/>
    <w:rsid w:val="00696D4B"/>
    <w:rsid w:val="006977A8"/>
    <w:rsid w:val="00697BD3"/>
    <w:rsid w:val="00697DFA"/>
    <w:rsid w:val="006A10F3"/>
    <w:rsid w:val="006A16D5"/>
    <w:rsid w:val="006A1772"/>
    <w:rsid w:val="006A1780"/>
    <w:rsid w:val="006A25A5"/>
    <w:rsid w:val="006A2790"/>
    <w:rsid w:val="006A3CEC"/>
    <w:rsid w:val="006A3F75"/>
    <w:rsid w:val="006A4838"/>
    <w:rsid w:val="006A4FB3"/>
    <w:rsid w:val="006A5A3E"/>
    <w:rsid w:val="006A5BAB"/>
    <w:rsid w:val="006A6CA7"/>
    <w:rsid w:val="006A703E"/>
    <w:rsid w:val="006A7BE3"/>
    <w:rsid w:val="006B01D1"/>
    <w:rsid w:val="006B16EA"/>
    <w:rsid w:val="006B1780"/>
    <w:rsid w:val="006B224E"/>
    <w:rsid w:val="006B2BE7"/>
    <w:rsid w:val="006B362D"/>
    <w:rsid w:val="006B376E"/>
    <w:rsid w:val="006B4589"/>
    <w:rsid w:val="006B5028"/>
    <w:rsid w:val="006B6805"/>
    <w:rsid w:val="006B6BBE"/>
    <w:rsid w:val="006B6DE0"/>
    <w:rsid w:val="006B7D5F"/>
    <w:rsid w:val="006C0FCC"/>
    <w:rsid w:val="006C26A3"/>
    <w:rsid w:val="006C2D83"/>
    <w:rsid w:val="006C32F4"/>
    <w:rsid w:val="006C3382"/>
    <w:rsid w:val="006C3C54"/>
    <w:rsid w:val="006C40F4"/>
    <w:rsid w:val="006C427B"/>
    <w:rsid w:val="006C4F9F"/>
    <w:rsid w:val="006C5019"/>
    <w:rsid w:val="006C5778"/>
    <w:rsid w:val="006C61AB"/>
    <w:rsid w:val="006C650D"/>
    <w:rsid w:val="006C686A"/>
    <w:rsid w:val="006C7479"/>
    <w:rsid w:val="006C748D"/>
    <w:rsid w:val="006D06E6"/>
    <w:rsid w:val="006D0C1D"/>
    <w:rsid w:val="006D0CE1"/>
    <w:rsid w:val="006D2004"/>
    <w:rsid w:val="006D2A8C"/>
    <w:rsid w:val="006D2E9D"/>
    <w:rsid w:val="006D32EB"/>
    <w:rsid w:val="006D33CB"/>
    <w:rsid w:val="006D4C1E"/>
    <w:rsid w:val="006D4C42"/>
    <w:rsid w:val="006D5809"/>
    <w:rsid w:val="006D630A"/>
    <w:rsid w:val="006D668D"/>
    <w:rsid w:val="006D66F0"/>
    <w:rsid w:val="006D7363"/>
    <w:rsid w:val="006D74F2"/>
    <w:rsid w:val="006E04C8"/>
    <w:rsid w:val="006E061F"/>
    <w:rsid w:val="006E0712"/>
    <w:rsid w:val="006E0754"/>
    <w:rsid w:val="006E2668"/>
    <w:rsid w:val="006E2D39"/>
    <w:rsid w:val="006E32B0"/>
    <w:rsid w:val="006E36D8"/>
    <w:rsid w:val="006E396A"/>
    <w:rsid w:val="006E3A73"/>
    <w:rsid w:val="006E5825"/>
    <w:rsid w:val="006E5DD8"/>
    <w:rsid w:val="006E5EA1"/>
    <w:rsid w:val="006E6A4C"/>
    <w:rsid w:val="006E7ABC"/>
    <w:rsid w:val="006F0760"/>
    <w:rsid w:val="006F0FF1"/>
    <w:rsid w:val="006F11E2"/>
    <w:rsid w:val="006F12F5"/>
    <w:rsid w:val="006F2574"/>
    <w:rsid w:val="006F3231"/>
    <w:rsid w:val="006F3582"/>
    <w:rsid w:val="006F3DE3"/>
    <w:rsid w:val="006F4C05"/>
    <w:rsid w:val="006F511F"/>
    <w:rsid w:val="006F61D8"/>
    <w:rsid w:val="006F62B7"/>
    <w:rsid w:val="006F70BC"/>
    <w:rsid w:val="006F713A"/>
    <w:rsid w:val="006F76BF"/>
    <w:rsid w:val="006F7C48"/>
    <w:rsid w:val="0070046C"/>
    <w:rsid w:val="00703A92"/>
    <w:rsid w:val="00705161"/>
    <w:rsid w:val="007066A4"/>
    <w:rsid w:val="00706F37"/>
    <w:rsid w:val="00707D09"/>
    <w:rsid w:val="00710760"/>
    <w:rsid w:val="0071209F"/>
    <w:rsid w:val="007125A2"/>
    <w:rsid w:val="00713F79"/>
    <w:rsid w:val="007148A8"/>
    <w:rsid w:val="00715A9B"/>
    <w:rsid w:val="00716125"/>
    <w:rsid w:val="00716C9F"/>
    <w:rsid w:val="007171E0"/>
    <w:rsid w:val="0071740B"/>
    <w:rsid w:val="00717C40"/>
    <w:rsid w:val="0072033C"/>
    <w:rsid w:val="00720B1B"/>
    <w:rsid w:val="00721062"/>
    <w:rsid w:val="00721A4E"/>
    <w:rsid w:val="00721E5D"/>
    <w:rsid w:val="007229D4"/>
    <w:rsid w:val="007230F8"/>
    <w:rsid w:val="007233F4"/>
    <w:rsid w:val="00723646"/>
    <w:rsid w:val="00724044"/>
    <w:rsid w:val="007244E1"/>
    <w:rsid w:val="007248D3"/>
    <w:rsid w:val="00725137"/>
    <w:rsid w:val="00725C63"/>
    <w:rsid w:val="007263ED"/>
    <w:rsid w:val="0072653B"/>
    <w:rsid w:val="00726C9E"/>
    <w:rsid w:val="00727A43"/>
    <w:rsid w:val="00727FF2"/>
    <w:rsid w:val="007323E0"/>
    <w:rsid w:val="007324ED"/>
    <w:rsid w:val="00733697"/>
    <w:rsid w:val="00733791"/>
    <w:rsid w:val="00733857"/>
    <w:rsid w:val="00733DE2"/>
    <w:rsid w:val="00734328"/>
    <w:rsid w:val="007346E7"/>
    <w:rsid w:val="007352EA"/>
    <w:rsid w:val="00736032"/>
    <w:rsid w:val="007364E5"/>
    <w:rsid w:val="0073792F"/>
    <w:rsid w:val="00737C48"/>
    <w:rsid w:val="007409CA"/>
    <w:rsid w:val="00740DA6"/>
    <w:rsid w:val="00741A0E"/>
    <w:rsid w:val="00741D1E"/>
    <w:rsid w:val="00741EE2"/>
    <w:rsid w:val="00742367"/>
    <w:rsid w:val="00742EAA"/>
    <w:rsid w:val="00743818"/>
    <w:rsid w:val="007439E2"/>
    <w:rsid w:val="00743E9C"/>
    <w:rsid w:val="007441FB"/>
    <w:rsid w:val="00744517"/>
    <w:rsid w:val="00744810"/>
    <w:rsid w:val="007461E7"/>
    <w:rsid w:val="00747079"/>
    <w:rsid w:val="00747DD4"/>
    <w:rsid w:val="00747DE2"/>
    <w:rsid w:val="007504BF"/>
    <w:rsid w:val="007506CD"/>
    <w:rsid w:val="007525DB"/>
    <w:rsid w:val="0075267F"/>
    <w:rsid w:val="007526EC"/>
    <w:rsid w:val="0075310C"/>
    <w:rsid w:val="00753347"/>
    <w:rsid w:val="00753C48"/>
    <w:rsid w:val="007545C1"/>
    <w:rsid w:val="0075484A"/>
    <w:rsid w:val="00754C97"/>
    <w:rsid w:val="00754FE4"/>
    <w:rsid w:val="00755538"/>
    <w:rsid w:val="00755971"/>
    <w:rsid w:val="00756236"/>
    <w:rsid w:val="00756271"/>
    <w:rsid w:val="00756521"/>
    <w:rsid w:val="00756AB7"/>
    <w:rsid w:val="0075745C"/>
    <w:rsid w:val="00760477"/>
    <w:rsid w:val="007615CE"/>
    <w:rsid w:val="00761AF4"/>
    <w:rsid w:val="00762071"/>
    <w:rsid w:val="007623FB"/>
    <w:rsid w:val="0076376A"/>
    <w:rsid w:val="0076500F"/>
    <w:rsid w:val="0076504E"/>
    <w:rsid w:val="00765D24"/>
    <w:rsid w:val="00765E6A"/>
    <w:rsid w:val="007664E0"/>
    <w:rsid w:val="00767EA0"/>
    <w:rsid w:val="0077068F"/>
    <w:rsid w:val="007711EA"/>
    <w:rsid w:val="00771870"/>
    <w:rsid w:val="0077302B"/>
    <w:rsid w:val="0077408D"/>
    <w:rsid w:val="007741CF"/>
    <w:rsid w:val="00774270"/>
    <w:rsid w:val="00775679"/>
    <w:rsid w:val="00775803"/>
    <w:rsid w:val="007761F1"/>
    <w:rsid w:val="00777B32"/>
    <w:rsid w:val="0078051E"/>
    <w:rsid w:val="00781FDD"/>
    <w:rsid w:val="00782A9F"/>
    <w:rsid w:val="0078508A"/>
    <w:rsid w:val="00785A63"/>
    <w:rsid w:val="00786D5C"/>
    <w:rsid w:val="00786E96"/>
    <w:rsid w:val="00787F93"/>
    <w:rsid w:val="00790684"/>
    <w:rsid w:val="007907CA"/>
    <w:rsid w:val="00791170"/>
    <w:rsid w:val="00791E6D"/>
    <w:rsid w:val="007928DC"/>
    <w:rsid w:val="00792CB3"/>
    <w:rsid w:val="00792E53"/>
    <w:rsid w:val="007933DF"/>
    <w:rsid w:val="00793807"/>
    <w:rsid w:val="0079384D"/>
    <w:rsid w:val="007939CC"/>
    <w:rsid w:val="0079469C"/>
    <w:rsid w:val="00796BA1"/>
    <w:rsid w:val="00796FB8"/>
    <w:rsid w:val="007A11C2"/>
    <w:rsid w:val="007A2367"/>
    <w:rsid w:val="007A41BF"/>
    <w:rsid w:val="007A490A"/>
    <w:rsid w:val="007A581D"/>
    <w:rsid w:val="007A7B95"/>
    <w:rsid w:val="007B0297"/>
    <w:rsid w:val="007B0F53"/>
    <w:rsid w:val="007B1DD8"/>
    <w:rsid w:val="007B21AE"/>
    <w:rsid w:val="007B2570"/>
    <w:rsid w:val="007B2C31"/>
    <w:rsid w:val="007B3113"/>
    <w:rsid w:val="007B3304"/>
    <w:rsid w:val="007B332B"/>
    <w:rsid w:val="007B394D"/>
    <w:rsid w:val="007B53FA"/>
    <w:rsid w:val="007B6423"/>
    <w:rsid w:val="007B7490"/>
    <w:rsid w:val="007B774A"/>
    <w:rsid w:val="007C0525"/>
    <w:rsid w:val="007C0B56"/>
    <w:rsid w:val="007C13F7"/>
    <w:rsid w:val="007C218D"/>
    <w:rsid w:val="007C2D28"/>
    <w:rsid w:val="007C3E22"/>
    <w:rsid w:val="007C67C6"/>
    <w:rsid w:val="007C707A"/>
    <w:rsid w:val="007C7E59"/>
    <w:rsid w:val="007D03FA"/>
    <w:rsid w:val="007D0A39"/>
    <w:rsid w:val="007D0B91"/>
    <w:rsid w:val="007D1452"/>
    <w:rsid w:val="007D1E29"/>
    <w:rsid w:val="007D460C"/>
    <w:rsid w:val="007D484A"/>
    <w:rsid w:val="007D4AD3"/>
    <w:rsid w:val="007D4C8D"/>
    <w:rsid w:val="007D5D19"/>
    <w:rsid w:val="007D5FDC"/>
    <w:rsid w:val="007D61FF"/>
    <w:rsid w:val="007D6D68"/>
    <w:rsid w:val="007E01DA"/>
    <w:rsid w:val="007E0ADB"/>
    <w:rsid w:val="007E1603"/>
    <w:rsid w:val="007E2E85"/>
    <w:rsid w:val="007E32DA"/>
    <w:rsid w:val="007E3896"/>
    <w:rsid w:val="007E3FFB"/>
    <w:rsid w:val="007E4998"/>
    <w:rsid w:val="007E4A9C"/>
    <w:rsid w:val="007E4B2B"/>
    <w:rsid w:val="007E6914"/>
    <w:rsid w:val="007E7F78"/>
    <w:rsid w:val="007F0C8B"/>
    <w:rsid w:val="007F1517"/>
    <w:rsid w:val="007F1D44"/>
    <w:rsid w:val="007F23A5"/>
    <w:rsid w:val="007F2C13"/>
    <w:rsid w:val="007F2CEC"/>
    <w:rsid w:val="007F4949"/>
    <w:rsid w:val="007F55DE"/>
    <w:rsid w:val="007F5605"/>
    <w:rsid w:val="007F6147"/>
    <w:rsid w:val="007F78FF"/>
    <w:rsid w:val="00800F6C"/>
    <w:rsid w:val="0080224A"/>
    <w:rsid w:val="008025BE"/>
    <w:rsid w:val="0080381C"/>
    <w:rsid w:val="00804C86"/>
    <w:rsid w:val="008051FC"/>
    <w:rsid w:val="008055A9"/>
    <w:rsid w:val="008070EB"/>
    <w:rsid w:val="00807376"/>
    <w:rsid w:val="008077B1"/>
    <w:rsid w:val="00810ABE"/>
    <w:rsid w:val="00810B0E"/>
    <w:rsid w:val="00810B14"/>
    <w:rsid w:val="00810E8E"/>
    <w:rsid w:val="0081142D"/>
    <w:rsid w:val="00812462"/>
    <w:rsid w:val="008126E2"/>
    <w:rsid w:val="008133A5"/>
    <w:rsid w:val="0081453A"/>
    <w:rsid w:val="0081481D"/>
    <w:rsid w:val="00814BE8"/>
    <w:rsid w:val="00814F6E"/>
    <w:rsid w:val="0081565F"/>
    <w:rsid w:val="00815B84"/>
    <w:rsid w:val="00821A3D"/>
    <w:rsid w:val="00821B06"/>
    <w:rsid w:val="00821F56"/>
    <w:rsid w:val="00822037"/>
    <w:rsid w:val="00822634"/>
    <w:rsid w:val="00823FC6"/>
    <w:rsid w:val="00823FFC"/>
    <w:rsid w:val="00824811"/>
    <w:rsid w:val="00825C74"/>
    <w:rsid w:val="00826AB9"/>
    <w:rsid w:val="00826E0E"/>
    <w:rsid w:val="0082731F"/>
    <w:rsid w:val="00827D11"/>
    <w:rsid w:val="00827E0F"/>
    <w:rsid w:val="00827F6E"/>
    <w:rsid w:val="00831758"/>
    <w:rsid w:val="00831977"/>
    <w:rsid w:val="0083279F"/>
    <w:rsid w:val="00833B7F"/>
    <w:rsid w:val="00834906"/>
    <w:rsid w:val="00835A99"/>
    <w:rsid w:val="00836075"/>
    <w:rsid w:val="00836417"/>
    <w:rsid w:val="008377F7"/>
    <w:rsid w:val="008411F9"/>
    <w:rsid w:val="008413AB"/>
    <w:rsid w:val="00842D10"/>
    <w:rsid w:val="0084322B"/>
    <w:rsid w:val="00843B93"/>
    <w:rsid w:val="00843C08"/>
    <w:rsid w:val="00843F81"/>
    <w:rsid w:val="00844087"/>
    <w:rsid w:val="0084519E"/>
    <w:rsid w:val="00846370"/>
    <w:rsid w:val="00847C2B"/>
    <w:rsid w:val="00851256"/>
    <w:rsid w:val="00851A7C"/>
    <w:rsid w:val="00852438"/>
    <w:rsid w:val="0085270D"/>
    <w:rsid w:val="008532BF"/>
    <w:rsid w:val="00853BF4"/>
    <w:rsid w:val="00854294"/>
    <w:rsid w:val="008555FB"/>
    <w:rsid w:val="0085788B"/>
    <w:rsid w:val="00857941"/>
    <w:rsid w:val="00857A9E"/>
    <w:rsid w:val="00857DE2"/>
    <w:rsid w:val="00863E7D"/>
    <w:rsid w:val="0086407F"/>
    <w:rsid w:val="00864548"/>
    <w:rsid w:val="00864D9C"/>
    <w:rsid w:val="00864E79"/>
    <w:rsid w:val="00866111"/>
    <w:rsid w:val="0086661F"/>
    <w:rsid w:val="00866A0D"/>
    <w:rsid w:val="00866DB5"/>
    <w:rsid w:val="0086784E"/>
    <w:rsid w:val="00867AF1"/>
    <w:rsid w:val="00870EE1"/>
    <w:rsid w:val="008720B3"/>
    <w:rsid w:val="00872118"/>
    <w:rsid w:val="008727CE"/>
    <w:rsid w:val="00872827"/>
    <w:rsid w:val="00872A32"/>
    <w:rsid w:val="00874ECA"/>
    <w:rsid w:val="00875D0E"/>
    <w:rsid w:val="00876EAE"/>
    <w:rsid w:val="00880F95"/>
    <w:rsid w:val="00881F68"/>
    <w:rsid w:val="00882B44"/>
    <w:rsid w:val="00882FE5"/>
    <w:rsid w:val="008843E8"/>
    <w:rsid w:val="00886138"/>
    <w:rsid w:val="00886E66"/>
    <w:rsid w:val="008871B0"/>
    <w:rsid w:val="0089019E"/>
    <w:rsid w:val="008912F5"/>
    <w:rsid w:val="008915A7"/>
    <w:rsid w:val="008918EB"/>
    <w:rsid w:val="0089217C"/>
    <w:rsid w:val="008928A1"/>
    <w:rsid w:val="00893671"/>
    <w:rsid w:val="00895838"/>
    <w:rsid w:val="00895A72"/>
    <w:rsid w:val="00895CDF"/>
    <w:rsid w:val="008968C7"/>
    <w:rsid w:val="00896AFD"/>
    <w:rsid w:val="00897A55"/>
    <w:rsid w:val="008A0154"/>
    <w:rsid w:val="008A0FC9"/>
    <w:rsid w:val="008A1956"/>
    <w:rsid w:val="008A40D3"/>
    <w:rsid w:val="008A469C"/>
    <w:rsid w:val="008A484A"/>
    <w:rsid w:val="008A5877"/>
    <w:rsid w:val="008A6539"/>
    <w:rsid w:val="008A701C"/>
    <w:rsid w:val="008B05DD"/>
    <w:rsid w:val="008B17E8"/>
    <w:rsid w:val="008B266C"/>
    <w:rsid w:val="008B2D03"/>
    <w:rsid w:val="008B2E7C"/>
    <w:rsid w:val="008B42AB"/>
    <w:rsid w:val="008B45A7"/>
    <w:rsid w:val="008B4A70"/>
    <w:rsid w:val="008B502F"/>
    <w:rsid w:val="008B5142"/>
    <w:rsid w:val="008B67CB"/>
    <w:rsid w:val="008B6A63"/>
    <w:rsid w:val="008B6AFE"/>
    <w:rsid w:val="008B6B83"/>
    <w:rsid w:val="008B7034"/>
    <w:rsid w:val="008B7227"/>
    <w:rsid w:val="008C03DD"/>
    <w:rsid w:val="008C191C"/>
    <w:rsid w:val="008C1DA4"/>
    <w:rsid w:val="008C2CD5"/>
    <w:rsid w:val="008C2E29"/>
    <w:rsid w:val="008C32B7"/>
    <w:rsid w:val="008C360C"/>
    <w:rsid w:val="008C3618"/>
    <w:rsid w:val="008C3F20"/>
    <w:rsid w:val="008C42F6"/>
    <w:rsid w:val="008C43AD"/>
    <w:rsid w:val="008C4B6C"/>
    <w:rsid w:val="008C59FB"/>
    <w:rsid w:val="008C619E"/>
    <w:rsid w:val="008C6687"/>
    <w:rsid w:val="008C68F0"/>
    <w:rsid w:val="008C6F92"/>
    <w:rsid w:val="008C731F"/>
    <w:rsid w:val="008C74D9"/>
    <w:rsid w:val="008C79C3"/>
    <w:rsid w:val="008C7A47"/>
    <w:rsid w:val="008D0170"/>
    <w:rsid w:val="008D05C3"/>
    <w:rsid w:val="008D1052"/>
    <w:rsid w:val="008D124C"/>
    <w:rsid w:val="008D1983"/>
    <w:rsid w:val="008D1BB3"/>
    <w:rsid w:val="008D1C32"/>
    <w:rsid w:val="008D22AE"/>
    <w:rsid w:val="008D234A"/>
    <w:rsid w:val="008D238C"/>
    <w:rsid w:val="008D566C"/>
    <w:rsid w:val="008D58D9"/>
    <w:rsid w:val="008D64F5"/>
    <w:rsid w:val="008D66EA"/>
    <w:rsid w:val="008D6E59"/>
    <w:rsid w:val="008D6F92"/>
    <w:rsid w:val="008D7155"/>
    <w:rsid w:val="008D7DE4"/>
    <w:rsid w:val="008E09B3"/>
    <w:rsid w:val="008E141A"/>
    <w:rsid w:val="008E1A44"/>
    <w:rsid w:val="008E28E6"/>
    <w:rsid w:val="008E2B60"/>
    <w:rsid w:val="008E3232"/>
    <w:rsid w:val="008E3674"/>
    <w:rsid w:val="008E3B6C"/>
    <w:rsid w:val="008E41A8"/>
    <w:rsid w:val="008E688C"/>
    <w:rsid w:val="008E68BB"/>
    <w:rsid w:val="008E6C9B"/>
    <w:rsid w:val="008E77D4"/>
    <w:rsid w:val="008F0981"/>
    <w:rsid w:val="008F0AFD"/>
    <w:rsid w:val="008F1287"/>
    <w:rsid w:val="008F17B2"/>
    <w:rsid w:val="008F28EE"/>
    <w:rsid w:val="008F357B"/>
    <w:rsid w:val="008F44CA"/>
    <w:rsid w:val="008F49B9"/>
    <w:rsid w:val="008F49D3"/>
    <w:rsid w:val="008F5081"/>
    <w:rsid w:val="008F6519"/>
    <w:rsid w:val="008F68DC"/>
    <w:rsid w:val="008F7012"/>
    <w:rsid w:val="008F7B17"/>
    <w:rsid w:val="00900042"/>
    <w:rsid w:val="0090034B"/>
    <w:rsid w:val="00902623"/>
    <w:rsid w:val="00902890"/>
    <w:rsid w:val="00904778"/>
    <w:rsid w:val="00904BE4"/>
    <w:rsid w:val="0090504A"/>
    <w:rsid w:val="00905D7E"/>
    <w:rsid w:val="009063B7"/>
    <w:rsid w:val="00907037"/>
    <w:rsid w:val="009102BE"/>
    <w:rsid w:val="0091160A"/>
    <w:rsid w:val="00912838"/>
    <w:rsid w:val="00913258"/>
    <w:rsid w:val="00913883"/>
    <w:rsid w:val="0091564D"/>
    <w:rsid w:val="009156DA"/>
    <w:rsid w:val="00916BC5"/>
    <w:rsid w:val="0091726A"/>
    <w:rsid w:val="00920184"/>
    <w:rsid w:val="00920EA4"/>
    <w:rsid w:val="00921792"/>
    <w:rsid w:val="00921BEA"/>
    <w:rsid w:val="00922DB0"/>
    <w:rsid w:val="00923998"/>
    <w:rsid w:val="00923DB4"/>
    <w:rsid w:val="0092430E"/>
    <w:rsid w:val="00924A4B"/>
    <w:rsid w:val="0092625F"/>
    <w:rsid w:val="009268A9"/>
    <w:rsid w:val="00927B37"/>
    <w:rsid w:val="009301B2"/>
    <w:rsid w:val="0093065F"/>
    <w:rsid w:val="00931215"/>
    <w:rsid w:val="009313DD"/>
    <w:rsid w:val="00931BDE"/>
    <w:rsid w:val="009321B1"/>
    <w:rsid w:val="00932ED7"/>
    <w:rsid w:val="0093357E"/>
    <w:rsid w:val="0093422D"/>
    <w:rsid w:val="00934DD7"/>
    <w:rsid w:val="009369A9"/>
    <w:rsid w:val="00936CF7"/>
    <w:rsid w:val="00937201"/>
    <w:rsid w:val="0093734A"/>
    <w:rsid w:val="00937783"/>
    <w:rsid w:val="009377C3"/>
    <w:rsid w:val="00937D89"/>
    <w:rsid w:val="00940515"/>
    <w:rsid w:val="0094059D"/>
    <w:rsid w:val="009409B4"/>
    <w:rsid w:val="00940FE1"/>
    <w:rsid w:val="009422CD"/>
    <w:rsid w:val="00942306"/>
    <w:rsid w:val="009424B8"/>
    <w:rsid w:val="0094307B"/>
    <w:rsid w:val="009433A4"/>
    <w:rsid w:val="0094435B"/>
    <w:rsid w:val="00944668"/>
    <w:rsid w:val="00944DC6"/>
    <w:rsid w:val="0094537D"/>
    <w:rsid w:val="0094573F"/>
    <w:rsid w:val="0094574E"/>
    <w:rsid w:val="009458B0"/>
    <w:rsid w:val="00945B52"/>
    <w:rsid w:val="00945DC0"/>
    <w:rsid w:val="00945F05"/>
    <w:rsid w:val="00946348"/>
    <w:rsid w:val="009471AD"/>
    <w:rsid w:val="00947233"/>
    <w:rsid w:val="009478A2"/>
    <w:rsid w:val="0095053B"/>
    <w:rsid w:val="0095074A"/>
    <w:rsid w:val="009512AB"/>
    <w:rsid w:val="00952DE9"/>
    <w:rsid w:val="00954759"/>
    <w:rsid w:val="00955643"/>
    <w:rsid w:val="00955FBB"/>
    <w:rsid w:val="0095694B"/>
    <w:rsid w:val="00956BD5"/>
    <w:rsid w:val="009574BB"/>
    <w:rsid w:val="009577B5"/>
    <w:rsid w:val="009608E6"/>
    <w:rsid w:val="009609E4"/>
    <w:rsid w:val="00961779"/>
    <w:rsid w:val="00962D00"/>
    <w:rsid w:val="00962EB1"/>
    <w:rsid w:val="0096612A"/>
    <w:rsid w:val="00966522"/>
    <w:rsid w:val="00967D3F"/>
    <w:rsid w:val="00967E78"/>
    <w:rsid w:val="00970D7E"/>
    <w:rsid w:val="00970F18"/>
    <w:rsid w:val="00971CF1"/>
    <w:rsid w:val="009721E9"/>
    <w:rsid w:val="00972A58"/>
    <w:rsid w:val="00972B20"/>
    <w:rsid w:val="00973772"/>
    <w:rsid w:val="0097451E"/>
    <w:rsid w:val="00975598"/>
    <w:rsid w:val="00975E1E"/>
    <w:rsid w:val="00975E70"/>
    <w:rsid w:val="00977B8F"/>
    <w:rsid w:val="00977CD6"/>
    <w:rsid w:val="00980162"/>
    <w:rsid w:val="00981D18"/>
    <w:rsid w:val="00982481"/>
    <w:rsid w:val="00982A62"/>
    <w:rsid w:val="00982C63"/>
    <w:rsid w:val="00982D26"/>
    <w:rsid w:val="0098330E"/>
    <w:rsid w:val="009849E9"/>
    <w:rsid w:val="00987812"/>
    <w:rsid w:val="00990225"/>
    <w:rsid w:val="00990DF5"/>
    <w:rsid w:val="00991622"/>
    <w:rsid w:val="0099244B"/>
    <w:rsid w:val="00992B9E"/>
    <w:rsid w:val="009947B6"/>
    <w:rsid w:val="00994AD2"/>
    <w:rsid w:val="00995150"/>
    <w:rsid w:val="009957F3"/>
    <w:rsid w:val="00995D67"/>
    <w:rsid w:val="00995E79"/>
    <w:rsid w:val="009970BF"/>
    <w:rsid w:val="009A013B"/>
    <w:rsid w:val="009A02F4"/>
    <w:rsid w:val="009A1F12"/>
    <w:rsid w:val="009A2494"/>
    <w:rsid w:val="009A26CA"/>
    <w:rsid w:val="009A36F2"/>
    <w:rsid w:val="009A47CC"/>
    <w:rsid w:val="009A5749"/>
    <w:rsid w:val="009A57D0"/>
    <w:rsid w:val="009A622D"/>
    <w:rsid w:val="009A6559"/>
    <w:rsid w:val="009A68FC"/>
    <w:rsid w:val="009A7514"/>
    <w:rsid w:val="009A7E7A"/>
    <w:rsid w:val="009B1584"/>
    <w:rsid w:val="009B1D26"/>
    <w:rsid w:val="009B2469"/>
    <w:rsid w:val="009B303D"/>
    <w:rsid w:val="009B314F"/>
    <w:rsid w:val="009B439C"/>
    <w:rsid w:val="009B4A6C"/>
    <w:rsid w:val="009B5777"/>
    <w:rsid w:val="009B5779"/>
    <w:rsid w:val="009B6753"/>
    <w:rsid w:val="009B6A26"/>
    <w:rsid w:val="009C079D"/>
    <w:rsid w:val="009C0D70"/>
    <w:rsid w:val="009C13D1"/>
    <w:rsid w:val="009C2913"/>
    <w:rsid w:val="009C3008"/>
    <w:rsid w:val="009C365F"/>
    <w:rsid w:val="009C592E"/>
    <w:rsid w:val="009C5AFE"/>
    <w:rsid w:val="009C6606"/>
    <w:rsid w:val="009C6CE5"/>
    <w:rsid w:val="009C6D50"/>
    <w:rsid w:val="009C72B6"/>
    <w:rsid w:val="009C7547"/>
    <w:rsid w:val="009D1678"/>
    <w:rsid w:val="009D1693"/>
    <w:rsid w:val="009D1C49"/>
    <w:rsid w:val="009D2721"/>
    <w:rsid w:val="009D2F60"/>
    <w:rsid w:val="009D3299"/>
    <w:rsid w:val="009D338C"/>
    <w:rsid w:val="009D3D0D"/>
    <w:rsid w:val="009D4944"/>
    <w:rsid w:val="009D5BAC"/>
    <w:rsid w:val="009D5CA0"/>
    <w:rsid w:val="009D64BD"/>
    <w:rsid w:val="009D7B2F"/>
    <w:rsid w:val="009D7B6C"/>
    <w:rsid w:val="009D7F83"/>
    <w:rsid w:val="009E0D0A"/>
    <w:rsid w:val="009E0D1A"/>
    <w:rsid w:val="009E153F"/>
    <w:rsid w:val="009E2D6C"/>
    <w:rsid w:val="009E388B"/>
    <w:rsid w:val="009E393E"/>
    <w:rsid w:val="009E444E"/>
    <w:rsid w:val="009E45AF"/>
    <w:rsid w:val="009E4968"/>
    <w:rsid w:val="009E52F1"/>
    <w:rsid w:val="009E663C"/>
    <w:rsid w:val="009E6BB1"/>
    <w:rsid w:val="009E6FB3"/>
    <w:rsid w:val="009F0092"/>
    <w:rsid w:val="009F0CD9"/>
    <w:rsid w:val="009F1A79"/>
    <w:rsid w:val="009F1F57"/>
    <w:rsid w:val="009F2E26"/>
    <w:rsid w:val="009F4FCF"/>
    <w:rsid w:val="009F5DE2"/>
    <w:rsid w:val="009F65F4"/>
    <w:rsid w:val="009F676B"/>
    <w:rsid w:val="009F74FE"/>
    <w:rsid w:val="00A004DF"/>
    <w:rsid w:val="00A00D29"/>
    <w:rsid w:val="00A00FD5"/>
    <w:rsid w:val="00A019A8"/>
    <w:rsid w:val="00A01B03"/>
    <w:rsid w:val="00A02C66"/>
    <w:rsid w:val="00A03861"/>
    <w:rsid w:val="00A0464C"/>
    <w:rsid w:val="00A047AB"/>
    <w:rsid w:val="00A054E0"/>
    <w:rsid w:val="00A0663F"/>
    <w:rsid w:val="00A066CE"/>
    <w:rsid w:val="00A0740B"/>
    <w:rsid w:val="00A07427"/>
    <w:rsid w:val="00A075A9"/>
    <w:rsid w:val="00A077E2"/>
    <w:rsid w:val="00A1080F"/>
    <w:rsid w:val="00A11042"/>
    <w:rsid w:val="00A133D8"/>
    <w:rsid w:val="00A14E97"/>
    <w:rsid w:val="00A17A9D"/>
    <w:rsid w:val="00A20069"/>
    <w:rsid w:val="00A20280"/>
    <w:rsid w:val="00A2079E"/>
    <w:rsid w:val="00A2163F"/>
    <w:rsid w:val="00A2244D"/>
    <w:rsid w:val="00A22451"/>
    <w:rsid w:val="00A2253D"/>
    <w:rsid w:val="00A22AEC"/>
    <w:rsid w:val="00A2418A"/>
    <w:rsid w:val="00A247B8"/>
    <w:rsid w:val="00A24D39"/>
    <w:rsid w:val="00A24D8F"/>
    <w:rsid w:val="00A25B8B"/>
    <w:rsid w:val="00A269C3"/>
    <w:rsid w:val="00A26ECA"/>
    <w:rsid w:val="00A27374"/>
    <w:rsid w:val="00A309F1"/>
    <w:rsid w:val="00A30F68"/>
    <w:rsid w:val="00A317A5"/>
    <w:rsid w:val="00A324C1"/>
    <w:rsid w:val="00A337DB"/>
    <w:rsid w:val="00A3467F"/>
    <w:rsid w:val="00A34D34"/>
    <w:rsid w:val="00A3551A"/>
    <w:rsid w:val="00A373F4"/>
    <w:rsid w:val="00A376E8"/>
    <w:rsid w:val="00A37E69"/>
    <w:rsid w:val="00A37F8E"/>
    <w:rsid w:val="00A40979"/>
    <w:rsid w:val="00A41737"/>
    <w:rsid w:val="00A42B8F"/>
    <w:rsid w:val="00A43254"/>
    <w:rsid w:val="00A43896"/>
    <w:rsid w:val="00A43A26"/>
    <w:rsid w:val="00A447A0"/>
    <w:rsid w:val="00A457B2"/>
    <w:rsid w:val="00A459F5"/>
    <w:rsid w:val="00A45FC0"/>
    <w:rsid w:val="00A46B32"/>
    <w:rsid w:val="00A46EB8"/>
    <w:rsid w:val="00A478D2"/>
    <w:rsid w:val="00A47ECC"/>
    <w:rsid w:val="00A5008C"/>
    <w:rsid w:val="00A50171"/>
    <w:rsid w:val="00A5102E"/>
    <w:rsid w:val="00A51083"/>
    <w:rsid w:val="00A5132E"/>
    <w:rsid w:val="00A51533"/>
    <w:rsid w:val="00A51A4D"/>
    <w:rsid w:val="00A51E68"/>
    <w:rsid w:val="00A52F3B"/>
    <w:rsid w:val="00A531D4"/>
    <w:rsid w:val="00A538DF"/>
    <w:rsid w:val="00A55ACD"/>
    <w:rsid w:val="00A55CFA"/>
    <w:rsid w:val="00A5613B"/>
    <w:rsid w:val="00A573C3"/>
    <w:rsid w:val="00A575B8"/>
    <w:rsid w:val="00A647B1"/>
    <w:rsid w:val="00A64DEF"/>
    <w:rsid w:val="00A64F9E"/>
    <w:rsid w:val="00A657E1"/>
    <w:rsid w:val="00A65E4E"/>
    <w:rsid w:val="00A665DF"/>
    <w:rsid w:val="00A67F1B"/>
    <w:rsid w:val="00A67FCC"/>
    <w:rsid w:val="00A709F3"/>
    <w:rsid w:val="00A716DC"/>
    <w:rsid w:val="00A720AF"/>
    <w:rsid w:val="00A7217B"/>
    <w:rsid w:val="00A7293E"/>
    <w:rsid w:val="00A72EE4"/>
    <w:rsid w:val="00A73067"/>
    <w:rsid w:val="00A7363B"/>
    <w:rsid w:val="00A737C4"/>
    <w:rsid w:val="00A739A6"/>
    <w:rsid w:val="00A73C3B"/>
    <w:rsid w:val="00A75EF9"/>
    <w:rsid w:val="00A7627C"/>
    <w:rsid w:val="00A76BC9"/>
    <w:rsid w:val="00A77566"/>
    <w:rsid w:val="00A77956"/>
    <w:rsid w:val="00A80563"/>
    <w:rsid w:val="00A8311C"/>
    <w:rsid w:val="00A84BC8"/>
    <w:rsid w:val="00A84C5F"/>
    <w:rsid w:val="00A85D91"/>
    <w:rsid w:val="00A86973"/>
    <w:rsid w:val="00A8721F"/>
    <w:rsid w:val="00A8740B"/>
    <w:rsid w:val="00A87519"/>
    <w:rsid w:val="00A905A2"/>
    <w:rsid w:val="00A9246D"/>
    <w:rsid w:val="00A93644"/>
    <w:rsid w:val="00A93747"/>
    <w:rsid w:val="00A93BD0"/>
    <w:rsid w:val="00A944A1"/>
    <w:rsid w:val="00A95D69"/>
    <w:rsid w:val="00A96243"/>
    <w:rsid w:val="00A97122"/>
    <w:rsid w:val="00A975A4"/>
    <w:rsid w:val="00A977B3"/>
    <w:rsid w:val="00A97DC8"/>
    <w:rsid w:val="00AA1418"/>
    <w:rsid w:val="00AA2001"/>
    <w:rsid w:val="00AA2B5C"/>
    <w:rsid w:val="00AA4E59"/>
    <w:rsid w:val="00AA5328"/>
    <w:rsid w:val="00AA5393"/>
    <w:rsid w:val="00AA63D4"/>
    <w:rsid w:val="00AA6767"/>
    <w:rsid w:val="00AA790B"/>
    <w:rsid w:val="00AB03FD"/>
    <w:rsid w:val="00AB1412"/>
    <w:rsid w:val="00AB38CB"/>
    <w:rsid w:val="00AB3BEC"/>
    <w:rsid w:val="00AB44E4"/>
    <w:rsid w:val="00AB4AEB"/>
    <w:rsid w:val="00AB5352"/>
    <w:rsid w:val="00AB56AE"/>
    <w:rsid w:val="00AB62D5"/>
    <w:rsid w:val="00AB65B5"/>
    <w:rsid w:val="00AB6DCD"/>
    <w:rsid w:val="00AB6EE0"/>
    <w:rsid w:val="00AB7579"/>
    <w:rsid w:val="00AC2DFD"/>
    <w:rsid w:val="00AC352D"/>
    <w:rsid w:val="00AC40B7"/>
    <w:rsid w:val="00AC5122"/>
    <w:rsid w:val="00AC531F"/>
    <w:rsid w:val="00AC6121"/>
    <w:rsid w:val="00AC626D"/>
    <w:rsid w:val="00AC64BF"/>
    <w:rsid w:val="00AC6CB1"/>
    <w:rsid w:val="00AC79DA"/>
    <w:rsid w:val="00AD0091"/>
    <w:rsid w:val="00AD0843"/>
    <w:rsid w:val="00AD23D8"/>
    <w:rsid w:val="00AD23EF"/>
    <w:rsid w:val="00AD2F0F"/>
    <w:rsid w:val="00AD307B"/>
    <w:rsid w:val="00AD31F9"/>
    <w:rsid w:val="00AD41B3"/>
    <w:rsid w:val="00AD456B"/>
    <w:rsid w:val="00AD4B31"/>
    <w:rsid w:val="00AD4C48"/>
    <w:rsid w:val="00AD57AF"/>
    <w:rsid w:val="00AD6267"/>
    <w:rsid w:val="00AD6292"/>
    <w:rsid w:val="00AD7317"/>
    <w:rsid w:val="00AD754C"/>
    <w:rsid w:val="00AE01A8"/>
    <w:rsid w:val="00AE069F"/>
    <w:rsid w:val="00AE0789"/>
    <w:rsid w:val="00AE0CBD"/>
    <w:rsid w:val="00AE123A"/>
    <w:rsid w:val="00AE1A1E"/>
    <w:rsid w:val="00AE2591"/>
    <w:rsid w:val="00AE28A7"/>
    <w:rsid w:val="00AE33A6"/>
    <w:rsid w:val="00AE36D5"/>
    <w:rsid w:val="00AE3715"/>
    <w:rsid w:val="00AE3729"/>
    <w:rsid w:val="00AE55B2"/>
    <w:rsid w:val="00AE5C6A"/>
    <w:rsid w:val="00AE65F7"/>
    <w:rsid w:val="00AE7280"/>
    <w:rsid w:val="00AF033A"/>
    <w:rsid w:val="00AF15E2"/>
    <w:rsid w:val="00AF1699"/>
    <w:rsid w:val="00AF3896"/>
    <w:rsid w:val="00AF3CEE"/>
    <w:rsid w:val="00AF5706"/>
    <w:rsid w:val="00AF6479"/>
    <w:rsid w:val="00AF6C33"/>
    <w:rsid w:val="00B0098A"/>
    <w:rsid w:val="00B00A5F"/>
    <w:rsid w:val="00B0225F"/>
    <w:rsid w:val="00B029B8"/>
    <w:rsid w:val="00B02F60"/>
    <w:rsid w:val="00B032B8"/>
    <w:rsid w:val="00B03ABB"/>
    <w:rsid w:val="00B04B46"/>
    <w:rsid w:val="00B05050"/>
    <w:rsid w:val="00B0534D"/>
    <w:rsid w:val="00B06368"/>
    <w:rsid w:val="00B06FC6"/>
    <w:rsid w:val="00B07163"/>
    <w:rsid w:val="00B07429"/>
    <w:rsid w:val="00B11847"/>
    <w:rsid w:val="00B12DF9"/>
    <w:rsid w:val="00B12FE6"/>
    <w:rsid w:val="00B1303F"/>
    <w:rsid w:val="00B1364A"/>
    <w:rsid w:val="00B13D3C"/>
    <w:rsid w:val="00B1525C"/>
    <w:rsid w:val="00B16715"/>
    <w:rsid w:val="00B17910"/>
    <w:rsid w:val="00B2041B"/>
    <w:rsid w:val="00B20F18"/>
    <w:rsid w:val="00B21516"/>
    <w:rsid w:val="00B22CE0"/>
    <w:rsid w:val="00B23738"/>
    <w:rsid w:val="00B23BEF"/>
    <w:rsid w:val="00B247BB"/>
    <w:rsid w:val="00B25C11"/>
    <w:rsid w:val="00B25EDF"/>
    <w:rsid w:val="00B25EE6"/>
    <w:rsid w:val="00B27BC0"/>
    <w:rsid w:val="00B3115A"/>
    <w:rsid w:val="00B31A5C"/>
    <w:rsid w:val="00B33C19"/>
    <w:rsid w:val="00B33F84"/>
    <w:rsid w:val="00B3433E"/>
    <w:rsid w:val="00B34861"/>
    <w:rsid w:val="00B34B77"/>
    <w:rsid w:val="00B363BD"/>
    <w:rsid w:val="00B36844"/>
    <w:rsid w:val="00B369F7"/>
    <w:rsid w:val="00B36A99"/>
    <w:rsid w:val="00B37537"/>
    <w:rsid w:val="00B41B81"/>
    <w:rsid w:val="00B41DA6"/>
    <w:rsid w:val="00B42980"/>
    <w:rsid w:val="00B434B2"/>
    <w:rsid w:val="00B434C7"/>
    <w:rsid w:val="00B43580"/>
    <w:rsid w:val="00B43D45"/>
    <w:rsid w:val="00B44771"/>
    <w:rsid w:val="00B4650E"/>
    <w:rsid w:val="00B468F2"/>
    <w:rsid w:val="00B46B45"/>
    <w:rsid w:val="00B46D3D"/>
    <w:rsid w:val="00B46F6B"/>
    <w:rsid w:val="00B47286"/>
    <w:rsid w:val="00B47894"/>
    <w:rsid w:val="00B47DDE"/>
    <w:rsid w:val="00B50234"/>
    <w:rsid w:val="00B51BF4"/>
    <w:rsid w:val="00B51F4B"/>
    <w:rsid w:val="00B52C68"/>
    <w:rsid w:val="00B542FE"/>
    <w:rsid w:val="00B551CE"/>
    <w:rsid w:val="00B55A1B"/>
    <w:rsid w:val="00B561DB"/>
    <w:rsid w:val="00B57494"/>
    <w:rsid w:val="00B61DCE"/>
    <w:rsid w:val="00B62188"/>
    <w:rsid w:val="00B62467"/>
    <w:rsid w:val="00B62F79"/>
    <w:rsid w:val="00B62F82"/>
    <w:rsid w:val="00B638EA"/>
    <w:rsid w:val="00B648FA"/>
    <w:rsid w:val="00B662FF"/>
    <w:rsid w:val="00B708C2"/>
    <w:rsid w:val="00B72C80"/>
    <w:rsid w:val="00B730B4"/>
    <w:rsid w:val="00B74340"/>
    <w:rsid w:val="00B744E0"/>
    <w:rsid w:val="00B7481A"/>
    <w:rsid w:val="00B74F2F"/>
    <w:rsid w:val="00B756FB"/>
    <w:rsid w:val="00B762CA"/>
    <w:rsid w:val="00B769BC"/>
    <w:rsid w:val="00B77349"/>
    <w:rsid w:val="00B7761E"/>
    <w:rsid w:val="00B80A37"/>
    <w:rsid w:val="00B80A3D"/>
    <w:rsid w:val="00B81902"/>
    <w:rsid w:val="00B823E0"/>
    <w:rsid w:val="00B82B78"/>
    <w:rsid w:val="00B84662"/>
    <w:rsid w:val="00B85402"/>
    <w:rsid w:val="00B864A3"/>
    <w:rsid w:val="00B86C2A"/>
    <w:rsid w:val="00B86D82"/>
    <w:rsid w:val="00B877F1"/>
    <w:rsid w:val="00B902A5"/>
    <w:rsid w:val="00B90420"/>
    <w:rsid w:val="00B913E4"/>
    <w:rsid w:val="00B91DB9"/>
    <w:rsid w:val="00B93487"/>
    <w:rsid w:val="00B934E0"/>
    <w:rsid w:val="00B93A82"/>
    <w:rsid w:val="00B93EFE"/>
    <w:rsid w:val="00B94956"/>
    <w:rsid w:val="00B94C7F"/>
    <w:rsid w:val="00B956B5"/>
    <w:rsid w:val="00B95C3A"/>
    <w:rsid w:val="00B95FCE"/>
    <w:rsid w:val="00BA0D44"/>
    <w:rsid w:val="00BA0E26"/>
    <w:rsid w:val="00BA31BF"/>
    <w:rsid w:val="00BA3EBF"/>
    <w:rsid w:val="00BA43FC"/>
    <w:rsid w:val="00BA478B"/>
    <w:rsid w:val="00BA5224"/>
    <w:rsid w:val="00BA70B3"/>
    <w:rsid w:val="00BA7B27"/>
    <w:rsid w:val="00BA7E3B"/>
    <w:rsid w:val="00BB079C"/>
    <w:rsid w:val="00BB2B56"/>
    <w:rsid w:val="00BB39C1"/>
    <w:rsid w:val="00BB4901"/>
    <w:rsid w:val="00BB5D16"/>
    <w:rsid w:val="00BB6180"/>
    <w:rsid w:val="00BB69E6"/>
    <w:rsid w:val="00BB7D2A"/>
    <w:rsid w:val="00BC0760"/>
    <w:rsid w:val="00BC1B7A"/>
    <w:rsid w:val="00BC2048"/>
    <w:rsid w:val="00BC2BC7"/>
    <w:rsid w:val="00BC2C17"/>
    <w:rsid w:val="00BC3ACD"/>
    <w:rsid w:val="00BC3C33"/>
    <w:rsid w:val="00BC43EE"/>
    <w:rsid w:val="00BC66D7"/>
    <w:rsid w:val="00BC6E73"/>
    <w:rsid w:val="00BD0014"/>
    <w:rsid w:val="00BD01D8"/>
    <w:rsid w:val="00BD0CBE"/>
    <w:rsid w:val="00BD2512"/>
    <w:rsid w:val="00BD255F"/>
    <w:rsid w:val="00BD3057"/>
    <w:rsid w:val="00BD383D"/>
    <w:rsid w:val="00BD4236"/>
    <w:rsid w:val="00BD51AD"/>
    <w:rsid w:val="00BD575B"/>
    <w:rsid w:val="00BD5CCA"/>
    <w:rsid w:val="00BD5CD4"/>
    <w:rsid w:val="00BD6652"/>
    <w:rsid w:val="00BD6EF9"/>
    <w:rsid w:val="00BD77DD"/>
    <w:rsid w:val="00BE0ACB"/>
    <w:rsid w:val="00BE1A90"/>
    <w:rsid w:val="00BE3537"/>
    <w:rsid w:val="00BE360F"/>
    <w:rsid w:val="00BE50FD"/>
    <w:rsid w:val="00BE51CA"/>
    <w:rsid w:val="00BE5E5A"/>
    <w:rsid w:val="00BE5E5C"/>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4C49"/>
    <w:rsid w:val="00C0508D"/>
    <w:rsid w:val="00C058AF"/>
    <w:rsid w:val="00C11AAA"/>
    <w:rsid w:val="00C124C1"/>
    <w:rsid w:val="00C128AE"/>
    <w:rsid w:val="00C1300C"/>
    <w:rsid w:val="00C136D6"/>
    <w:rsid w:val="00C13D5B"/>
    <w:rsid w:val="00C16047"/>
    <w:rsid w:val="00C17AE2"/>
    <w:rsid w:val="00C20F27"/>
    <w:rsid w:val="00C214D1"/>
    <w:rsid w:val="00C215CF"/>
    <w:rsid w:val="00C223F8"/>
    <w:rsid w:val="00C2244B"/>
    <w:rsid w:val="00C22B0D"/>
    <w:rsid w:val="00C22F55"/>
    <w:rsid w:val="00C240C1"/>
    <w:rsid w:val="00C250D0"/>
    <w:rsid w:val="00C252AC"/>
    <w:rsid w:val="00C255AB"/>
    <w:rsid w:val="00C264F0"/>
    <w:rsid w:val="00C27214"/>
    <w:rsid w:val="00C27597"/>
    <w:rsid w:val="00C30382"/>
    <w:rsid w:val="00C30D6F"/>
    <w:rsid w:val="00C31063"/>
    <w:rsid w:val="00C3119C"/>
    <w:rsid w:val="00C31B7E"/>
    <w:rsid w:val="00C32217"/>
    <w:rsid w:val="00C3242A"/>
    <w:rsid w:val="00C32AE2"/>
    <w:rsid w:val="00C33201"/>
    <w:rsid w:val="00C332C4"/>
    <w:rsid w:val="00C33C3C"/>
    <w:rsid w:val="00C35857"/>
    <w:rsid w:val="00C35C75"/>
    <w:rsid w:val="00C360B3"/>
    <w:rsid w:val="00C3679B"/>
    <w:rsid w:val="00C37027"/>
    <w:rsid w:val="00C3778D"/>
    <w:rsid w:val="00C405A3"/>
    <w:rsid w:val="00C40B70"/>
    <w:rsid w:val="00C42752"/>
    <w:rsid w:val="00C42973"/>
    <w:rsid w:val="00C44CBA"/>
    <w:rsid w:val="00C44F9C"/>
    <w:rsid w:val="00C45866"/>
    <w:rsid w:val="00C4730E"/>
    <w:rsid w:val="00C47ED3"/>
    <w:rsid w:val="00C5019C"/>
    <w:rsid w:val="00C5034F"/>
    <w:rsid w:val="00C52479"/>
    <w:rsid w:val="00C5291F"/>
    <w:rsid w:val="00C52C59"/>
    <w:rsid w:val="00C5349E"/>
    <w:rsid w:val="00C5354B"/>
    <w:rsid w:val="00C542A3"/>
    <w:rsid w:val="00C54467"/>
    <w:rsid w:val="00C54D3D"/>
    <w:rsid w:val="00C55116"/>
    <w:rsid w:val="00C55A30"/>
    <w:rsid w:val="00C57C58"/>
    <w:rsid w:val="00C6028F"/>
    <w:rsid w:val="00C6046F"/>
    <w:rsid w:val="00C604A6"/>
    <w:rsid w:val="00C608F1"/>
    <w:rsid w:val="00C631E1"/>
    <w:rsid w:val="00C637E8"/>
    <w:rsid w:val="00C638D8"/>
    <w:rsid w:val="00C63C84"/>
    <w:rsid w:val="00C63CB6"/>
    <w:rsid w:val="00C63D26"/>
    <w:rsid w:val="00C641EB"/>
    <w:rsid w:val="00C65053"/>
    <w:rsid w:val="00C65BD9"/>
    <w:rsid w:val="00C66061"/>
    <w:rsid w:val="00C66F69"/>
    <w:rsid w:val="00C67223"/>
    <w:rsid w:val="00C67CFF"/>
    <w:rsid w:val="00C707B8"/>
    <w:rsid w:val="00C7084B"/>
    <w:rsid w:val="00C71C15"/>
    <w:rsid w:val="00C71F3D"/>
    <w:rsid w:val="00C72F53"/>
    <w:rsid w:val="00C74035"/>
    <w:rsid w:val="00C75479"/>
    <w:rsid w:val="00C76FF4"/>
    <w:rsid w:val="00C77818"/>
    <w:rsid w:val="00C77AE3"/>
    <w:rsid w:val="00C8063F"/>
    <w:rsid w:val="00C81549"/>
    <w:rsid w:val="00C829A1"/>
    <w:rsid w:val="00C83B36"/>
    <w:rsid w:val="00C84E86"/>
    <w:rsid w:val="00C84F8A"/>
    <w:rsid w:val="00C84FDF"/>
    <w:rsid w:val="00C85209"/>
    <w:rsid w:val="00C8527A"/>
    <w:rsid w:val="00C8618F"/>
    <w:rsid w:val="00C90372"/>
    <w:rsid w:val="00C9041F"/>
    <w:rsid w:val="00C90AD1"/>
    <w:rsid w:val="00C9138F"/>
    <w:rsid w:val="00C91A45"/>
    <w:rsid w:val="00C91ED2"/>
    <w:rsid w:val="00C91FB4"/>
    <w:rsid w:val="00C95745"/>
    <w:rsid w:val="00C962E3"/>
    <w:rsid w:val="00C965BD"/>
    <w:rsid w:val="00C97997"/>
    <w:rsid w:val="00CA08FE"/>
    <w:rsid w:val="00CA0FAC"/>
    <w:rsid w:val="00CA25C0"/>
    <w:rsid w:val="00CA2697"/>
    <w:rsid w:val="00CA3451"/>
    <w:rsid w:val="00CA4948"/>
    <w:rsid w:val="00CA52F9"/>
    <w:rsid w:val="00CA568B"/>
    <w:rsid w:val="00CA74D4"/>
    <w:rsid w:val="00CA7500"/>
    <w:rsid w:val="00CB1239"/>
    <w:rsid w:val="00CB178B"/>
    <w:rsid w:val="00CB19FE"/>
    <w:rsid w:val="00CB23C2"/>
    <w:rsid w:val="00CB304C"/>
    <w:rsid w:val="00CB53E8"/>
    <w:rsid w:val="00CB593E"/>
    <w:rsid w:val="00CB594A"/>
    <w:rsid w:val="00CB5CB2"/>
    <w:rsid w:val="00CB5F5A"/>
    <w:rsid w:val="00CB6979"/>
    <w:rsid w:val="00CB74EC"/>
    <w:rsid w:val="00CC0A3D"/>
    <w:rsid w:val="00CC0DAF"/>
    <w:rsid w:val="00CC2373"/>
    <w:rsid w:val="00CC3C6A"/>
    <w:rsid w:val="00CC3D24"/>
    <w:rsid w:val="00CC3DB9"/>
    <w:rsid w:val="00CC3F91"/>
    <w:rsid w:val="00CC4B0A"/>
    <w:rsid w:val="00CC544A"/>
    <w:rsid w:val="00CC57EA"/>
    <w:rsid w:val="00CC5954"/>
    <w:rsid w:val="00CC6C4E"/>
    <w:rsid w:val="00CD05A2"/>
    <w:rsid w:val="00CD19DA"/>
    <w:rsid w:val="00CD1F32"/>
    <w:rsid w:val="00CD233D"/>
    <w:rsid w:val="00CD29D4"/>
    <w:rsid w:val="00CD38F5"/>
    <w:rsid w:val="00CD3ABE"/>
    <w:rsid w:val="00CD400F"/>
    <w:rsid w:val="00CD437E"/>
    <w:rsid w:val="00CD572E"/>
    <w:rsid w:val="00CD5A89"/>
    <w:rsid w:val="00CD5DAD"/>
    <w:rsid w:val="00CD72C5"/>
    <w:rsid w:val="00CD77A2"/>
    <w:rsid w:val="00CD79A7"/>
    <w:rsid w:val="00CE0789"/>
    <w:rsid w:val="00CE1A03"/>
    <w:rsid w:val="00CE2346"/>
    <w:rsid w:val="00CE3529"/>
    <w:rsid w:val="00CE35C8"/>
    <w:rsid w:val="00CE3962"/>
    <w:rsid w:val="00CE5105"/>
    <w:rsid w:val="00CE56BD"/>
    <w:rsid w:val="00CE5EC0"/>
    <w:rsid w:val="00CE67D7"/>
    <w:rsid w:val="00CE6F9F"/>
    <w:rsid w:val="00CE773B"/>
    <w:rsid w:val="00CE781A"/>
    <w:rsid w:val="00CE7B3A"/>
    <w:rsid w:val="00CF10D4"/>
    <w:rsid w:val="00CF1D74"/>
    <w:rsid w:val="00CF2BE2"/>
    <w:rsid w:val="00CF31C0"/>
    <w:rsid w:val="00CF3839"/>
    <w:rsid w:val="00CF40A4"/>
    <w:rsid w:val="00CF55F9"/>
    <w:rsid w:val="00CF56F1"/>
    <w:rsid w:val="00CF59DF"/>
    <w:rsid w:val="00CF71A6"/>
    <w:rsid w:val="00CF7495"/>
    <w:rsid w:val="00CF7671"/>
    <w:rsid w:val="00D01CF9"/>
    <w:rsid w:val="00D0334D"/>
    <w:rsid w:val="00D0374D"/>
    <w:rsid w:val="00D03CD8"/>
    <w:rsid w:val="00D05A76"/>
    <w:rsid w:val="00D075F8"/>
    <w:rsid w:val="00D0790C"/>
    <w:rsid w:val="00D07F1D"/>
    <w:rsid w:val="00D10558"/>
    <w:rsid w:val="00D1203E"/>
    <w:rsid w:val="00D12886"/>
    <w:rsid w:val="00D13D03"/>
    <w:rsid w:val="00D13E70"/>
    <w:rsid w:val="00D140B5"/>
    <w:rsid w:val="00D16136"/>
    <w:rsid w:val="00D16C58"/>
    <w:rsid w:val="00D17019"/>
    <w:rsid w:val="00D170C1"/>
    <w:rsid w:val="00D21168"/>
    <w:rsid w:val="00D235C8"/>
    <w:rsid w:val="00D2438C"/>
    <w:rsid w:val="00D25264"/>
    <w:rsid w:val="00D25DFA"/>
    <w:rsid w:val="00D26C3F"/>
    <w:rsid w:val="00D27185"/>
    <w:rsid w:val="00D278A6"/>
    <w:rsid w:val="00D27C40"/>
    <w:rsid w:val="00D31E78"/>
    <w:rsid w:val="00D32B84"/>
    <w:rsid w:val="00D337AE"/>
    <w:rsid w:val="00D33AB3"/>
    <w:rsid w:val="00D33F24"/>
    <w:rsid w:val="00D346B7"/>
    <w:rsid w:val="00D346B8"/>
    <w:rsid w:val="00D35AC8"/>
    <w:rsid w:val="00D35D34"/>
    <w:rsid w:val="00D36F87"/>
    <w:rsid w:val="00D37E4E"/>
    <w:rsid w:val="00D426F4"/>
    <w:rsid w:val="00D42E6C"/>
    <w:rsid w:val="00D43218"/>
    <w:rsid w:val="00D43B80"/>
    <w:rsid w:val="00D44236"/>
    <w:rsid w:val="00D442B9"/>
    <w:rsid w:val="00D45B1E"/>
    <w:rsid w:val="00D45BA4"/>
    <w:rsid w:val="00D46B7E"/>
    <w:rsid w:val="00D46CA8"/>
    <w:rsid w:val="00D46E77"/>
    <w:rsid w:val="00D471AF"/>
    <w:rsid w:val="00D4724F"/>
    <w:rsid w:val="00D50519"/>
    <w:rsid w:val="00D516A5"/>
    <w:rsid w:val="00D5264C"/>
    <w:rsid w:val="00D5289A"/>
    <w:rsid w:val="00D52E22"/>
    <w:rsid w:val="00D537FE"/>
    <w:rsid w:val="00D538F0"/>
    <w:rsid w:val="00D54A6A"/>
    <w:rsid w:val="00D54BF8"/>
    <w:rsid w:val="00D54D7C"/>
    <w:rsid w:val="00D55951"/>
    <w:rsid w:val="00D56316"/>
    <w:rsid w:val="00D572BE"/>
    <w:rsid w:val="00D57EB6"/>
    <w:rsid w:val="00D60ED7"/>
    <w:rsid w:val="00D62B20"/>
    <w:rsid w:val="00D63586"/>
    <w:rsid w:val="00D664BF"/>
    <w:rsid w:val="00D66D8B"/>
    <w:rsid w:val="00D72A1C"/>
    <w:rsid w:val="00D73580"/>
    <w:rsid w:val="00D73802"/>
    <w:rsid w:val="00D73868"/>
    <w:rsid w:val="00D73C2C"/>
    <w:rsid w:val="00D73D52"/>
    <w:rsid w:val="00D742A0"/>
    <w:rsid w:val="00D745E7"/>
    <w:rsid w:val="00D75658"/>
    <w:rsid w:val="00D75FF0"/>
    <w:rsid w:val="00D7744B"/>
    <w:rsid w:val="00D77495"/>
    <w:rsid w:val="00D774ED"/>
    <w:rsid w:val="00D7778F"/>
    <w:rsid w:val="00D777F6"/>
    <w:rsid w:val="00D77F88"/>
    <w:rsid w:val="00D8044C"/>
    <w:rsid w:val="00D81EAA"/>
    <w:rsid w:val="00D8259F"/>
    <w:rsid w:val="00D825F2"/>
    <w:rsid w:val="00D828B1"/>
    <w:rsid w:val="00D84461"/>
    <w:rsid w:val="00D84F27"/>
    <w:rsid w:val="00D850D4"/>
    <w:rsid w:val="00D8576F"/>
    <w:rsid w:val="00D862D1"/>
    <w:rsid w:val="00D873C6"/>
    <w:rsid w:val="00D875BB"/>
    <w:rsid w:val="00D90BB4"/>
    <w:rsid w:val="00D91027"/>
    <w:rsid w:val="00D937E0"/>
    <w:rsid w:val="00D94C7D"/>
    <w:rsid w:val="00D94CA4"/>
    <w:rsid w:val="00D94FB4"/>
    <w:rsid w:val="00D95E99"/>
    <w:rsid w:val="00DA098C"/>
    <w:rsid w:val="00DA0BF8"/>
    <w:rsid w:val="00DA0FFB"/>
    <w:rsid w:val="00DA1A3A"/>
    <w:rsid w:val="00DA2C65"/>
    <w:rsid w:val="00DA395D"/>
    <w:rsid w:val="00DA3A34"/>
    <w:rsid w:val="00DA44EB"/>
    <w:rsid w:val="00DB16B8"/>
    <w:rsid w:val="00DB1D52"/>
    <w:rsid w:val="00DB1F62"/>
    <w:rsid w:val="00DB2E03"/>
    <w:rsid w:val="00DB3742"/>
    <w:rsid w:val="00DB3F4B"/>
    <w:rsid w:val="00DB61A4"/>
    <w:rsid w:val="00DB67C1"/>
    <w:rsid w:val="00DB689A"/>
    <w:rsid w:val="00DB70CD"/>
    <w:rsid w:val="00DB70F4"/>
    <w:rsid w:val="00DC1056"/>
    <w:rsid w:val="00DC16DA"/>
    <w:rsid w:val="00DC211E"/>
    <w:rsid w:val="00DC21D8"/>
    <w:rsid w:val="00DC2369"/>
    <w:rsid w:val="00DC282A"/>
    <w:rsid w:val="00DC34DC"/>
    <w:rsid w:val="00DC3973"/>
    <w:rsid w:val="00DC3CC6"/>
    <w:rsid w:val="00DC514A"/>
    <w:rsid w:val="00DC64EC"/>
    <w:rsid w:val="00DC67B1"/>
    <w:rsid w:val="00DC7833"/>
    <w:rsid w:val="00DC7B22"/>
    <w:rsid w:val="00DD132B"/>
    <w:rsid w:val="00DD1725"/>
    <w:rsid w:val="00DD21B9"/>
    <w:rsid w:val="00DD2427"/>
    <w:rsid w:val="00DD2A18"/>
    <w:rsid w:val="00DD34B3"/>
    <w:rsid w:val="00DD377A"/>
    <w:rsid w:val="00DD3ECA"/>
    <w:rsid w:val="00DD5AB3"/>
    <w:rsid w:val="00DD5B1A"/>
    <w:rsid w:val="00DD5C4A"/>
    <w:rsid w:val="00DD61E8"/>
    <w:rsid w:val="00DD62C0"/>
    <w:rsid w:val="00DD6773"/>
    <w:rsid w:val="00DD7859"/>
    <w:rsid w:val="00DE03AC"/>
    <w:rsid w:val="00DE0A1D"/>
    <w:rsid w:val="00DE15B2"/>
    <w:rsid w:val="00DE1826"/>
    <w:rsid w:val="00DE1A9A"/>
    <w:rsid w:val="00DE23B5"/>
    <w:rsid w:val="00DE2494"/>
    <w:rsid w:val="00DE3D2C"/>
    <w:rsid w:val="00DE43D0"/>
    <w:rsid w:val="00DE5E82"/>
    <w:rsid w:val="00DE5FA6"/>
    <w:rsid w:val="00DE6494"/>
    <w:rsid w:val="00DE6AA1"/>
    <w:rsid w:val="00DE6C57"/>
    <w:rsid w:val="00DE74D7"/>
    <w:rsid w:val="00DE7DCC"/>
    <w:rsid w:val="00DE7EF7"/>
    <w:rsid w:val="00DF0768"/>
    <w:rsid w:val="00DF0BBB"/>
    <w:rsid w:val="00DF1185"/>
    <w:rsid w:val="00DF1299"/>
    <w:rsid w:val="00DF164F"/>
    <w:rsid w:val="00DF1A70"/>
    <w:rsid w:val="00DF23A8"/>
    <w:rsid w:val="00DF2F27"/>
    <w:rsid w:val="00DF6CCC"/>
    <w:rsid w:val="00DF6D0C"/>
    <w:rsid w:val="00DF6F64"/>
    <w:rsid w:val="00DF721E"/>
    <w:rsid w:val="00DF7C87"/>
    <w:rsid w:val="00E009B0"/>
    <w:rsid w:val="00E0345F"/>
    <w:rsid w:val="00E03D5C"/>
    <w:rsid w:val="00E043AC"/>
    <w:rsid w:val="00E043E9"/>
    <w:rsid w:val="00E046A9"/>
    <w:rsid w:val="00E04C0F"/>
    <w:rsid w:val="00E0570B"/>
    <w:rsid w:val="00E057B2"/>
    <w:rsid w:val="00E05996"/>
    <w:rsid w:val="00E10B87"/>
    <w:rsid w:val="00E1271D"/>
    <w:rsid w:val="00E13711"/>
    <w:rsid w:val="00E1478B"/>
    <w:rsid w:val="00E14FAC"/>
    <w:rsid w:val="00E15007"/>
    <w:rsid w:val="00E16EC7"/>
    <w:rsid w:val="00E1714F"/>
    <w:rsid w:val="00E2026B"/>
    <w:rsid w:val="00E21576"/>
    <w:rsid w:val="00E219CE"/>
    <w:rsid w:val="00E21CAB"/>
    <w:rsid w:val="00E21E23"/>
    <w:rsid w:val="00E23961"/>
    <w:rsid w:val="00E24071"/>
    <w:rsid w:val="00E24EBC"/>
    <w:rsid w:val="00E2522C"/>
    <w:rsid w:val="00E2599B"/>
    <w:rsid w:val="00E27383"/>
    <w:rsid w:val="00E2793D"/>
    <w:rsid w:val="00E31AFA"/>
    <w:rsid w:val="00E3203D"/>
    <w:rsid w:val="00E324EE"/>
    <w:rsid w:val="00E33BDF"/>
    <w:rsid w:val="00E34296"/>
    <w:rsid w:val="00E359FF"/>
    <w:rsid w:val="00E36AA7"/>
    <w:rsid w:val="00E36E39"/>
    <w:rsid w:val="00E36F0C"/>
    <w:rsid w:val="00E405F1"/>
    <w:rsid w:val="00E43054"/>
    <w:rsid w:val="00E434C4"/>
    <w:rsid w:val="00E44FE4"/>
    <w:rsid w:val="00E453FC"/>
    <w:rsid w:val="00E45D30"/>
    <w:rsid w:val="00E46013"/>
    <w:rsid w:val="00E4654B"/>
    <w:rsid w:val="00E477C3"/>
    <w:rsid w:val="00E50148"/>
    <w:rsid w:val="00E5048D"/>
    <w:rsid w:val="00E504BB"/>
    <w:rsid w:val="00E50AC4"/>
    <w:rsid w:val="00E50E2C"/>
    <w:rsid w:val="00E51077"/>
    <w:rsid w:val="00E5132D"/>
    <w:rsid w:val="00E51741"/>
    <w:rsid w:val="00E51E16"/>
    <w:rsid w:val="00E52151"/>
    <w:rsid w:val="00E53730"/>
    <w:rsid w:val="00E53C46"/>
    <w:rsid w:val="00E54511"/>
    <w:rsid w:val="00E55DC3"/>
    <w:rsid w:val="00E55E88"/>
    <w:rsid w:val="00E57577"/>
    <w:rsid w:val="00E601DE"/>
    <w:rsid w:val="00E62043"/>
    <w:rsid w:val="00E626B9"/>
    <w:rsid w:val="00E627C9"/>
    <w:rsid w:val="00E627D7"/>
    <w:rsid w:val="00E630F3"/>
    <w:rsid w:val="00E650E0"/>
    <w:rsid w:val="00E65198"/>
    <w:rsid w:val="00E66007"/>
    <w:rsid w:val="00E664FB"/>
    <w:rsid w:val="00E66F0D"/>
    <w:rsid w:val="00E672F9"/>
    <w:rsid w:val="00E67345"/>
    <w:rsid w:val="00E70615"/>
    <w:rsid w:val="00E71A5E"/>
    <w:rsid w:val="00E7207B"/>
    <w:rsid w:val="00E72E52"/>
    <w:rsid w:val="00E7347A"/>
    <w:rsid w:val="00E75325"/>
    <w:rsid w:val="00E759FB"/>
    <w:rsid w:val="00E75A47"/>
    <w:rsid w:val="00E75D8C"/>
    <w:rsid w:val="00E77771"/>
    <w:rsid w:val="00E777F2"/>
    <w:rsid w:val="00E779ED"/>
    <w:rsid w:val="00E802C9"/>
    <w:rsid w:val="00E80EDD"/>
    <w:rsid w:val="00E80F0A"/>
    <w:rsid w:val="00E81A6A"/>
    <w:rsid w:val="00E8291B"/>
    <w:rsid w:val="00E82FBC"/>
    <w:rsid w:val="00E8395F"/>
    <w:rsid w:val="00E8473F"/>
    <w:rsid w:val="00E84DD1"/>
    <w:rsid w:val="00E85E41"/>
    <w:rsid w:val="00E85EA1"/>
    <w:rsid w:val="00E91044"/>
    <w:rsid w:val="00E910D3"/>
    <w:rsid w:val="00E923CF"/>
    <w:rsid w:val="00E9335F"/>
    <w:rsid w:val="00E95111"/>
    <w:rsid w:val="00E9760C"/>
    <w:rsid w:val="00EA048D"/>
    <w:rsid w:val="00EA061E"/>
    <w:rsid w:val="00EA08DE"/>
    <w:rsid w:val="00EA14C8"/>
    <w:rsid w:val="00EA19D3"/>
    <w:rsid w:val="00EA2296"/>
    <w:rsid w:val="00EA2C8D"/>
    <w:rsid w:val="00EA6649"/>
    <w:rsid w:val="00EB05D0"/>
    <w:rsid w:val="00EB07C5"/>
    <w:rsid w:val="00EB1D49"/>
    <w:rsid w:val="00EB42DD"/>
    <w:rsid w:val="00EB470F"/>
    <w:rsid w:val="00EB559F"/>
    <w:rsid w:val="00EB5F3D"/>
    <w:rsid w:val="00EB61F1"/>
    <w:rsid w:val="00EB6900"/>
    <w:rsid w:val="00EB6EC2"/>
    <w:rsid w:val="00EC1CEB"/>
    <w:rsid w:val="00EC21A7"/>
    <w:rsid w:val="00EC268C"/>
    <w:rsid w:val="00EC3747"/>
    <w:rsid w:val="00EC3753"/>
    <w:rsid w:val="00EC3CB8"/>
    <w:rsid w:val="00EC3D46"/>
    <w:rsid w:val="00EC4E71"/>
    <w:rsid w:val="00EC6667"/>
    <w:rsid w:val="00EC783E"/>
    <w:rsid w:val="00ED0365"/>
    <w:rsid w:val="00ED0865"/>
    <w:rsid w:val="00ED094F"/>
    <w:rsid w:val="00ED16B6"/>
    <w:rsid w:val="00ED1C60"/>
    <w:rsid w:val="00ED2EB9"/>
    <w:rsid w:val="00ED4469"/>
    <w:rsid w:val="00ED5F23"/>
    <w:rsid w:val="00ED675F"/>
    <w:rsid w:val="00ED6DC0"/>
    <w:rsid w:val="00ED79CE"/>
    <w:rsid w:val="00ED7A7A"/>
    <w:rsid w:val="00EE038C"/>
    <w:rsid w:val="00EE040B"/>
    <w:rsid w:val="00EE168A"/>
    <w:rsid w:val="00EE47C5"/>
    <w:rsid w:val="00EE490C"/>
    <w:rsid w:val="00EE613B"/>
    <w:rsid w:val="00EE65D6"/>
    <w:rsid w:val="00EE7D60"/>
    <w:rsid w:val="00EE7E17"/>
    <w:rsid w:val="00EF12A3"/>
    <w:rsid w:val="00EF2C8E"/>
    <w:rsid w:val="00EF3174"/>
    <w:rsid w:val="00EF3303"/>
    <w:rsid w:val="00EF37AB"/>
    <w:rsid w:val="00EF3A0D"/>
    <w:rsid w:val="00EF3CEB"/>
    <w:rsid w:val="00EF41A8"/>
    <w:rsid w:val="00EF44FB"/>
    <w:rsid w:val="00EF4D3C"/>
    <w:rsid w:val="00EF51CA"/>
    <w:rsid w:val="00EF5554"/>
    <w:rsid w:val="00EF5AD8"/>
    <w:rsid w:val="00EF5D2F"/>
    <w:rsid w:val="00EF63F5"/>
    <w:rsid w:val="00EF6758"/>
    <w:rsid w:val="00EF6B90"/>
    <w:rsid w:val="00EF70AE"/>
    <w:rsid w:val="00EF79F7"/>
    <w:rsid w:val="00F00418"/>
    <w:rsid w:val="00F006C0"/>
    <w:rsid w:val="00F009BB"/>
    <w:rsid w:val="00F019AA"/>
    <w:rsid w:val="00F01B7A"/>
    <w:rsid w:val="00F0267E"/>
    <w:rsid w:val="00F02686"/>
    <w:rsid w:val="00F03D99"/>
    <w:rsid w:val="00F0459B"/>
    <w:rsid w:val="00F04E15"/>
    <w:rsid w:val="00F05DF3"/>
    <w:rsid w:val="00F0641B"/>
    <w:rsid w:val="00F069EA"/>
    <w:rsid w:val="00F079EA"/>
    <w:rsid w:val="00F07B6E"/>
    <w:rsid w:val="00F07CCF"/>
    <w:rsid w:val="00F07DF8"/>
    <w:rsid w:val="00F11461"/>
    <w:rsid w:val="00F11675"/>
    <w:rsid w:val="00F1182D"/>
    <w:rsid w:val="00F12557"/>
    <w:rsid w:val="00F13A8F"/>
    <w:rsid w:val="00F144F8"/>
    <w:rsid w:val="00F14DF8"/>
    <w:rsid w:val="00F164A3"/>
    <w:rsid w:val="00F17AD9"/>
    <w:rsid w:val="00F17F74"/>
    <w:rsid w:val="00F202C2"/>
    <w:rsid w:val="00F209D5"/>
    <w:rsid w:val="00F22756"/>
    <w:rsid w:val="00F23890"/>
    <w:rsid w:val="00F2447A"/>
    <w:rsid w:val="00F24638"/>
    <w:rsid w:val="00F24A5D"/>
    <w:rsid w:val="00F2504D"/>
    <w:rsid w:val="00F2637F"/>
    <w:rsid w:val="00F263A8"/>
    <w:rsid w:val="00F268F7"/>
    <w:rsid w:val="00F3053D"/>
    <w:rsid w:val="00F30BDB"/>
    <w:rsid w:val="00F30CF8"/>
    <w:rsid w:val="00F31633"/>
    <w:rsid w:val="00F31EDF"/>
    <w:rsid w:val="00F32CDE"/>
    <w:rsid w:val="00F32D4C"/>
    <w:rsid w:val="00F34811"/>
    <w:rsid w:val="00F34B14"/>
    <w:rsid w:val="00F35B15"/>
    <w:rsid w:val="00F36A6A"/>
    <w:rsid w:val="00F40101"/>
    <w:rsid w:val="00F404F7"/>
    <w:rsid w:val="00F40B17"/>
    <w:rsid w:val="00F40CCA"/>
    <w:rsid w:val="00F41521"/>
    <w:rsid w:val="00F42D97"/>
    <w:rsid w:val="00F43F09"/>
    <w:rsid w:val="00F44ADC"/>
    <w:rsid w:val="00F45A72"/>
    <w:rsid w:val="00F46723"/>
    <w:rsid w:val="00F46EB9"/>
    <w:rsid w:val="00F50016"/>
    <w:rsid w:val="00F50647"/>
    <w:rsid w:val="00F5118A"/>
    <w:rsid w:val="00F5165C"/>
    <w:rsid w:val="00F51A21"/>
    <w:rsid w:val="00F5276E"/>
    <w:rsid w:val="00F529F9"/>
    <w:rsid w:val="00F52E9F"/>
    <w:rsid w:val="00F53304"/>
    <w:rsid w:val="00F53D37"/>
    <w:rsid w:val="00F53D40"/>
    <w:rsid w:val="00F545ED"/>
    <w:rsid w:val="00F56137"/>
    <w:rsid w:val="00F5687F"/>
    <w:rsid w:val="00F56FA5"/>
    <w:rsid w:val="00F5727D"/>
    <w:rsid w:val="00F575C7"/>
    <w:rsid w:val="00F60305"/>
    <w:rsid w:val="00F61B12"/>
    <w:rsid w:val="00F620C5"/>
    <w:rsid w:val="00F62398"/>
    <w:rsid w:val="00F626C5"/>
    <w:rsid w:val="00F631E8"/>
    <w:rsid w:val="00F63223"/>
    <w:rsid w:val="00F63264"/>
    <w:rsid w:val="00F6379E"/>
    <w:rsid w:val="00F676EC"/>
    <w:rsid w:val="00F70799"/>
    <w:rsid w:val="00F70906"/>
    <w:rsid w:val="00F70A8B"/>
    <w:rsid w:val="00F724FB"/>
    <w:rsid w:val="00F72578"/>
    <w:rsid w:val="00F72A26"/>
    <w:rsid w:val="00F733C3"/>
    <w:rsid w:val="00F756DD"/>
    <w:rsid w:val="00F75DB3"/>
    <w:rsid w:val="00F77C37"/>
    <w:rsid w:val="00F80047"/>
    <w:rsid w:val="00F8104D"/>
    <w:rsid w:val="00F81587"/>
    <w:rsid w:val="00F82571"/>
    <w:rsid w:val="00F83706"/>
    <w:rsid w:val="00F85258"/>
    <w:rsid w:val="00F85B72"/>
    <w:rsid w:val="00F86165"/>
    <w:rsid w:val="00F8766F"/>
    <w:rsid w:val="00F9104C"/>
    <w:rsid w:val="00F91082"/>
    <w:rsid w:val="00F91A9A"/>
    <w:rsid w:val="00F920A7"/>
    <w:rsid w:val="00F92A50"/>
    <w:rsid w:val="00F93ABB"/>
    <w:rsid w:val="00F94D79"/>
    <w:rsid w:val="00F971DD"/>
    <w:rsid w:val="00F975D3"/>
    <w:rsid w:val="00FA118A"/>
    <w:rsid w:val="00FA11CD"/>
    <w:rsid w:val="00FA1B7E"/>
    <w:rsid w:val="00FA31C7"/>
    <w:rsid w:val="00FA472D"/>
    <w:rsid w:val="00FA7254"/>
    <w:rsid w:val="00FB0214"/>
    <w:rsid w:val="00FB080C"/>
    <w:rsid w:val="00FB18F6"/>
    <w:rsid w:val="00FB2A52"/>
    <w:rsid w:val="00FB2F13"/>
    <w:rsid w:val="00FB6232"/>
    <w:rsid w:val="00FB6E19"/>
    <w:rsid w:val="00FB71F6"/>
    <w:rsid w:val="00FC0016"/>
    <w:rsid w:val="00FC1280"/>
    <w:rsid w:val="00FC1483"/>
    <w:rsid w:val="00FC1C47"/>
    <w:rsid w:val="00FC2EF2"/>
    <w:rsid w:val="00FC39ED"/>
    <w:rsid w:val="00FC4419"/>
    <w:rsid w:val="00FC47E2"/>
    <w:rsid w:val="00FC4AA5"/>
    <w:rsid w:val="00FC5148"/>
    <w:rsid w:val="00FC6590"/>
    <w:rsid w:val="00FC7523"/>
    <w:rsid w:val="00FC75AC"/>
    <w:rsid w:val="00FC75CB"/>
    <w:rsid w:val="00FD01BF"/>
    <w:rsid w:val="00FD0525"/>
    <w:rsid w:val="00FD0D4F"/>
    <w:rsid w:val="00FD13B3"/>
    <w:rsid w:val="00FD297D"/>
    <w:rsid w:val="00FD2D13"/>
    <w:rsid w:val="00FD3D26"/>
    <w:rsid w:val="00FD4789"/>
    <w:rsid w:val="00FD6071"/>
    <w:rsid w:val="00FE0794"/>
    <w:rsid w:val="00FE1041"/>
    <w:rsid w:val="00FE24CB"/>
    <w:rsid w:val="00FE3166"/>
    <w:rsid w:val="00FE3320"/>
    <w:rsid w:val="00FE3473"/>
    <w:rsid w:val="00FE353B"/>
    <w:rsid w:val="00FE4049"/>
    <w:rsid w:val="00FE4794"/>
    <w:rsid w:val="00FE5DF7"/>
    <w:rsid w:val="00FE5F72"/>
    <w:rsid w:val="00FE7B6B"/>
    <w:rsid w:val="00FF0231"/>
    <w:rsid w:val="00FF1C9B"/>
    <w:rsid w:val="00FF1D49"/>
    <w:rsid w:val="00FF2562"/>
    <w:rsid w:val="00FF2CE1"/>
    <w:rsid w:val="00FF3A41"/>
    <w:rsid w:val="00FF3E5B"/>
    <w:rsid w:val="00FF52BE"/>
    <w:rsid w:val="00FF544F"/>
    <w:rsid w:val="00FF57E4"/>
    <w:rsid w:val="00FF77F8"/>
    <w:rsid w:val="00FF78E5"/>
    <w:rsid w:val="016C7144"/>
    <w:rsid w:val="01DF6ED8"/>
    <w:rsid w:val="021D2276"/>
    <w:rsid w:val="02511F9D"/>
    <w:rsid w:val="025E034E"/>
    <w:rsid w:val="026F7E7B"/>
    <w:rsid w:val="028B4C6A"/>
    <w:rsid w:val="02AB4E64"/>
    <w:rsid w:val="02EA7CAB"/>
    <w:rsid w:val="03056ED3"/>
    <w:rsid w:val="0334104D"/>
    <w:rsid w:val="034E5B8A"/>
    <w:rsid w:val="03A314B8"/>
    <w:rsid w:val="03D82B98"/>
    <w:rsid w:val="03E04F14"/>
    <w:rsid w:val="03ED622E"/>
    <w:rsid w:val="03F83E8B"/>
    <w:rsid w:val="05164BE7"/>
    <w:rsid w:val="05A901A4"/>
    <w:rsid w:val="05B257EC"/>
    <w:rsid w:val="05DC112D"/>
    <w:rsid w:val="06AE10AC"/>
    <w:rsid w:val="06B26534"/>
    <w:rsid w:val="06B532BB"/>
    <w:rsid w:val="06E02FA9"/>
    <w:rsid w:val="070F0F60"/>
    <w:rsid w:val="0760569E"/>
    <w:rsid w:val="07AB1DBE"/>
    <w:rsid w:val="07B72767"/>
    <w:rsid w:val="07DA5BBA"/>
    <w:rsid w:val="07DB7C92"/>
    <w:rsid w:val="08077E72"/>
    <w:rsid w:val="08B43E15"/>
    <w:rsid w:val="09AB1EA0"/>
    <w:rsid w:val="09CC2AAC"/>
    <w:rsid w:val="09D820EE"/>
    <w:rsid w:val="0A294E93"/>
    <w:rsid w:val="0A652D3E"/>
    <w:rsid w:val="0AC503B7"/>
    <w:rsid w:val="0B0A4571"/>
    <w:rsid w:val="0B3A48F0"/>
    <w:rsid w:val="0BF64F69"/>
    <w:rsid w:val="0C076461"/>
    <w:rsid w:val="0C5C56D6"/>
    <w:rsid w:val="0C92213C"/>
    <w:rsid w:val="0CBA2804"/>
    <w:rsid w:val="0CE83142"/>
    <w:rsid w:val="0D3B1B72"/>
    <w:rsid w:val="0D446919"/>
    <w:rsid w:val="0D4D6B60"/>
    <w:rsid w:val="0D4F221D"/>
    <w:rsid w:val="0D651C72"/>
    <w:rsid w:val="0D84032B"/>
    <w:rsid w:val="0D8469EE"/>
    <w:rsid w:val="0DD01EEF"/>
    <w:rsid w:val="0E121122"/>
    <w:rsid w:val="0E377D9A"/>
    <w:rsid w:val="0F011985"/>
    <w:rsid w:val="0F1235C3"/>
    <w:rsid w:val="0F4F4353"/>
    <w:rsid w:val="0F6971AA"/>
    <w:rsid w:val="0FDC6CEF"/>
    <w:rsid w:val="0FFE1629"/>
    <w:rsid w:val="1001717E"/>
    <w:rsid w:val="10456EB3"/>
    <w:rsid w:val="10A27F31"/>
    <w:rsid w:val="10CA487C"/>
    <w:rsid w:val="10EF54DC"/>
    <w:rsid w:val="11927058"/>
    <w:rsid w:val="119E1FAB"/>
    <w:rsid w:val="11FB70C7"/>
    <w:rsid w:val="12133FB0"/>
    <w:rsid w:val="12176643"/>
    <w:rsid w:val="12510966"/>
    <w:rsid w:val="12A055F5"/>
    <w:rsid w:val="12A5223C"/>
    <w:rsid w:val="12A604D9"/>
    <w:rsid w:val="12DB2B05"/>
    <w:rsid w:val="130D4243"/>
    <w:rsid w:val="1377041F"/>
    <w:rsid w:val="137917C3"/>
    <w:rsid w:val="1387148A"/>
    <w:rsid w:val="13AF4F03"/>
    <w:rsid w:val="13DF0529"/>
    <w:rsid w:val="14593E9D"/>
    <w:rsid w:val="145E6EE8"/>
    <w:rsid w:val="146D2C0E"/>
    <w:rsid w:val="14736E66"/>
    <w:rsid w:val="147B3C2A"/>
    <w:rsid w:val="148937C0"/>
    <w:rsid w:val="149B6AC2"/>
    <w:rsid w:val="14A979BF"/>
    <w:rsid w:val="14E909DB"/>
    <w:rsid w:val="15264037"/>
    <w:rsid w:val="15293653"/>
    <w:rsid w:val="1534169A"/>
    <w:rsid w:val="15C03E03"/>
    <w:rsid w:val="162A25EB"/>
    <w:rsid w:val="16964761"/>
    <w:rsid w:val="16A16C77"/>
    <w:rsid w:val="16EC01AC"/>
    <w:rsid w:val="16FD2A55"/>
    <w:rsid w:val="171165F4"/>
    <w:rsid w:val="172D5474"/>
    <w:rsid w:val="17366761"/>
    <w:rsid w:val="17367FEC"/>
    <w:rsid w:val="177B3D48"/>
    <w:rsid w:val="177C01F0"/>
    <w:rsid w:val="17CE6630"/>
    <w:rsid w:val="19063AEB"/>
    <w:rsid w:val="19304EC9"/>
    <w:rsid w:val="19517E50"/>
    <w:rsid w:val="19547818"/>
    <w:rsid w:val="19820BA0"/>
    <w:rsid w:val="1AFA16D5"/>
    <w:rsid w:val="1B4F19F8"/>
    <w:rsid w:val="1B523BF3"/>
    <w:rsid w:val="1B59617D"/>
    <w:rsid w:val="1B6B02C6"/>
    <w:rsid w:val="1BA4625F"/>
    <w:rsid w:val="1BAD05AE"/>
    <w:rsid w:val="1BC96DA5"/>
    <w:rsid w:val="1BD92184"/>
    <w:rsid w:val="1C422400"/>
    <w:rsid w:val="1C5170A2"/>
    <w:rsid w:val="1C6A545F"/>
    <w:rsid w:val="1C723CF6"/>
    <w:rsid w:val="1D23361F"/>
    <w:rsid w:val="1D4061A8"/>
    <w:rsid w:val="1D7248EE"/>
    <w:rsid w:val="1DAF3831"/>
    <w:rsid w:val="1E070F0B"/>
    <w:rsid w:val="1E4A2E9F"/>
    <w:rsid w:val="1E9B4F4B"/>
    <w:rsid w:val="1ECC2495"/>
    <w:rsid w:val="1EEE23EF"/>
    <w:rsid w:val="1F063325"/>
    <w:rsid w:val="1FA2402F"/>
    <w:rsid w:val="1FBC5DF5"/>
    <w:rsid w:val="1FC55574"/>
    <w:rsid w:val="203D099C"/>
    <w:rsid w:val="204035F3"/>
    <w:rsid w:val="20781442"/>
    <w:rsid w:val="207B320E"/>
    <w:rsid w:val="209A67D0"/>
    <w:rsid w:val="20B52396"/>
    <w:rsid w:val="20B84F0C"/>
    <w:rsid w:val="20BD316F"/>
    <w:rsid w:val="21A05B3E"/>
    <w:rsid w:val="21B83F86"/>
    <w:rsid w:val="21D06642"/>
    <w:rsid w:val="21E55E66"/>
    <w:rsid w:val="221178A8"/>
    <w:rsid w:val="221213CF"/>
    <w:rsid w:val="22327A92"/>
    <w:rsid w:val="22501E48"/>
    <w:rsid w:val="22965435"/>
    <w:rsid w:val="22BD6F35"/>
    <w:rsid w:val="22F354D2"/>
    <w:rsid w:val="23091172"/>
    <w:rsid w:val="231D53A2"/>
    <w:rsid w:val="23203542"/>
    <w:rsid w:val="2329457E"/>
    <w:rsid w:val="23B7504C"/>
    <w:rsid w:val="240A4A8B"/>
    <w:rsid w:val="24571307"/>
    <w:rsid w:val="249233BF"/>
    <w:rsid w:val="249807CC"/>
    <w:rsid w:val="24BA2984"/>
    <w:rsid w:val="25126E09"/>
    <w:rsid w:val="25246333"/>
    <w:rsid w:val="25AD22C7"/>
    <w:rsid w:val="25C14636"/>
    <w:rsid w:val="26446DE3"/>
    <w:rsid w:val="264D165B"/>
    <w:rsid w:val="265F3538"/>
    <w:rsid w:val="26835926"/>
    <w:rsid w:val="26CD1617"/>
    <w:rsid w:val="26D7699F"/>
    <w:rsid w:val="26F22263"/>
    <w:rsid w:val="271B68B7"/>
    <w:rsid w:val="27234AD7"/>
    <w:rsid w:val="274A5E17"/>
    <w:rsid w:val="279A2132"/>
    <w:rsid w:val="27A93636"/>
    <w:rsid w:val="284D08E4"/>
    <w:rsid w:val="2912495F"/>
    <w:rsid w:val="29341449"/>
    <w:rsid w:val="29531C35"/>
    <w:rsid w:val="29962482"/>
    <w:rsid w:val="29E17ECF"/>
    <w:rsid w:val="2A2D3BAD"/>
    <w:rsid w:val="2A3C780E"/>
    <w:rsid w:val="2A5A691B"/>
    <w:rsid w:val="2A6E45DC"/>
    <w:rsid w:val="2B09065E"/>
    <w:rsid w:val="2B774624"/>
    <w:rsid w:val="2BD96984"/>
    <w:rsid w:val="2BF67AC6"/>
    <w:rsid w:val="2C3C6E9F"/>
    <w:rsid w:val="2C7A72BE"/>
    <w:rsid w:val="2CE1294E"/>
    <w:rsid w:val="2CEF31DD"/>
    <w:rsid w:val="2D0113D5"/>
    <w:rsid w:val="2D0B0D41"/>
    <w:rsid w:val="2D741C95"/>
    <w:rsid w:val="2DC07DFB"/>
    <w:rsid w:val="2DD55229"/>
    <w:rsid w:val="2E2853C9"/>
    <w:rsid w:val="2E3777C8"/>
    <w:rsid w:val="2ED42056"/>
    <w:rsid w:val="2EEB5D26"/>
    <w:rsid w:val="2F013AAD"/>
    <w:rsid w:val="2F0144D9"/>
    <w:rsid w:val="2F3E5899"/>
    <w:rsid w:val="2F401D3C"/>
    <w:rsid w:val="2F436F36"/>
    <w:rsid w:val="2F70241B"/>
    <w:rsid w:val="2F8E4D3E"/>
    <w:rsid w:val="2FA95C88"/>
    <w:rsid w:val="2FCA1630"/>
    <w:rsid w:val="2FDE1594"/>
    <w:rsid w:val="3041370F"/>
    <w:rsid w:val="307039CC"/>
    <w:rsid w:val="308D3B08"/>
    <w:rsid w:val="30921E98"/>
    <w:rsid w:val="30A96A8C"/>
    <w:rsid w:val="30F06C49"/>
    <w:rsid w:val="31083A05"/>
    <w:rsid w:val="314D2238"/>
    <w:rsid w:val="3180356E"/>
    <w:rsid w:val="31A35E51"/>
    <w:rsid w:val="31E1298D"/>
    <w:rsid w:val="32453A27"/>
    <w:rsid w:val="3263064A"/>
    <w:rsid w:val="329D2977"/>
    <w:rsid w:val="32AC0C06"/>
    <w:rsid w:val="33814498"/>
    <w:rsid w:val="33D76813"/>
    <w:rsid w:val="33FA1CBC"/>
    <w:rsid w:val="341A5637"/>
    <w:rsid w:val="342866FA"/>
    <w:rsid w:val="349D61A9"/>
    <w:rsid w:val="34CA3F9D"/>
    <w:rsid w:val="351A700F"/>
    <w:rsid w:val="35304278"/>
    <w:rsid w:val="3537750C"/>
    <w:rsid w:val="3537798C"/>
    <w:rsid w:val="357F7ED5"/>
    <w:rsid w:val="359F0F3C"/>
    <w:rsid w:val="35A04ACF"/>
    <w:rsid w:val="35A5140F"/>
    <w:rsid w:val="35C13FC9"/>
    <w:rsid w:val="35D669F5"/>
    <w:rsid w:val="35FB6A93"/>
    <w:rsid w:val="361A7BC8"/>
    <w:rsid w:val="362E6D87"/>
    <w:rsid w:val="364257B6"/>
    <w:rsid w:val="367B3D86"/>
    <w:rsid w:val="36F834D1"/>
    <w:rsid w:val="372275C1"/>
    <w:rsid w:val="372A7CD5"/>
    <w:rsid w:val="374264D3"/>
    <w:rsid w:val="37647A85"/>
    <w:rsid w:val="377806AC"/>
    <w:rsid w:val="37826C8E"/>
    <w:rsid w:val="37C1661D"/>
    <w:rsid w:val="37DB7874"/>
    <w:rsid w:val="37E961A0"/>
    <w:rsid w:val="37EA5922"/>
    <w:rsid w:val="37F01CE0"/>
    <w:rsid w:val="3809405A"/>
    <w:rsid w:val="38276B93"/>
    <w:rsid w:val="38777BE0"/>
    <w:rsid w:val="388F7B77"/>
    <w:rsid w:val="38E17006"/>
    <w:rsid w:val="39A83F05"/>
    <w:rsid w:val="3A0B64A7"/>
    <w:rsid w:val="3A4A48F1"/>
    <w:rsid w:val="3A7038BB"/>
    <w:rsid w:val="3A9702F2"/>
    <w:rsid w:val="3AC10DF2"/>
    <w:rsid w:val="3AD022C5"/>
    <w:rsid w:val="3AF74C02"/>
    <w:rsid w:val="3B4B1141"/>
    <w:rsid w:val="3B590D7D"/>
    <w:rsid w:val="3BC6658C"/>
    <w:rsid w:val="3C0059A5"/>
    <w:rsid w:val="3C134E78"/>
    <w:rsid w:val="3C1F17D9"/>
    <w:rsid w:val="3C301B5F"/>
    <w:rsid w:val="3C93083D"/>
    <w:rsid w:val="3CAB1AFC"/>
    <w:rsid w:val="3CC66AB0"/>
    <w:rsid w:val="3D05582A"/>
    <w:rsid w:val="3D1F0A67"/>
    <w:rsid w:val="3D3500DD"/>
    <w:rsid w:val="3DC426E4"/>
    <w:rsid w:val="3DF6345D"/>
    <w:rsid w:val="3E3A4464"/>
    <w:rsid w:val="3E703177"/>
    <w:rsid w:val="3E950E30"/>
    <w:rsid w:val="3EE13701"/>
    <w:rsid w:val="3EFA9C1A"/>
    <w:rsid w:val="3F1440C5"/>
    <w:rsid w:val="3F1A4BB3"/>
    <w:rsid w:val="3FF201E1"/>
    <w:rsid w:val="40192BA6"/>
    <w:rsid w:val="409C1193"/>
    <w:rsid w:val="40F75B39"/>
    <w:rsid w:val="416F7DC0"/>
    <w:rsid w:val="41871E89"/>
    <w:rsid w:val="42550A18"/>
    <w:rsid w:val="425600A9"/>
    <w:rsid w:val="42623988"/>
    <w:rsid w:val="42BC698B"/>
    <w:rsid w:val="42D114D2"/>
    <w:rsid w:val="42F473A1"/>
    <w:rsid w:val="432D04A7"/>
    <w:rsid w:val="4334035A"/>
    <w:rsid w:val="441E62C0"/>
    <w:rsid w:val="44274ACD"/>
    <w:rsid w:val="44292500"/>
    <w:rsid w:val="445B0C1C"/>
    <w:rsid w:val="45105BCC"/>
    <w:rsid w:val="453B477F"/>
    <w:rsid w:val="45577EBC"/>
    <w:rsid w:val="45811C7C"/>
    <w:rsid w:val="458A4604"/>
    <w:rsid w:val="45A03ADC"/>
    <w:rsid w:val="45AA78B4"/>
    <w:rsid w:val="45BF33F9"/>
    <w:rsid w:val="468B3EFB"/>
    <w:rsid w:val="46F851C7"/>
    <w:rsid w:val="46F9547C"/>
    <w:rsid w:val="470A6193"/>
    <w:rsid w:val="474C0E73"/>
    <w:rsid w:val="479B1265"/>
    <w:rsid w:val="47AA339A"/>
    <w:rsid w:val="47DC0366"/>
    <w:rsid w:val="47DC4F5C"/>
    <w:rsid w:val="487F1A01"/>
    <w:rsid w:val="48A04659"/>
    <w:rsid w:val="48B40671"/>
    <w:rsid w:val="48C1509F"/>
    <w:rsid w:val="49395942"/>
    <w:rsid w:val="499B5738"/>
    <w:rsid w:val="499F244D"/>
    <w:rsid w:val="49E634D1"/>
    <w:rsid w:val="49EC47D8"/>
    <w:rsid w:val="4A8F58C2"/>
    <w:rsid w:val="4ACE550A"/>
    <w:rsid w:val="4AF96BC7"/>
    <w:rsid w:val="4B3771CF"/>
    <w:rsid w:val="4B670400"/>
    <w:rsid w:val="4B6F54BC"/>
    <w:rsid w:val="4B842132"/>
    <w:rsid w:val="4BBF27E9"/>
    <w:rsid w:val="4BC014C7"/>
    <w:rsid w:val="4BFB4050"/>
    <w:rsid w:val="4C0F3846"/>
    <w:rsid w:val="4C825C0C"/>
    <w:rsid w:val="4CAE0606"/>
    <w:rsid w:val="4CEF36E2"/>
    <w:rsid w:val="4D3B1120"/>
    <w:rsid w:val="4DAF4CC1"/>
    <w:rsid w:val="4DC541B9"/>
    <w:rsid w:val="4E366700"/>
    <w:rsid w:val="4E676345"/>
    <w:rsid w:val="4EE33AB2"/>
    <w:rsid w:val="4EE911C5"/>
    <w:rsid w:val="4F1D38F0"/>
    <w:rsid w:val="4F2A1AD0"/>
    <w:rsid w:val="4F372FFB"/>
    <w:rsid w:val="4F5B1957"/>
    <w:rsid w:val="4FA76FA4"/>
    <w:rsid w:val="5044725D"/>
    <w:rsid w:val="509B0A1D"/>
    <w:rsid w:val="513F391C"/>
    <w:rsid w:val="5140185C"/>
    <w:rsid w:val="51525B9F"/>
    <w:rsid w:val="51564E44"/>
    <w:rsid w:val="51654AD5"/>
    <w:rsid w:val="52111E6D"/>
    <w:rsid w:val="52282C57"/>
    <w:rsid w:val="52C10D75"/>
    <w:rsid w:val="53181453"/>
    <w:rsid w:val="53283BC9"/>
    <w:rsid w:val="532969D2"/>
    <w:rsid w:val="535B7AFB"/>
    <w:rsid w:val="53C125EB"/>
    <w:rsid w:val="546A32F2"/>
    <w:rsid w:val="54C52F8B"/>
    <w:rsid w:val="54C53DC5"/>
    <w:rsid w:val="550C4BD7"/>
    <w:rsid w:val="552B29AF"/>
    <w:rsid w:val="55572986"/>
    <w:rsid w:val="55A14ACC"/>
    <w:rsid w:val="56020D0D"/>
    <w:rsid w:val="562B20BF"/>
    <w:rsid w:val="56434AC6"/>
    <w:rsid w:val="56C31F5B"/>
    <w:rsid w:val="56D04C17"/>
    <w:rsid w:val="56EA244D"/>
    <w:rsid w:val="57094A08"/>
    <w:rsid w:val="57345E94"/>
    <w:rsid w:val="5787544F"/>
    <w:rsid w:val="5884764A"/>
    <w:rsid w:val="58FA1B64"/>
    <w:rsid w:val="59346C2D"/>
    <w:rsid w:val="59A05DE5"/>
    <w:rsid w:val="59B03DDE"/>
    <w:rsid w:val="59B66B5C"/>
    <w:rsid w:val="5A3D4CF5"/>
    <w:rsid w:val="5A4F2A7F"/>
    <w:rsid w:val="5A6B79A6"/>
    <w:rsid w:val="5A871B1D"/>
    <w:rsid w:val="5A957D93"/>
    <w:rsid w:val="5AF66C4C"/>
    <w:rsid w:val="5AFD311B"/>
    <w:rsid w:val="5B3207BB"/>
    <w:rsid w:val="5B3760D9"/>
    <w:rsid w:val="5B86261A"/>
    <w:rsid w:val="5B94144C"/>
    <w:rsid w:val="5BE014E5"/>
    <w:rsid w:val="5BEC760C"/>
    <w:rsid w:val="5C127D54"/>
    <w:rsid w:val="5CC42859"/>
    <w:rsid w:val="5D166B9D"/>
    <w:rsid w:val="5D897080"/>
    <w:rsid w:val="5D8D79E0"/>
    <w:rsid w:val="5DC2783A"/>
    <w:rsid w:val="5DF55707"/>
    <w:rsid w:val="5E1B2389"/>
    <w:rsid w:val="5EC1512D"/>
    <w:rsid w:val="5EF070FC"/>
    <w:rsid w:val="5F12674D"/>
    <w:rsid w:val="5F80710D"/>
    <w:rsid w:val="5FDF74DA"/>
    <w:rsid w:val="606007BB"/>
    <w:rsid w:val="60A7347D"/>
    <w:rsid w:val="60AC7F66"/>
    <w:rsid w:val="617E2661"/>
    <w:rsid w:val="618835DC"/>
    <w:rsid w:val="61A11716"/>
    <w:rsid w:val="61BF10D9"/>
    <w:rsid w:val="62260DBF"/>
    <w:rsid w:val="629F7BDB"/>
    <w:rsid w:val="631928DF"/>
    <w:rsid w:val="635032AD"/>
    <w:rsid w:val="63E46773"/>
    <w:rsid w:val="640C7C21"/>
    <w:rsid w:val="645F20FF"/>
    <w:rsid w:val="64E45EF7"/>
    <w:rsid w:val="652A31DB"/>
    <w:rsid w:val="655A9E13"/>
    <w:rsid w:val="666079AF"/>
    <w:rsid w:val="66A575B3"/>
    <w:rsid w:val="66A57729"/>
    <w:rsid w:val="66C061B6"/>
    <w:rsid w:val="670F748C"/>
    <w:rsid w:val="6735733B"/>
    <w:rsid w:val="6736338C"/>
    <w:rsid w:val="677435B2"/>
    <w:rsid w:val="67EF75F1"/>
    <w:rsid w:val="681C76FB"/>
    <w:rsid w:val="68543FA9"/>
    <w:rsid w:val="68774BE5"/>
    <w:rsid w:val="68B87030"/>
    <w:rsid w:val="68FE2FAA"/>
    <w:rsid w:val="69124F16"/>
    <w:rsid w:val="69C64B0E"/>
    <w:rsid w:val="69CD5C14"/>
    <w:rsid w:val="69CF0D33"/>
    <w:rsid w:val="6A050368"/>
    <w:rsid w:val="6A2579A2"/>
    <w:rsid w:val="6AB24495"/>
    <w:rsid w:val="6B9946B3"/>
    <w:rsid w:val="6C310D11"/>
    <w:rsid w:val="6C6B0A40"/>
    <w:rsid w:val="6C921AAA"/>
    <w:rsid w:val="6CDF6E5A"/>
    <w:rsid w:val="6CFB334B"/>
    <w:rsid w:val="6D122084"/>
    <w:rsid w:val="6D1837C6"/>
    <w:rsid w:val="6D616FCB"/>
    <w:rsid w:val="6DBD691E"/>
    <w:rsid w:val="6DE76850"/>
    <w:rsid w:val="6E336FB7"/>
    <w:rsid w:val="6E3B7F3B"/>
    <w:rsid w:val="6E5C28C7"/>
    <w:rsid w:val="6E927CF6"/>
    <w:rsid w:val="6E9A1018"/>
    <w:rsid w:val="6EC92F9F"/>
    <w:rsid w:val="6ECA7E4F"/>
    <w:rsid w:val="6FB20BD4"/>
    <w:rsid w:val="6FBA59BE"/>
    <w:rsid w:val="6FBE50EA"/>
    <w:rsid w:val="700A5AE3"/>
    <w:rsid w:val="70296B3E"/>
    <w:rsid w:val="70611204"/>
    <w:rsid w:val="707011E5"/>
    <w:rsid w:val="70D94A29"/>
    <w:rsid w:val="70F17BCE"/>
    <w:rsid w:val="710C3DE5"/>
    <w:rsid w:val="712603C8"/>
    <w:rsid w:val="7234593E"/>
    <w:rsid w:val="728A2B09"/>
    <w:rsid w:val="72983CD3"/>
    <w:rsid w:val="72EF4CB6"/>
    <w:rsid w:val="72F134D1"/>
    <w:rsid w:val="735018BD"/>
    <w:rsid w:val="73943390"/>
    <w:rsid w:val="739E4D48"/>
    <w:rsid w:val="73D817D1"/>
    <w:rsid w:val="743B2F14"/>
    <w:rsid w:val="746A24BE"/>
    <w:rsid w:val="747579F4"/>
    <w:rsid w:val="749F1040"/>
    <w:rsid w:val="74FA2C30"/>
    <w:rsid w:val="752C4169"/>
    <w:rsid w:val="75F87035"/>
    <w:rsid w:val="76250197"/>
    <w:rsid w:val="766F0F83"/>
    <w:rsid w:val="769531ED"/>
    <w:rsid w:val="76BC49EB"/>
    <w:rsid w:val="76C770D1"/>
    <w:rsid w:val="77000DA2"/>
    <w:rsid w:val="77AF08D6"/>
    <w:rsid w:val="781E69D1"/>
    <w:rsid w:val="78340059"/>
    <w:rsid w:val="78883D8F"/>
    <w:rsid w:val="78EE16A0"/>
    <w:rsid w:val="792A4CC8"/>
    <w:rsid w:val="793B68D7"/>
    <w:rsid w:val="79BE1CAB"/>
    <w:rsid w:val="7A2B7F7C"/>
    <w:rsid w:val="7ADD0453"/>
    <w:rsid w:val="7AF46346"/>
    <w:rsid w:val="7B050F64"/>
    <w:rsid w:val="7B0F5EBF"/>
    <w:rsid w:val="7B130FB9"/>
    <w:rsid w:val="7B172A15"/>
    <w:rsid w:val="7B6E2361"/>
    <w:rsid w:val="7BDE0625"/>
    <w:rsid w:val="7BF64EDE"/>
    <w:rsid w:val="7C400C1E"/>
    <w:rsid w:val="7C6C6CCE"/>
    <w:rsid w:val="7C773348"/>
    <w:rsid w:val="7CB0484C"/>
    <w:rsid w:val="7D422E99"/>
    <w:rsid w:val="7D5A57C3"/>
    <w:rsid w:val="7DD11708"/>
    <w:rsid w:val="7DD83ECB"/>
    <w:rsid w:val="7DE61E62"/>
    <w:rsid w:val="7DF46F4A"/>
    <w:rsid w:val="7E3D4C74"/>
    <w:rsid w:val="7E6E6836"/>
    <w:rsid w:val="7EBC46EA"/>
    <w:rsid w:val="7EC167BD"/>
    <w:rsid w:val="7ECB7E40"/>
    <w:rsid w:val="7EE9711A"/>
    <w:rsid w:val="7F4E5197"/>
    <w:rsid w:val="7F893AD5"/>
    <w:rsid w:val="7FCA72CB"/>
    <w:rsid w:val="7FCB062D"/>
    <w:rsid w:val="7FEE04DC"/>
    <w:rsid w:val="7FF82C26"/>
    <w:rsid w:val="EF6DC4F0"/>
    <w:rsid w:val="FFF6D5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autoRedefine/>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39"/>
    <w:autoRedefine/>
    <w:qFormat/>
    <w:uiPriority w:val="9"/>
    <w:pPr>
      <w:keepNext/>
      <w:keepLines/>
      <w:spacing w:before="280" w:after="290" w:line="376" w:lineRule="auto"/>
      <w:outlineLvl w:val="4"/>
    </w:pPr>
    <w:rPr>
      <w:b/>
      <w:bCs/>
      <w:sz w:val="28"/>
      <w:szCs w:val="28"/>
    </w:rPr>
  </w:style>
  <w:style w:type="character" w:default="1" w:styleId="29">
    <w:name w:val="Default Paragraph Font"/>
    <w:autoRedefine/>
    <w:semiHidden/>
    <w:unhideWhenUsed/>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autoRedefine/>
    <w:qFormat/>
    <w:uiPriority w:val="0"/>
    <w:pPr>
      <w:spacing w:after="120"/>
      <w:ind w:left="420" w:leftChars="200" w:firstLine="420" w:firstLineChars="200"/>
    </w:pPr>
  </w:style>
  <w:style w:type="paragraph" w:styleId="7">
    <w:name w:val="Normal Indent"/>
    <w:basedOn w:val="1"/>
    <w:autoRedefine/>
    <w:qFormat/>
    <w:uiPriority w:val="0"/>
    <w:pPr>
      <w:ind w:firstLine="420"/>
    </w:pPr>
    <w:rPr>
      <w:szCs w:val="20"/>
    </w:rPr>
  </w:style>
  <w:style w:type="paragraph" w:styleId="8">
    <w:name w:val="index 8"/>
    <w:basedOn w:val="1"/>
    <w:next w:val="1"/>
    <w:autoRedefine/>
    <w:qFormat/>
    <w:uiPriority w:val="0"/>
    <w:pPr>
      <w:ind w:left="2940"/>
    </w:pPr>
  </w:style>
  <w:style w:type="paragraph" w:styleId="9">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0"/>
    <w:autoRedefine/>
    <w:qFormat/>
    <w:uiPriority w:val="0"/>
    <w:pPr>
      <w:jc w:val="left"/>
    </w:pPr>
    <w:rPr>
      <w:rFonts w:ascii="宋体" w:hAnsi="宋体" w:cs="宋体"/>
      <w:color w:val="000000" w:themeColor="text1"/>
      <w:szCs w:val="21"/>
      <w14:textFill>
        <w14:solidFill>
          <w14:schemeClr w14:val="tx1"/>
        </w14:solidFill>
      </w14:textFill>
    </w:rPr>
  </w:style>
  <w:style w:type="paragraph" w:styleId="11">
    <w:name w:val="Body Text 3"/>
    <w:basedOn w:val="1"/>
    <w:link w:val="41"/>
    <w:autoRedefine/>
    <w:unhideWhenUsed/>
    <w:qFormat/>
    <w:uiPriority w:val="99"/>
    <w:pPr>
      <w:spacing w:after="120"/>
    </w:pPr>
    <w:rPr>
      <w:sz w:val="16"/>
      <w:szCs w:val="16"/>
    </w:rPr>
  </w:style>
  <w:style w:type="paragraph" w:styleId="12">
    <w:name w:val="Body Text"/>
    <w:basedOn w:val="1"/>
    <w:next w:val="13"/>
    <w:link w:val="42"/>
    <w:autoRedefine/>
    <w:unhideWhenUsed/>
    <w:qFormat/>
    <w:uiPriority w:val="0"/>
    <w:pPr>
      <w:spacing w:after="120"/>
    </w:pPr>
  </w:style>
  <w:style w:type="paragraph" w:styleId="13">
    <w:name w:val="Body Text First Indent"/>
    <w:basedOn w:val="12"/>
    <w:next w:val="1"/>
    <w:autoRedefine/>
    <w:qFormat/>
    <w:uiPriority w:val="0"/>
    <w:pPr>
      <w:ind w:firstLine="420" w:firstLineChars="100"/>
    </w:pPr>
  </w:style>
  <w:style w:type="paragraph" w:styleId="14">
    <w:name w:val="Body Text Indent"/>
    <w:basedOn w:val="1"/>
    <w:link w:val="43"/>
    <w:autoRedefine/>
    <w:qFormat/>
    <w:uiPriority w:val="0"/>
    <w:pPr>
      <w:ind w:firstLine="830" w:firstLineChars="352"/>
    </w:pPr>
    <w:rPr>
      <w:rFonts w:ascii="仿宋_GB2312" w:eastAsia="仿宋_GB2312"/>
      <w:kern w:val="0"/>
      <w:sz w:val="32"/>
      <w:szCs w:val="20"/>
    </w:rPr>
  </w:style>
  <w:style w:type="paragraph" w:styleId="15">
    <w:name w:val="List 2"/>
    <w:basedOn w:val="1"/>
    <w:autoRedefine/>
    <w:unhideWhenUsed/>
    <w:qFormat/>
    <w:uiPriority w:val="99"/>
    <w:pPr>
      <w:ind w:left="100" w:leftChars="200" w:hanging="200" w:hangingChars="200"/>
      <w:contextualSpacing/>
    </w:pPr>
  </w:style>
  <w:style w:type="paragraph" w:styleId="16">
    <w:name w:val="Block Text"/>
    <w:basedOn w:val="1"/>
    <w:autoRedefine/>
    <w:qFormat/>
    <w:uiPriority w:val="0"/>
    <w:pPr>
      <w:tabs>
        <w:tab w:val="left" w:pos="1440"/>
      </w:tabs>
      <w:spacing w:after="100"/>
      <w:ind w:left="3600" w:right="-288" w:hanging="2880"/>
    </w:pPr>
    <w:rPr>
      <w:snapToGrid w:val="0"/>
      <w:kern w:val="0"/>
      <w:sz w:val="22"/>
      <w:szCs w:val="20"/>
      <w:lang w:eastAsia="en-US"/>
    </w:rPr>
  </w:style>
  <w:style w:type="paragraph" w:styleId="17">
    <w:name w:val="Plain Text"/>
    <w:basedOn w:val="1"/>
    <w:next w:val="8"/>
    <w:link w:val="44"/>
    <w:autoRedefine/>
    <w:qFormat/>
    <w:uiPriority w:val="0"/>
    <w:rPr>
      <w:rFonts w:ascii="宋体" w:hAnsi="Courier New"/>
      <w:kern w:val="0"/>
      <w:sz w:val="20"/>
      <w:szCs w:val="21"/>
    </w:rPr>
  </w:style>
  <w:style w:type="paragraph" w:styleId="18">
    <w:name w:val="Date"/>
    <w:basedOn w:val="1"/>
    <w:next w:val="1"/>
    <w:link w:val="45"/>
    <w:autoRedefine/>
    <w:unhideWhenUsed/>
    <w:qFormat/>
    <w:uiPriority w:val="99"/>
    <w:pPr>
      <w:ind w:left="100" w:leftChars="2500"/>
    </w:pPr>
  </w:style>
  <w:style w:type="paragraph" w:styleId="19">
    <w:name w:val="Balloon Text"/>
    <w:basedOn w:val="1"/>
    <w:autoRedefine/>
    <w:semiHidden/>
    <w:qFormat/>
    <w:uiPriority w:val="0"/>
    <w:rPr>
      <w:sz w:val="18"/>
      <w:szCs w:val="18"/>
    </w:rPr>
  </w:style>
  <w:style w:type="paragraph" w:styleId="20">
    <w:name w:val="footer"/>
    <w:basedOn w:val="1"/>
    <w:next w:val="1"/>
    <w:link w:val="46"/>
    <w:autoRedefine/>
    <w:unhideWhenUsed/>
    <w:qFormat/>
    <w:uiPriority w:val="99"/>
    <w:pPr>
      <w:tabs>
        <w:tab w:val="center" w:pos="4153"/>
        <w:tab w:val="right" w:pos="8306"/>
      </w:tabs>
      <w:snapToGrid w:val="0"/>
      <w:jc w:val="left"/>
    </w:pPr>
    <w:rPr>
      <w:rFonts w:ascii="宋体" w:hAnsi="宋体" w:cs="宋体"/>
      <w:color w:val="FF0000"/>
      <w:szCs w:val="21"/>
    </w:rPr>
  </w:style>
  <w:style w:type="paragraph" w:styleId="21">
    <w:name w:val="header"/>
    <w:basedOn w:val="1"/>
    <w:link w:val="47"/>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autoRedefine/>
    <w:unhideWhenUsed/>
    <w:qFormat/>
    <w:uiPriority w:val="39"/>
  </w:style>
  <w:style w:type="paragraph" w:styleId="23">
    <w:name w:val="toc 2"/>
    <w:basedOn w:val="1"/>
    <w:next w:val="1"/>
    <w:autoRedefine/>
    <w:unhideWhenUsed/>
    <w:qFormat/>
    <w:uiPriority w:val="39"/>
    <w:pPr>
      <w:tabs>
        <w:tab w:val="right" w:leader="dot" w:pos="8296"/>
      </w:tabs>
      <w:ind w:left="420" w:leftChars="200"/>
    </w:pPr>
  </w:style>
  <w:style w:type="paragraph" w:styleId="24">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rPr>
  </w:style>
  <w:style w:type="paragraph" w:styleId="25">
    <w:name w:val="Normal (Web)"/>
    <w:basedOn w:val="1"/>
    <w:autoRedefine/>
    <w:unhideWhenUsed/>
    <w:qFormat/>
    <w:uiPriority w:val="99"/>
    <w:rPr>
      <w:rFonts w:ascii="Calibri" w:hAnsi="Calibri"/>
      <w:kern w:val="0"/>
      <w:sz w:val="24"/>
    </w:rPr>
  </w:style>
  <w:style w:type="paragraph" w:styleId="26">
    <w:name w:val="annotation subject"/>
    <w:basedOn w:val="10"/>
    <w:next w:val="10"/>
    <w:link w:val="48"/>
    <w:autoRedefine/>
    <w:qFormat/>
    <w:uiPriority w:val="99"/>
    <w:rPr>
      <w:b/>
      <w:bCs/>
    </w:rPr>
  </w:style>
  <w:style w:type="table" w:styleId="28">
    <w:name w:val="Table Grid"/>
    <w:basedOn w:val="2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basedOn w:val="29"/>
    <w:autoRedefine/>
    <w:qFormat/>
    <w:uiPriority w:val="22"/>
    <w:rPr>
      <w:b/>
    </w:rPr>
  </w:style>
  <w:style w:type="character" w:styleId="31">
    <w:name w:val="page number"/>
    <w:autoRedefine/>
    <w:qFormat/>
    <w:uiPriority w:val="0"/>
  </w:style>
  <w:style w:type="character" w:styleId="32">
    <w:name w:val="FollowedHyperlink"/>
    <w:basedOn w:val="29"/>
    <w:autoRedefine/>
    <w:unhideWhenUsed/>
    <w:qFormat/>
    <w:uiPriority w:val="99"/>
    <w:rPr>
      <w:color w:val="800080"/>
      <w:u w:val="single"/>
    </w:rPr>
  </w:style>
  <w:style w:type="character" w:styleId="33">
    <w:name w:val="Emphasis"/>
    <w:basedOn w:val="29"/>
    <w:autoRedefine/>
    <w:qFormat/>
    <w:uiPriority w:val="20"/>
    <w:rPr>
      <w:i/>
    </w:rPr>
  </w:style>
  <w:style w:type="character" w:styleId="34">
    <w:name w:val="Hyperlink"/>
    <w:autoRedefine/>
    <w:unhideWhenUsed/>
    <w:qFormat/>
    <w:uiPriority w:val="99"/>
    <w:rPr>
      <w:color w:val="0000FF"/>
      <w:u w:val="single"/>
    </w:rPr>
  </w:style>
  <w:style w:type="character" w:styleId="35">
    <w:name w:val="annotation reference"/>
    <w:basedOn w:val="29"/>
    <w:autoRedefine/>
    <w:qFormat/>
    <w:uiPriority w:val="0"/>
    <w:rPr>
      <w:sz w:val="21"/>
      <w:szCs w:val="21"/>
    </w:rPr>
  </w:style>
  <w:style w:type="paragraph" w:customStyle="1" w:styleId="36">
    <w:name w:val="无间隔1"/>
    <w:autoRedefine/>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37">
    <w:name w:val="标题 1 字符1"/>
    <w:link w:val="3"/>
    <w:autoRedefine/>
    <w:qFormat/>
    <w:uiPriority w:val="0"/>
    <w:rPr>
      <w:b/>
      <w:bCs/>
      <w:kern w:val="44"/>
      <w:sz w:val="44"/>
      <w:szCs w:val="44"/>
    </w:rPr>
  </w:style>
  <w:style w:type="character" w:customStyle="1" w:styleId="38">
    <w:name w:val="标题 2 字符"/>
    <w:link w:val="4"/>
    <w:autoRedefine/>
    <w:qFormat/>
    <w:uiPriority w:val="9"/>
    <w:rPr>
      <w:rFonts w:ascii="Cambria" w:hAnsi="Cambria" w:eastAsia="宋体" w:cs="Times New Roman"/>
      <w:b/>
      <w:bCs/>
      <w:kern w:val="2"/>
      <w:sz w:val="32"/>
      <w:szCs w:val="32"/>
    </w:rPr>
  </w:style>
  <w:style w:type="character" w:customStyle="1" w:styleId="39">
    <w:name w:val="标题 5 字符"/>
    <w:link w:val="6"/>
    <w:autoRedefine/>
    <w:semiHidden/>
    <w:qFormat/>
    <w:uiPriority w:val="9"/>
    <w:rPr>
      <w:rFonts w:ascii="Times New Roman" w:hAnsi="Times New Roman"/>
      <w:b/>
      <w:bCs/>
      <w:kern w:val="2"/>
      <w:sz w:val="28"/>
      <w:szCs w:val="28"/>
    </w:rPr>
  </w:style>
  <w:style w:type="character" w:customStyle="1" w:styleId="40">
    <w:name w:val="批注文字 字符"/>
    <w:link w:val="10"/>
    <w:autoRedefine/>
    <w:qFormat/>
    <w:uiPriority w:val="0"/>
    <w:rPr>
      <w:rFonts w:ascii="宋体" w:hAnsi="宋体" w:cs="宋体"/>
      <w:color w:val="000000" w:themeColor="text1"/>
      <w:kern w:val="2"/>
      <w:sz w:val="21"/>
      <w:szCs w:val="21"/>
      <w14:textFill>
        <w14:solidFill>
          <w14:schemeClr w14:val="tx1"/>
        </w14:solidFill>
      </w14:textFill>
    </w:rPr>
  </w:style>
  <w:style w:type="character" w:customStyle="1" w:styleId="41">
    <w:name w:val="正文文本 3 字符"/>
    <w:link w:val="11"/>
    <w:autoRedefine/>
    <w:semiHidden/>
    <w:qFormat/>
    <w:uiPriority w:val="99"/>
    <w:rPr>
      <w:rFonts w:ascii="Times New Roman" w:hAnsi="Times New Roman"/>
      <w:kern w:val="2"/>
      <w:sz w:val="16"/>
      <w:szCs w:val="16"/>
    </w:rPr>
  </w:style>
  <w:style w:type="character" w:customStyle="1" w:styleId="42">
    <w:name w:val="正文文本 字符"/>
    <w:link w:val="12"/>
    <w:autoRedefine/>
    <w:qFormat/>
    <w:uiPriority w:val="0"/>
    <w:rPr>
      <w:rFonts w:ascii="Times New Roman" w:hAnsi="Times New Roman"/>
      <w:kern w:val="2"/>
      <w:sz w:val="21"/>
      <w:szCs w:val="24"/>
    </w:rPr>
  </w:style>
  <w:style w:type="character" w:customStyle="1" w:styleId="43">
    <w:name w:val="正文文本缩进 字符"/>
    <w:link w:val="14"/>
    <w:autoRedefine/>
    <w:qFormat/>
    <w:uiPriority w:val="0"/>
    <w:rPr>
      <w:rFonts w:ascii="仿宋_GB2312" w:hAnsi="Times New Roman" w:eastAsia="仿宋_GB2312" w:cs="Times New Roman"/>
      <w:sz w:val="32"/>
      <w:szCs w:val="20"/>
    </w:rPr>
  </w:style>
  <w:style w:type="character" w:customStyle="1" w:styleId="44">
    <w:name w:val="纯文本 字符"/>
    <w:link w:val="17"/>
    <w:autoRedefine/>
    <w:qFormat/>
    <w:uiPriority w:val="0"/>
    <w:rPr>
      <w:rFonts w:ascii="宋体" w:hAnsi="Courier New" w:eastAsia="宋体" w:cs="Courier New"/>
      <w:szCs w:val="21"/>
    </w:rPr>
  </w:style>
  <w:style w:type="character" w:customStyle="1" w:styleId="45">
    <w:name w:val="日期 字符"/>
    <w:link w:val="18"/>
    <w:autoRedefine/>
    <w:semiHidden/>
    <w:qFormat/>
    <w:uiPriority w:val="99"/>
    <w:rPr>
      <w:rFonts w:ascii="Times New Roman" w:hAnsi="Times New Roman"/>
      <w:kern w:val="2"/>
      <w:sz w:val="21"/>
      <w:szCs w:val="24"/>
    </w:rPr>
  </w:style>
  <w:style w:type="character" w:customStyle="1" w:styleId="46">
    <w:name w:val="页脚 字符"/>
    <w:link w:val="20"/>
    <w:autoRedefine/>
    <w:qFormat/>
    <w:uiPriority w:val="99"/>
    <w:rPr>
      <w:rFonts w:ascii="宋体" w:hAnsi="宋体" w:cs="宋体"/>
      <w:color w:val="FF0000"/>
      <w:kern w:val="2"/>
      <w:sz w:val="21"/>
      <w:szCs w:val="21"/>
    </w:rPr>
  </w:style>
  <w:style w:type="character" w:customStyle="1" w:styleId="47">
    <w:name w:val="页眉 字符"/>
    <w:link w:val="21"/>
    <w:autoRedefine/>
    <w:qFormat/>
    <w:uiPriority w:val="99"/>
    <w:rPr>
      <w:sz w:val="18"/>
      <w:szCs w:val="18"/>
    </w:rPr>
  </w:style>
  <w:style w:type="character" w:customStyle="1" w:styleId="48">
    <w:name w:val="批注主题 字符"/>
    <w:link w:val="26"/>
    <w:autoRedefine/>
    <w:qFormat/>
    <w:uiPriority w:val="99"/>
    <w:rPr>
      <w:rFonts w:ascii="Times New Roman" w:hAnsi="Times New Roman"/>
      <w:b/>
      <w:bCs/>
      <w:kern w:val="2"/>
      <w:sz w:val="21"/>
      <w:szCs w:val="24"/>
    </w:rPr>
  </w:style>
  <w:style w:type="character" w:customStyle="1" w:styleId="49">
    <w:name w:val="正文文本缩进 字符1"/>
    <w:autoRedefine/>
    <w:qFormat/>
    <w:uiPriority w:val="0"/>
    <w:rPr>
      <w:rFonts w:ascii="仿宋_GB2312" w:hAnsi="Times New Roman" w:eastAsia="仿宋_GB2312" w:cs="Times New Roman"/>
      <w:sz w:val="32"/>
      <w:szCs w:val="20"/>
    </w:rPr>
  </w:style>
  <w:style w:type="character" w:customStyle="1" w:styleId="50">
    <w:name w:val="apple-style-span"/>
    <w:autoRedefine/>
    <w:qFormat/>
    <w:uiPriority w:val="0"/>
  </w:style>
  <w:style w:type="character" w:customStyle="1" w:styleId="51">
    <w:name w:val="标题 1 字符"/>
    <w:autoRedefine/>
    <w:qFormat/>
    <w:uiPriority w:val="9"/>
    <w:rPr>
      <w:b/>
      <w:bCs/>
      <w:kern w:val="44"/>
      <w:sz w:val="44"/>
      <w:szCs w:val="44"/>
    </w:rPr>
  </w:style>
  <w:style w:type="character" w:customStyle="1" w:styleId="52">
    <w:name w:val="textcontents"/>
    <w:autoRedefine/>
    <w:qFormat/>
    <w:uiPriority w:val="0"/>
  </w:style>
  <w:style w:type="character" w:customStyle="1" w:styleId="53">
    <w:name w:val="纯文本 字符1"/>
    <w:autoRedefine/>
    <w:qFormat/>
    <w:uiPriority w:val="0"/>
    <w:rPr>
      <w:rFonts w:ascii="宋体" w:hAnsi="Courier New"/>
    </w:rPr>
  </w:style>
  <w:style w:type="character" w:customStyle="1" w:styleId="54">
    <w:name w:val="批注文字 字符1"/>
    <w:autoRedefine/>
    <w:qFormat/>
    <w:uiPriority w:val="0"/>
    <w:rPr>
      <w:kern w:val="2"/>
      <w:sz w:val="21"/>
      <w:szCs w:val="24"/>
    </w:rPr>
  </w:style>
  <w:style w:type="character" w:customStyle="1" w:styleId="55">
    <w:name w:val="纯文本 字符2"/>
    <w:autoRedefine/>
    <w:qFormat/>
    <w:uiPriority w:val="0"/>
    <w:rPr>
      <w:rFonts w:ascii="宋体" w:hAnsi="Courier New" w:eastAsia="宋体" w:cs="Courier New"/>
      <w:szCs w:val="21"/>
    </w:rPr>
  </w:style>
  <w:style w:type="character" w:customStyle="1" w:styleId="56">
    <w:name w:val="页脚 Char"/>
    <w:autoRedefine/>
    <w:qFormat/>
    <w:uiPriority w:val="99"/>
    <w:rPr>
      <w:lang w:eastAsia="zh-CN"/>
    </w:rPr>
  </w:style>
  <w:style w:type="paragraph" w:customStyle="1" w:styleId="57">
    <w:name w:val="默认段落字体 Para Char Char Char Char Char Char Char Char Char1 Char Char Char Char"/>
    <w:basedOn w:val="1"/>
    <w:autoRedefine/>
    <w:qFormat/>
    <w:uiPriority w:val="0"/>
    <w:rPr>
      <w:rFonts w:ascii="Tahoma" w:hAnsi="Tahoma"/>
      <w:sz w:val="24"/>
      <w:szCs w:val="20"/>
    </w:rPr>
  </w:style>
  <w:style w:type="paragraph" w:customStyle="1" w:styleId="58">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59">
    <w:name w:val="列出段落1"/>
    <w:basedOn w:val="1"/>
    <w:autoRedefine/>
    <w:qFormat/>
    <w:uiPriority w:val="34"/>
    <w:pPr>
      <w:ind w:firstLine="420" w:firstLineChars="200"/>
    </w:pPr>
  </w:style>
  <w:style w:type="paragraph" w:customStyle="1" w:styleId="60">
    <w:name w:val="Table Paragraph"/>
    <w:basedOn w:val="1"/>
    <w:autoRedefine/>
    <w:qFormat/>
    <w:uiPriority w:val="1"/>
    <w:pPr>
      <w:jc w:val="left"/>
    </w:pPr>
    <w:rPr>
      <w:rFonts w:ascii="Calibri" w:hAnsi="Calibri"/>
      <w:kern w:val="0"/>
      <w:sz w:val="22"/>
      <w:szCs w:val="22"/>
      <w:lang w:eastAsia="en-US"/>
    </w:rPr>
  </w:style>
  <w:style w:type="character" w:customStyle="1" w:styleId="61">
    <w:name w:val="批注文字 Char1"/>
    <w:autoRedefine/>
    <w:qFormat/>
    <w:uiPriority w:val="0"/>
    <w:rPr>
      <w:rFonts w:ascii="Times New Roman" w:hAnsi="Times New Roman"/>
      <w:kern w:val="2"/>
      <w:sz w:val="21"/>
      <w:szCs w:val="24"/>
    </w:rPr>
  </w:style>
  <w:style w:type="character" w:customStyle="1" w:styleId="62">
    <w:name w:val="批注文字 字符2"/>
    <w:autoRedefine/>
    <w:qFormat/>
    <w:uiPriority w:val="0"/>
    <w:rPr>
      <w:rFonts w:ascii="Times New Roman" w:hAnsi="Times New Roman"/>
      <w:kern w:val="2"/>
      <w:sz w:val="21"/>
      <w:szCs w:val="24"/>
    </w:rPr>
  </w:style>
  <w:style w:type="character" w:customStyle="1" w:styleId="63">
    <w:name w:val="正文文本 (26) + 间距 0 pt"/>
    <w:autoRedefine/>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4">
    <w:name w:val="纯文本 Char1"/>
    <w:autoRedefine/>
    <w:qFormat/>
    <w:uiPriority w:val="0"/>
    <w:rPr>
      <w:rFonts w:ascii="宋体" w:hAnsi="Courier New" w:eastAsia="宋体" w:cs="Courier New"/>
      <w:szCs w:val="21"/>
    </w:rPr>
  </w:style>
  <w:style w:type="character" w:customStyle="1" w:styleId="65">
    <w:name w:val="批注文字 Char2"/>
    <w:autoRedefine/>
    <w:qFormat/>
    <w:uiPriority w:val="0"/>
    <w:rPr>
      <w:rFonts w:ascii="Times New Roman" w:hAnsi="Times New Roman"/>
      <w:kern w:val="2"/>
      <w:sz w:val="21"/>
      <w:szCs w:val="24"/>
    </w:rPr>
  </w:style>
  <w:style w:type="character" w:customStyle="1" w:styleId="66">
    <w:name w:val="font11"/>
    <w:basedOn w:val="29"/>
    <w:autoRedefine/>
    <w:qFormat/>
    <w:uiPriority w:val="0"/>
    <w:rPr>
      <w:rFonts w:hint="eastAsia" w:ascii="宋体" w:hAnsi="宋体" w:eastAsia="宋体" w:cs="宋体"/>
      <w:color w:val="000000"/>
      <w:sz w:val="20"/>
      <w:szCs w:val="20"/>
      <w:u w:val="none"/>
    </w:rPr>
  </w:style>
  <w:style w:type="character" w:customStyle="1" w:styleId="67">
    <w:name w:val="font41"/>
    <w:basedOn w:val="29"/>
    <w:autoRedefine/>
    <w:qFormat/>
    <w:uiPriority w:val="0"/>
    <w:rPr>
      <w:rFonts w:ascii="宋体" w:hAnsi="宋体" w:eastAsia="宋体" w:cs="宋体"/>
      <w:color w:val="000000"/>
      <w:sz w:val="20"/>
      <w:szCs w:val="20"/>
      <w:u w:val="none"/>
    </w:rPr>
  </w:style>
  <w:style w:type="character" w:customStyle="1" w:styleId="68">
    <w:name w:val="font31"/>
    <w:autoRedefine/>
    <w:qFormat/>
    <w:uiPriority w:val="0"/>
    <w:rPr>
      <w:rFonts w:ascii="方正书宋_GBK" w:hAnsi="方正书宋_GBK" w:eastAsia="方正书宋_GBK" w:cs="方正书宋_GBK"/>
      <w:color w:val="000000"/>
      <w:sz w:val="21"/>
      <w:szCs w:val="21"/>
      <w:u w:val="none"/>
    </w:rPr>
  </w:style>
  <w:style w:type="character" w:customStyle="1" w:styleId="69">
    <w:name w:val="font61"/>
    <w:basedOn w:val="29"/>
    <w:autoRedefine/>
    <w:qFormat/>
    <w:uiPriority w:val="0"/>
    <w:rPr>
      <w:rFonts w:hint="default" w:ascii="Times New Roman" w:hAnsi="Times New Roman" w:cs="Times New Roman"/>
      <w:color w:val="000000"/>
      <w:sz w:val="21"/>
      <w:szCs w:val="21"/>
      <w:u w:val="none"/>
    </w:rPr>
  </w:style>
  <w:style w:type="character" w:customStyle="1" w:styleId="70">
    <w:name w:val="font71"/>
    <w:basedOn w:val="29"/>
    <w:autoRedefine/>
    <w:qFormat/>
    <w:uiPriority w:val="0"/>
    <w:rPr>
      <w:rFonts w:hint="eastAsia" w:ascii="宋体" w:hAnsi="宋体" w:eastAsia="宋体" w:cs="宋体"/>
      <w:b/>
      <w:bCs/>
      <w:color w:val="000000"/>
      <w:sz w:val="18"/>
      <w:szCs w:val="18"/>
      <w:u w:val="none"/>
    </w:rPr>
  </w:style>
  <w:style w:type="character" w:customStyle="1" w:styleId="71">
    <w:name w:val="font81"/>
    <w:basedOn w:val="29"/>
    <w:autoRedefine/>
    <w:qFormat/>
    <w:uiPriority w:val="0"/>
    <w:rPr>
      <w:rFonts w:hint="eastAsia" w:ascii="宋体" w:hAnsi="宋体" w:eastAsia="宋体" w:cs="宋体"/>
      <w:color w:val="000000"/>
      <w:sz w:val="18"/>
      <w:szCs w:val="18"/>
      <w:u w:val="none"/>
    </w:rPr>
  </w:style>
  <w:style w:type="character" w:customStyle="1" w:styleId="72">
    <w:name w:val="font01"/>
    <w:basedOn w:val="29"/>
    <w:autoRedefine/>
    <w:qFormat/>
    <w:uiPriority w:val="0"/>
    <w:rPr>
      <w:rFonts w:hint="default" w:ascii="Arial" w:hAnsi="Arial" w:cs="Arial"/>
      <w:color w:val="000000"/>
      <w:sz w:val="18"/>
      <w:szCs w:val="18"/>
      <w:u w:val="none"/>
    </w:rPr>
  </w:style>
  <w:style w:type="character" w:customStyle="1" w:styleId="73">
    <w:name w:val="font91"/>
    <w:basedOn w:val="29"/>
    <w:autoRedefine/>
    <w:qFormat/>
    <w:uiPriority w:val="0"/>
    <w:rPr>
      <w:rFonts w:hint="eastAsia" w:ascii="宋体" w:hAnsi="宋体" w:eastAsia="宋体" w:cs="宋体"/>
      <w:color w:val="000000"/>
      <w:sz w:val="18"/>
      <w:szCs w:val="18"/>
      <w:u w:val="none"/>
    </w:rPr>
  </w:style>
  <w:style w:type="character" w:customStyle="1" w:styleId="74">
    <w:name w:val="font51"/>
    <w:basedOn w:val="29"/>
    <w:autoRedefine/>
    <w:qFormat/>
    <w:uiPriority w:val="0"/>
    <w:rPr>
      <w:rFonts w:hint="default" w:ascii="Times New Roman" w:hAnsi="Times New Roman" w:cs="Times New Roman"/>
      <w:b/>
      <w:color w:val="000000"/>
      <w:sz w:val="18"/>
      <w:szCs w:val="18"/>
      <w:u w:val="none"/>
    </w:rPr>
  </w:style>
  <w:style w:type="paragraph" w:styleId="75">
    <w:name w:val="List Paragraph"/>
    <w:basedOn w:val="1"/>
    <w:autoRedefine/>
    <w:qFormat/>
    <w:uiPriority w:val="34"/>
    <w:pPr>
      <w:ind w:firstLine="420" w:firstLineChars="200"/>
    </w:pPr>
  </w:style>
  <w:style w:type="paragraph" w:customStyle="1" w:styleId="76">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77">
    <w:name w:val="Title1"/>
    <w:basedOn w:val="1"/>
    <w:next w:val="1"/>
    <w:autoRedefine/>
    <w:qFormat/>
    <w:uiPriority w:val="0"/>
    <w:pPr>
      <w:jc w:val="center"/>
      <w:outlineLvl w:val="0"/>
    </w:pPr>
    <w:rPr>
      <w:rFonts w:ascii="Calibri Light" w:hAnsi="Calibri Light" w:eastAsia="Arial Unicode MS"/>
      <w:b/>
    </w:rPr>
  </w:style>
  <w:style w:type="character" w:customStyle="1" w:styleId="78">
    <w:name w:val="font21"/>
    <w:basedOn w:val="29"/>
    <w:autoRedefine/>
    <w:qFormat/>
    <w:uiPriority w:val="0"/>
    <w:rPr>
      <w:rFonts w:hint="eastAsia" w:ascii="微软雅黑" w:hAnsi="微软雅黑" w:eastAsia="微软雅黑" w:cs="微软雅黑"/>
      <w:color w:val="000000"/>
      <w:sz w:val="22"/>
      <w:szCs w:val="22"/>
      <w:u w:val="none"/>
    </w:rPr>
  </w:style>
  <w:style w:type="character" w:customStyle="1" w:styleId="79">
    <w:name w:val="Unresolved Mention"/>
    <w:basedOn w:val="29"/>
    <w:autoRedefine/>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KWZB;</Company>
  <Pages>102</Pages>
  <Words>12122</Words>
  <Characters>69100</Characters>
  <Lines>575</Lines>
  <Paragraphs>162</Paragraphs>
  <TotalTime>32</TotalTime>
  <ScaleCrop>false</ScaleCrop>
  <LinksUpToDate>false</LinksUpToDate>
  <CharactersWithSpaces>81060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2025-09-22T03:25:00Z</dcterms:created>
  <dc:creator>杨春健</dc:creator>
  <cp:lastModifiedBy>杨春健</cp:lastModifiedBy>
  <cp:lastPrinted>2025-08-27T00:55:00Z</cp:lastPrinted>
  <dcterms:modified xsi:type="dcterms:W3CDTF">2026-03-17T09:21:56Z</dcterms:modified>
  <dc:title>竞争性谈判文件规范</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066DF1AABEEA45A2A99A61837382CA11_13</vt:lpwstr>
  </property>
  <property fmtid="{D5CDD505-2E9C-101B-9397-08002B2CF9AE}" pid="4" name="KSOTemplateDocerSaveRecord">
    <vt:lpwstr>eyJoZGlkIjoiODAzNDhhMGRjMzJlN2IxNDg2YjQyODQ1MzVlNjcwNGUiLCJ1c2VySWQiOiIxNzg3MjE2MDY5In0=</vt:lpwstr>
  </property>
</Properties>
</file>