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2CD2A">
      <w:pPr>
        <w:pStyle w:val="10"/>
        <w:jc w:val="center"/>
        <w:rPr>
          <w:rFonts w:ascii="黑体" w:hAnsi="黑体" w:eastAsia="黑体"/>
          <w:color w:val="auto"/>
          <w:spacing w:val="30"/>
          <w:kern w:val="52"/>
          <w:sz w:val="64"/>
          <w:szCs w:val="64"/>
          <w:highlight w:val="none"/>
        </w:rPr>
      </w:pPr>
      <w:r>
        <w:rPr>
          <w:rFonts w:hint="eastAsia" w:ascii="黑体" w:hAnsi="黑体" w:eastAsia="黑体"/>
          <w:color w:val="auto"/>
          <w:spacing w:val="30"/>
          <w:kern w:val="52"/>
          <w:sz w:val="64"/>
          <w:szCs w:val="64"/>
          <w:highlight w:val="none"/>
        </w:rPr>
        <w:t>广西科文招标有限公司</w:t>
      </w:r>
    </w:p>
    <w:p w14:paraId="74F6A2D3">
      <w:pPr>
        <w:pStyle w:val="10"/>
        <w:jc w:val="center"/>
        <w:rPr>
          <w:rFonts w:ascii="黑体" w:hAnsi="黑体" w:eastAsia="黑体" w:cs="方正小标宋简体"/>
          <w:b/>
          <w:color w:val="auto"/>
          <w:sz w:val="44"/>
          <w:szCs w:val="44"/>
          <w:highlight w:val="none"/>
        </w:rPr>
      </w:pPr>
      <w:r>
        <w:rPr>
          <w:color w:val="auto"/>
          <w:highlight w:val="none"/>
        </w:rPr>
        <w:drawing>
          <wp:inline distT="0" distB="0" distL="0" distR="0">
            <wp:extent cx="5494020" cy="7620"/>
            <wp:effectExtent l="0" t="0" r="0" b="0"/>
            <wp:docPr id="1" name="图片 1" descr="C:\Users\HP\AppData\Local\Temp\ksohtml200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P\AppData\Local\Temp\ksohtml20048\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94020" cy="7620"/>
                    </a:xfrm>
                    <a:prstGeom prst="rect">
                      <a:avLst/>
                    </a:prstGeom>
                    <a:noFill/>
                    <a:ln>
                      <a:noFill/>
                    </a:ln>
                  </pic:spPr>
                </pic:pic>
              </a:graphicData>
            </a:graphic>
          </wp:inline>
        </w:drawing>
      </w:r>
      <w:r>
        <w:rPr>
          <w:rFonts w:hint="eastAsia" w:ascii="黑体" w:hAnsi="黑体" w:eastAsia="黑体" w:cs="方正小标宋简体"/>
          <w:b/>
          <w:color w:val="auto"/>
          <w:sz w:val="44"/>
          <w:szCs w:val="44"/>
          <w:highlight w:val="none"/>
        </w:rPr>
        <w:t xml:space="preserve"> </w:t>
      </w:r>
    </w:p>
    <w:p w14:paraId="290A451A">
      <w:pPr>
        <w:snapToGrid w:val="0"/>
        <w:spacing w:before="156" w:beforeLines="50" w:line="360" w:lineRule="auto"/>
        <w:jc w:val="center"/>
        <w:rPr>
          <w:rFonts w:ascii="仿宋_GB2312" w:hAnsi="宋体"/>
          <w:b/>
          <w:color w:val="auto"/>
          <w:sz w:val="48"/>
          <w:szCs w:val="48"/>
          <w:highlight w:val="none"/>
        </w:rPr>
      </w:pPr>
      <w:r>
        <w:rPr>
          <w:rFonts w:hint="eastAsia" w:ascii="黑体" w:hAnsi="黑体" w:eastAsia="黑体"/>
          <w:color w:val="auto"/>
          <w:sz w:val="120"/>
          <w:szCs w:val="120"/>
          <w:highlight w:val="none"/>
        </w:rPr>
        <w:t>竞争性磋商文件</w:t>
      </w:r>
    </w:p>
    <w:p w14:paraId="0FB1DF20">
      <w:pPr>
        <w:pStyle w:val="10"/>
        <w:snapToGrid w:val="0"/>
        <w:spacing w:line="360" w:lineRule="auto"/>
        <w:ind w:firstLine="1205" w:firstLineChars="400"/>
        <w:rPr>
          <w:rFonts w:ascii="仿宋_GB2312" w:hAnsi="宋体"/>
          <w:b/>
          <w:bCs/>
          <w:color w:val="auto"/>
          <w:sz w:val="30"/>
          <w:szCs w:val="30"/>
          <w:highlight w:val="none"/>
        </w:rPr>
      </w:pPr>
      <w:r>
        <w:rPr>
          <w:rFonts w:ascii="仿宋_GB2312" w:hAnsi="宋体"/>
          <w:b/>
          <w:bCs/>
          <w:color w:val="auto"/>
          <w:sz w:val="30"/>
          <w:szCs w:val="30"/>
          <w:highlight w:val="none"/>
        </w:rPr>
        <w:t xml:space="preserve"> </w:t>
      </w:r>
    </w:p>
    <w:p w14:paraId="6362C78F">
      <w:pPr>
        <w:pStyle w:val="10"/>
        <w:snapToGrid w:val="0"/>
        <w:spacing w:line="360" w:lineRule="auto"/>
        <w:ind w:firstLine="1132" w:firstLineChars="376"/>
        <w:rPr>
          <w:rFonts w:ascii="仿宋_GB2312" w:hAnsi="宋体"/>
          <w:b/>
          <w:bCs/>
          <w:color w:val="auto"/>
          <w:sz w:val="30"/>
          <w:szCs w:val="30"/>
          <w:highlight w:val="none"/>
        </w:rPr>
      </w:pPr>
      <w:r>
        <w:rPr>
          <w:rFonts w:ascii="仿宋_GB2312" w:hAnsi="仿宋_GB2312"/>
          <w:b/>
          <w:bCs/>
          <w:color w:val="auto"/>
          <w:sz w:val="30"/>
          <w:szCs w:val="30"/>
          <w:highlight w:val="none"/>
        </w:rPr>
        <w:t>项目</w:t>
      </w:r>
      <w:r>
        <w:rPr>
          <w:rFonts w:ascii="仿宋_GB2312" w:hAnsi="仿宋_GB2312" w:cs="Courier New"/>
          <w:b/>
          <w:bCs/>
          <w:color w:val="auto"/>
          <w:w w:val="95"/>
          <w:sz w:val="30"/>
          <w:szCs w:val="30"/>
          <w:highlight w:val="none"/>
        </w:rPr>
        <w:t>名称</w:t>
      </w:r>
      <w:r>
        <w:rPr>
          <w:rFonts w:ascii="仿宋_GB2312" w:hAnsi="仿宋_GB2312"/>
          <w:b/>
          <w:bCs/>
          <w:color w:val="auto"/>
          <w:sz w:val="30"/>
          <w:szCs w:val="30"/>
          <w:highlight w:val="none"/>
        </w:rPr>
        <w:t>：壮美广西·发改云国产化改造</w:t>
      </w:r>
      <w:r>
        <w:rPr>
          <w:rFonts w:ascii="仿宋_GB2312" w:hAnsi="仿宋_GB2312"/>
          <w:b/>
          <w:color w:val="auto"/>
          <w:sz w:val="32"/>
          <w:szCs w:val="32"/>
          <w:highlight w:val="none"/>
        </w:rPr>
        <w:t>服务采购</w:t>
      </w:r>
    </w:p>
    <w:p w14:paraId="65262FF4">
      <w:pPr>
        <w:pStyle w:val="10"/>
        <w:snapToGrid w:val="0"/>
        <w:spacing w:line="360" w:lineRule="auto"/>
        <w:ind w:firstLine="1132" w:firstLineChars="376"/>
        <w:rPr>
          <w:rFonts w:hint="eastAsia" w:ascii="仿宋_GB2312" w:hAnsi="宋体" w:eastAsia="宋体"/>
          <w:b/>
          <w:bCs/>
          <w:color w:val="auto"/>
          <w:sz w:val="30"/>
          <w:szCs w:val="30"/>
          <w:highlight w:val="none"/>
          <w:lang w:eastAsia="zh-CN"/>
        </w:rPr>
      </w:pPr>
      <w:r>
        <w:rPr>
          <w:rFonts w:ascii="仿宋_GB2312" w:hAnsi="仿宋_GB2312"/>
          <w:b/>
          <w:bCs/>
          <w:color w:val="auto"/>
          <w:sz w:val="30"/>
          <w:szCs w:val="30"/>
          <w:highlight w:val="none"/>
        </w:rPr>
        <w:t>项目编号：</w:t>
      </w:r>
      <w:r>
        <w:rPr>
          <w:rFonts w:hint="eastAsia" w:ascii="仿宋_GB2312" w:hAnsi="仿宋_GB2312"/>
          <w:b/>
          <w:bCs/>
          <w:color w:val="auto"/>
          <w:sz w:val="30"/>
          <w:szCs w:val="30"/>
          <w:highlight w:val="none"/>
          <w:lang w:eastAsia="zh-CN"/>
        </w:rPr>
        <w:t>GXZC2025-C3-003948-KWZB</w:t>
      </w:r>
    </w:p>
    <w:p w14:paraId="5A2B3E1F">
      <w:pPr>
        <w:pStyle w:val="10"/>
        <w:snapToGrid w:val="0"/>
        <w:spacing w:line="360" w:lineRule="auto"/>
        <w:ind w:firstLine="1205" w:firstLineChars="400"/>
        <w:rPr>
          <w:rFonts w:ascii="仿宋_GB2312" w:hAnsi="宋体"/>
          <w:b/>
          <w:bCs/>
          <w:color w:val="auto"/>
          <w:sz w:val="30"/>
          <w:szCs w:val="30"/>
          <w:highlight w:val="none"/>
        </w:rPr>
      </w:pPr>
      <w:r>
        <w:rPr>
          <w:rFonts w:ascii="仿宋_GB2312" w:hAnsi="宋体"/>
          <w:b/>
          <w:bCs/>
          <w:color w:val="auto"/>
          <w:sz w:val="30"/>
          <w:szCs w:val="30"/>
          <w:highlight w:val="none"/>
        </w:rPr>
        <w:t xml:space="preserve"> </w:t>
      </w:r>
    </w:p>
    <w:p w14:paraId="36DF039A">
      <w:pPr>
        <w:snapToGrid w:val="0"/>
        <w:spacing w:line="360" w:lineRule="auto"/>
        <w:ind w:firstLine="1141"/>
        <w:rPr>
          <w:rFonts w:ascii="仿宋_GB2312" w:hAnsi="宋体" w:cs="Courier New"/>
          <w:b/>
          <w:bCs/>
          <w:color w:val="auto"/>
          <w:w w:val="95"/>
          <w:sz w:val="30"/>
          <w:szCs w:val="30"/>
          <w:highlight w:val="none"/>
        </w:rPr>
      </w:pPr>
      <w:r>
        <w:rPr>
          <w:rFonts w:ascii="仿宋_GB2312" w:hAnsi="宋体" w:cs="Courier New"/>
          <w:b/>
          <w:bCs/>
          <w:color w:val="auto"/>
          <w:w w:val="95"/>
          <w:sz w:val="30"/>
          <w:szCs w:val="30"/>
          <w:highlight w:val="none"/>
        </w:rPr>
        <w:t xml:space="preserve"> </w:t>
      </w:r>
    </w:p>
    <w:p w14:paraId="440B6A17">
      <w:pPr>
        <w:snapToGrid w:val="0"/>
        <w:spacing w:line="360" w:lineRule="auto"/>
        <w:ind w:firstLine="1205" w:firstLineChars="400"/>
        <w:rPr>
          <w:rFonts w:ascii="仿宋_GB2312" w:hAnsi="宋体"/>
          <w:color w:val="auto"/>
          <w:sz w:val="30"/>
          <w:szCs w:val="30"/>
          <w:highlight w:val="none"/>
        </w:rPr>
      </w:pPr>
      <w:r>
        <w:rPr>
          <w:rFonts w:ascii="仿宋_GB2312" w:hAnsi="宋体"/>
          <w:b/>
          <w:color w:val="auto"/>
          <w:sz w:val="30"/>
          <w:szCs w:val="30"/>
          <w:highlight w:val="none"/>
        </w:rPr>
        <w:t xml:space="preserve"> </w:t>
      </w:r>
    </w:p>
    <w:p w14:paraId="1A9F4425">
      <w:pPr>
        <w:pStyle w:val="10"/>
        <w:snapToGrid w:val="0"/>
        <w:spacing w:line="360" w:lineRule="auto"/>
        <w:ind w:firstLine="1125" w:firstLineChars="393"/>
        <w:rPr>
          <w:rFonts w:ascii="仿宋_GB2312" w:hAnsi="宋体"/>
          <w:b/>
          <w:bCs/>
          <w:color w:val="auto"/>
          <w:w w:val="95"/>
          <w:sz w:val="30"/>
          <w:szCs w:val="30"/>
          <w:highlight w:val="none"/>
        </w:rPr>
      </w:pPr>
      <w:r>
        <w:rPr>
          <w:rFonts w:ascii="仿宋_GB2312" w:hAnsi="仿宋_GB2312"/>
          <w:b/>
          <w:bCs/>
          <w:color w:val="auto"/>
          <w:w w:val="95"/>
          <w:sz w:val="30"/>
          <w:szCs w:val="30"/>
          <w:highlight w:val="none"/>
        </w:rPr>
        <w:t>采</w:t>
      </w:r>
      <w:r>
        <w:rPr>
          <w:rFonts w:ascii="仿宋_GB2312" w:hAnsi="宋体"/>
          <w:b/>
          <w:bCs/>
          <w:color w:val="auto"/>
          <w:w w:val="95"/>
          <w:sz w:val="30"/>
          <w:szCs w:val="30"/>
          <w:highlight w:val="none"/>
        </w:rPr>
        <w:t xml:space="preserve"> </w:t>
      </w:r>
      <w:r>
        <w:rPr>
          <w:rFonts w:ascii="仿宋_GB2312" w:hAnsi="仿宋_GB2312"/>
          <w:b/>
          <w:bCs/>
          <w:color w:val="auto"/>
          <w:w w:val="95"/>
          <w:sz w:val="30"/>
          <w:szCs w:val="30"/>
          <w:highlight w:val="none"/>
        </w:rPr>
        <w:t>购</w:t>
      </w:r>
      <w:r>
        <w:rPr>
          <w:rFonts w:ascii="仿宋_GB2312" w:hAnsi="宋体"/>
          <w:b/>
          <w:bCs/>
          <w:color w:val="auto"/>
          <w:w w:val="95"/>
          <w:sz w:val="30"/>
          <w:szCs w:val="30"/>
          <w:highlight w:val="none"/>
        </w:rPr>
        <w:t xml:space="preserve"> </w:t>
      </w:r>
      <w:r>
        <w:rPr>
          <w:rFonts w:ascii="仿宋_GB2312" w:hAnsi="仿宋_GB2312"/>
          <w:b/>
          <w:bCs/>
          <w:color w:val="auto"/>
          <w:w w:val="95"/>
          <w:sz w:val="30"/>
          <w:szCs w:val="30"/>
          <w:highlight w:val="none"/>
        </w:rPr>
        <w:t>人：</w:t>
      </w:r>
      <w:r>
        <w:rPr>
          <w:rFonts w:ascii="仿宋_GB2312" w:hAnsi="仿宋_GB2312"/>
          <w:b/>
          <w:color w:val="auto"/>
          <w:sz w:val="32"/>
          <w:szCs w:val="32"/>
          <w:highlight w:val="none"/>
        </w:rPr>
        <w:t>广西壮族自治区宏观经济研究院</w:t>
      </w:r>
    </w:p>
    <w:p w14:paraId="191036B6">
      <w:pPr>
        <w:pStyle w:val="10"/>
        <w:snapToGrid w:val="0"/>
        <w:spacing w:line="360" w:lineRule="auto"/>
        <w:ind w:firstLine="1125" w:firstLineChars="393"/>
        <w:rPr>
          <w:rFonts w:ascii="仿宋_GB2312" w:hAnsi="宋体"/>
          <w:b/>
          <w:bCs/>
          <w:color w:val="auto"/>
          <w:w w:val="95"/>
          <w:sz w:val="30"/>
          <w:szCs w:val="30"/>
          <w:highlight w:val="none"/>
        </w:rPr>
      </w:pPr>
      <w:r>
        <w:rPr>
          <w:rFonts w:ascii="仿宋_GB2312" w:hAnsi="仿宋_GB2312"/>
          <w:b/>
          <w:bCs/>
          <w:color w:val="auto"/>
          <w:w w:val="95"/>
          <w:sz w:val="30"/>
          <w:szCs w:val="30"/>
          <w:highlight w:val="none"/>
        </w:rPr>
        <w:t>采购代理机构：</w:t>
      </w:r>
      <w:r>
        <w:rPr>
          <w:rFonts w:ascii="仿宋_GB2312" w:hAnsi="仿宋_GB2312"/>
          <w:b/>
          <w:color w:val="auto"/>
          <w:sz w:val="32"/>
          <w:szCs w:val="32"/>
          <w:highlight w:val="none"/>
        </w:rPr>
        <w:t>广西科文招标有限公司</w:t>
      </w:r>
    </w:p>
    <w:p w14:paraId="7F897958">
      <w:pPr>
        <w:pStyle w:val="10"/>
        <w:snapToGrid w:val="0"/>
        <w:spacing w:line="360" w:lineRule="auto"/>
        <w:ind w:firstLine="1121"/>
        <w:rPr>
          <w:rFonts w:ascii="仿宋_GB2312" w:hAnsi="宋体"/>
          <w:b/>
          <w:bCs/>
          <w:color w:val="auto"/>
          <w:w w:val="95"/>
          <w:sz w:val="30"/>
          <w:szCs w:val="30"/>
          <w:highlight w:val="none"/>
        </w:rPr>
      </w:pPr>
      <w:r>
        <w:rPr>
          <w:rFonts w:ascii="仿宋_GB2312" w:hAnsi="宋体"/>
          <w:b/>
          <w:bCs/>
          <w:color w:val="auto"/>
          <w:w w:val="95"/>
          <w:sz w:val="30"/>
          <w:szCs w:val="30"/>
          <w:highlight w:val="none"/>
        </w:rPr>
        <w:t xml:space="preserve"> </w:t>
      </w:r>
    </w:p>
    <w:p w14:paraId="6F7492C5">
      <w:pPr>
        <w:pStyle w:val="10"/>
        <w:snapToGrid w:val="0"/>
        <w:spacing w:line="360" w:lineRule="auto"/>
        <w:ind w:left="420" w:firstLine="841" w:firstLineChars="294"/>
        <w:rPr>
          <w:rFonts w:ascii="仿宋_GB2312" w:hAnsi="宋体"/>
          <w:b/>
          <w:bCs/>
          <w:color w:val="auto"/>
          <w:w w:val="95"/>
          <w:sz w:val="30"/>
          <w:szCs w:val="30"/>
          <w:highlight w:val="none"/>
        </w:rPr>
      </w:pPr>
      <w:r>
        <w:rPr>
          <w:rFonts w:ascii="仿宋_GB2312" w:hAnsi="宋体"/>
          <w:b/>
          <w:bCs/>
          <w:color w:val="auto"/>
          <w:w w:val="95"/>
          <w:sz w:val="30"/>
          <w:szCs w:val="30"/>
          <w:highlight w:val="none"/>
        </w:rPr>
        <w:t xml:space="preserve">          </w:t>
      </w:r>
      <w:r>
        <w:rPr>
          <w:rFonts w:ascii="仿宋_GB2312" w:hAnsi="仿宋_GB2312"/>
          <w:b/>
          <w:bCs/>
          <w:color w:val="auto"/>
          <w:w w:val="95"/>
          <w:sz w:val="30"/>
          <w:szCs w:val="30"/>
          <w:highlight w:val="none"/>
        </w:rPr>
        <w:t>2025年12月</w:t>
      </w:r>
      <w:r>
        <w:rPr>
          <w:rFonts w:hint="eastAsia" w:ascii="仿宋_GB2312" w:hAnsi="宋体"/>
          <w:b/>
          <w:bCs/>
          <w:color w:val="auto"/>
          <w:w w:val="95"/>
          <w:sz w:val="30"/>
          <w:szCs w:val="30"/>
          <w:highlight w:val="none"/>
          <w:lang w:val="en-US" w:eastAsia="zh-CN"/>
        </w:rPr>
        <w:t>19</w:t>
      </w:r>
      <w:r>
        <w:rPr>
          <w:rFonts w:ascii="仿宋_GB2312" w:hAnsi="仿宋_GB2312"/>
          <w:b/>
          <w:bCs/>
          <w:color w:val="auto"/>
          <w:w w:val="95"/>
          <w:sz w:val="30"/>
          <w:szCs w:val="30"/>
          <w:highlight w:val="none"/>
        </w:rPr>
        <w:t>日</w:t>
      </w:r>
    </w:p>
    <w:p w14:paraId="4177F26B">
      <w:pPr>
        <w:spacing w:line="360" w:lineRule="auto"/>
        <w:jc w:val="center"/>
        <w:rPr>
          <w:rFonts w:ascii="宋体" w:hAnsi="宋体"/>
          <w:b/>
          <w:color w:val="auto"/>
          <w:sz w:val="44"/>
          <w:szCs w:val="44"/>
          <w:highlight w:val="none"/>
        </w:rPr>
      </w:pPr>
      <w:r>
        <w:rPr>
          <w:rFonts w:hint="eastAsia" w:ascii="黑体" w:hAnsi="黑体" w:eastAsia="黑体" w:cs="宋体"/>
          <w:b/>
          <w:bCs/>
          <w:color w:val="auto"/>
          <w:kern w:val="0"/>
          <w:sz w:val="32"/>
          <w:szCs w:val="32"/>
          <w:highlight w:val="none"/>
        </w:rPr>
        <w:br w:type="page"/>
      </w:r>
    </w:p>
    <w:p w14:paraId="5CBA520F">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050BBAC">
      <w:pPr>
        <w:spacing w:line="400" w:lineRule="exact"/>
        <w:jc w:val="center"/>
        <w:rPr>
          <w:rFonts w:ascii="宋体" w:hAnsi="宋体"/>
          <w:b/>
          <w:color w:val="auto"/>
          <w:sz w:val="44"/>
          <w:szCs w:val="44"/>
          <w:highlight w:val="none"/>
        </w:rPr>
      </w:pPr>
      <w:r>
        <w:rPr>
          <w:rFonts w:hint="eastAsia" w:ascii="宋体" w:hAnsi="宋体"/>
          <w:b/>
          <w:color w:val="auto"/>
          <w:sz w:val="44"/>
          <w:szCs w:val="44"/>
          <w:highlight w:val="none"/>
        </w:rPr>
        <w:t xml:space="preserve"> </w:t>
      </w:r>
    </w:p>
    <w:sdt>
      <w:sdtPr>
        <w:rPr>
          <w:rFonts w:ascii="宋体" w:hAnsi="宋体" w:eastAsia="宋体" w:cs="Times New Roman"/>
          <w:color w:val="auto"/>
          <w:kern w:val="2"/>
          <w:sz w:val="21"/>
          <w:szCs w:val="21"/>
          <w:highlight w:val="none"/>
          <w:lang w:val="en-US" w:eastAsia="zh-CN" w:bidi="ar-SA"/>
        </w:rPr>
        <w:id w:val="147481927"/>
        <w15:color w:val="DBDBDB"/>
        <w:docPartObj>
          <w:docPartGallery w:val="Table of Contents"/>
          <w:docPartUnique/>
        </w:docPartObj>
      </w:sdtPr>
      <w:sdtEndPr>
        <w:rPr>
          <w:rFonts w:ascii="宋体" w:hAnsi="宋体" w:eastAsia="宋体" w:cs="Times New Roman"/>
          <w:color w:val="auto"/>
          <w:kern w:val="2"/>
          <w:sz w:val="21"/>
          <w:szCs w:val="21"/>
          <w:highlight w:val="none"/>
          <w:lang w:val="en-US" w:eastAsia="zh-CN" w:bidi="ar-SA"/>
        </w:rPr>
      </w:sdtEndPr>
      <w:sdtContent>
        <w:p w14:paraId="13CDB64E">
          <w:pPr>
            <w:spacing w:before="0" w:beforeLines="0" w:after="0" w:afterLines="0" w:line="240" w:lineRule="auto"/>
            <w:ind w:left="0" w:leftChars="0" w:right="0" w:rightChars="0" w:firstLine="0" w:firstLineChars="0"/>
            <w:jc w:val="center"/>
            <w:rPr>
              <w:color w:val="auto"/>
              <w:highlight w:val="none"/>
            </w:rPr>
          </w:pPr>
        </w:p>
        <w:p w14:paraId="696A6A22">
          <w:pPr>
            <w:pStyle w:val="13"/>
            <w:keepNext w:val="0"/>
            <w:keepLines w:val="0"/>
            <w:pageBreakBefore w:val="0"/>
            <w:tabs>
              <w:tab w:val="right" w:leader="dot" w:pos="8879"/>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"1-2"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_Toc9683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_Toc9683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06998BFC">
          <w:pPr>
            <w:pStyle w:val="13"/>
            <w:keepNext w:val="0"/>
            <w:keepLines w:val="0"/>
            <w:pageBreakBefore w:val="0"/>
            <w:tabs>
              <w:tab w:val="right" w:leader="dot" w:pos="8879"/>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_Toc32667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_Toc32667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7</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59862FD1">
          <w:pPr>
            <w:pStyle w:val="13"/>
            <w:keepNext w:val="0"/>
            <w:keepLines w:val="0"/>
            <w:pageBreakBefore w:val="0"/>
            <w:tabs>
              <w:tab w:val="right" w:leader="dot" w:pos="8879"/>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_Toc25399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第三章 采购需求</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_Toc25399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0E886E6F">
          <w:pPr>
            <w:pStyle w:val="13"/>
            <w:keepNext w:val="0"/>
            <w:keepLines w:val="0"/>
            <w:pageBreakBefore w:val="0"/>
            <w:tabs>
              <w:tab w:val="right" w:leader="dot" w:pos="8879"/>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_Toc30396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第四章  评审程序、评审方法和评审标准</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_Toc30396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32</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1F3E37E5">
          <w:pPr>
            <w:pStyle w:val="13"/>
            <w:keepNext w:val="0"/>
            <w:keepLines w:val="0"/>
            <w:pageBreakBefore w:val="0"/>
            <w:tabs>
              <w:tab w:val="right" w:leader="dot" w:pos="8879"/>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_Toc28554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第五章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_Toc28554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43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7355A432">
          <w:pPr>
            <w:pStyle w:val="13"/>
            <w:keepNext w:val="0"/>
            <w:keepLines w:val="0"/>
            <w:pageBreakBefore w:val="0"/>
            <w:tabs>
              <w:tab w:val="right" w:leader="dot" w:pos="8879"/>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_Toc17954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第六章 合同文本</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_Toc17954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68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560AFC84">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z w:val="32"/>
              <w:szCs w:val="32"/>
              <w:highlight w:val="none"/>
            </w:rPr>
            <w:fldChar w:fldCharType="end"/>
          </w:r>
        </w:p>
      </w:sdtContent>
    </w:sdt>
    <w:p w14:paraId="4E357129">
      <w:pPr>
        <w:rPr>
          <w:color w:val="auto"/>
          <w:highlight w:val="none"/>
        </w:rPr>
      </w:pPr>
    </w:p>
    <w:p w14:paraId="35E23724">
      <w:pPr>
        <w:pStyle w:val="14"/>
        <w:tabs>
          <w:tab w:val="right" w:leader="dot" w:pos="8931"/>
          <w:tab w:val="clear" w:pos="8296"/>
        </w:tabs>
        <w:snapToGrid w:val="0"/>
        <w:spacing w:line="360" w:lineRule="auto"/>
        <w:ind w:left="0" w:leftChars="0"/>
        <w:rPr>
          <w:rFonts w:ascii="宋体" w:hAnsi="宋体"/>
          <w:b/>
          <w:color w:val="auto"/>
          <w:sz w:val="30"/>
          <w:szCs w:val="30"/>
          <w:highlight w:val="none"/>
        </w:rPr>
      </w:pPr>
      <w:r>
        <w:rPr>
          <w:rFonts w:hint="eastAsia" w:ascii="宋体" w:hAnsi="宋体"/>
          <w:b/>
          <w:color w:val="auto"/>
          <w:sz w:val="30"/>
          <w:szCs w:val="30"/>
          <w:highlight w:val="none"/>
        </w:rPr>
        <w:t xml:space="preserve"> </w:t>
      </w:r>
    </w:p>
    <w:p w14:paraId="76D70071">
      <w:pPr>
        <w:spacing w:line="400" w:lineRule="exact"/>
        <w:jc w:val="left"/>
        <w:rPr>
          <w:rFonts w:ascii="宋体" w:hAnsi="宋体"/>
          <w:b/>
          <w:color w:val="auto"/>
          <w:sz w:val="32"/>
          <w:szCs w:val="32"/>
          <w:highlight w:val="none"/>
        </w:rPr>
      </w:pPr>
      <w:r>
        <w:rPr>
          <w:rFonts w:hint="eastAsia" w:ascii="宋体" w:hAnsi="宋体"/>
          <w:b/>
          <w:color w:val="auto"/>
          <w:sz w:val="32"/>
          <w:szCs w:val="32"/>
          <w:highlight w:val="none"/>
        </w:rPr>
        <w:t xml:space="preserve"> </w:t>
      </w:r>
    </w:p>
    <w:p w14:paraId="06DCAEBE">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p w14:paraId="07772274">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p w14:paraId="78C9BD2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p w14:paraId="3FE49637">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p w14:paraId="383B69E8">
      <w:pPr>
        <w:widowControl/>
        <w:jc w:val="left"/>
        <w:rPr>
          <w:rFonts w:ascii="宋体" w:hAnsi="宋体" w:cs="宋体"/>
          <w:b/>
          <w:color w:val="auto"/>
          <w:sz w:val="32"/>
          <w:szCs w:val="32"/>
          <w:highlight w:val="none"/>
        </w:rPr>
        <w:sectPr>
          <w:footerReference r:id="rId3" w:type="default"/>
          <w:pgSz w:w="11906" w:h="16838"/>
          <w:pgMar w:top="1440" w:right="1440" w:bottom="1440" w:left="1587" w:header="851" w:footer="992" w:gutter="0"/>
          <w:cols w:space="720" w:num="1"/>
          <w:titlePg/>
          <w:docGrid w:type="lines" w:linePitch="312" w:charSpace="0"/>
        </w:sectPr>
      </w:pPr>
    </w:p>
    <w:p w14:paraId="64FA0C61">
      <w:pPr>
        <w:pStyle w:val="2"/>
        <w:spacing w:line="360" w:lineRule="auto"/>
        <w:jc w:val="center"/>
        <w:rPr>
          <w:color w:val="auto"/>
          <w:highlight w:val="none"/>
        </w:rPr>
      </w:pPr>
      <w:bookmarkStart w:id="0" w:name="_Toc74323456"/>
      <w:bookmarkEnd w:id="0"/>
      <w:bookmarkStart w:id="1" w:name="_Toc9683"/>
      <w:r>
        <w:rPr>
          <w:rFonts w:hint="eastAsia" w:ascii="宋体" w:hAnsi="宋体"/>
          <w:color w:val="auto"/>
          <w:highlight w:val="none"/>
        </w:rPr>
        <w:t>第一章 竞争性磋商公告</w:t>
      </w:r>
      <w:bookmarkEnd w:id="1"/>
    </w:p>
    <w:p w14:paraId="26EE882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14:paraId="0FD99AEE">
      <w:pPr>
        <w:pStyle w:val="10"/>
        <w:jc w:val="center"/>
        <w:rPr>
          <w:b/>
          <w:color w:val="auto"/>
          <w:sz w:val="36"/>
          <w:szCs w:val="36"/>
          <w:highlight w:val="none"/>
        </w:rPr>
      </w:pPr>
      <w:r>
        <w:rPr>
          <w:rFonts w:hint="eastAsia" w:hAnsi="宋体"/>
          <w:b/>
          <w:color w:val="auto"/>
          <w:sz w:val="36"/>
          <w:szCs w:val="36"/>
          <w:highlight w:val="none"/>
        </w:rPr>
        <w:t>广西科文招标有限公司</w:t>
      </w:r>
    </w:p>
    <w:p w14:paraId="7A2EFF12">
      <w:pPr>
        <w:jc w:val="center"/>
        <w:rPr>
          <w:rFonts w:ascii="宋体" w:hAnsi="Courier New"/>
          <w:b/>
          <w:bCs/>
          <w:color w:val="auto"/>
          <w:sz w:val="32"/>
          <w:szCs w:val="32"/>
          <w:highlight w:val="none"/>
        </w:rPr>
      </w:pPr>
      <w:r>
        <w:rPr>
          <w:rFonts w:hint="eastAsia" w:ascii="宋体" w:hAnsi="宋体"/>
          <w:b/>
          <w:bCs/>
          <w:color w:val="auto"/>
          <w:sz w:val="32"/>
          <w:szCs w:val="32"/>
          <w:highlight w:val="none"/>
        </w:rPr>
        <w:t>壮美广西·发改云国产化改造服务采购（</w:t>
      </w:r>
      <w:r>
        <w:rPr>
          <w:rFonts w:hint="eastAsia" w:ascii="宋体" w:hAnsi="宋体"/>
          <w:b/>
          <w:bCs/>
          <w:color w:val="auto"/>
          <w:sz w:val="32"/>
          <w:szCs w:val="32"/>
          <w:highlight w:val="none"/>
          <w:lang w:eastAsia="zh-CN"/>
        </w:rPr>
        <w:t>GXZC2025-C3-003948-KWZB</w:t>
      </w:r>
      <w:r>
        <w:rPr>
          <w:rFonts w:hint="eastAsia" w:ascii="宋体" w:hAnsi="宋体"/>
          <w:b/>
          <w:bCs/>
          <w:color w:val="auto"/>
          <w:sz w:val="32"/>
          <w:szCs w:val="32"/>
          <w:highlight w:val="none"/>
        </w:rPr>
        <w:t>）</w:t>
      </w:r>
      <w:r>
        <w:rPr>
          <w:rFonts w:hint="eastAsia" w:ascii="宋体" w:hAnsi="宋体"/>
          <w:b/>
          <w:color w:val="auto"/>
          <w:kern w:val="0"/>
          <w:sz w:val="32"/>
          <w:szCs w:val="32"/>
          <w:highlight w:val="none"/>
        </w:rPr>
        <w:t>竞争性磋商公告</w:t>
      </w:r>
    </w:p>
    <w:p w14:paraId="0E45AE77">
      <w:pPr>
        <w:spacing w:line="360" w:lineRule="auto"/>
        <w:jc w:val="center"/>
        <w:rPr>
          <w:rFonts w:ascii="宋体" w:hAnsi="宋体"/>
          <w:color w:val="auto"/>
          <w:highlight w:val="none"/>
        </w:rPr>
      </w:pPr>
      <w:r>
        <w:rPr>
          <w:rFonts w:hint="eastAsia" w:ascii="宋体" w:hAnsi="宋体"/>
          <w:color w:val="auto"/>
          <w:highlight w:val="none"/>
        </w:rPr>
        <w:t xml:space="preserve"> </w:t>
      </w:r>
    </w:p>
    <w:p w14:paraId="1A037E1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highlight w:val="none"/>
        </w:rPr>
      </w:pPr>
      <w:bookmarkStart w:id="2" w:name="_Hlk37430271"/>
      <w:bookmarkEnd w:id="2"/>
      <w:r>
        <w:rPr>
          <w:rFonts w:hint="eastAsia" w:ascii="宋体" w:hAnsi="宋体"/>
          <w:color w:val="auto"/>
          <w:highlight w:val="none"/>
        </w:rPr>
        <w:t>项目概况</w:t>
      </w:r>
    </w:p>
    <w:p w14:paraId="7BAEB5D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highlight w:val="none"/>
        </w:rPr>
      </w:pPr>
      <w:r>
        <w:rPr>
          <w:rFonts w:hint="eastAsia" w:ascii="宋体" w:hAnsi="宋体"/>
          <w:color w:val="auto"/>
          <w:highlight w:val="none"/>
        </w:rPr>
        <w:t>广西壮族自治区宏观经济研究院监测、数据采集、评估及编制支撑等服务采购项目的潜在供应商应在广西政府政采云平台（https://www.gcy.zfcg.gxzf.gov.cn/）获取（下载）竞争性磋商文件，并于2025年12月</w:t>
      </w:r>
      <w:r>
        <w:rPr>
          <w:rFonts w:hint="eastAsia" w:ascii="宋体" w:hAnsi="宋体"/>
          <w:color w:val="auto"/>
          <w:highlight w:val="none"/>
          <w:lang w:val="en-US" w:eastAsia="zh-CN"/>
        </w:rPr>
        <w:t>30</w:t>
      </w:r>
      <w:r>
        <w:rPr>
          <w:rFonts w:hint="eastAsia" w:ascii="宋体" w:hAnsi="宋体"/>
          <w:color w:val="auto"/>
          <w:highlight w:val="none"/>
        </w:rPr>
        <w:t>日9时00分</w:t>
      </w:r>
      <w:r>
        <w:rPr>
          <w:rFonts w:hint="eastAsia" w:ascii="宋体" w:hAnsi="宋体"/>
          <w:bCs/>
          <w:color w:val="auto"/>
          <w:highlight w:val="none"/>
        </w:rPr>
        <w:t>（北京时间）前提交响应文件</w:t>
      </w:r>
      <w:r>
        <w:rPr>
          <w:rFonts w:hint="eastAsia" w:ascii="宋体" w:hAnsi="宋体"/>
          <w:color w:val="auto"/>
          <w:highlight w:val="none"/>
        </w:rPr>
        <w:t>。</w:t>
      </w:r>
    </w:p>
    <w:p w14:paraId="483D8D3A">
      <w:pPr>
        <w:spacing w:line="360" w:lineRule="auto"/>
        <w:ind w:firstLine="354" w:firstLineChars="147"/>
        <w:rPr>
          <w:rFonts w:ascii="黑体" w:hAnsi="黑体" w:eastAsia="黑体"/>
          <w:b/>
          <w:color w:val="auto"/>
          <w:sz w:val="24"/>
          <w:szCs w:val="24"/>
          <w:highlight w:val="none"/>
        </w:rPr>
      </w:pPr>
      <w:bookmarkStart w:id="3" w:name="_Toc35393798"/>
      <w:bookmarkEnd w:id="3"/>
      <w:bookmarkStart w:id="4" w:name="_Toc44229878"/>
      <w:bookmarkEnd w:id="4"/>
      <w:bookmarkStart w:id="5" w:name="_Toc28359012"/>
      <w:bookmarkEnd w:id="5"/>
      <w:bookmarkStart w:id="6" w:name="_Toc35393629"/>
      <w:bookmarkEnd w:id="6"/>
      <w:bookmarkStart w:id="7" w:name="_Toc28359089"/>
      <w:bookmarkEnd w:id="7"/>
      <w:bookmarkStart w:id="8" w:name="_Toc71365905"/>
      <w:r>
        <w:rPr>
          <w:rFonts w:hint="eastAsia" w:ascii="黑体" w:hAnsi="黑体" w:eastAsia="黑体"/>
          <w:b/>
          <w:color w:val="auto"/>
          <w:sz w:val="24"/>
          <w:szCs w:val="24"/>
          <w:highlight w:val="none"/>
        </w:rPr>
        <w:t xml:space="preserve"> </w:t>
      </w:r>
      <w:bookmarkEnd w:id="8"/>
    </w:p>
    <w:p w14:paraId="248931FC">
      <w:pPr>
        <w:spacing w:line="360" w:lineRule="auto"/>
        <w:ind w:firstLine="354" w:firstLineChars="147"/>
        <w:rPr>
          <w:rFonts w:ascii="黑体" w:hAnsi="黑体" w:eastAsia="黑体"/>
          <w:b/>
          <w:color w:val="auto"/>
          <w:sz w:val="24"/>
          <w:szCs w:val="24"/>
          <w:highlight w:val="none"/>
        </w:rPr>
      </w:pPr>
      <w:bookmarkStart w:id="9" w:name="_Hlk37429674"/>
      <w:bookmarkEnd w:id="9"/>
      <w:bookmarkStart w:id="10" w:name="_Toc44229885"/>
      <w:bookmarkEnd w:id="10"/>
      <w:bookmarkStart w:id="11" w:name="_Toc35393636"/>
      <w:bookmarkEnd w:id="11"/>
      <w:bookmarkStart w:id="12" w:name="_Toc28359018"/>
      <w:bookmarkEnd w:id="12"/>
      <w:bookmarkStart w:id="13" w:name="_Toc28359095"/>
      <w:bookmarkEnd w:id="13"/>
      <w:bookmarkStart w:id="14" w:name="_Toc35393805"/>
      <w:bookmarkEnd w:id="14"/>
      <w:r>
        <w:rPr>
          <w:rFonts w:hint="eastAsia" w:ascii="黑体" w:hAnsi="黑体" w:eastAsia="黑体"/>
          <w:b/>
          <w:color w:val="auto"/>
          <w:sz w:val="24"/>
          <w:szCs w:val="24"/>
          <w:highlight w:val="none"/>
        </w:rPr>
        <w:t>一、项目基本情况</w:t>
      </w:r>
    </w:p>
    <w:p w14:paraId="6755470D">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color w:val="auto"/>
          <w:highlight w:val="none"/>
          <w:lang w:eastAsia="zh-CN"/>
        </w:rPr>
        <w:t>GXZC2025-C3-003948-KWZB</w:t>
      </w:r>
    </w:p>
    <w:p w14:paraId="5F4A8DC1">
      <w:pPr>
        <w:spacing w:line="360" w:lineRule="auto"/>
        <w:ind w:firstLine="420" w:firstLineChars="200"/>
        <w:rPr>
          <w:rFonts w:ascii="宋体" w:hAnsi="宋体"/>
          <w:color w:val="auto"/>
          <w:highlight w:val="none"/>
          <w:u w:val="single"/>
        </w:rPr>
      </w:pPr>
      <w:r>
        <w:rPr>
          <w:rFonts w:hint="eastAsia" w:ascii="宋体" w:hAnsi="宋体"/>
          <w:color w:val="auto"/>
          <w:highlight w:val="none"/>
        </w:rPr>
        <w:t>项目名称：壮美广西·发改云国产化改造服务采购</w:t>
      </w:r>
    </w:p>
    <w:p w14:paraId="3227438F">
      <w:pPr>
        <w:spacing w:line="360" w:lineRule="auto"/>
        <w:ind w:firstLine="420" w:firstLineChars="200"/>
        <w:rPr>
          <w:rFonts w:ascii="宋体" w:hAnsi="宋体"/>
          <w:color w:val="auto"/>
          <w:highlight w:val="none"/>
        </w:rPr>
      </w:pPr>
      <w:r>
        <w:rPr>
          <w:rFonts w:hint="eastAsia" w:ascii="宋体" w:hAnsi="宋体"/>
          <w:color w:val="auto"/>
          <w:highlight w:val="none"/>
        </w:rPr>
        <w:t>采购方式：竞争性磋商</w:t>
      </w:r>
    </w:p>
    <w:p w14:paraId="2788866E">
      <w:pPr>
        <w:spacing w:line="360" w:lineRule="auto"/>
        <w:ind w:firstLine="420" w:firstLineChars="200"/>
        <w:rPr>
          <w:rFonts w:ascii="宋体" w:hAnsi="宋体"/>
          <w:color w:val="auto"/>
          <w:highlight w:val="none"/>
        </w:rPr>
      </w:pPr>
      <w:r>
        <w:rPr>
          <w:rFonts w:hint="eastAsia" w:ascii="宋体" w:hAnsi="宋体"/>
          <w:color w:val="auto"/>
          <w:highlight w:val="none"/>
        </w:rPr>
        <w:t>预算金额：143.59万元。</w:t>
      </w:r>
    </w:p>
    <w:p w14:paraId="22D5F9B0">
      <w:pPr>
        <w:spacing w:line="360" w:lineRule="auto"/>
        <w:ind w:firstLine="420" w:firstLineChars="200"/>
        <w:rPr>
          <w:rFonts w:ascii="宋体" w:hAnsi="宋体"/>
          <w:color w:val="auto"/>
          <w:highlight w:val="none"/>
        </w:rPr>
      </w:pPr>
      <w:r>
        <w:rPr>
          <w:rFonts w:hint="eastAsia" w:ascii="宋体" w:hAnsi="宋体"/>
          <w:color w:val="auto"/>
          <w:highlight w:val="none"/>
        </w:rPr>
        <w:t>最高限价（如有）：143.59万元。</w:t>
      </w:r>
    </w:p>
    <w:p w14:paraId="73063C03">
      <w:pPr>
        <w:spacing w:line="360" w:lineRule="auto"/>
        <w:ind w:firstLine="420" w:firstLineChars="200"/>
        <w:rPr>
          <w:rFonts w:ascii="宋体" w:hAnsi="宋体"/>
          <w:color w:val="auto"/>
          <w:highlight w:val="none"/>
        </w:rPr>
      </w:pPr>
      <w:r>
        <w:rPr>
          <w:rFonts w:hint="eastAsia" w:ascii="宋体" w:hAnsi="宋体"/>
          <w:color w:val="auto"/>
          <w:highlight w:val="none"/>
        </w:rPr>
        <w:t xml:space="preserve">采购需求： </w:t>
      </w:r>
    </w:p>
    <w:tbl>
      <w:tblPr>
        <w:tblStyle w:val="15"/>
        <w:tblW w:w="89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091"/>
        <w:gridCol w:w="1150"/>
        <w:gridCol w:w="5047"/>
      </w:tblGrid>
      <w:tr w14:paraId="43FF9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2AD2CC6">
            <w:pPr>
              <w:snapToGrid w:val="0"/>
              <w:spacing w:line="360" w:lineRule="exact"/>
              <w:jc w:val="center"/>
              <w:rPr>
                <w:rFonts w:ascii="宋体" w:hAnsi="宋体"/>
                <w:color w:val="auto"/>
                <w:highlight w:val="none"/>
              </w:rPr>
            </w:pPr>
            <w:r>
              <w:rPr>
                <w:rFonts w:hint="eastAsia" w:ascii="宋体" w:hAnsi="宋体"/>
                <w:color w:val="auto"/>
                <w:highlight w:val="none"/>
              </w:rPr>
              <w:t>序号</w:t>
            </w:r>
          </w:p>
        </w:tc>
        <w:tc>
          <w:tcPr>
            <w:tcW w:w="2091" w:type="dxa"/>
            <w:tcBorders>
              <w:top w:val="single" w:color="auto" w:sz="4" w:space="0"/>
              <w:left w:val="nil"/>
              <w:bottom w:val="single" w:color="auto" w:sz="4" w:space="0"/>
              <w:right w:val="single" w:color="auto" w:sz="4" w:space="0"/>
            </w:tcBorders>
            <w:vAlign w:val="center"/>
          </w:tcPr>
          <w:p w14:paraId="3915ACAF">
            <w:pPr>
              <w:snapToGrid w:val="0"/>
              <w:spacing w:line="360" w:lineRule="exact"/>
              <w:jc w:val="center"/>
              <w:rPr>
                <w:rFonts w:ascii="宋体" w:hAnsi="宋体"/>
                <w:color w:val="auto"/>
                <w:highlight w:val="none"/>
              </w:rPr>
            </w:pPr>
            <w:r>
              <w:rPr>
                <w:rFonts w:hint="eastAsia" w:ascii="宋体" w:hAnsi="宋体"/>
                <w:color w:val="auto"/>
                <w:highlight w:val="none"/>
              </w:rPr>
              <w:t>标的名称</w:t>
            </w:r>
          </w:p>
        </w:tc>
        <w:tc>
          <w:tcPr>
            <w:tcW w:w="1150" w:type="dxa"/>
            <w:tcBorders>
              <w:top w:val="single" w:color="auto" w:sz="4" w:space="0"/>
              <w:left w:val="nil"/>
              <w:bottom w:val="single" w:color="auto" w:sz="4" w:space="0"/>
              <w:right w:val="single" w:color="auto" w:sz="4" w:space="0"/>
            </w:tcBorders>
            <w:vAlign w:val="center"/>
          </w:tcPr>
          <w:p w14:paraId="377D27BD">
            <w:pPr>
              <w:snapToGrid w:val="0"/>
              <w:spacing w:line="360" w:lineRule="exact"/>
              <w:jc w:val="center"/>
              <w:rPr>
                <w:rFonts w:ascii="宋体" w:hAnsi="宋体"/>
                <w:color w:val="auto"/>
                <w:highlight w:val="none"/>
              </w:rPr>
            </w:pPr>
            <w:r>
              <w:rPr>
                <w:rFonts w:hint="eastAsia" w:ascii="宋体" w:hAnsi="宋体"/>
                <w:color w:val="auto"/>
                <w:highlight w:val="none"/>
              </w:rPr>
              <w:t>数量及</w:t>
            </w:r>
          </w:p>
          <w:p w14:paraId="27E37A3B">
            <w:pPr>
              <w:snapToGrid w:val="0"/>
              <w:spacing w:line="360" w:lineRule="exact"/>
              <w:jc w:val="center"/>
              <w:rPr>
                <w:rFonts w:ascii="宋体" w:hAnsi="宋体"/>
                <w:color w:val="auto"/>
                <w:highlight w:val="none"/>
              </w:rPr>
            </w:pPr>
            <w:r>
              <w:rPr>
                <w:rFonts w:hint="eastAsia" w:ascii="宋体" w:hAnsi="宋体"/>
                <w:color w:val="auto"/>
                <w:highlight w:val="none"/>
              </w:rPr>
              <w:t>单位</w:t>
            </w:r>
          </w:p>
        </w:tc>
        <w:tc>
          <w:tcPr>
            <w:tcW w:w="5047" w:type="dxa"/>
            <w:tcBorders>
              <w:top w:val="single" w:color="auto" w:sz="4" w:space="0"/>
              <w:left w:val="nil"/>
              <w:bottom w:val="single" w:color="auto" w:sz="4" w:space="0"/>
              <w:right w:val="single" w:color="auto" w:sz="4" w:space="0"/>
            </w:tcBorders>
            <w:vAlign w:val="center"/>
          </w:tcPr>
          <w:p w14:paraId="45076D99">
            <w:pPr>
              <w:snapToGrid w:val="0"/>
              <w:spacing w:line="360" w:lineRule="exact"/>
              <w:jc w:val="center"/>
              <w:rPr>
                <w:rFonts w:ascii="宋体" w:hAnsi="宋体"/>
                <w:color w:val="auto"/>
                <w:highlight w:val="none"/>
              </w:rPr>
            </w:pPr>
            <w:r>
              <w:rPr>
                <w:rFonts w:hint="eastAsia" w:ascii="宋体" w:hAnsi="宋体"/>
                <w:color w:val="auto"/>
                <w:highlight w:val="none"/>
              </w:rPr>
              <w:t>简要技术需求或者服务要求</w:t>
            </w:r>
          </w:p>
        </w:tc>
      </w:tr>
      <w:tr w14:paraId="52912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042517BE">
            <w:pPr>
              <w:snapToGrid w:val="0"/>
              <w:spacing w:line="360" w:lineRule="exact"/>
              <w:jc w:val="center"/>
              <w:rPr>
                <w:rFonts w:ascii="宋体" w:hAnsi="宋体"/>
                <w:color w:val="auto"/>
                <w:highlight w:val="none"/>
              </w:rPr>
            </w:pPr>
            <w:r>
              <w:rPr>
                <w:rFonts w:hint="eastAsia" w:ascii="宋体" w:hAnsi="宋体"/>
                <w:color w:val="auto"/>
                <w:highlight w:val="none"/>
              </w:rPr>
              <w:t>1</w:t>
            </w:r>
          </w:p>
        </w:tc>
        <w:tc>
          <w:tcPr>
            <w:tcW w:w="2091" w:type="dxa"/>
            <w:tcBorders>
              <w:top w:val="single" w:color="auto" w:sz="4" w:space="0"/>
              <w:left w:val="nil"/>
              <w:bottom w:val="single" w:color="auto" w:sz="4" w:space="0"/>
              <w:right w:val="single" w:color="auto" w:sz="4" w:space="0"/>
            </w:tcBorders>
            <w:vAlign w:val="center"/>
          </w:tcPr>
          <w:p w14:paraId="76CAFF05">
            <w:pPr>
              <w:snapToGrid w:val="0"/>
              <w:spacing w:line="360" w:lineRule="exact"/>
              <w:jc w:val="center"/>
              <w:rPr>
                <w:rFonts w:ascii="宋体" w:hAnsi="宋体"/>
                <w:color w:val="auto"/>
                <w:highlight w:val="none"/>
              </w:rPr>
            </w:pPr>
            <w:r>
              <w:rPr>
                <w:rFonts w:hint="eastAsia" w:ascii="宋体" w:hAnsi="宋体"/>
                <w:color w:val="auto"/>
                <w:highlight w:val="none"/>
              </w:rPr>
              <w:t>壮美广西·发改云国产化改造</w:t>
            </w:r>
          </w:p>
        </w:tc>
        <w:tc>
          <w:tcPr>
            <w:tcW w:w="1150" w:type="dxa"/>
            <w:tcBorders>
              <w:top w:val="single" w:color="auto" w:sz="4" w:space="0"/>
              <w:left w:val="nil"/>
              <w:bottom w:val="single" w:color="auto" w:sz="4" w:space="0"/>
              <w:right w:val="single" w:color="auto" w:sz="4" w:space="0"/>
            </w:tcBorders>
            <w:vAlign w:val="center"/>
          </w:tcPr>
          <w:p w14:paraId="0D6328A1">
            <w:pPr>
              <w:snapToGrid w:val="0"/>
              <w:spacing w:line="360" w:lineRule="exact"/>
              <w:jc w:val="center"/>
              <w:rPr>
                <w:rFonts w:ascii="宋体" w:hAnsi="宋体"/>
                <w:color w:val="auto"/>
                <w:highlight w:val="none"/>
              </w:rPr>
            </w:pPr>
            <w:r>
              <w:rPr>
                <w:rFonts w:hint="eastAsia" w:ascii="宋体" w:hAnsi="宋体"/>
                <w:color w:val="auto"/>
                <w:highlight w:val="none"/>
              </w:rPr>
              <w:t>1项</w:t>
            </w:r>
          </w:p>
        </w:tc>
        <w:tc>
          <w:tcPr>
            <w:tcW w:w="5047" w:type="dxa"/>
            <w:tcBorders>
              <w:top w:val="single" w:color="auto" w:sz="4" w:space="0"/>
              <w:left w:val="nil"/>
              <w:bottom w:val="single" w:color="auto" w:sz="4" w:space="0"/>
              <w:right w:val="single" w:color="auto" w:sz="4" w:space="0"/>
            </w:tcBorders>
            <w:vAlign w:val="center"/>
          </w:tcPr>
          <w:p w14:paraId="61832955">
            <w:pPr>
              <w:snapToGrid w:val="0"/>
              <w:spacing w:line="400" w:lineRule="exact"/>
              <w:rPr>
                <w:rFonts w:ascii="宋体" w:hAnsi="宋体"/>
                <w:color w:val="auto"/>
                <w:highlight w:val="none"/>
              </w:rPr>
            </w:pPr>
            <w:r>
              <w:rPr>
                <w:rFonts w:hint="eastAsia" w:ascii="宋体" w:hAnsi="宋体"/>
                <w:color w:val="auto"/>
                <w:highlight w:val="none"/>
              </w:rPr>
              <w:t>本项目主要是对壮美广西·发改云系统功能和接口对接进行国产化适配改造，新增智能库表配置、调度分析、联合审查管理等功能、开展系统数据迁移、密码改造及配合开展数据治理等工作。</w:t>
            </w:r>
          </w:p>
        </w:tc>
      </w:tr>
    </w:tbl>
    <w:p w14:paraId="22097464">
      <w:pPr>
        <w:spacing w:line="360" w:lineRule="auto"/>
        <w:ind w:firstLine="420" w:firstLineChars="200"/>
        <w:rPr>
          <w:rFonts w:ascii="宋体" w:hAnsi="宋体"/>
          <w:color w:val="auto"/>
          <w:highlight w:val="none"/>
        </w:rPr>
      </w:pPr>
      <w:r>
        <w:rPr>
          <w:rFonts w:hint="eastAsia" w:ascii="宋体" w:hAnsi="宋体"/>
          <w:color w:val="auto"/>
          <w:highlight w:val="none"/>
        </w:rPr>
        <w:t>合同履行期限：2026年6月20日前完成履约验收</w:t>
      </w:r>
      <w:r>
        <w:rPr>
          <w:rFonts w:hint="eastAsia" w:ascii="宋体" w:hAnsi="宋体" w:cs="宋体"/>
          <w:color w:val="auto"/>
          <w:highlight w:val="none"/>
        </w:rPr>
        <w:t>。</w:t>
      </w:r>
    </w:p>
    <w:p w14:paraId="61E2D5E9">
      <w:pPr>
        <w:spacing w:line="360" w:lineRule="auto"/>
        <w:ind w:firstLine="420" w:firstLineChars="200"/>
        <w:rPr>
          <w:rFonts w:ascii="宋体" w:hAnsi="宋体"/>
          <w:color w:val="auto"/>
          <w:highlight w:val="none"/>
        </w:rPr>
      </w:pPr>
      <w:r>
        <w:rPr>
          <w:rFonts w:hint="eastAsia" w:ascii="宋体" w:hAnsi="宋体"/>
          <w:color w:val="auto"/>
          <w:highlight w:val="none"/>
        </w:rPr>
        <w:t>本项目（不）接受联合体。</w:t>
      </w:r>
    </w:p>
    <w:p w14:paraId="3F0CADC8">
      <w:pPr>
        <w:spacing w:line="360" w:lineRule="auto"/>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二、申请人的资格条件：</w:t>
      </w:r>
    </w:p>
    <w:p w14:paraId="53E581F5">
      <w:pPr>
        <w:spacing w:line="360" w:lineRule="auto"/>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153B290C">
      <w:pPr>
        <w:spacing w:line="360" w:lineRule="auto"/>
        <w:ind w:firstLine="420" w:firstLineChars="200"/>
        <w:rPr>
          <w:rFonts w:ascii="宋体" w:hAnsi="宋体"/>
          <w:color w:val="auto"/>
          <w:highlight w:val="none"/>
        </w:rPr>
      </w:pPr>
      <w:r>
        <w:rPr>
          <w:rFonts w:hint="eastAsia" w:ascii="宋体" w:hAnsi="宋体"/>
          <w:color w:val="auto"/>
          <w:highlight w:val="none"/>
        </w:rPr>
        <w:t>2、落实政府采购政策需满足的资格要求：非专门面向中小企业；</w:t>
      </w:r>
    </w:p>
    <w:p w14:paraId="0D86F462">
      <w:pPr>
        <w:spacing w:line="360" w:lineRule="auto"/>
        <w:ind w:firstLine="420" w:firstLineChars="200"/>
        <w:rPr>
          <w:rFonts w:ascii="宋体" w:hAnsi="宋体"/>
          <w:color w:val="auto"/>
          <w:highlight w:val="none"/>
        </w:rPr>
      </w:pPr>
      <w:r>
        <w:rPr>
          <w:rFonts w:hint="eastAsia" w:ascii="宋体" w:hAnsi="宋体"/>
          <w:color w:val="auto"/>
          <w:highlight w:val="none"/>
        </w:rPr>
        <w:t>3、本项目的特定资格要求：无。</w:t>
      </w:r>
    </w:p>
    <w:p w14:paraId="3BA703E6">
      <w:pPr>
        <w:spacing w:line="360" w:lineRule="auto"/>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三、获取竞争性磋商文件</w:t>
      </w:r>
    </w:p>
    <w:p w14:paraId="48934046">
      <w:pPr>
        <w:spacing w:line="360" w:lineRule="auto"/>
        <w:ind w:firstLine="420" w:firstLineChars="200"/>
        <w:rPr>
          <w:rFonts w:ascii="宋体" w:hAnsi="宋体"/>
          <w:bCs/>
          <w:color w:val="auto"/>
          <w:kern w:val="0"/>
          <w:highlight w:val="none"/>
        </w:rPr>
      </w:pPr>
      <w:r>
        <w:rPr>
          <w:rFonts w:hint="eastAsia" w:ascii="宋体" w:hAnsi="宋体"/>
          <w:bCs/>
          <w:color w:val="auto"/>
          <w:kern w:val="0"/>
          <w:highlight w:val="none"/>
        </w:rPr>
        <w:t>时间：</w:t>
      </w:r>
      <w:r>
        <w:rPr>
          <w:rFonts w:hint="eastAsia" w:ascii="宋体" w:hAnsi="宋体" w:cs="Arial"/>
          <w:color w:val="auto"/>
          <w:highlight w:val="none"/>
        </w:rPr>
        <w:t>2025年12月</w:t>
      </w:r>
      <w:r>
        <w:rPr>
          <w:rFonts w:hint="eastAsia" w:ascii="宋体" w:hAnsi="宋体" w:cs="Arial"/>
          <w:color w:val="auto"/>
          <w:highlight w:val="none"/>
          <w:lang w:val="en-US" w:eastAsia="zh-CN"/>
        </w:rPr>
        <w:t>19</w:t>
      </w:r>
      <w:r>
        <w:rPr>
          <w:rFonts w:hint="eastAsia" w:ascii="宋体" w:hAnsi="宋体" w:cs="Arial"/>
          <w:color w:val="auto"/>
          <w:highlight w:val="none"/>
        </w:rPr>
        <w:t>日至2025年12月</w:t>
      </w:r>
      <w:r>
        <w:rPr>
          <w:rFonts w:hint="eastAsia" w:ascii="宋体" w:hAnsi="宋体" w:cs="Arial"/>
          <w:color w:val="auto"/>
          <w:highlight w:val="none"/>
          <w:lang w:val="en-US" w:eastAsia="zh-CN"/>
        </w:rPr>
        <w:t>26</w:t>
      </w:r>
      <w:r>
        <w:rPr>
          <w:rFonts w:hint="eastAsia" w:ascii="宋体" w:hAnsi="宋体" w:cs="Arial"/>
          <w:color w:val="auto"/>
          <w:highlight w:val="none"/>
        </w:rPr>
        <w:t>日，每天上午00:00-12:00；下午12:00-23:59（北京时间，法定节假日除外）</w:t>
      </w:r>
      <w:r>
        <w:rPr>
          <w:rFonts w:hint="eastAsia" w:ascii="宋体" w:hAnsi="宋体"/>
          <w:bCs/>
          <w:color w:val="auto"/>
          <w:kern w:val="0"/>
          <w:highlight w:val="none"/>
        </w:rPr>
        <w:t>。</w:t>
      </w:r>
    </w:p>
    <w:p w14:paraId="3DB0B276">
      <w:pPr>
        <w:spacing w:line="360" w:lineRule="auto"/>
        <w:ind w:firstLine="420" w:firstLineChars="200"/>
        <w:rPr>
          <w:rFonts w:ascii="宋体" w:hAnsi="宋体"/>
          <w:bCs/>
          <w:color w:val="auto"/>
          <w:kern w:val="0"/>
          <w:highlight w:val="none"/>
        </w:rPr>
      </w:pPr>
      <w:r>
        <w:rPr>
          <w:rFonts w:hint="eastAsia" w:ascii="宋体" w:hAnsi="宋体"/>
          <w:bCs/>
          <w:color w:val="auto"/>
          <w:kern w:val="0"/>
          <w:highlight w:val="none"/>
        </w:rPr>
        <w:t>地点：“广西政府采购云”平台（https://www.gcy.zfcg.gxzf.gov.cn/）</w:t>
      </w:r>
    </w:p>
    <w:p w14:paraId="597F6C03">
      <w:pPr>
        <w:spacing w:line="360" w:lineRule="auto"/>
        <w:ind w:firstLine="420" w:firstLineChars="200"/>
        <w:rPr>
          <w:rFonts w:ascii="宋体" w:hAnsi="宋体"/>
          <w:bCs/>
          <w:color w:val="auto"/>
          <w:kern w:val="0"/>
          <w:highlight w:val="none"/>
        </w:rPr>
      </w:pPr>
      <w:r>
        <w:rPr>
          <w:rFonts w:hint="eastAsia" w:ascii="宋体" w:hAnsi="宋体"/>
          <w:bCs/>
          <w:color w:val="auto"/>
          <w:kern w:val="0"/>
          <w:highlight w:val="none"/>
        </w:rPr>
        <w:t>方式：网上下载。本项目不发放纸质文件，供应商应自行在“广西政府采购云”平台（https://www.gcy.zfcg.gxzf.gov.cn/）下载竞争性磋商文件（操作路径：登录</w:t>
      </w:r>
      <w:r>
        <w:rPr>
          <w:rFonts w:hint="eastAsia" w:ascii="宋体" w:hAnsi="宋体"/>
          <w:color w:val="auto"/>
          <w:highlight w:val="none"/>
        </w:rPr>
        <w:t>“</w:t>
      </w:r>
      <w:r>
        <w:rPr>
          <w:rFonts w:hint="eastAsia" w:ascii="宋体" w:hAnsi="宋体"/>
          <w:bCs/>
          <w:color w:val="auto"/>
          <w:kern w:val="0"/>
          <w:highlight w:val="none"/>
        </w:rPr>
        <w:t>广西政府采购云”平台-项目采购-获取采购文件-找到本项目-点击“申请获取采购文件”），电子响应文件制作需要基于“广西政府采购云”平台获取的竞争性磋商文件编制。</w:t>
      </w:r>
    </w:p>
    <w:p w14:paraId="763D75AD">
      <w:pPr>
        <w:spacing w:line="360" w:lineRule="auto"/>
        <w:ind w:firstLine="420" w:firstLineChars="200"/>
        <w:rPr>
          <w:rFonts w:ascii="宋体" w:hAnsi="宋体"/>
          <w:color w:val="auto"/>
          <w:highlight w:val="none"/>
        </w:rPr>
      </w:pPr>
      <w:r>
        <w:rPr>
          <w:rFonts w:hint="eastAsia" w:ascii="宋体" w:hAnsi="宋体"/>
          <w:bCs/>
          <w:color w:val="auto"/>
          <w:kern w:val="0"/>
          <w:highlight w:val="none"/>
        </w:rPr>
        <w:t>售价：0元。</w:t>
      </w:r>
    </w:p>
    <w:p w14:paraId="6123A0AD">
      <w:pPr>
        <w:spacing w:line="360" w:lineRule="auto"/>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四、响应文件提交</w:t>
      </w:r>
    </w:p>
    <w:p w14:paraId="7006A175">
      <w:pPr>
        <w:spacing w:line="360" w:lineRule="auto"/>
        <w:ind w:firstLine="420" w:firstLineChars="200"/>
        <w:rPr>
          <w:rFonts w:ascii="宋体" w:hAnsi="宋体"/>
          <w:color w:val="auto"/>
          <w:highlight w:val="none"/>
          <w:u w:val="single"/>
        </w:rPr>
      </w:pPr>
      <w:r>
        <w:rPr>
          <w:rFonts w:hint="eastAsia" w:ascii="宋体" w:hAnsi="宋体"/>
          <w:color w:val="auto"/>
          <w:highlight w:val="none"/>
        </w:rPr>
        <w:t>1、首次响应文件提交截止时间：</w:t>
      </w:r>
      <w:r>
        <w:rPr>
          <w:rFonts w:hint="eastAsia" w:ascii="宋体" w:hAnsi="宋体"/>
          <w:bCs/>
          <w:color w:val="auto"/>
          <w:kern w:val="0"/>
          <w:highlight w:val="none"/>
        </w:rPr>
        <w:t>2025年12月</w:t>
      </w:r>
      <w:r>
        <w:rPr>
          <w:rFonts w:hint="eastAsia" w:ascii="宋体" w:hAnsi="宋体"/>
          <w:bCs/>
          <w:color w:val="auto"/>
          <w:kern w:val="0"/>
          <w:highlight w:val="none"/>
          <w:lang w:val="en-US" w:eastAsia="zh-CN"/>
        </w:rPr>
        <w:t>30</w:t>
      </w:r>
      <w:r>
        <w:rPr>
          <w:rFonts w:hint="eastAsia" w:ascii="宋体" w:hAnsi="宋体"/>
          <w:bCs/>
          <w:color w:val="auto"/>
          <w:kern w:val="0"/>
          <w:highlight w:val="none"/>
        </w:rPr>
        <w:t>日9时00分（北京时间）</w:t>
      </w:r>
    </w:p>
    <w:p w14:paraId="0DA491AC">
      <w:pPr>
        <w:spacing w:line="360" w:lineRule="auto"/>
        <w:ind w:firstLine="420" w:firstLineChars="200"/>
        <w:rPr>
          <w:rFonts w:ascii="宋体" w:hAnsi="宋体"/>
          <w:color w:val="auto"/>
          <w:highlight w:val="none"/>
        </w:rPr>
      </w:pPr>
      <w:r>
        <w:rPr>
          <w:rFonts w:hint="eastAsia" w:ascii="宋体" w:hAnsi="宋体"/>
          <w:color w:val="auto"/>
          <w:highlight w:val="none"/>
        </w:rPr>
        <w:t>2、地点：通过“广西政府采购云”平台在线提交。</w:t>
      </w:r>
    </w:p>
    <w:p w14:paraId="4BD6250B">
      <w:pPr>
        <w:spacing w:line="360" w:lineRule="auto"/>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五、开启</w:t>
      </w:r>
    </w:p>
    <w:p w14:paraId="08EED42C">
      <w:pPr>
        <w:spacing w:line="360" w:lineRule="auto"/>
        <w:ind w:firstLine="420" w:firstLineChars="200"/>
        <w:rPr>
          <w:rFonts w:ascii="宋体" w:hAnsi="宋体"/>
          <w:bCs/>
          <w:color w:val="auto"/>
          <w:highlight w:val="none"/>
          <w:u w:val="single"/>
        </w:rPr>
      </w:pPr>
      <w:r>
        <w:rPr>
          <w:rFonts w:hint="eastAsia" w:ascii="宋体" w:hAnsi="宋体"/>
          <w:color w:val="auto"/>
          <w:highlight w:val="none"/>
        </w:rPr>
        <w:t>1、首次响应文件开启时间：</w:t>
      </w:r>
      <w:r>
        <w:rPr>
          <w:rFonts w:hint="eastAsia" w:ascii="宋体" w:hAnsi="宋体"/>
          <w:bCs/>
          <w:color w:val="auto"/>
          <w:kern w:val="0"/>
          <w:highlight w:val="none"/>
        </w:rPr>
        <w:t>2025年12月</w:t>
      </w:r>
      <w:r>
        <w:rPr>
          <w:rFonts w:hint="eastAsia" w:ascii="宋体" w:hAnsi="宋体"/>
          <w:bCs/>
          <w:color w:val="auto"/>
          <w:kern w:val="0"/>
          <w:highlight w:val="none"/>
          <w:lang w:val="en-US" w:eastAsia="zh-CN"/>
        </w:rPr>
        <w:t>30</w:t>
      </w:r>
      <w:r>
        <w:rPr>
          <w:rFonts w:hint="eastAsia" w:ascii="宋体" w:hAnsi="宋体"/>
          <w:bCs/>
          <w:color w:val="auto"/>
          <w:kern w:val="0"/>
          <w:highlight w:val="none"/>
        </w:rPr>
        <w:t>日9时00分（北京时间）</w:t>
      </w:r>
    </w:p>
    <w:p w14:paraId="0114B631">
      <w:pPr>
        <w:spacing w:line="360" w:lineRule="auto"/>
        <w:ind w:firstLine="420" w:firstLineChars="200"/>
        <w:rPr>
          <w:rFonts w:ascii="宋体" w:hAnsi="宋体"/>
          <w:color w:val="auto"/>
          <w:highlight w:val="none"/>
        </w:rPr>
      </w:pPr>
      <w:r>
        <w:rPr>
          <w:rFonts w:hint="eastAsia" w:ascii="宋体" w:hAnsi="宋体"/>
          <w:color w:val="auto"/>
          <w:highlight w:val="none"/>
        </w:rPr>
        <w:t>2、地点：本项目将在“广西政府采购云”平台电子开标大厅解密、开启。</w:t>
      </w:r>
    </w:p>
    <w:p w14:paraId="5ADFD45C">
      <w:pPr>
        <w:spacing w:line="360" w:lineRule="auto"/>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六、公告期限</w:t>
      </w:r>
    </w:p>
    <w:p w14:paraId="6D7E7D90">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自本公告发布之日起3个工作日。</w:t>
      </w:r>
    </w:p>
    <w:p w14:paraId="6ED32B12">
      <w:pPr>
        <w:spacing w:line="360" w:lineRule="auto"/>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七、其他补充事宜</w:t>
      </w:r>
    </w:p>
    <w:p w14:paraId="04C21474">
      <w:pPr>
        <w:widowControl/>
        <w:spacing w:line="360" w:lineRule="auto"/>
        <w:ind w:firstLine="420" w:firstLineChars="200"/>
        <w:rPr>
          <w:rFonts w:ascii="宋体" w:hAnsi="宋体"/>
          <w:color w:val="auto"/>
          <w:highlight w:val="none"/>
        </w:rPr>
      </w:pPr>
      <w:r>
        <w:rPr>
          <w:rFonts w:hint="eastAsia" w:ascii="宋体" w:hAnsi="宋体"/>
          <w:color w:val="auto"/>
          <w:highlight w:val="none"/>
        </w:rPr>
        <w:t>1、磋商保证金（人民币）：14000元。</w:t>
      </w:r>
    </w:p>
    <w:p w14:paraId="4EFEB463">
      <w:pPr>
        <w:widowControl/>
        <w:spacing w:line="360" w:lineRule="auto"/>
        <w:ind w:firstLine="420" w:firstLineChars="200"/>
        <w:rPr>
          <w:rFonts w:ascii="宋体" w:hAnsi="宋体"/>
          <w:color w:val="auto"/>
          <w:highlight w:val="none"/>
        </w:rPr>
      </w:pPr>
      <w:r>
        <w:rPr>
          <w:rFonts w:hint="eastAsia" w:ascii="宋体" w:hAnsi="宋体"/>
          <w:color w:val="auto"/>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6882E9">
      <w:pPr>
        <w:widowControl/>
        <w:spacing w:line="360" w:lineRule="auto"/>
        <w:ind w:firstLine="420" w:firstLineChars="200"/>
        <w:rPr>
          <w:rFonts w:ascii="宋体" w:hAnsi="宋体"/>
          <w:color w:val="auto"/>
          <w:highlight w:val="none"/>
        </w:rPr>
      </w:pPr>
      <w:r>
        <w:rPr>
          <w:rFonts w:hint="eastAsia" w:ascii="宋体" w:hAnsi="宋体"/>
          <w:color w:val="auto"/>
          <w:highlight w:val="none"/>
        </w:rPr>
        <w:t>3、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581A9DF">
      <w:pPr>
        <w:widowControl/>
        <w:spacing w:line="360" w:lineRule="auto"/>
        <w:ind w:firstLine="420" w:firstLineChars="200"/>
        <w:rPr>
          <w:rFonts w:ascii="宋体" w:hAnsi="宋体"/>
          <w:color w:val="auto"/>
          <w:highlight w:val="none"/>
        </w:rPr>
      </w:pPr>
      <w:r>
        <w:rPr>
          <w:rFonts w:hint="eastAsia" w:ascii="宋体" w:hAnsi="宋体"/>
          <w:color w:val="auto"/>
          <w:highlight w:val="none"/>
        </w:rPr>
        <w:t>4、网上查询地址：中国政府采购网（www.ccgp.gov.cn）、广西政府采购网（zfcg.gxzf.gov.cn）。</w:t>
      </w:r>
    </w:p>
    <w:p w14:paraId="0E073708">
      <w:pPr>
        <w:widowControl/>
        <w:spacing w:line="360" w:lineRule="auto"/>
        <w:ind w:firstLine="420" w:firstLineChars="200"/>
        <w:rPr>
          <w:rFonts w:ascii="宋体" w:hAnsi="宋体"/>
          <w:color w:val="auto"/>
          <w:highlight w:val="none"/>
        </w:rPr>
      </w:pPr>
      <w:r>
        <w:rPr>
          <w:rFonts w:hint="eastAsia" w:ascii="宋体" w:hAnsi="宋体"/>
          <w:color w:val="auto"/>
          <w:highlight w:val="none"/>
        </w:rPr>
        <w:t>5、本项目需要落实的政府采购政策：</w:t>
      </w:r>
    </w:p>
    <w:p w14:paraId="35265417">
      <w:pPr>
        <w:widowControl/>
        <w:spacing w:line="360" w:lineRule="auto"/>
        <w:ind w:firstLine="420" w:firstLineChars="200"/>
        <w:rPr>
          <w:rFonts w:ascii="宋体" w:hAnsi="宋体"/>
          <w:color w:val="auto"/>
          <w:highlight w:val="none"/>
        </w:rPr>
      </w:pPr>
      <w:r>
        <w:rPr>
          <w:rFonts w:hint="eastAsia" w:ascii="宋体" w:hAnsi="宋体"/>
          <w:color w:val="auto"/>
          <w:highlight w:val="none"/>
        </w:rPr>
        <w:t>（1）政府采购促进中小企业发展。</w:t>
      </w:r>
    </w:p>
    <w:p w14:paraId="6E18D15E">
      <w:pPr>
        <w:widowControl/>
        <w:spacing w:line="360" w:lineRule="auto"/>
        <w:ind w:firstLine="420" w:firstLineChars="200"/>
        <w:rPr>
          <w:rFonts w:ascii="宋体" w:hAnsi="宋体"/>
          <w:color w:val="auto"/>
          <w:highlight w:val="none"/>
        </w:rPr>
      </w:pPr>
      <w:r>
        <w:rPr>
          <w:rFonts w:hint="eastAsia" w:ascii="宋体" w:hAnsi="宋体"/>
          <w:color w:val="auto"/>
          <w:highlight w:val="none"/>
        </w:rPr>
        <w:t>（2）政府采购支持采用本国产品的政策。</w:t>
      </w:r>
    </w:p>
    <w:p w14:paraId="47B72C98">
      <w:pPr>
        <w:widowControl/>
        <w:spacing w:line="360" w:lineRule="auto"/>
        <w:ind w:firstLine="420" w:firstLineChars="200"/>
        <w:rPr>
          <w:rFonts w:ascii="宋体" w:hAnsi="宋体"/>
          <w:color w:val="auto"/>
          <w:highlight w:val="none"/>
        </w:rPr>
      </w:pPr>
      <w:r>
        <w:rPr>
          <w:rFonts w:hint="eastAsia" w:ascii="宋体" w:hAnsi="宋体"/>
          <w:color w:val="auto"/>
          <w:highlight w:val="none"/>
        </w:rPr>
        <w:t>（3）政府采购促进残疾人就业政策。</w:t>
      </w:r>
    </w:p>
    <w:p w14:paraId="2E009B41">
      <w:pPr>
        <w:widowControl/>
        <w:spacing w:line="360" w:lineRule="auto"/>
        <w:ind w:firstLine="420" w:firstLineChars="200"/>
        <w:rPr>
          <w:rFonts w:ascii="宋体" w:hAnsi="宋体"/>
          <w:color w:val="auto"/>
          <w:highlight w:val="none"/>
        </w:rPr>
      </w:pPr>
      <w:r>
        <w:rPr>
          <w:rFonts w:hint="eastAsia" w:ascii="宋体" w:hAnsi="宋体"/>
          <w:color w:val="auto"/>
          <w:highlight w:val="none"/>
        </w:rPr>
        <w:t>（4）政府采购支持监狱企业发展。</w:t>
      </w:r>
    </w:p>
    <w:p w14:paraId="3F2E4A28">
      <w:pPr>
        <w:widowControl/>
        <w:spacing w:line="360" w:lineRule="auto"/>
        <w:ind w:firstLine="420" w:firstLineChars="200"/>
        <w:rPr>
          <w:rFonts w:ascii="宋体" w:hAnsi="宋体"/>
          <w:color w:val="auto"/>
          <w:highlight w:val="none"/>
        </w:rPr>
      </w:pPr>
      <w:r>
        <w:rPr>
          <w:rFonts w:hint="eastAsia" w:ascii="宋体" w:hAnsi="宋体"/>
          <w:color w:val="auto"/>
          <w:highlight w:val="none"/>
        </w:rPr>
        <w:t>6、磋商注意事项：</w:t>
      </w:r>
    </w:p>
    <w:p w14:paraId="709FE4E8">
      <w:pPr>
        <w:widowControl/>
        <w:spacing w:line="360" w:lineRule="auto"/>
        <w:ind w:firstLine="420" w:firstLineChars="200"/>
        <w:rPr>
          <w:rFonts w:ascii="宋体" w:hAnsi="宋体"/>
          <w:bCs/>
          <w:color w:val="auto"/>
          <w:highlight w:val="none"/>
        </w:rPr>
      </w:pPr>
      <w:r>
        <w:rPr>
          <w:rFonts w:hint="eastAsia" w:ascii="宋体" w:hAnsi="宋体"/>
          <w:color w:val="auto"/>
          <w:highlight w:val="none"/>
        </w:rPr>
        <w:t>（1）响应文件提交方式：本项目为全流程电子化政府采购项目，通过</w:t>
      </w:r>
      <w:r>
        <w:rPr>
          <w:rFonts w:hint="eastAsia" w:ascii="宋体" w:hAnsi="宋体"/>
          <w:bCs/>
          <w:color w:val="auto"/>
          <w:kern w:val="0"/>
          <w:highlight w:val="none"/>
        </w:rPr>
        <w:t>“</w:t>
      </w:r>
      <w:r>
        <w:rPr>
          <w:rFonts w:hint="eastAsia" w:ascii="宋体" w:hAnsi="宋体"/>
          <w:color w:val="auto"/>
          <w:highlight w:val="none"/>
        </w:rPr>
        <w:t>广西政府采购云”平台（https://www.gcy.zfcg.gxzf.gov.cn/）实行在线电子磋商采购，供应商应先安装“政采云电子交易客户端”（请自行前往“广西政府采购云”平台进行下载），并按照本项目竞争性磋商文件和</w:t>
      </w:r>
      <w:r>
        <w:rPr>
          <w:rFonts w:hint="eastAsia" w:ascii="宋体" w:hAnsi="宋体"/>
          <w:bCs/>
          <w:color w:val="auto"/>
          <w:kern w:val="0"/>
          <w:highlight w:val="none"/>
        </w:rPr>
        <w:t>“</w:t>
      </w:r>
      <w:r>
        <w:rPr>
          <w:rFonts w:hint="eastAsia" w:ascii="宋体" w:hAnsi="宋体"/>
          <w:color w:val="auto"/>
          <w:highlight w:val="none"/>
        </w:rPr>
        <w:t>广西政府采购云”平台的要求编制、加密后在首次响应文件提交截止时间前通过网络上传至</w:t>
      </w:r>
      <w:r>
        <w:rPr>
          <w:rFonts w:hint="eastAsia" w:ascii="宋体" w:hAnsi="宋体"/>
          <w:bCs/>
          <w:color w:val="auto"/>
          <w:kern w:val="0"/>
          <w:highlight w:val="none"/>
        </w:rPr>
        <w:t>“</w:t>
      </w:r>
      <w:r>
        <w:rPr>
          <w:rFonts w:hint="eastAsia" w:ascii="宋体" w:hAnsi="宋体"/>
          <w:color w:val="auto"/>
          <w:highlight w:val="none"/>
        </w:rPr>
        <w:t>广西政府采购云”平台，</w:t>
      </w:r>
      <w:r>
        <w:rPr>
          <w:rFonts w:hint="eastAsia" w:ascii="宋体" w:hAnsi="宋体"/>
          <w:b/>
          <w:color w:val="auto"/>
          <w:highlight w:val="none"/>
        </w:rPr>
        <w:t>供应商在</w:t>
      </w:r>
      <w:r>
        <w:rPr>
          <w:rFonts w:hint="eastAsia" w:ascii="宋体" w:hAnsi="宋体"/>
          <w:bCs/>
          <w:color w:val="auto"/>
          <w:kern w:val="0"/>
          <w:highlight w:val="none"/>
        </w:rPr>
        <w:t>“</w:t>
      </w:r>
      <w:r>
        <w:rPr>
          <w:rFonts w:hint="eastAsia" w:ascii="宋体" w:hAnsi="宋体"/>
          <w:b/>
          <w:color w:val="auto"/>
          <w:highlight w:val="none"/>
        </w:rPr>
        <w:t>广西政府采购云”平台提交电子版响应文件时，请填写参加远程开标活动经办人联系方式。</w:t>
      </w:r>
    </w:p>
    <w:p w14:paraId="72CF54C1">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2）供应商应及时熟悉掌握电子标系统操作指南（见广西政府采购云电子卖场首页右上角—服务中心—帮助文档—项目采购）：https://service.zcygov.cn/#/knowledges/tree?tag=AG1DtGwBFdiHxlNdhY0r；及时完成CA申领和绑定（见广西壮族自治区政府采购网—办事服务—下载专区-广西政府采购云CA证书办理操作指南）。</w:t>
      </w:r>
    </w:p>
    <w:p w14:paraId="19736DFB">
      <w:pPr>
        <w:widowControl/>
        <w:spacing w:line="360" w:lineRule="auto"/>
        <w:ind w:firstLine="420" w:firstLineChars="200"/>
        <w:rPr>
          <w:rFonts w:ascii="宋体" w:hAnsi="宋体"/>
          <w:color w:val="auto"/>
          <w:highlight w:val="none"/>
        </w:rPr>
      </w:pPr>
      <w:r>
        <w:rPr>
          <w:rFonts w:hint="eastAsia" w:ascii="宋体" w:hAnsi="宋体"/>
          <w:color w:val="auto"/>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4F6447C4">
      <w:pPr>
        <w:widowControl/>
        <w:spacing w:line="360" w:lineRule="auto"/>
        <w:ind w:firstLine="420" w:firstLineChars="200"/>
        <w:rPr>
          <w:rFonts w:ascii="宋体" w:hAnsi="宋体"/>
          <w:color w:val="auto"/>
          <w:highlight w:val="none"/>
        </w:rPr>
      </w:pPr>
      <w:r>
        <w:rPr>
          <w:rFonts w:hint="eastAsia" w:ascii="宋体" w:hAnsi="宋体"/>
          <w:color w:val="auto"/>
          <w:highlight w:val="none"/>
        </w:rPr>
        <w:t>（4）为确保网上操作合法、有效和安全，请供应商确保在电子竞标过程中能够对相关数据电文进行加密和使用电子签章，妥善保管CA数字证书并使用有效的CA数字证书参与整个采购活动。</w:t>
      </w:r>
    </w:p>
    <w:p w14:paraId="5AC4F000">
      <w:pPr>
        <w:spacing w:line="360" w:lineRule="auto"/>
        <w:ind w:firstLine="422" w:firstLineChars="200"/>
        <w:rPr>
          <w:rFonts w:ascii="宋体" w:hAnsi="宋体"/>
          <w:b/>
          <w:bCs/>
          <w:color w:val="auto"/>
          <w:highlight w:val="none"/>
        </w:rPr>
      </w:pPr>
      <w:r>
        <w:rPr>
          <w:rFonts w:hint="eastAsia" w:ascii="宋体" w:hAnsi="宋体"/>
          <w:b/>
          <w:bCs/>
          <w:color w:val="auto"/>
          <w:highlight w:val="none"/>
        </w:rPr>
        <w:t>注：供应商应当在首次响应文件提交截止时间前完成电子响应文件的上传、递交，</w:t>
      </w:r>
      <w:r>
        <w:rPr>
          <w:rFonts w:hint="eastAsia" w:ascii="宋体" w:hAnsi="宋体"/>
          <w:b/>
          <w:color w:val="auto"/>
          <w:highlight w:val="none"/>
        </w:rPr>
        <w:t>首次响应文件提交截止时间</w:t>
      </w:r>
      <w:r>
        <w:rPr>
          <w:rFonts w:hint="eastAsia" w:ascii="宋体" w:hAnsi="宋体"/>
          <w:b/>
          <w:bCs/>
          <w:color w:val="auto"/>
          <w:highlight w:val="none"/>
        </w:rPr>
        <w:t>前可以补充、修改或者撤回响应文件。补充或者修改响应文件的，应当先行撤回原文件，补充、修改后重新上传、递交。</w:t>
      </w:r>
      <w:r>
        <w:rPr>
          <w:rFonts w:hint="eastAsia" w:ascii="宋体" w:hAnsi="宋体"/>
          <w:b/>
          <w:color w:val="auto"/>
          <w:highlight w:val="none"/>
        </w:rPr>
        <w:t>首次响应文件提交截止时间</w:t>
      </w:r>
      <w:r>
        <w:rPr>
          <w:rFonts w:hint="eastAsia" w:ascii="宋体" w:hAnsi="宋体"/>
          <w:b/>
          <w:bCs/>
          <w:color w:val="auto"/>
          <w:highlight w:val="none"/>
        </w:rPr>
        <w:t>前未完成上传、递交的，视为撤回响应文件。</w:t>
      </w:r>
      <w:r>
        <w:rPr>
          <w:rFonts w:hint="eastAsia" w:ascii="宋体" w:hAnsi="宋体"/>
          <w:b/>
          <w:color w:val="auto"/>
          <w:highlight w:val="none"/>
        </w:rPr>
        <w:t>首次响应文件提交截止时间</w:t>
      </w:r>
      <w:r>
        <w:rPr>
          <w:rFonts w:hint="eastAsia" w:ascii="宋体" w:hAnsi="宋体"/>
          <w:b/>
          <w:bCs/>
          <w:color w:val="auto"/>
          <w:highlight w:val="none"/>
        </w:rPr>
        <w:t>以后上传递交的响应文件，</w:t>
      </w:r>
      <w:r>
        <w:rPr>
          <w:rFonts w:hint="eastAsia" w:ascii="宋体" w:hAnsi="宋体"/>
          <w:bCs/>
          <w:color w:val="auto"/>
          <w:kern w:val="0"/>
          <w:highlight w:val="none"/>
        </w:rPr>
        <w:t>“</w:t>
      </w:r>
      <w:r>
        <w:rPr>
          <w:rFonts w:hint="eastAsia" w:ascii="宋体" w:hAnsi="宋体"/>
          <w:b/>
          <w:bCs/>
          <w:color w:val="auto"/>
          <w:highlight w:val="none"/>
        </w:rPr>
        <w:t>广西政府采购云”平台将予以拒收。</w:t>
      </w:r>
    </w:p>
    <w:p w14:paraId="7A8E4E8C">
      <w:pPr>
        <w:widowControl/>
        <w:spacing w:line="360" w:lineRule="auto"/>
        <w:ind w:firstLine="420" w:firstLineChars="200"/>
        <w:rPr>
          <w:rFonts w:ascii="宋体" w:hAnsi="宋体"/>
          <w:b/>
          <w:bCs/>
          <w:color w:val="auto"/>
          <w:highlight w:val="none"/>
        </w:rPr>
      </w:pPr>
      <w:r>
        <w:rPr>
          <w:rFonts w:hint="eastAsia" w:ascii="宋体" w:hAnsi="宋体"/>
          <w:color w:val="auto"/>
          <w:kern w:val="0"/>
          <w:highlight w:val="none"/>
        </w:rPr>
        <w:t>7、</w:t>
      </w:r>
      <w:r>
        <w:rPr>
          <w:rFonts w:hint="eastAsia" w:ascii="宋体" w:hAnsi="宋体"/>
          <w:color w:val="auto"/>
          <w:highlight w:val="none"/>
        </w:rPr>
        <w:t>CA证书在线解密：首次响应文件开启时，须要供应商携带制作响应文件时用来加密的有效数字证书（CA认证）登录</w:t>
      </w:r>
      <w:r>
        <w:rPr>
          <w:rFonts w:hint="eastAsia" w:ascii="宋体" w:hAnsi="宋体"/>
          <w:bCs/>
          <w:color w:val="auto"/>
          <w:kern w:val="0"/>
          <w:highlight w:val="none"/>
        </w:rPr>
        <w:t>“</w:t>
      </w:r>
      <w:r>
        <w:rPr>
          <w:rFonts w:hint="eastAsia" w:ascii="宋体" w:hAnsi="宋体"/>
          <w:color w:val="auto"/>
          <w:highlight w:val="none"/>
        </w:rPr>
        <w:t>广西政府采购云”平台电子开标大厅现场按规定时间对加密的响应文件进行解密，否则后果自负。</w:t>
      </w:r>
    </w:p>
    <w:p w14:paraId="6636D33F">
      <w:pPr>
        <w:widowControl/>
        <w:spacing w:line="360" w:lineRule="auto"/>
        <w:ind w:firstLine="420" w:firstLineChars="200"/>
        <w:rPr>
          <w:rFonts w:ascii="宋体" w:hAnsi="宋体"/>
          <w:color w:val="auto"/>
          <w:kern w:val="0"/>
          <w:highlight w:val="none"/>
        </w:rPr>
      </w:pPr>
      <w:r>
        <w:rPr>
          <w:rFonts w:hint="eastAsia" w:ascii="宋体" w:hAnsi="宋体"/>
          <w:color w:val="auto"/>
          <w:highlight w:val="none"/>
        </w:rPr>
        <w:t>8、供应商需要在具备有摄像头及语音功能且互联网网络状况良好的电脑登录</w:t>
      </w:r>
      <w:r>
        <w:rPr>
          <w:rFonts w:hint="eastAsia" w:ascii="宋体" w:hAnsi="宋体"/>
          <w:bCs/>
          <w:color w:val="auto"/>
          <w:kern w:val="0"/>
          <w:highlight w:val="none"/>
        </w:rPr>
        <w:t>“</w:t>
      </w:r>
      <w:r>
        <w:rPr>
          <w:rFonts w:hint="eastAsia" w:ascii="宋体" w:hAnsi="宋体"/>
          <w:color w:val="auto"/>
          <w:highlight w:val="none"/>
        </w:rPr>
        <w:t>广西政府采购云”平台远程开标大厅参与本次磋商，否则后果自负。</w:t>
      </w:r>
    </w:p>
    <w:p w14:paraId="77AD360D">
      <w:pPr>
        <w:widowControl/>
        <w:spacing w:line="360" w:lineRule="auto"/>
        <w:ind w:firstLine="420" w:firstLineChars="200"/>
        <w:rPr>
          <w:rFonts w:ascii="宋体" w:hAnsi="宋体"/>
          <w:color w:val="auto"/>
          <w:kern w:val="0"/>
          <w:highlight w:val="none"/>
        </w:rPr>
      </w:pPr>
      <w:r>
        <w:rPr>
          <w:rFonts w:hint="eastAsia" w:ascii="宋体" w:hAnsi="宋体"/>
          <w:color w:val="auto"/>
          <w:highlight w:val="none"/>
        </w:rPr>
        <w:t>9、若对项目采购电子交易系统操作有疑问，可登录“广西政府采购云”平台（https://www.gcy.zfcg.gxzf.gov.cn/），点击右侧咨询小采，获取采小蜜智能服务管家帮助，或拨打广西政府采购云服务热线95763获取热线服务帮助。</w:t>
      </w:r>
    </w:p>
    <w:p w14:paraId="33EAA4A8">
      <w:pPr>
        <w:spacing w:line="360" w:lineRule="auto"/>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八、凡对本次采购提出询问，请按以下方式联系。</w:t>
      </w:r>
    </w:p>
    <w:p w14:paraId="713B9712">
      <w:pPr>
        <w:spacing w:line="360" w:lineRule="auto"/>
        <w:ind w:firstLine="567" w:firstLineChars="270"/>
        <w:jc w:val="left"/>
        <w:rPr>
          <w:rFonts w:ascii="宋体" w:hAnsi="宋体"/>
          <w:color w:val="auto"/>
          <w:highlight w:val="none"/>
        </w:rPr>
      </w:pPr>
      <w:bookmarkStart w:id="15" w:name="_Toc28359019"/>
      <w:bookmarkEnd w:id="15"/>
      <w:bookmarkStart w:id="16" w:name="_Toc35393806"/>
      <w:bookmarkEnd w:id="16"/>
      <w:bookmarkStart w:id="17" w:name="_Toc28359096"/>
      <w:bookmarkEnd w:id="17"/>
      <w:bookmarkStart w:id="18" w:name="_Toc35393637"/>
      <w:r>
        <w:rPr>
          <w:rFonts w:hint="eastAsia" w:ascii="宋体" w:hAnsi="宋体"/>
          <w:color w:val="auto"/>
          <w:highlight w:val="none"/>
        </w:rPr>
        <w:t>1.采购人信息</w:t>
      </w:r>
      <w:bookmarkEnd w:id="18"/>
    </w:p>
    <w:p w14:paraId="144AB10D">
      <w:pPr>
        <w:spacing w:line="360" w:lineRule="auto"/>
        <w:ind w:firstLine="567" w:firstLineChars="270"/>
        <w:jc w:val="left"/>
        <w:rPr>
          <w:rFonts w:ascii="宋体" w:hAnsi="宋体"/>
          <w:color w:val="auto"/>
          <w:highlight w:val="none"/>
        </w:rPr>
      </w:pPr>
      <w:r>
        <w:rPr>
          <w:rFonts w:hint="eastAsia" w:ascii="宋体" w:hAnsi="宋体"/>
          <w:color w:val="auto"/>
          <w:highlight w:val="none"/>
        </w:rPr>
        <w:t>名 称：</w:t>
      </w:r>
      <w:r>
        <w:rPr>
          <w:rFonts w:hint="eastAsia" w:ascii="宋体" w:hAnsi="宋体" w:cs="Arial"/>
          <w:color w:val="auto"/>
          <w:highlight w:val="none"/>
        </w:rPr>
        <w:t>广西壮族自治区宏观经济研究院</w:t>
      </w:r>
    </w:p>
    <w:p w14:paraId="6D348785">
      <w:pPr>
        <w:spacing w:line="360" w:lineRule="auto"/>
        <w:ind w:firstLine="567" w:firstLineChars="270"/>
        <w:jc w:val="left"/>
        <w:rPr>
          <w:rFonts w:ascii="宋体" w:hAnsi="宋体"/>
          <w:color w:val="auto"/>
          <w:highlight w:val="none"/>
        </w:rPr>
      </w:pPr>
      <w:r>
        <w:rPr>
          <w:rFonts w:hint="eastAsia" w:ascii="宋体" w:hAnsi="宋体"/>
          <w:color w:val="auto"/>
          <w:highlight w:val="none"/>
        </w:rPr>
        <w:t>地址：广西南宁市民族大道111号发展大厦西楼</w:t>
      </w:r>
    </w:p>
    <w:p w14:paraId="3E771E54">
      <w:pPr>
        <w:spacing w:line="360" w:lineRule="auto"/>
        <w:ind w:firstLine="567" w:firstLineChars="270"/>
        <w:jc w:val="left"/>
        <w:rPr>
          <w:rFonts w:ascii="宋体" w:hAnsi="宋体"/>
          <w:color w:val="auto"/>
          <w:highlight w:val="none"/>
        </w:rPr>
      </w:pPr>
      <w:r>
        <w:rPr>
          <w:rFonts w:hint="eastAsia" w:ascii="宋体" w:hAnsi="宋体"/>
          <w:color w:val="auto"/>
          <w:highlight w:val="none"/>
        </w:rPr>
        <w:t>联系方式：</w:t>
      </w:r>
      <w:bookmarkStart w:id="19" w:name="_Toc28359086"/>
      <w:bookmarkEnd w:id="19"/>
      <w:bookmarkStart w:id="20" w:name="_Toc28359009"/>
      <w:r>
        <w:rPr>
          <w:rFonts w:hint="eastAsia" w:ascii="宋体" w:hAnsi="宋体"/>
          <w:color w:val="auto"/>
          <w:highlight w:val="none"/>
        </w:rPr>
        <w:t>0771-2270501</w:t>
      </w:r>
      <w:bookmarkEnd w:id="20"/>
    </w:p>
    <w:p w14:paraId="2D4BD380">
      <w:pPr>
        <w:spacing w:line="360" w:lineRule="auto"/>
        <w:ind w:firstLine="567" w:firstLineChars="270"/>
        <w:jc w:val="left"/>
        <w:rPr>
          <w:rFonts w:ascii="宋体" w:hAnsi="宋体"/>
          <w:color w:val="auto"/>
          <w:highlight w:val="none"/>
        </w:rPr>
      </w:pPr>
      <w:r>
        <w:rPr>
          <w:rFonts w:hint="eastAsia" w:ascii="宋体" w:hAnsi="宋体"/>
          <w:color w:val="auto"/>
          <w:highlight w:val="none"/>
        </w:rPr>
        <w:t>2.采购代理机构信息</w:t>
      </w:r>
    </w:p>
    <w:p w14:paraId="703F3504">
      <w:pPr>
        <w:spacing w:line="360" w:lineRule="auto"/>
        <w:ind w:firstLine="567" w:firstLineChars="270"/>
        <w:rPr>
          <w:rFonts w:ascii="宋体" w:hAnsi="宋体"/>
          <w:color w:val="auto"/>
          <w:highlight w:val="none"/>
        </w:rPr>
      </w:pPr>
      <w:r>
        <w:rPr>
          <w:rFonts w:hint="eastAsia" w:ascii="宋体" w:hAnsi="宋体"/>
          <w:color w:val="auto"/>
          <w:highlight w:val="none"/>
        </w:rPr>
        <w:t>名 称：</w:t>
      </w:r>
      <w:r>
        <w:rPr>
          <w:rFonts w:hint="eastAsia" w:ascii="宋体" w:hAnsi="宋体" w:cs="Arial"/>
          <w:color w:val="auto"/>
          <w:highlight w:val="none"/>
        </w:rPr>
        <w:t>广西科文招标有限公司</w:t>
      </w:r>
    </w:p>
    <w:p w14:paraId="6E2434A1">
      <w:pPr>
        <w:spacing w:line="360" w:lineRule="auto"/>
        <w:ind w:firstLine="567" w:firstLineChars="270"/>
        <w:rPr>
          <w:rFonts w:ascii="宋体" w:hAnsi="宋体"/>
          <w:color w:val="auto"/>
          <w:highlight w:val="none"/>
        </w:rPr>
      </w:pPr>
      <w:r>
        <w:rPr>
          <w:rFonts w:hint="eastAsia" w:ascii="宋体" w:hAnsi="宋体"/>
          <w:color w:val="auto"/>
          <w:highlight w:val="none"/>
        </w:rPr>
        <w:t>地 址：</w:t>
      </w:r>
      <w:r>
        <w:rPr>
          <w:rFonts w:hint="eastAsia" w:ascii="宋体" w:hAnsi="宋体" w:cs="Arial"/>
          <w:color w:val="auto"/>
          <w:highlight w:val="none"/>
        </w:rPr>
        <w:t>广西南宁市民族大道141号中鼎万象东方D区五层</w:t>
      </w:r>
    </w:p>
    <w:p w14:paraId="3AEEE0FD">
      <w:pPr>
        <w:spacing w:line="360" w:lineRule="auto"/>
        <w:ind w:firstLine="567" w:firstLineChars="270"/>
        <w:rPr>
          <w:rFonts w:ascii="宋体" w:hAnsi="宋体"/>
          <w:color w:val="auto"/>
          <w:highlight w:val="none"/>
        </w:rPr>
      </w:pPr>
      <w:r>
        <w:rPr>
          <w:rFonts w:hint="eastAsia" w:ascii="宋体" w:hAnsi="宋体"/>
          <w:color w:val="auto"/>
          <w:highlight w:val="none"/>
        </w:rPr>
        <w:t>联系方式：</w:t>
      </w:r>
      <w:bookmarkStart w:id="21" w:name="_Toc28359087"/>
      <w:bookmarkEnd w:id="21"/>
      <w:bookmarkStart w:id="22" w:name="_Toc28359010"/>
      <w:r>
        <w:rPr>
          <w:rFonts w:hint="eastAsia" w:ascii="宋体" w:hAnsi="宋体"/>
          <w:color w:val="auto"/>
          <w:highlight w:val="none"/>
        </w:rPr>
        <w:t>0771-2023873</w:t>
      </w:r>
      <w:bookmarkEnd w:id="22"/>
    </w:p>
    <w:p w14:paraId="1FCF3D48">
      <w:pPr>
        <w:spacing w:line="360" w:lineRule="auto"/>
        <w:ind w:firstLine="567" w:firstLineChars="270"/>
        <w:rPr>
          <w:rFonts w:ascii="宋体" w:hAnsi="宋体"/>
          <w:color w:val="auto"/>
          <w:highlight w:val="none"/>
        </w:rPr>
      </w:pPr>
      <w:r>
        <w:rPr>
          <w:rFonts w:hint="eastAsia" w:ascii="宋体" w:hAnsi="宋体"/>
          <w:color w:val="auto"/>
          <w:highlight w:val="none"/>
        </w:rPr>
        <w:t>3.项目联系方式</w:t>
      </w:r>
    </w:p>
    <w:p w14:paraId="6B8508C8">
      <w:pPr>
        <w:pStyle w:val="10"/>
        <w:spacing w:line="360" w:lineRule="auto"/>
        <w:ind w:firstLine="567" w:firstLineChars="270"/>
        <w:rPr>
          <w:rFonts w:hAnsi="宋体"/>
          <w:color w:val="auto"/>
          <w:sz w:val="21"/>
          <w:szCs w:val="21"/>
          <w:highlight w:val="none"/>
        </w:rPr>
      </w:pPr>
      <w:r>
        <w:rPr>
          <w:rFonts w:hint="eastAsia" w:hAnsi="宋体"/>
          <w:color w:val="auto"/>
          <w:sz w:val="21"/>
          <w:szCs w:val="21"/>
          <w:highlight w:val="none"/>
        </w:rPr>
        <w:t>项目联系人：李工</w:t>
      </w:r>
    </w:p>
    <w:p w14:paraId="3569B8F3">
      <w:pPr>
        <w:spacing w:line="360" w:lineRule="auto"/>
        <w:ind w:firstLine="567" w:firstLineChars="270"/>
        <w:rPr>
          <w:rFonts w:ascii="宋体" w:hAnsi="宋体"/>
          <w:color w:val="auto"/>
          <w:highlight w:val="none"/>
        </w:rPr>
      </w:pPr>
      <w:r>
        <w:rPr>
          <w:rFonts w:hint="eastAsia" w:ascii="宋体" w:hAnsi="宋体"/>
          <w:color w:val="auto"/>
          <w:highlight w:val="none"/>
        </w:rPr>
        <w:t>电 话：0771-2023873</w:t>
      </w:r>
    </w:p>
    <w:p w14:paraId="1F6A4024">
      <w:pPr>
        <w:spacing w:line="380" w:lineRule="exact"/>
        <w:ind w:firstLine="6195" w:firstLineChars="2950"/>
        <w:rPr>
          <w:rFonts w:ascii="宋体" w:hAnsi="宋体" w:cs="Arial"/>
          <w:color w:val="auto"/>
          <w:highlight w:val="none"/>
        </w:rPr>
      </w:pPr>
      <w:r>
        <w:rPr>
          <w:rFonts w:hint="eastAsia" w:ascii="宋体" w:hAnsi="宋体" w:cs="Arial"/>
          <w:color w:val="auto"/>
          <w:highlight w:val="none"/>
        </w:rPr>
        <w:t xml:space="preserve"> </w:t>
      </w:r>
    </w:p>
    <w:p w14:paraId="41603FA2">
      <w:pPr>
        <w:spacing w:line="380" w:lineRule="exact"/>
        <w:ind w:firstLine="6195" w:firstLineChars="2950"/>
        <w:rPr>
          <w:rFonts w:ascii="宋体" w:hAnsi="宋体" w:cs="Arial"/>
          <w:color w:val="auto"/>
          <w:highlight w:val="none"/>
        </w:rPr>
      </w:pPr>
      <w:r>
        <w:rPr>
          <w:rFonts w:hint="eastAsia" w:ascii="宋体" w:hAnsi="宋体" w:cs="Arial"/>
          <w:color w:val="auto"/>
          <w:highlight w:val="none"/>
        </w:rPr>
        <w:t xml:space="preserve"> </w:t>
      </w:r>
    </w:p>
    <w:p w14:paraId="29684AE4">
      <w:pPr>
        <w:spacing w:line="380" w:lineRule="exact"/>
        <w:ind w:firstLine="5670" w:firstLineChars="2700"/>
        <w:rPr>
          <w:rFonts w:ascii="宋体" w:hAnsi="宋体"/>
          <w:color w:val="auto"/>
          <w:highlight w:val="none"/>
        </w:rPr>
      </w:pPr>
      <w:r>
        <w:rPr>
          <w:rFonts w:hint="eastAsia" w:ascii="宋体" w:hAnsi="宋体" w:cs="Arial"/>
          <w:color w:val="auto"/>
          <w:highlight w:val="none"/>
        </w:rPr>
        <w:t>广西科文招标有限公司</w:t>
      </w:r>
    </w:p>
    <w:p w14:paraId="11A4DA49">
      <w:pPr>
        <w:snapToGrid w:val="0"/>
        <w:spacing w:line="380" w:lineRule="exact"/>
        <w:ind w:left="238"/>
        <w:jc w:val="center"/>
        <w:rPr>
          <w:rFonts w:hint="eastAsia" w:ascii="方正小标宋简体" w:hAnsi="方正小标宋简体"/>
          <w:b/>
          <w:color w:val="auto"/>
          <w:sz w:val="32"/>
          <w:szCs w:val="32"/>
          <w:highlight w:val="none"/>
        </w:rPr>
      </w:pPr>
      <w:r>
        <w:rPr>
          <w:rFonts w:hint="eastAsia" w:ascii="宋体" w:hAnsi="宋体"/>
          <w:color w:val="auto"/>
          <w:highlight w:val="none"/>
        </w:rPr>
        <w:t xml:space="preserve">                                                2025年12月</w:t>
      </w:r>
      <w:r>
        <w:rPr>
          <w:rFonts w:hint="eastAsia" w:ascii="宋体" w:hAnsi="宋体"/>
          <w:color w:val="auto"/>
          <w:highlight w:val="none"/>
          <w:lang w:val="en-US" w:eastAsia="zh-CN"/>
        </w:rPr>
        <w:t>19</w:t>
      </w:r>
      <w:r>
        <w:rPr>
          <w:rFonts w:hint="eastAsia" w:ascii="宋体" w:hAnsi="宋体"/>
          <w:color w:val="auto"/>
          <w:highlight w:val="none"/>
        </w:rPr>
        <w:t>日</w:t>
      </w:r>
    </w:p>
    <w:p w14:paraId="57B2ADF9">
      <w:pPr>
        <w:jc w:val="center"/>
        <w:rPr>
          <w:color w:val="auto"/>
          <w:highlight w:val="none"/>
        </w:rPr>
      </w:pPr>
      <w:r>
        <w:rPr>
          <w:rFonts w:ascii="方正小标宋简体" w:hAnsi="方正小标宋简体"/>
          <w:b/>
          <w:color w:val="auto"/>
          <w:sz w:val="32"/>
          <w:szCs w:val="32"/>
          <w:highlight w:val="none"/>
        </w:rPr>
        <w:br w:type="page"/>
      </w:r>
      <w:bookmarkStart w:id="23" w:name="_Toc74323457"/>
      <w:bookmarkEnd w:id="23"/>
    </w:p>
    <w:p w14:paraId="247F26BC">
      <w:pPr>
        <w:pStyle w:val="2"/>
        <w:jc w:val="center"/>
        <w:rPr>
          <w:rFonts w:ascii="宋体" w:hAnsi="宋体"/>
          <w:color w:val="auto"/>
          <w:highlight w:val="none"/>
        </w:rPr>
      </w:pPr>
      <w:bookmarkStart w:id="24" w:name="_Toc32667"/>
      <w:r>
        <w:rPr>
          <w:rFonts w:hint="eastAsia" w:ascii="宋体" w:hAnsi="宋体"/>
          <w:color w:val="auto"/>
          <w:highlight w:val="none"/>
        </w:rPr>
        <w:t>第二章 供应商须知</w:t>
      </w:r>
      <w:bookmarkEnd w:id="24"/>
    </w:p>
    <w:p w14:paraId="650358B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67F4BBC5">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63A4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tcPr>
          <w:p w14:paraId="227A16A7">
            <w:pPr>
              <w:spacing w:line="400" w:lineRule="exact"/>
              <w:jc w:val="center"/>
              <w:rPr>
                <w:rFonts w:ascii="宋体" w:hAnsi="宋体"/>
                <w:b/>
                <w:color w:val="auto"/>
                <w:highlight w:val="none"/>
              </w:rPr>
            </w:pPr>
            <w:r>
              <w:rPr>
                <w:rFonts w:hint="eastAsia" w:ascii="宋体" w:hAnsi="宋体"/>
                <w:b/>
                <w:color w:val="auto"/>
                <w:highlight w:val="none"/>
              </w:rPr>
              <w:t>条款号</w:t>
            </w:r>
          </w:p>
        </w:tc>
        <w:tc>
          <w:tcPr>
            <w:tcW w:w="8627" w:type="dxa"/>
            <w:tcBorders>
              <w:top w:val="single" w:color="000000" w:sz="4" w:space="0"/>
              <w:left w:val="single" w:color="000000" w:sz="4" w:space="0"/>
              <w:bottom w:val="single" w:color="000000" w:sz="4" w:space="0"/>
              <w:right w:val="single" w:color="000000" w:sz="4" w:space="0"/>
            </w:tcBorders>
          </w:tcPr>
          <w:p w14:paraId="3DAC5B2B">
            <w:pPr>
              <w:spacing w:line="400" w:lineRule="exact"/>
              <w:jc w:val="center"/>
              <w:rPr>
                <w:rFonts w:ascii="宋体" w:hAnsi="宋体"/>
                <w:b/>
                <w:color w:val="auto"/>
                <w:highlight w:val="none"/>
              </w:rPr>
            </w:pPr>
            <w:r>
              <w:rPr>
                <w:rFonts w:hint="eastAsia" w:ascii="宋体" w:hAnsi="宋体"/>
                <w:b/>
                <w:color w:val="auto"/>
                <w:highlight w:val="none"/>
              </w:rPr>
              <w:t>内    容</w:t>
            </w:r>
          </w:p>
        </w:tc>
      </w:tr>
      <w:tr w14:paraId="55D0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4CC17F6">
            <w:pPr>
              <w:spacing w:line="400" w:lineRule="exact"/>
              <w:jc w:val="center"/>
              <w:rPr>
                <w:rFonts w:ascii="宋体" w:hAnsi="宋体"/>
                <w:color w:val="auto"/>
                <w:highlight w:val="none"/>
              </w:rPr>
            </w:pPr>
            <w:r>
              <w:rPr>
                <w:rFonts w:hint="eastAsia" w:ascii="宋体" w:hAnsi="宋体"/>
                <w:color w:val="auto"/>
                <w:highlight w:val="none"/>
              </w:rPr>
              <w:t>3</w:t>
            </w:r>
          </w:p>
        </w:tc>
        <w:tc>
          <w:tcPr>
            <w:tcW w:w="8627" w:type="dxa"/>
            <w:tcBorders>
              <w:top w:val="single" w:color="000000" w:sz="4" w:space="0"/>
              <w:left w:val="single" w:color="000000" w:sz="4" w:space="0"/>
              <w:bottom w:val="single" w:color="000000" w:sz="4" w:space="0"/>
              <w:right w:val="single" w:color="000000" w:sz="4" w:space="0"/>
            </w:tcBorders>
            <w:vAlign w:val="center"/>
          </w:tcPr>
          <w:p w14:paraId="7F81D96F">
            <w:pPr>
              <w:spacing w:line="400" w:lineRule="exact"/>
              <w:rPr>
                <w:rFonts w:ascii="宋体" w:hAnsi="宋体"/>
                <w:color w:val="auto"/>
                <w:highlight w:val="none"/>
              </w:rPr>
            </w:pPr>
            <w:r>
              <w:rPr>
                <w:rFonts w:hint="eastAsia" w:ascii="宋体" w:hAnsi="宋体"/>
                <w:bCs/>
                <w:color w:val="auto"/>
                <w:highlight w:val="none"/>
              </w:rPr>
              <w:t>供应商的资格条件</w:t>
            </w:r>
            <w:r>
              <w:rPr>
                <w:rFonts w:hint="eastAsia" w:ascii="宋体" w:hAnsi="宋体"/>
                <w:color w:val="auto"/>
                <w:highlight w:val="none"/>
              </w:rPr>
              <w:t>：详见竞争性磋商公告</w:t>
            </w:r>
          </w:p>
        </w:tc>
      </w:tr>
      <w:tr w14:paraId="0FC9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AE3E422">
            <w:pPr>
              <w:spacing w:line="400" w:lineRule="exact"/>
              <w:jc w:val="center"/>
              <w:rPr>
                <w:rFonts w:ascii="宋体" w:hAnsi="宋体"/>
                <w:color w:val="auto"/>
                <w:highlight w:val="none"/>
              </w:rPr>
            </w:pPr>
            <w:r>
              <w:rPr>
                <w:rFonts w:hint="eastAsia" w:ascii="宋体" w:hAnsi="宋体"/>
                <w:color w:val="auto"/>
                <w:highlight w:val="none"/>
              </w:rPr>
              <w:t>5.1</w:t>
            </w:r>
          </w:p>
        </w:tc>
        <w:tc>
          <w:tcPr>
            <w:tcW w:w="8627" w:type="dxa"/>
            <w:tcBorders>
              <w:top w:val="single" w:color="000000" w:sz="4" w:space="0"/>
              <w:left w:val="single" w:color="000000" w:sz="4" w:space="0"/>
              <w:bottom w:val="single" w:color="000000" w:sz="4" w:space="0"/>
              <w:right w:val="single" w:color="000000" w:sz="4" w:space="0"/>
            </w:tcBorders>
            <w:vAlign w:val="center"/>
          </w:tcPr>
          <w:p w14:paraId="20363897">
            <w:pPr>
              <w:spacing w:line="400" w:lineRule="exact"/>
              <w:rPr>
                <w:rFonts w:ascii="宋体" w:hAnsi="宋体"/>
                <w:color w:val="auto"/>
                <w:highlight w:val="none"/>
              </w:rPr>
            </w:pPr>
            <w:r>
              <w:rPr>
                <w:rFonts w:hint="eastAsia" w:ascii="宋体" w:hAnsi="宋体"/>
                <w:color w:val="auto"/>
                <w:highlight w:val="none"/>
              </w:rPr>
              <w:t>是否接受联合体竞标：详见竞争性磋商公告</w:t>
            </w:r>
          </w:p>
        </w:tc>
      </w:tr>
      <w:tr w14:paraId="10CE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2F3F470">
            <w:pPr>
              <w:spacing w:line="400" w:lineRule="exact"/>
              <w:jc w:val="center"/>
              <w:rPr>
                <w:rFonts w:ascii="宋体" w:hAnsi="宋体"/>
                <w:color w:val="auto"/>
                <w:highlight w:val="none"/>
              </w:rPr>
            </w:pPr>
            <w:r>
              <w:rPr>
                <w:rFonts w:hint="eastAsia" w:ascii="宋体" w:hAnsi="宋体"/>
                <w:color w:val="auto"/>
                <w:highlight w:val="none"/>
              </w:rPr>
              <w:t>5.2</w:t>
            </w:r>
          </w:p>
        </w:tc>
        <w:tc>
          <w:tcPr>
            <w:tcW w:w="8627" w:type="dxa"/>
            <w:tcBorders>
              <w:top w:val="single" w:color="000000" w:sz="4" w:space="0"/>
              <w:left w:val="single" w:color="000000" w:sz="4" w:space="0"/>
              <w:bottom w:val="single" w:color="000000" w:sz="4" w:space="0"/>
              <w:right w:val="single" w:color="000000" w:sz="4" w:space="0"/>
            </w:tcBorders>
            <w:vAlign w:val="center"/>
          </w:tcPr>
          <w:p w14:paraId="7F29B26D">
            <w:pPr>
              <w:spacing w:line="400" w:lineRule="exact"/>
              <w:rPr>
                <w:rFonts w:ascii="宋体" w:hAnsi="宋体"/>
                <w:color w:val="auto"/>
                <w:highlight w:val="none"/>
              </w:rPr>
            </w:pPr>
            <w:r>
              <w:rPr>
                <w:rFonts w:hint="eastAsia" w:ascii="宋体" w:hAnsi="宋体"/>
                <w:color w:val="auto"/>
                <w:highlight w:val="none"/>
              </w:rPr>
              <w:t>如接受联合体竞标，联合体竞标要求如下：</w:t>
            </w:r>
          </w:p>
          <w:p w14:paraId="16D92492">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1、两个以上供应商可以组成一个竞标联合体，以一个供应商的身份共同参加竞标，联合体供应商的名称应统一按“XXX 公司与 XXX 公司的联合体”的规则填写。</w:t>
            </w:r>
          </w:p>
          <w:p w14:paraId="14CDD69B">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186DEE61">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olor w:val="auto"/>
                <w:highlight w:val="none"/>
              </w:rPr>
              <w:tab/>
            </w:r>
          </w:p>
          <w:p w14:paraId="3EB24C4C">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olor w:val="auto"/>
                <w:highlight w:val="none"/>
              </w:rPr>
              <w:tab/>
            </w:r>
            <w:r>
              <w:rPr>
                <w:rFonts w:hint="eastAsia" w:ascii="宋体" w:hAnsi="宋体"/>
                <w:color w:val="auto"/>
                <w:highlight w:val="none"/>
              </w:rPr>
              <w:tab/>
            </w:r>
          </w:p>
          <w:p w14:paraId="3803EDA7">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5、联合体中有同类资质的供应商按照联合体分工承担相同工作的，应当按照资质等级较低的供应商确定资质等级。</w:t>
            </w:r>
          </w:p>
          <w:p w14:paraId="1387EC8E">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6、联合体竞标业绩、履约能力按照联合体各方其中较高的一方认定并计算（竞争性磋商文件另有规定的除外）。</w:t>
            </w:r>
          </w:p>
          <w:p w14:paraId="6D7A605D">
            <w:pPr>
              <w:spacing w:line="400" w:lineRule="exact"/>
              <w:rPr>
                <w:rFonts w:ascii="宋体" w:hAnsi="宋体"/>
                <w:color w:val="auto"/>
                <w:highlight w:val="none"/>
              </w:rPr>
            </w:pPr>
            <w:r>
              <w:rPr>
                <w:rFonts w:hint="eastAsia" w:ascii="宋体" w:hAnsi="宋体"/>
                <w:color w:val="auto"/>
                <w:highlight w:val="none"/>
              </w:rPr>
              <w:t>7、联合体各方均应按照竞争性磋商文件的规定提交资格证明文件。</w:t>
            </w:r>
          </w:p>
        </w:tc>
      </w:tr>
      <w:tr w14:paraId="4238B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FA1C9EE">
            <w:pPr>
              <w:spacing w:line="400" w:lineRule="exact"/>
              <w:jc w:val="center"/>
              <w:rPr>
                <w:rFonts w:ascii="宋体" w:hAnsi="宋体"/>
                <w:color w:val="auto"/>
                <w:highlight w:val="none"/>
              </w:rPr>
            </w:pPr>
            <w:r>
              <w:rPr>
                <w:rFonts w:hint="eastAsia" w:ascii="宋体" w:hAnsi="宋体"/>
                <w:color w:val="auto"/>
                <w:highlight w:val="none"/>
              </w:rPr>
              <w:t>6.2</w:t>
            </w:r>
          </w:p>
        </w:tc>
        <w:tc>
          <w:tcPr>
            <w:tcW w:w="8627" w:type="dxa"/>
            <w:tcBorders>
              <w:top w:val="single" w:color="000000" w:sz="4" w:space="0"/>
              <w:left w:val="single" w:color="000000" w:sz="4" w:space="0"/>
              <w:bottom w:val="single" w:color="000000" w:sz="4" w:space="0"/>
              <w:right w:val="single" w:color="000000" w:sz="4" w:space="0"/>
            </w:tcBorders>
            <w:vAlign w:val="center"/>
          </w:tcPr>
          <w:p w14:paraId="37D51298">
            <w:pPr>
              <w:pStyle w:val="5"/>
              <w:spacing w:line="400" w:lineRule="exact"/>
              <w:rPr>
                <w:rFonts w:ascii="宋体" w:hAnsi="宋体"/>
                <w:color w:val="auto"/>
                <w:highlight w:val="none"/>
              </w:rPr>
            </w:pPr>
            <w:r>
              <w:rPr>
                <w:rFonts w:hint="eastAsia" w:ascii="宋体" w:hAnsi="宋体"/>
                <w:color w:val="auto"/>
                <w:highlight w:val="none"/>
              </w:rPr>
              <w:t>√本项目不允许分包。</w:t>
            </w:r>
          </w:p>
          <w:p w14:paraId="5F9DA190">
            <w:pPr>
              <w:pStyle w:val="5"/>
              <w:spacing w:line="400" w:lineRule="exact"/>
              <w:rPr>
                <w:rFonts w:ascii="宋体" w:hAnsi="宋体"/>
                <w:color w:val="auto"/>
                <w:highlight w:val="none"/>
              </w:rPr>
            </w:pPr>
            <w:r>
              <w:rPr>
                <w:rFonts w:hint="eastAsia" w:ascii="宋体" w:hAnsi="宋体"/>
                <w:color w:val="auto"/>
                <w:highlight w:val="none"/>
              </w:rPr>
              <w:t>□本项目允许分包：</w:t>
            </w:r>
          </w:p>
          <w:p w14:paraId="0A698054">
            <w:pPr>
              <w:pStyle w:val="5"/>
              <w:spacing w:line="400" w:lineRule="exact"/>
              <w:rPr>
                <w:rFonts w:ascii="宋体" w:hAnsi="宋体"/>
                <w:color w:val="auto"/>
                <w:highlight w:val="none"/>
                <w:u w:val="single"/>
              </w:rPr>
            </w:pPr>
            <w:r>
              <w:rPr>
                <w:rFonts w:hint="eastAsia" w:ascii="宋体" w:hAnsi="宋体"/>
                <w:color w:val="auto"/>
                <w:highlight w:val="none"/>
              </w:rPr>
              <w:t>分包内容：</w:t>
            </w:r>
            <w:r>
              <w:rPr>
                <w:rFonts w:hint="eastAsia" w:ascii="宋体" w:hAnsi="宋体"/>
                <w:color w:val="auto"/>
                <w:highlight w:val="none"/>
                <w:u w:val="single"/>
              </w:rPr>
              <w:t xml:space="preserve">                                     。</w:t>
            </w:r>
          </w:p>
          <w:p w14:paraId="17DDA6D3">
            <w:pPr>
              <w:pStyle w:val="5"/>
              <w:spacing w:line="400" w:lineRule="exact"/>
              <w:rPr>
                <w:rFonts w:ascii="宋体" w:hAnsi="宋体"/>
                <w:color w:val="auto"/>
                <w:highlight w:val="none"/>
              </w:rPr>
            </w:pPr>
            <w:r>
              <w:rPr>
                <w:rFonts w:hint="eastAsia" w:ascii="宋体" w:hAnsi="宋体"/>
                <w:color w:val="auto"/>
                <w:highlight w:val="none"/>
              </w:rPr>
              <w:t>分包金额或者比例：</w:t>
            </w:r>
            <w:r>
              <w:rPr>
                <w:rFonts w:hint="eastAsia" w:ascii="宋体" w:hAnsi="宋体"/>
                <w:color w:val="auto"/>
                <w:highlight w:val="none"/>
                <w:u w:val="single"/>
              </w:rPr>
              <w:t xml:space="preserve">                                     。</w:t>
            </w:r>
          </w:p>
        </w:tc>
      </w:tr>
      <w:tr w14:paraId="793EB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EB1E633">
            <w:pPr>
              <w:spacing w:line="400" w:lineRule="exact"/>
              <w:jc w:val="center"/>
              <w:rPr>
                <w:rFonts w:ascii="宋体" w:hAnsi="宋体"/>
                <w:color w:val="auto"/>
                <w:highlight w:val="none"/>
              </w:rPr>
            </w:pPr>
            <w:r>
              <w:rPr>
                <w:rFonts w:hint="eastAsia" w:ascii="宋体" w:hAnsi="宋体"/>
                <w:color w:val="auto"/>
                <w:highlight w:val="none"/>
              </w:rPr>
              <w:t>12.1.1</w:t>
            </w:r>
          </w:p>
        </w:tc>
        <w:tc>
          <w:tcPr>
            <w:tcW w:w="8627" w:type="dxa"/>
            <w:tcBorders>
              <w:top w:val="single" w:color="000000" w:sz="4" w:space="0"/>
              <w:left w:val="single" w:color="000000" w:sz="4" w:space="0"/>
              <w:bottom w:val="single" w:color="000000" w:sz="4" w:space="0"/>
              <w:right w:val="single" w:color="000000" w:sz="4" w:space="0"/>
            </w:tcBorders>
            <w:vAlign w:val="center"/>
          </w:tcPr>
          <w:p w14:paraId="6E971280">
            <w:pPr>
              <w:snapToGrid w:val="0"/>
              <w:spacing w:line="400" w:lineRule="exact"/>
              <w:jc w:val="left"/>
              <w:rPr>
                <w:rFonts w:ascii="宋体" w:hAnsi="宋体"/>
                <w:b/>
                <w:color w:val="auto"/>
                <w:highlight w:val="none"/>
              </w:rPr>
            </w:pPr>
            <w:r>
              <w:rPr>
                <w:rFonts w:hint="eastAsia" w:ascii="宋体" w:hAnsi="宋体"/>
                <w:b/>
                <w:color w:val="auto"/>
                <w:highlight w:val="none"/>
              </w:rPr>
              <w:t>资格证明文件</w:t>
            </w:r>
          </w:p>
          <w:p w14:paraId="33B579BA">
            <w:pPr>
              <w:pStyle w:val="5"/>
              <w:spacing w:line="400" w:lineRule="exact"/>
              <w:rPr>
                <w:rFonts w:ascii="宋体" w:hAnsi="宋体"/>
                <w:color w:val="auto"/>
                <w:highlight w:val="none"/>
              </w:rPr>
            </w:pPr>
            <w:r>
              <w:rPr>
                <w:rFonts w:hint="eastAsia" w:ascii="宋体" w:hAnsi="宋体"/>
                <w:color w:val="auto"/>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06B220CD">
            <w:pPr>
              <w:spacing w:line="400" w:lineRule="exact"/>
              <w:contextualSpacing/>
              <w:jc w:val="left"/>
              <w:rPr>
                <w:rFonts w:ascii="宋体" w:hAnsi="宋体"/>
                <w:color w:val="auto"/>
                <w:highlight w:val="none"/>
              </w:rPr>
            </w:pPr>
            <w:r>
              <w:rPr>
                <w:rFonts w:hint="eastAsia" w:ascii="宋体" w:hAnsi="宋体"/>
                <w:color w:val="auto"/>
                <w:highlight w:val="none"/>
              </w:rPr>
              <w:t>2、供应商依法缴纳税收的相关材料（</w:t>
            </w:r>
            <w:r>
              <w:rPr>
                <w:rFonts w:hint="eastAsia" w:ascii="宋体" w:hAnsi="宋体"/>
                <w:color w:val="auto"/>
                <w:highlight w:val="none"/>
                <w:u w:val="single"/>
              </w:rPr>
              <w:t>2025</w:t>
            </w:r>
            <w:r>
              <w:rPr>
                <w:rFonts w:hint="eastAsia" w:ascii="宋体" w:hAnsi="宋体"/>
                <w:color w:val="auto"/>
                <w:highlight w:val="none"/>
              </w:rPr>
              <w:t>年</w:t>
            </w:r>
            <w:r>
              <w:rPr>
                <w:rFonts w:ascii="宋体" w:hAnsi="宋体"/>
                <w:color w:val="auto"/>
                <w:highlight w:val="none"/>
                <w:u w:val="single"/>
              </w:rPr>
              <w:t>6</w:t>
            </w:r>
            <w:r>
              <w:rPr>
                <w:rFonts w:hint="eastAsia" w:ascii="宋体" w:hAnsi="宋体"/>
                <w:color w:val="auto"/>
                <w:highlight w:val="none"/>
              </w:rPr>
              <w:t>月至</w:t>
            </w:r>
            <w:r>
              <w:rPr>
                <w:rFonts w:hint="eastAsia" w:ascii="宋体" w:hAnsi="宋体"/>
                <w:color w:val="auto"/>
                <w:highlight w:val="none"/>
                <w:u w:val="single"/>
              </w:rPr>
              <w:t>2025</w:t>
            </w:r>
            <w:r>
              <w:rPr>
                <w:rFonts w:hint="eastAsia" w:ascii="宋体" w:hAnsi="宋体"/>
                <w:color w:val="auto"/>
                <w:highlight w:val="none"/>
              </w:rPr>
              <w:t>年</w:t>
            </w:r>
            <w:r>
              <w:rPr>
                <w:rFonts w:hint="eastAsia" w:ascii="宋体" w:hAnsi="宋体"/>
                <w:color w:val="auto"/>
                <w:highlight w:val="none"/>
                <w:u w:val="single"/>
              </w:rPr>
              <w:t>12</w:t>
            </w:r>
            <w:r>
              <w:rPr>
                <w:rFonts w:hint="eastAsia" w:ascii="宋体" w:hAnsi="宋体"/>
                <w:color w:val="auto"/>
                <w:highlight w:val="none"/>
              </w:rPr>
              <w:t>月内任意连续</w:t>
            </w:r>
            <w:r>
              <w:rPr>
                <w:rFonts w:hint="eastAsia" w:ascii="宋体" w:hAnsi="宋体"/>
                <w:color w:val="auto"/>
                <w:highlight w:val="none"/>
                <w:u w:val="single"/>
              </w:rPr>
              <w:t>三</w:t>
            </w:r>
            <w:r>
              <w:rPr>
                <w:rFonts w:hint="eastAsia" w:ascii="宋体" w:hAnsi="宋体"/>
                <w:color w:val="auto"/>
                <w:highlight w:val="none"/>
              </w:rPr>
              <w:t>个月的依法缴纳税收的凭据复印件；依法免税的，必须提供相应文件证明其依法免税。从</w:t>
            </w:r>
            <w:r>
              <w:rPr>
                <w:rFonts w:ascii="宋体" w:hAnsi="宋体"/>
                <w:color w:val="auto"/>
                <w:highlight w:val="none"/>
              </w:rPr>
              <w:t>成立</w:t>
            </w:r>
            <w:r>
              <w:rPr>
                <w:rFonts w:hint="eastAsia" w:ascii="宋体" w:hAnsi="宋体"/>
                <w:color w:val="auto"/>
                <w:highlight w:val="none"/>
              </w:rPr>
              <w:t>之日起到响应文件提交截止时间止不足要求月数的，只需提供从</w:t>
            </w:r>
            <w:r>
              <w:rPr>
                <w:rFonts w:ascii="宋体" w:hAnsi="宋体"/>
                <w:color w:val="auto"/>
                <w:highlight w:val="none"/>
              </w:rPr>
              <w:t>成立</w:t>
            </w:r>
            <w:r>
              <w:rPr>
                <w:rFonts w:hint="eastAsia" w:ascii="宋体" w:hAnsi="宋体"/>
                <w:color w:val="auto"/>
                <w:highlight w:val="none"/>
              </w:rPr>
              <w:t>之日起的依法缴纳税收相应证明文件）；（</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3A53AC37">
            <w:pPr>
              <w:spacing w:line="400" w:lineRule="exact"/>
              <w:contextualSpacing/>
              <w:jc w:val="left"/>
              <w:rPr>
                <w:rFonts w:ascii="宋体" w:hAnsi="宋体"/>
                <w:color w:val="auto"/>
                <w:highlight w:val="none"/>
              </w:rPr>
            </w:pPr>
            <w:r>
              <w:rPr>
                <w:rFonts w:hint="eastAsia" w:ascii="宋体" w:hAnsi="宋体"/>
                <w:color w:val="auto"/>
                <w:highlight w:val="none"/>
              </w:rPr>
              <w:t>3、供应商依法缴纳社会保障资金的相关材料</w:t>
            </w:r>
            <w:r>
              <w:rPr>
                <w:rFonts w:hint="eastAsia" w:ascii="宋体" w:hAnsi="宋体"/>
                <w:color w:val="auto"/>
                <w:highlight w:val="none"/>
                <w:lang w:eastAsia="zh-CN"/>
              </w:rPr>
              <w:t>（</w:t>
            </w:r>
            <w:r>
              <w:rPr>
                <w:rFonts w:hint="eastAsia" w:ascii="宋体" w:hAnsi="宋体"/>
                <w:color w:val="auto"/>
                <w:highlight w:val="none"/>
                <w:u w:val="single"/>
              </w:rPr>
              <w:t>2025</w:t>
            </w:r>
            <w:r>
              <w:rPr>
                <w:rFonts w:hint="eastAsia" w:ascii="宋体" w:hAnsi="宋体"/>
                <w:color w:val="auto"/>
                <w:highlight w:val="none"/>
              </w:rPr>
              <w:t>年</w:t>
            </w:r>
            <w:r>
              <w:rPr>
                <w:rFonts w:ascii="宋体" w:hAnsi="宋体"/>
                <w:color w:val="auto"/>
                <w:highlight w:val="none"/>
                <w:u w:val="single"/>
              </w:rPr>
              <w:t>6</w:t>
            </w:r>
            <w:r>
              <w:rPr>
                <w:rFonts w:hint="eastAsia" w:ascii="宋体" w:hAnsi="宋体"/>
                <w:color w:val="auto"/>
                <w:highlight w:val="none"/>
              </w:rPr>
              <w:t>月至</w:t>
            </w:r>
            <w:r>
              <w:rPr>
                <w:rFonts w:hint="eastAsia" w:ascii="宋体" w:hAnsi="宋体"/>
                <w:color w:val="auto"/>
                <w:highlight w:val="none"/>
                <w:u w:val="single"/>
              </w:rPr>
              <w:t>2025</w:t>
            </w:r>
            <w:r>
              <w:rPr>
                <w:rFonts w:hint="eastAsia" w:ascii="宋体" w:hAnsi="宋体"/>
                <w:color w:val="auto"/>
                <w:highlight w:val="none"/>
              </w:rPr>
              <w:t>年</w:t>
            </w:r>
            <w:r>
              <w:rPr>
                <w:rFonts w:hint="eastAsia" w:ascii="宋体" w:hAnsi="宋体"/>
                <w:color w:val="auto"/>
                <w:highlight w:val="none"/>
                <w:u w:val="single"/>
              </w:rPr>
              <w:t>12</w:t>
            </w:r>
            <w:r>
              <w:rPr>
                <w:rFonts w:hint="eastAsia" w:ascii="宋体" w:hAnsi="宋体"/>
                <w:color w:val="auto"/>
                <w:highlight w:val="none"/>
              </w:rPr>
              <w:t>月内任意连续</w:t>
            </w:r>
            <w:r>
              <w:rPr>
                <w:rFonts w:hint="eastAsia" w:ascii="宋体" w:hAnsi="宋体"/>
                <w:color w:val="auto"/>
                <w:highlight w:val="none"/>
                <w:u w:val="single"/>
              </w:rPr>
              <w:t>三</w:t>
            </w:r>
            <w:r>
              <w:rPr>
                <w:rFonts w:hint="eastAsia" w:ascii="宋体" w:hAnsi="宋体"/>
                <w:color w:val="auto"/>
                <w:highlight w:val="none"/>
              </w:rPr>
              <w:t>个月的依法缴纳社会保障资金的缴费凭证复印件；依法不需要缴纳社会保障资金的，必须提供相应文件证明不需要缴纳社会保障资金。从</w:t>
            </w:r>
            <w:r>
              <w:rPr>
                <w:rFonts w:ascii="宋体" w:hAnsi="宋体"/>
                <w:color w:val="auto"/>
                <w:highlight w:val="none"/>
              </w:rPr>
              <w:t>成立</w:t>
            </w:r>
            <w:r>
              <w:rPr>
                <w:rFonts w:hint="eastAsia" w:ascii="宋体" w:hAnsi="宋体"/>
                <w:color w:val="auto"/>
                <w:highlight w:val="none"/>
              </w:rPr>
              <w:t>之日起到响应文件提交截止时间止不足要求月数的只需提供从</w:t>
            </w:r>
            <w:r>
              <w:rPr>
                <w:rFonts w:ascii="宋体" w:hAnsi="宋体"/>
                <w:color w:val="auto"/>
                <w:highlight w:val="none"/>
              </w:rPr>
              <w:t>成立</w:t>
            </w:r>
            <w:r>
              <w:rPr>
                <w:rFonts w:hint="eastAsia" w:ascii="宋体" w:hAnsi="宋体"/>
                <w:color w:val="auto"/>
                <w:highlight w:val="none"/>
              </w:rPr>
              <w:t>之日起的依法缴纳社会保障资金的相应证明文件</w:t>
            </w:r>
            <w:r>
              <w:rPr>
                <w:rFonts w:hint="eastAsia" w:ascii="宋体" w:hAnsi="宋体"/>
                <w:color w:val="auto"/>
                <w:highlight w:val="none"/>
                <w:lang w:eastAsia="zh-CN"/>
              </w:rPr>
              <w:t>）</w:t>
            </w:r>
            <w:r>
              <w:rPr>
                <w:rFonts w:hint="eastAsia" w:ascii="宋体" w:hAnsi="宋体"/>
                <w:color w:val="auto"/>
                <w:highlight w:val="none"/>
              </w:rPr>
              <w:t>；（</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2E5CA175">
            <w:pPr>
              <w:spacing w:line="400" w:lineRule="exact"/>
              <w:contextualSpacing/>
              <w:jc w:val="left"/>
              <w:rPr>
                <w:rFonts w:ascii="宋体" w:hAnsi="宋体"/>
                <w:b/>
                <w:color w:val="auto"/>
                <w:highlight w:val="none"/>
              </w:rPr>
            </w:pPr>
            <w:r>
              <w:rPr>
                <w:rFonts w:hint="eastAsia" w:ascii="宋体" w:hAnsi="宋体"/>
                <w:color w:val="auto"/>
                <w:highlight w:val="none"/>
              </w:rPr>
              <w:t>4、供应商财务状况报告（</w:t>
            </w:r>
            <w:r>
              <w:rPr>
                <w:rFonts w:hint="eastAsia" w:ascii="宋体" w:hAnsi="宋体"/>
                <w:color w:val="auto"/>
                <w:highlight w:val="none"/>
                <w:u w:val="single"/>
              </w:rPr>
              <w:t>2024</w:t>
            </w:r>
            <w:r>
              <w:rPr>
                <w:rFonts w:hint="eastAsia" w:ascii="宋体" w:hAnsi="宋体"/>
                <w:color w:val="auto"/>
                <w:highlight w:val="none"/>
              </w:rPr>
              <w:t>年度财务报表复印件或者银行出具的资信证明；供应商属于成立时间</w:t>
            </w:r>
            <w:r>
              <w:rPr>
                <w:rFonts w:hint="eastAsia" w:ascii="宋体" w:hAnsi="宋体"/>
                <w:color w:val="auto"/>
                <w:kern w:val="0"/>
                <w:highlight w:val="none"/>
              </w:rPr>
              <w:t>在规定年度之后</w:t>
            </w:r>
            <w:r>
              <w:rPr>
                <w:rFonts w:hint="eastAsia" w:ascii="宋体" w:hAnsi="宋体"/>
                <w:color w:val="auto"/>
                <w:highlight w:val="none"/>
              </w:rPr>
              <w:t>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bCs/>
                <w:color w:val="auto"/>
                <w:highlight w:val="none"/>
              </w:rPr>
              <w:t>（</w:t>
            </w:r>
            <w:r>
              <w:rPr>
                <w:rFonts w:hint="eastAsia" w:ascii="宋体" w:hAnsi="宋体"/>
                <w:b/>
                <w:color w:val="auto"/>
                <w:highlight w:val="none"/>
              </w:rPr>
              <w:t>除自然人外必须提供，否则响应文件按无效响应处理</w:t>
            </w:r>
            <w:r>
              <w:rPr>
                <w:rFonts w:hint="eastAsia" w:ascii="宋体" w:hAnsi="宋体"/>
                <w:bCs/>
                <w:color w:val="auto"/>
                <w:highlight w:val="none"/>
              </w:rPr>
              <w:t>）</w:t>
            </w:r>
          </w:p>
          <w:p w14:paraId="27C29A12">
            <w:pPr>
              <w:snapToGrid w:val="0"/>
              <w:spacing w:line="400" w:lineRule="exact"/>
              <w:jc w:val="left"/>
              <w:rPr>
                <w:rFonts w:ascii="宋体" w:hAnsi="宋体"/>
                <w:color w:val="auto"/>
                <w:highlight w:val="none"/>
              </w:rPr>
            </w:pPr>
            <w:r>
              <w:rPr>
                <w:rFonts w:hint="eastAsia" w:ascii="宋体" w:hAnsi="宋体"/>
                <w:color w:val="auto"/>
                <w:highlight w:val="none"/>
              </w:rPr>
              <w:t>5、供应商直接控股、管理关系信息表（格式后附）；（</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7186D53F">
            <w:pPr>
              <w:snapToGrid w:val="0"/>
              <w:spacing w:line="400" w:lineRule="exact"/>
              <w:jc w:val="left"/>
              <w:rPr>
                <w:rFonts w:ascii="宋体" w:hAnsi="宋体"/>
                <w:color w:val="auto"/>
                <w:highlight w:val="none"/>
              </w:rPr>
            </w:pPr>
            <w:r>
              <w:rPr>
                <w:rFonts w:hint="eastAsia" w:ascii="宋体" w:hAnsi="宋体"/>
                <w:color w:val="auto"/>
                <w:highlight w:val="none"/>
              </w:rPr>
              <w:t>6、竞标声明（格式后附）；（</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4211B21F">
            <w:pPr>
              <w:snapToGrid w:val="0"/>
              <w:spacing w:line="400" w:lineRule="exact"/>
              <w:jc w:val="left"/>
              <w:rPr>
                <w:rFonts w:ascii="宋体" w:hAnsi="宋体"/>
                <w:color w:val="auto"/>
                <w:highlight w:val="none"/>
              </w:rPr>
            </w:pPr>
            <w:r>
              <w:rPr>
                <w:rFonts w:hint="eastAsia" w:ascii="宋体" w:hAnsi="宋体"/>
                <w:color w:val="auto"/>
                <w:highlight w:val="none"/>
              </w:rPr>
              <w:t>7、联合体竞标协议书（格式后附）；（</w:t>
            </w:r>
            <w:r>
              <w:rPr>
                <w:rFonts w:hint="eastAsia" w:ascii="宋体" w:hAnsi="宋体"/>
                <w:b/>
                <w:color w:val="auto"/>
                <w:highlight w:val="none"/>
              </w:rPr>
              <w:t>本项目不适用</w:t>
            </w:r>
            <w:r>
              <w:rPr>
                <w:rFonts w:hint="eastAsia" w:ascii="宋体" w:hAnsi="宋体"/>
                <w:color w:val="auto"/>
                <w:highlight w:val="none"/>
              </w:rPr>
              <w:t>）</w:t>
            </w:r>
          </w:p>
          <w:p w14:paraId="5C160BA8">
            <w:pPr>
              <w:snapToGrid w:val="0"/>
              <w:spacing w:line="400" w:lineRule="exact"/>
              <w:jc w:val="left"/>
              <w:rPr>
                <w:rFonts w:ascii="宋体" w:hAnsi="宋体"/>
                <w:color w:val="auto"/>
                <w:highlight w:val="none"/>
              </w:rPr>
            </w:pPr>
            <w:r>
              <w:rPr>
                <w:rFonts w:hint="eastAsia" w:ascii="宋体" w:hAnsi="宋体"/>
                <w:color w:val="auto"/>
                <w:highlight w:val="none"/>
              </w:rPr>
              <w:t>8、除磋商文件规定必须提供以外，供应商认为需要提供的其他证明材料。</w:t>
            </w:r>
          </w:p>
          <w:p w14:paraId="4C835E6C">
            <w:pPr>
              <w:snapToGrid w:val="0"/>
              <w:spacing w:line="400" w:lineRule="exact"/>
              <w:jc w:val="left"/>
              <w:rPr>
                <w:rFonts w:ascii="宋体" w:hAnsi="宋体"/>
                <w:b/>
                <w:color w:val="auto"/>
                <w:highlight w:val="none"/>
              </w:rPr>
            </w:pPr>
          </w:p>
          <w:p w14:paraId="42D80B45">
            <w:pPr>
              <w:snapToGrid w:val="0"/>
              <w:spacing w:line="400" w:lineRule="exact"/>
              <w:ind w:firstLine="422" w:firstLineChars="200"/>
              <w:jc w:val="left"/>
              <w:rPr>
                <w:rFonts w:ascii="宋体" w:hAnsi="宋体"/>
                <w:b/>
                <w:color w:val="auto"/>
                <w:highlight w:val="none"/>
              </w:rPr>
            </w:pPr>
            <w:r>
              <w:rPr>
                <w:rFonts w:hint="eastAsia" w:ascii="宋体" w:hAnsi="宋体"/>
                <w:b/>
                <w:color w:val="auto"/>
                <w:highlight w:val="none"/>
              </w:rPr>
              <w:t>注：</w:t>
            </w:r>
          </w:p>
          <w:p w14:paraId="32149FA6">
            <w:pPr>
              <w:snapToGrid w:val="0"/>
              <w:spacing w:line="400" w:lineRule="exact"/>
              <w:ind w:firstLine="413" w:firstLineChars="196"/>
              <w:jc w:val="left"/>
              <w:rPr>
                <w:rFonts w:ascii="宋体" w:hAnsi="宋体"/>
                <w:b/>
                <w:color w:val="auto"/>
                <w:highlight w:val="none"/>
              </w:rPr>
            </w:pPr>
            <w:r>
              <w:rPr>
                <w:rFonts w:hint="eastAsia" w:ascii="宋体" w:hAnsi="宋体"/>
                <w:b/>
                <w:color w:val="auto"/>
                <w:highlight w:val="none"/>
              </w:rPr>
              <w:t>1、以上标明“必须提供”的材料属于复印件的，必须加盖供应商公章，否则响应文件按无效响应处理。</w:t>
            </w:r>
          </w:p>
          <w:p w14:paraId="420B6F33">
            <w:pPr>
              <w:snapToGrid w:val="0"/>
              <w:spacing w:line="400" w:lineRule="exact"/>
              <w:ind w:firstLine="422" w:firstLineChars="200"/>
              <w:jc w:val="left"/>
              <w:rPr>
                <w:rFonts w:ascii="宋体" w:hAnsi="宋体"/>
                <w:b/>
                <w:color w:val="auto"/>
                <w:highlight w:val="none"/>
              </w:rPr>
            </w:pPr>
            <w:r>
              <w:rPr>
                <w:rFonts w:hint="eastAsia" w:ascii="宋体" w:hAnsi="宋体"/>
                <w:b/>
                <w:color w:val="auto"/>
                <w:highlight w:val="none"/>
              </w:rPr>
              <w:t>2、竞标声明必须由法定代表人在规定签章处签字并加盖供应商公章，否则响应文件按无效响应处理。</w:t>
            </w:r>
          </w:p>
          <w:p w14:paraId="7E9908B5">
            <w:pPr>
              <w:snapToGrid w:val="0"/>
              <w:spacing w:line="400" w:lineRule="exact"/>
              <w:ind w:firstLine="422" w:firstLineChars="200"/>
              <w:jc w:val="left"/>
              <w:rPr>
                <w:rFonts w:ascii="宋体" w:hAnsi="宋体"/>
                <w:b/>
                <w:color w:val="auto"/>
                <w:highlight w:val="none"/>
              </w:rPr>
            </w:pPr>
            <w:r>
              <w:rPr>
                <w:rFonts w:hint="eastAsia" w:ascii="宋体" w:hAnsi="宋体"/>
                <w:b/>
                <w:color w:val="auto"/>
                <w:highlight w:val="none"/>
              </w:rPr>
              <w:t>3、供应商直接控股、管理关系信息表必须由法定代表人或者委托代理人在规定签章处签字并加盖供应商公章，否则响应文件按无效响应处理。</w:t>
            </w:r>
          </w:p>
          <w:p w14:paraId="3B7813C0">
            <w:pPr>
              <w:pStyle w:val="5"/>
              <w:spacing w:line="400" w:lineRule="exact"/>
              <w:ind w:firstLine="422" w:firstLineChars="200"/>
              <w:rPr>
                <w:rFonts w:ascii="宋体" w:hAnsi="宋体"/>
                <w:b/>
                <w:color w:val="auto"/>
                <w:highlight w:val="none"/>
              </w:rPr>
            </w:pPr>
            <w:r>
              <w:rPr>
                <w:rFonts w:hint="eastAsia" w:ascii="宋体" w:hAnsi="宋体"/>
                <w:b/>
                <w:color w:val="auto"/>
                <w:highlight w:val="none"/>
              </w:rPr>
              <w:t>4、联合体竞标时，第1-5项资格证明文件联合体各方均必须分别提供，联合体各方分别盖章和签字，否则响应文件按无效响应处理。</w:t>
            </w:r>
          </w:p>
          <w:p w14:paraId="7BBC3CDD">
            <w:pPr>
              <w:pStyle w:val="5"/>
              <w:spacing w:line="400" w:lineRule="exact"/>
              <w:ind w:firstLine="422" w:firstLineChars="200"/>
              <w:rPr>
                <w:rFonts w:ascii="宋体" w:hAnsi="宋体"/>
                <w:b/>
                <w:color w:val="auto"/>
                <w:highlight w:val="none"/>
              </w:rPr>
            </w:pPr>
            <w:r>
              <w:rPr>
                <w:rFonts w:hint="eastAsia" w:ascii="宋体" w:hAnsi="宋体"/>
                <w:b/>
                <w:bCs/>
                <w:color w:val="auto"/>
                <w:highlight w:val="none"/>
              </w:rPr>
              <w:t>5、分公司参加竞标的，应当取得总公司授权</w:t>
            </w:r>
            <w:r>
              <w:rPr>
                <w:rFonts w:hint="eastAsia" w:ascii="宋体" w:hAnsi="宋体"/>
                <w:b/>
                <w:color w:val="auto"/>
                <w:highlight w:val="none"/>
              </w:rPr>
              <w:t>，否则响应文件按无效响应处理。</w:t>
            </w:r>
          </w:p>
        </w:tc>
      </w:tr>
      <w:tr w14:paraId="07DC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E90D79">
            <w:pPr>
              <w:spacing w:line="400" w:lineRule="exact"/>
              <w:jc w:val="center"/>
              <w:rPr>
                <w:rFonts w:ascii="宋体" w:hAnsi="宋体"/>
                <w:color w:val="auto"/>
                <w:highlight w:val="none"/>
              </w:rPr>
            </w:pPr>
            <w:r>
              <w:rPr>
                <w:rFonts w:hint="eastAsia" w:ascii="宋体" w:hAnsi="宋体"/>
                <w:color w:val="auto"/>
                <w:highlight w:val="none"/>
              </w:rPr>
              <w:t>12.1.2</w:t>
            </w:r>
          </w:p>
        </w:tc>
        <w:tc>
          <w:tcPr>
            <w:tcW w:w="8627" w:type="dxa"/>
            <w:tcBorders>
              <w:top w:val="single" w:color="000000" w:sz="4" w:space="0"/>
              <w:left w:val="single" w:color="000000" w:sz="4" w:space="0"/>
              <w:bottom w:val="single" w:color="000000" w:sz="4" w:space="0"/>
              <w:right w:val="single" w:color="000000" w:sz="4" w:space="0"/>
            </w:tcBorders>
            <w:vAlign w:val="center"/>
          </w:tcPr>
          <w:p w14:paraId="55FCEAB3">
            <w:pPr>
              <w:spacing w:line="400" w:lineRule="exact"/>
              <w:rPr>
                <w:rFonts w:ascii="宋体" w:hAnsi="宋体"/>
                <w:b/>
                <w:bCs/>
                <w:color w:val="auto"/>
                <w:highlight w:val="none"/>
              </w:rPr>
            </w:pPr>
            <w:r>
              <w:rPr>
                <w:rFonts w:hint="eastAsia" w:ascii="宋体" w:hAnsi="宋体"/>
                <w:b/>
                <w:bCs/>
                <w:color w:val="auto"/>
                <w:highlight w:val="none"/>
              </w:rPr>
              <w:t>报价文件</w:t>
            </w:r>
          </w:p>
          <w:p w14:paraId="7EDDE54B">
            <w:pPr>
              <w:spacing w:line="400" w:lineRule="exact"/>
              <w:rPr>
                <w:rFonts w:ascii="宋体" w:hAnsi="宋体"/>
                <w:color w:val="auto"/>
                <w:highlight w:val="none"/>
              </w:rPr>
            </w:pPr>
            <w:r>
              <w:rPr>
                <w:rFonts w:hint="eastAsia" w:ascii="宋体" w:hAnsi="宋体"/>
                <w:color w:val="auto"/>
                <w:highlight w:val="none"/>
              </w:rPr>
              <w:t>1、竞标报价表（格式后附）；</w:t>
            </w:r>
            <w:r>
              <w:rPr>
                <w:rFonts w:hint="eastAsia" w:ascii="宋体" w:hAnsi="宋体"/>
                <w:b/>
                <w:bCs/>
                <w:color w:val="auto"/>
                <w:highlight w:val="none"/>
              </w:rPr>
              <w:t>（必须提供，否则响应文件按无效响应处理）</w:t>
            </w:r>
          </w:p>
          <w:p w14:paraId="7D32DED8">
            <w:pPr>
              <w:spacing w:line="400" w:lineRule="exact"/>
              <w:rPr>
                <w:rFonts w:ascii="宋体" w:hAnsi="宋体"/>
                <w:color w:val="auto"/>
                <w:highlight w:val="none"/>
              </w:rPr>
            </w:pPr>
            <w:r>
              <w:rPr>
                <w:rFonts w:hint="eastAsia" w:ascii="宋体" w:hAnsi="宋体"/>
                <w:color w:val="auto"/>
                <w:highlight w:val="none"/>
              </w:rPr>
              <w:t>2、中小企业声明函（格式后附）或残疾人福利性单位声明函（格式后附）或监狱企业证明文件；</w:t>
            </w:r>
          </w:p>
          <w:p w14:paraId="7A0AC745">
            <w:pPr>
              <w:spacing w:line="400" w:lineRule="exact"/>
              <w:rPr>
                <w:rFonts w:ascii="宋体" w:hAnsi="宋体"/>
                <w:color w:val="auto"/>
                <w:highlight w:val="none"/>
              </w:rPr>
            </w:pPr>
            <w:r>
              <w:rPr>
                <w:rFonts w:hint="eastAsia" w:ascii="宋体" w:hAnsi="宋体"/>
                <w:color w:val="auto"/>
                <w:highlight w:val="none"/>
              </w:rPr>
              <w:t>3、供应商认为需要提供的其他报价有关资料。</w:t>
            </w:r>
          </w:p>
          <w:p w14:paraId="383C5DE6">
            <w:pPr>
              <w:spacing w:line="400" w:lineRule="exact"/>
              <w:rPr>
                <w:rFonts w:ascii="宋体" w:hAnsi="宋体"/>
                <w:b/>
                <w:bCs/>
                <w:color w:val="auto"/>
                <w:highlight w:val="none"/>
              </w:rPr>
            </w:pPr>
            <w:r>
              <w:rPr>
                <w:rFonts w:hint="eastAsia" w:ascii="宋体" w:hAnsi="宋体"/>
                <w:b/>
                <w:bCs/>
                <w:color w:val="auto"/>
                <w:highlight w:val="none"/>
              </w:rPr>
              <w:t>商务技术文件</w:t>
            </w:r>
          </w:p>
          <w:p w14:paraId="6712482E">
            <w:pPr>
              <w:spacing w:line="400" w:lineRule="exact"/>
              <w:rPr>
                <w:rFonts w:ascii="宋体" w:hAnsi="宋体"/>
                <w:color w:val="auto"/>
                <w:highlight w:val="none"/>
              </w:rPr>
            </w:pPr>
            <w:r>
              <w:rPr>
                <w:rFonts w:hint="eastAsia" w:ascii="宋体" w:hAnsi="宋体"/>
                <w:color w:val="auto"/>
                <w:highlight w:val="none"/>
              </w:rPr>
              <w:t>1、无串通竞标行为的承诺函（格式后附）；（</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1A705468">
            <w:pPr>
              <w:snapToGrid w:val="0"/>
              <w:spacing w:line="400" w:lineRule="exact"/>
              <w:jc w:val="left"/>
              <w:rPr>
                <w:rFonts w:ascii="宋体" w:hAnsi="宋体"/>
                <w:color w:val="auto"/>
                <w:highlight w:val="none"/>
              </w:rPr>
            </w:pPr>
            <w:r>
              <w:rPr>
                <w:rFonts w:hint="eastAsia" w:ascii="宋体" w:hAnsi="宋体"/>
                <w:color w:val="auto"/>
                <w:highlight w:val="none"/>
              </w:rPr>
              <w:t>2、法定代表人身份证明及法定代表人有效身份证正反面复印件（格式后附）；（</w:t>
            </w:r>
            <w:r>
              <w:rPr>
                <w:rFonts w:hint="eastAsia" w:ascii="宋体" w:hAnsi="宋体"/>
                <w:b/>
                <w:bCs/>
                <w:color w:val="auto"/>
                <w:highlight w:val="none"/>
              </w:rPr>
              <w:t>除自然人竞标外</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61111A71">
            <w:pPr>
              <w:spacing w:line="400" w:lineRule="exact"/>
              <w:rPr>
                <w:rFonts w:ascii="宋体" w:hAnsi="宋体"/>
                <w:b/>
                <w:color w:val="auto"/>
                <w:highlight w:val="none"/>
              </w:rPr>
            </w:pPr>
            <w:r>
              <w:rPr>
                <w:rFonts w:hint="eastAsia" w:ascii="宋体" w:hAnsi="宋体"/>
                <w:color w:val="auto"/>
                <w:highlight w:val="none"/>
              </w:rPr>
              <w:t>3、授权委托书及委托代理人有效身份证正反面复印件（格式后附）；（</w:t>
            </w:r>
            <w:r>
              <w:rPr>
                <w:rFonts w:hint="eastAsia" w:ascii="宋体" w:hAnsi="宋体"/>
                <w:b/>
                <w:color w:val="auto"/>
                <w:highlight w:val="none"/>
              </w:rPr>
              <w:t>委托时必须提供，否则响应文件按无效响应处理</w:t>
            </w:r>
            <w:r>
              <w:rPr>
                <w:rFonts w:hint="eastAsia" w:ascii="宋体" w:hAnsi="宋体"/>
                <w:color w:val="auto"/>
                <w:highlight w:val="none"/>
              </w:rPr>
              <w:t>）</w:t>
            </w:r>
          </w:p>
          <w:p w14:paraId="4F061044">
            <w:pPr>
              <w:spacing w:line="400" w:lineRule="exact"/>
              <w:rPr>
                <w:rFonts w:ascii="宋体" w:hAnsi="宋体"/>
                <w:color w:val="auto"/>
                <w:highlight w:val="none"/>
              </w:rPr>
            </w:pPr>
            <w:r>
              <w:rPr>
                <w:rFonts w:hint="eastAsia" w:ascii="宋体" w:hAnsi="宋体"/>
                <w:color w:val="auto"/>
                <w:highlight w:val="none"/>
              </w:rPr>
              <w:t>4、磋商保证金提交凭证；（</w:t>
            </w:r>
            <w:r>
              <w:rPr>
                <w:rFonts w:hint="eastAsia" w:ascii="宋体" w:hAnsi="宋体"/>
                <w:b/>
                <w:bCs/>
                <w:color w:val="auto"/>
                <w:highlight w:val="none"/>
              </w:rPr>
              <w:t>必须提供</w:t>
            </w:r>
            <w:r>
              <w:rPr>
                <w:rFonts w:hint="eastAsia" w:ascii="宋体" w:hAnsi="宋体"/>
                <w:b/>
                <w:color w:val="auto"/>
                <w:highlight w:val="none"/>
              </w:rPr>
              <w:t>，否则响应文件按无效响应处理</w:t>
            </w:r>
            <w:r>
              <w:rPr>
                <w:rFonts w:hint="eastAsia" w:ascii="宋体" w:hAnsi="宋体"/>
                <w:color w:val="auto"/>
                <w:highlight w:val="none"/>
              </w:rPr>
              <w:t>）</w:t>
            </w:r>
          </w:p>
          <w:p w14:paraId="22C04269">
            <w:pPr>
              <w:spacing w:line="400" w:lineRule="exact"/>
              <w:rPr>
                <w:rFonts w:ascii="宋体" w:hAnsi="宋体"/>
                <w:color w:val="auto"/>
                <w:highlight w:val="none"/>
              </w:rPr>
            </w:pPr>
            <w:r>
              <w:rPr>
                <w:rFonts w:hint="eastAsia" w:ascii="宋体" w:hAnsi="宋体"/>
                <w:color w:val="auto"/>
                <w:highlight w:val="none"/>
              </w:rPr>
              <w:t>5、商务要求偏离表（格式后附）；（</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1159E6E1">
            <w:pPr>
              <w:spacing w:line="400" w:lineRule="exact"/>
              <w:rPr>
                <w:rFonts w:ascii="宋体" w:hAnsi="宋体"/>
                <w:color w:val="auto"/>
                <w:highlight w:val="none"/>
              </w:rPr>
            </w:pPr>
            <w:r>
              <w:rPr>
                <w:rFonts w:hint="eastAsia" w:ascii="宋体" w:hAnsi="宋体"/>
                <w:color w:val="auto"/>
                <w:highlight w:val="none"/>
              </w:rPr>
              <w:t>6、技术要求偏离表（格式后附）；（</w:t>
            </w:r>
            <w:r>
              <w:rPr>
                <w:rFonts w:hint="eastAsia" w:ascii="宋体" w:hAnsi="宋体"/>
                <w:b/>
                <w:color w:val="auto"/>
                <w:highlight w:val="none"/>
              </w:rPr>
              <w:t>必须提供，否则响应文件按无效响应处理</w:t>
            </w:r>
            <w:r>
              <w:rPr>
                <w:rFonts w:hint="eastAsia" w:ascii="宋体" w:hAnsi="宋体"/>
                <w:color w:val="auto"/>
                <w:highlight w:val="none"/>
              </w:rPr>
              <w:t>）</w:t>
            </w:r>
          </w:p>
          <w:p w14:paraId="205CE244">
            <w:pPr>
              <w:spacing w:line="400" w:lineRule="exact"/>
              <w:rPr>
                <w:rFonts w:ascii="宋体" w:hAnsi="宋体"/>
                <w:color w:val="auto"/>
                <w:highlight w:val="none"/>
              </w:rPr>
            </w:pPr>
            <w:r>
              <w:rPr>
                <w:rFonts w:hint="eastAsia" w:ascii="宋体" w:hAnsi="宋体"/>
                <w:color w:val="auto"/>
                <w:highlight w:val="none"/>
              </w:rPr>
              <w:t xml:space="preserve">7、服务技术方案（由供应商自行根据评标办法编制，格式自拟）； </w:t>
            </w:r>
          </w:p>
          <w:p w14:paraId="020000F0">
            <w:pPr>
              <w:spacing w:line="400" w:lineRule="exact"/>
              <w:rPr>
                <w:rFonts w:ascii="宋体" w:hAnsi="宋体"/>
                <w:color w:val="auto"/>
                <w:highlight w:val="none"/>
              </w:rPr>
            </w:pPr>
            <w:r>
              <w:rPr>
                <w:rFonts w:hint="eastAsia" w:ascii="宋体" w:hAnsi="宋体"/>
                <w:color w:val="auto"/>
                <w:highlight w:val="none"/>
              </w:rPr>
              <w:t xml:space="preserve">8、项目实施人员一览表（格式自拟）； </w:t>
            </w:r>
          </w:p>
          <w:p w14:paraId="49A63003">
            <w:pPr>
              <w:spacing w:line="400" w:lineRule="exact"/>
              <w:rPr>
                <w:rFonts w:ascii="宋体" w:hAnsi="宋体"/>
                <w:color w:val="auto"/>
                <w:highlight w:val="none"/>
              </w:rPr>
            </w:pPr>
            <w:r>
              <w:rPr>
                <w:rFonts w:hint="eastAsia" w:ascii="宋体" w:hAnsi="宋体"/>
                <w:color w:val="auto"/>
                <w:highlight w:val="none"/>
              </w:rPr>
              <w:t>9、对应采购需求的技术要求、商务要求提供的其他文件资料（格式自拟）；</w:t>
            </w:r>
          </w:p>
          <w:p w14:paraId="5E4CA404">
            <w:pPr>
              <w:spacing w:line="400" w:lineRule="exact"/>
              <w:rPr>
                <w:rFonts w:ascii="宋体" w:hAnsi="宋体"/>
                <w:color w:val="auto"/>
                <w:highlight w:val="none"/>
              </w:rPr>
            </w:pPr>
            <w:r>
              <w:rPr>
                <w:rFonts w:hint="eastAsia" w:ascii="宋体" w:hAnsi="宋体"/>
                <w:color w:val="auto"/>
                <w:highlight w:val="none"/>
              </w:rPr>
              <w:t>10、供应商认为需要提供的其他有关资料。</w:t>
            </w:r>
          </w:p>
          <w:p w14:paraId="0B6D4807">
            <w:pPr>
              <w:snapToGrid w:val="0"/>
              <w:spacing w:line="400" w:lineRule="exact"/>
              <w:ind w:firstLine="422" w:firstLineChars="200"/>
              <w:jc w:val="left"/>
              <w:rPr>
                <w:rFonts w:ascii="宋体" w:hAnsi="宋体"/>
                <w:b/>
                <w:color w:val="auto"/>
                <w:highlight w:val="none"/>
              </w:rPr>
            </w:pPr>
          </w:p>
          <w:p w14:paraId="7A685FA5">
            <w:pPr>
              <w:snapToGrid w:val="0"/>
              <w:spacing w:line="400" w:lineRule="exact"/>
              <w:ind w:firstLine="422" w:firstLineChars="200"/>
              <w:jc w:val="left"/>
              <w:rPr>
                <w:rFonts w:ascii="宋体" w:hAnsi="宋体"/>
                <w:b/>
                <w:color w:val="auto"/>
                <w:highlight w:val="none"/>
              </w:rPr>
            </w:pPr>
            <w:r>
              <w:rPr>
                <w:rFonts w:hint="eastAsia" w:ascii="宋体" w:hAnsi="宋体"/>
                <w:b/>
                <w:color w:val="auto"/>
                <w:highlight w:val="none"/>
              </w:rPr>
              <w:t>注：以上标明“必须提供”的材料属于复印件的，必须加盖供应商公章，否则响应文件按无效响应处理。</w:t>
            </w:r>
          </w:p>
        </w:tc>
      </w:tr>
      <w:tr w14:paraId="58E92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5A40645">
            <w:pPr>
              <w:spacing w:line="400" w:lineRule="exact"/>
              <w:jc w:val="center"/>
              <w:rPr>
                <w:rFonts w:ascii="宋体" w:hAnsi="宋体"/>
                <w:color w:val="auto"/>
                <w:highlight w:val="none"/>
              </w:rPr>
            </w:pPr>
            <w:r>
              <w:rPr>
                <w:rFonts w:hint="eastAsia" w:ascii="宋体" w:hAnsi="宋体"/>
                <w:color w:val="auto"/>
                <w:highlight w:val="none"/>
              </w:rPr>
              <w:t>15.2</w:t>
            </w:r>
          </w:p>
        </w:tc>
        <w:tc>
          <w:tcPr>
            <w:tcW w:w="8627" w:type="dxa"/>
            <w:tcBorders>
              <w:top w:val="single" w:color="000000" w:sz="4" w:space="0"/>
              <w:left w:val="single" w:color="000000" w:sz="4" w:space="0"/>
              <w:bottom w:val="single" w:color="000000" w:sz="4" w:space="0"/>
              <w:right w:val="single" w:color="000000" w:sz="4" w:space="0"/>
            </w:tcBorders>
            <w:vAlign w:val="center"/>
          </w:tcPr>
          <w:p w14:paraId="58E52599">
            <w:pPr>
              <w:snapToGrid w:val="0"/>
              <w:spacing w:line="400" w:lineRule="exact"/>
              <w:jc w:val="left"/>
              <w:rPr>
                <w:rFonts w:ascii="宋体" w:hAnsi="宋体"/>
                <w:b/>
                <w:color w:val="auto"/>
                <w:highlight w:val="none"/>
              </w:rPr>
            </w:pPr>
            <w:r>
              <w:rPr>
                <w:rFonts w:hint="eastAsia" w:ascii="宋体" w:hAnsi="宋体"/>
                <w:color w:val="auto"/>
                <w:highlight w:val="none"/>
              </w:rPr>
              <w:t>报价是履行合同的最终价格，必须包含投标货物（包括备品备件、专用工具等）、服务的价格，及其运输（含保险）、安装、调试、检验、技术服务、培训和采购文件要求提供的所有伴随服务等费用和税费。</w:t>
            </w:r>
            <w:r>
              <w:rPr>
                <w:rFonts w:hint="eastAsia" w:ascii="宋体" w:hAnsi="宋体"/>
                <w:b/>
                <w:color w:val="auto"/>
                <w:highlight w:val="none"/>
              </w:rPr>
              <w:t>（采购需求另有约定的，从其约定。）</w:t>
            </w:r>
          </w:p>
        </w:tc>
      </w:tr>
      <w:tr w14:paraId="6F8AC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41703FE">
            <w:pPr>
              <w:spacing w:line="400" w:lineRule="exact"/>
              <w:jc w:val="center"/>
              <w:rPr>
                <w:rFonts w:ascii="宋体" w:hAnsi="宋体"/>
                <w:color w:val="auto"/>
                <w:highlight w:val="none"/>
              </w:rPr>
            </w:pPr>
            <w:r>
              <w:rPr>
                <w:rFonts w:hint="eastAsia" w:ascii="宋体" w:hAnsi="宋体"/>
                <w:color w:val="auto"/>
                <w:highlight w:val="none"/>
              </w:rPr>
              <w:t>16.2</w:t>
            </w:r>
          </w:p>
        </w:tc>
        <w:tc>
          <w:tcPr>
            <w:tcW w:w="8627" w:type="dxa"/>
            <w:tcBorders>
              <w:top w:val="single" w:color="000000" w:sz="4" w:space="0"/>
              <w:left w:val="single" w:color="000000" w:sz="4" w:space="0"/>
              <w:bottom w:val="single" w:color="000000" w:sz="4" w:space="0"/>
              <w:right w:val="single" w:color="000000" w:sz="4" w:space="0"/>
            </w:tcBorders>
            <w:vAlign w:val="center"/>
          </w:tcPr>
          <w:p w14:paraId="7CCAB3C1">
            <w:pPr>
              <w:spacing w:line="400" w:lineRule="exact"/>
              <w:rPr>
                <w:rFonts w:ascii="宋体" w:hAnsi="宋体"/>
                <w:color w:val="auto"/>
                <w:highlight w:val="none"/>
              </w:rPr>
            </w:pPr>
            <w:r>
              <w:rPr>
                <w:rFonts w:hint="eastAsia" w:ascii="宋体" w:hAnsi="宋体"/>
                <w:color w:val="auto"/>
                <w:highlight w:val="none"/>
              </w:rPr>
              <w:t>竞标有效期：首次响应文件提交截止之日起60天内。</w:t>
            </w:r>
          </w:p>
        </w:tc>
      </w:tr>
      <w:tr w14:paraId="20B3C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66ADC32">
            <w:pPr>
              <w:spacing w:line="400" w:lineRule="exact"/>
              <w:jc w:val="center"/>
              <w:rPr>
                <w:rFonts w:ascii="宋体" w:hAnsi="宋体"/>
                <w:color w:val="auto"/>
                <w:highlight w:val="none"/>
              </w:rPr>
            </w:pPr>
            <w:r>
              <w:rPr>
                <w:rFonts w:hint="eastAsia" w:ascii="宋体" w:hAnsi="宋体"/>
                <w:color w:val="auto"/>
                <w:highlight w:val="none"/>
              </w:rPr>
              <w:t>17.1</w:t>
            </w:r>
          </w:p>
        </w:tc>
        <w:tc>
          <w:tcPr>
            <w:tcW w:w="8627" w:type="dxa"/>
            <w:tcBorders>
              <w:top w:val="single" w:color="000000" w:sz="4" w:space="0"/>
              <w:left w:val="single" w:color="000000" w:sz="4" w:space="0"/>
              <w:bottom w:val="single" w:color="000000" w:sz="4" w:space="0"/>
              <w:right w:val="single" w:color="000000" w:sz="4" w:space="0"/>
            </w:tcBorders>
            <w:vAlign w:val="center"/>
          </w:tcPr>
          <w:p w14:paraId="1E3002F8">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□本项目不收取磋商保证金。</w:t>
            </w:r>
          </w:p>
          <w:p w14:paraId="5A79069E">
            <w:pPr>
              <w:snapToGrid w:val="0"/>
              <w:spacing w:line="400" w:lineRule="exact"/>
              <w:rPr>
                <w:rFonts w:ascii="宋体" w:hAnsi="宋体"/>
                <w:color w:val="auto"/>
                <w:highlight w:val="none"/>
              </w:rPr>
            </w:pPr>
            <w:r>
              <w:rPr>
                <w:rFonts w:hint="eastAsia" w:ascii="宋体" w:hAnsi="宋体"/>
                <w:color w:val="auto"/>
                <w:highlight w:val="none"/>
              </w:rPr>
              <w:t>√本项目收取磋商保证金，具体规定如下：</w:t>
            </w:r>
          </w:p>
          <w:p w14:paraId="589CCCBE">
            <w:pPr>
              <w:snapToGrid w:val="0"/>
              <w:spacing w:line="400" w:lineRule="exact"/>
              <w:rPr>
                <w:rFonts w:ascii="宋体" w:hAnsi="宋体"/>
                <w:color w:val="auto"/>
                <w:kern w:val="0"/>
                <w:highlight w:val="none"/>
              </w:rPr>
            </w:pPr>
            <w:r>
              <w:rPr>
                <w:rFonts w:hint="eastAsia" w:ascii="宋体" w:hAnsi="宋体"/>
                <w:color w:val="auto"/>
                <w:kern w:val="0"/>
                <w:highlight w:val="none"/>
              </w:rPr>
              <w:t>磋商保证金人民币</w:t>
            </w:r>
            <w:r>
              <w:rPr>
                <w:rFonts w:hint="eastAsia" w:ascii="宋体" w:hAnsi="宋体"/>
                <w:color w:val="auto"/>
                <w:highlight w:val="none"/>
              </w:rPr>
              <w:t>14000元</w:t>
            </w:r>
            <w:r>
              <w:rPr>
                <w:rFonts w:hint="eastAsia" w:ascii="宋体" w:hAnsi="宋体"/>
                <w:color w:val="auto"/>
                <w:kern w:val="0"/>
                <w:highlight w:val="none"/>
              </w:rPr>
              <w:t>。</w:t>
            </w:r>
          </w:p>
          <w:p w14:paraId="66B79690">
            <w:pPr>
              <w:snapToGrid w:val="0"/>
              <w:spacing w:line="400" w:lineRule="exact"/>
              <w:rPr>
                <w:rFonts w:ascii="宋体" w:hAnsi="宋体"/>
                <w:color w:val="auto"/>
                <w:kern w:val="0"/>
                <w:highlight w:val="none"/>
              </w:rPr>
            </w:pPr>
            <w:r>
              <w:rPr>
                <w:rFonts w:hint="eastAsia" w:ascii="宋体" w:hAnsi="宋体"/>
                <w:color w:val="auto"/>
                <w:kern w:val="0"/>
                <w:highlight w:val="none"/>
              </w:rPr>
              <w:t>磋商保证金的交纳方式：银行转账、支票、汇票、本票或者金融、担保金融、担保机构出具的保函，禁止采用现钞方式。采用银行转账方式的，在响应文件提交截止时间前交至指定账户并且到账（</w:t>
            </w:r>
            <w:r>
              <w:rPr>
                <w:rFonts w:hint="eastAsia" w:ascii="宋体" w:hAnsi="宋体"/>
                <w:color w:val="auto"/>
                <w:highlight w:val="none"/>
              </w:rPr>
              <w:t>开户名称：广西科文招标有限公司，开户银行：广西北部湾银行南宁分行营业部，银行账号：0101012090615689</w:t>
            </w:r>
            <w:r>
              <w:rPr>
                <w:rFonts w:hint="eastAsia" w:ascii="宋体" w:hAnsi="宋体"/>
                <w:color w:val="auto"/>
                <w:kern w:val="0"/>
                <w:highlight w:val="none"/>
              </w:rPr>
              <w:t>）；采用支票、汇票、本票或者保函等方式的，在响应文件提交截止时间前，供应商必须提交支票、汇票、本票或者保函原件。否则视为无效磋商保证金。</w:t>
            </w:r>
          </w:p>
          <w:p w14:paraId="59D80101">
            <w:pPr>
              <w:snapToGrid w:val="0"/>
              <w:spacing w:line="400" w:lineRule="exact"/>
              <w:rPr>
                <w:rFonts w:ascii="宋体" w:hAnsi="宋体"/>
                <w:color w:val="auto"/>
                <w:highlight w:val="none"/>
              </w:rPr>
            </w:pPr>
            <w:r>
              <w:rPr>
                <w:rFonts w:hint="eastAsia" w:ascii="宋体" w:hAnsi="宋体"/>
                <w:color w:val="auto"/>
                <w:highlight w:val="none"/>
              </w:rPr>
              <w:t>相关要求：</w:t>
            </w:r>
          </w:p>
          <w:p w14:paraId="5354F0AC">
            <w:pPr>
              <w:snapToGrid w:val="0"/>
              <w:spacing w:line="400" w:lineRule="exact"/>
              <w:rPr>
                <w:rFonts w:ascii="宋体" w:hAnsi="宋体"/>
                <w:color w:val="auto"/>
                <w:highlight w:val="none"/>
              </w:rPr>
            </w:pPr>
            <w:r>
              <w:rPr>
                <w:rFonts w:hint="eastAsia" w:ascii="宋体" w:hAnsi="宋体"/>
                <w:color w:val="auto"/>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b/>
                <w:color w:val="auto"/>
                <w:highlight w:val="none"/>
              </w:rPr>
              <w:t>否则响应文件按无效响应处理</w:t>
            </w:r>
            <w:r>
              <w:rPr>
                <w:rFonts w:hint="eastAsia" w:ascii="宋体" w:hAnsi="宋体"/>
                <w:color w:val="auto"/>
                <w:highlight w:val="none"/>
              </w:rPr>
              <w:t>。</w:t>
            </w:r>
          </w:p>
          <w:p w14:paraId="40C993CF">
            <w:pPr>
              <w:snapToGrid w:val="0"/>
              <w:spacing w:line="400" w:lineRule="exact"/>
              <w:rPr>
                <w:rFonts w:ascii="宋体" w:hAnsi="宋体"/>
                <w:b/>
                <w:color w:val="auto"/>
                <w:highlight w:val="none"/>
              </w:rPr>
            </w:pPr>
            <w:r>
              <w:rPr>
                <w:rFonts w:hint="eastAsia" w:ascii="宋体" w:hAnsi="宋体"/>
                <w:color w:val="auto"/>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b/>
                <w:color w:val="auto"/>
                <w:highlight w:val="none"/>
              </w:rPr>
              <w:t>否则响应文件按无效响应处理</w:t>
            </w:r>
            <w:r>
              <w:rPr>
                <w:rFonts w:hint="eastAsia" w:ascii="宋体" w:hAnsi="宋体"/>
                <w:color w:val="auto"/>
                <w:highlight w:val="none"/>
              </w:rPr>
              <w:t>。</w:t>
            </w:r>
            <w:r>
              <w:rPr>
                <w:rFonts w:hint="eastAsia" w:ascii="宋体" w:hAnsi="宋体"/>
                <w:b/>
                <w:color w:val="auto"/>
                <w:highlight w:val="none"/>
              </w:rPr>
              <w:t>供应商必须在首次响应文件提交截止时间前将支票、汇票、本票或者金融、担保机构出具的保函原件提交给采购代理机构，由采购代理机构向供应商出具回执，并妥善保管。</w:t>
            </w:r>
          </w:p>
          <w:p w14:paraId="455C988A">
            <w:pPr>
              <w:snapToGrid w:val="0"/>
              <w:spacing w:line="400" w:lineRule="exact"/>
              <w:rPr>
                <w:rFonts w:ascii="宋体" w:hAnsi="宋体"/>
                <w:b/>
                <w:color w:val="auto"/>
                <w:highlight w:val="none"/>
              </w:rPr>
            </w:pPr>
            <w:r>
              <w:rPr>
                <w:rFonts w:hint="eastAsia" w:ascii="宋体" w:hAnsi="宋体"/>
                <w:color w:val="auto"/>
                <w:highlight w:val="none"/>
              </w:rPr>
              <w:t>3、供应商为联合体的，可以由联合体中的一方或者多方共同交纳磋商保证金，其交纳的保证金对联合体各方均具有约束力。</w:t>
            </w:r>
          </w:p>
          <w:p w14:paraId="74AA1E48">
            <w:pPr>
              <w:snapToGrid w:val="0"/>
              <w:spacing w:line="400" w:lineRule="exact"/>
              <w:rPr>
                <w:rFonts w:ascii="宋体" w:hAnsi="宋体"/>
                <w:b/>
                <w:color w:val="auto"/>
                <w:highlight w:val="none"/>
              </w:rPr>
            </w:pPr>
            <w:r>
              <w:rPr>
                <w:rFonts w:hint="eastAsia" w:ascii="宋体" w:hAnsi="宋体"/>
                <w:b/>
                <w:color w:val="auto"/>
                <w:highlight w:val="none"/>
              </w:rPr>
              <w:t xml:space="preserve">备注： </w:t>
            </w:r>
          </w:p>
          <w:p w14:paraId="52D8217F">
            <w:pPr>
              <w:snapToGrid w:val="0"/>
              <w:spacing w:line="400" w:lineRule="exact"/>
              <w:rPr>
                <w:rFonts w:ascii="宋体" w:hAnsi="宋体"/>
                <w:b/>
                <w:color w:val="auto"/>
                <w:highlight w:val="none"/>
              </w:rPr>
            </w:pPr>
            <w:r>
              <w:rPr>
                <w:rFonts w:hint="eastAsia" w:ascii="宋体" w:hAnsi="宋体"/>
                <w:b/>
                <w:color w:val="auto"/>
                <w:highlight w:val="none"/>
              </w:rPr>
              <w:t>1、磋商保证金在响应文件提交截止时间后提交的，或者不按规定交纳方式交纳的，或者未足额交纳的（包含保函额度不足的），视为无效磋商保证金。</w:t>
            </w:r>
          </w:p>
          <w:p w14:paraId="2BC31C11">
            <w:pPr>
              <w:snapToGrid w:val="0"/>
              <w:spacing w:line="400" w:lineRule="exact"/>
              <w:rPr>
                <w:rFonts w:ascii="宋体" w:hAnsi="宋体"/>
                <w:b/>
                <w:color w:val="auto"/>
                <w:highlight w:val="none"/>
              </w:rPr>
            </w:pPr>
            <w:r>
              <w:rPr>
                <w:rFonts w:hint="eastAsia" w:ascii="宋体" w:hAnsi="宋体"/>
                <w:b/>
                <w:color w:val="auto"/>
                <w:highlight w:val="none"/>
              </w:rPr>
              <w:t>2、供应商采用现钞方式或者从个人账户（自然人竞标除外）转出的磋商保证金，视为无效磋商保证金。</w:t>
            </w:r>
          </w:p>
          <w:p w14:paraId="6A339004">
            <w:pPr>
              <w:snapToGrid w:val="0"/>
              <w:spacing w:line="400" w:lineRule="exact"/>
              <w:rPr>
                <w:rFonts w:ascii="宋体" w:hAnsi="宋体"/>
                <w:b/>
                <w:color w:val="auto"/>
                <w:highlight w:val="none"/>
              </w:rPr>
            </w:pPr>
            <w:r>
              <w:rPr>
                <w:rFonts w:hint="eastAsia" w:ascii="宋体" w:hAnsi="宋体"/>
                <w:b/>
                <w:color w:val="auto"/>
                <w:highlight w:val="none"/>
              </w:rPr>
              <w:t>3、支票、汇票或者本票出现无效或者背书情形的，视为无效磋商保证金。</w:t>
            </w:r>
          </w:p>
          <w:p w14:paraId="0E570C18">
            <w:pPr>
              <w:snapToGrid w:val="0"/>
              <w:spacing w:line="400" w:lineRule="exact"/>
              <w:rPr>
                <w:rFonts w:ascii="宋体" w:hAnsi="宋体"/>
                <w:b/>
                <w:color w:val="auto"/>
                <w:highlight w:val="none"/>
              </w:rPr>
            </w:pPr>
            <w:r>
              <w:rPr>
                <w:rFonts w:hint="eastAsia" w:ascii="宋体" w:hAnsi="宋体"/>
                <w:b/>
                <w:color w:val="auto"/>
                <w:highlight w:val="none"/>
              </w:rPr>
              <w:t>4、保函有效期低于竞标有效期的，视为无效磋商保证金。</w:t>
            </w:r>
          </w:p>
          <w:p w14:paraId="33BC096C">
            <w:pPr>
              <w:snapToGrid w:val="0"/>
              <w:spacing w:line="400" w:lineRule="exact"/>
              <w:rPr>
                <w:rFonts w:ascii="宋体" w:hAnsi="宋体"/>
                <w:color w:val="auto"/>
                <w:highlight w:val="none"/>
              </w:rPr>
            </w:pPr>
            <w:r>
              <w:rPr>
                <w:rFonts w:hint="eastAsia" w:ascii="宋体" w:hAnsi="宋体"/>
                <w:b/>
                <w:color w:val="auto"/>
                <w:highlight w:val="none"/>
              </w:rPr>
              <w:t>5、采用金融、担保机构出具保函的，必须为无条件保函，否则视为无效磋商保证金。</w:t>
            </w:r>
          </w:p>
        </w:tc>
      </w:tr>
      <w:tr w14:paraId="447F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5C35013">
            <w:pPr>
              <w:spacing w:line="400" w:lineRule="exact"/>
              <w:jc w:val="center"/>
              <w:rPr>
                <w:rFonts w:ascii="宋体" w:hAnsi="宋体"/>
                <w:color w:val="auto"/>
                <w:highlight w:val="none"/>
              </w:rPr>
            </w:pPr>
            <w:r>
              <w:rPr>
                <w:rFonts w:hint="eastAsia" w:ascii="宋体" w:hAnsi="宋体"/>
                <w:color w:val="auto"/>
                <w:highlight w:val="none"/>
              </w:rPr>
              <w:t>18.2</w:t>
            </w:r>
          </w:p>
        </w:tc>
        <w:tc>
          <w:tcPr>
            <w:tcW w:w="8627" w:type="dxa"/>
            <w:tcBorders>
              <w:top w:val="single" w:color="000000" w:sz="4" w:space="0"/>
              <w:left w:val="single" w:color="000000" w:sz="4" w:space="0"/>
              <w:bottom w:val="single" w:color="000000" w:sz="4" w:space="0"/>
              <w:right w:val="single" w:color="000000" w:sz="4" w:space="0"/>
            </w:tcBorders>
            <w:vAlign w:val="center"/>
          </w:tcPr>
          <w:p w14:paraId="28FD51B4">
            <w:pPr>
              <w:spacing w:line="400" w:lineRule="exact"/>
              <w:rPr>
                <w:rFonts w:ascii="宋体" w:hAnsi="宋体"/>
                <w:color w:val="auto"/>
                <w:highlight w:val="none"/>
              </w:rPr>
            </w:pPr>
            <w:r>
              <w:rPr>
                <w:rFonts w:hint="eastAsia" w:ascii="宋体" w:hAnsi="宋体"/>
                <w:color w:val="auto"/>
                <w:highlight w:val="none"/>
              </w:rPr>
              <w:t>响应文件应按资格证明文件、报价商务技术文件分别编制，并按</w:t>
            </w:r>
            <w:r>
              <w:rPr>
                <w:rFonts w:hint="eastAsia" w:ascii="宋体" w:hAnsi="宋体"/>
                <w:bCs/>
                <w:color w:val="auto"/>
                <w:kern w:val="0"/>
                <w:highlight w:val="none"/>
              </w:rPr>
              <w:t>“</w:t>
            </w:r>
            <w:r>
              <w:rPr>
                <w:rFonts w:hint="eastAsia" w:ascii="宋体" w:hAnsi="宋体"/>
                <w:color w:val="auto"/>
                <w:highlight w:val="none"/>
              </w:rPr>
              <w:t>广西政府采购云”平台的要求编制、加密、上传。</w:t>
            </w:r>
          </w:p>
        </w:tc>
      </w:tr>
      <w:tr w14:paraId="764D8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E0D6927">
            <w:pPr>
              <w:spacing w:line="400" w:lineRule="exact"/>
              <w:jc w:val="center"/>
              <w:rPr>
                <w:rFonts w:ascii="宋体" w:hAnsi="宋体"/>
                <w:color w:val="auto"/>
                <w:highlight w:val="none"/>
              </w:rPr>
            </w:pPr>
            <w:r>
              <w:rPr>
                <w:rFonts w:hint="eastAsia" w:ascii="宋体" w:hAnsi="宋体"/>
                <w:color w:val="auto"/>
                <w:highlight w:val="none"/>
              </w:rPr>
              <w:t>20.1</w:t>
            </w:r>
          </w:p>
        </w:tc>
        <w:tc>
          <w:tcPr>
            <w:tcW w:w="8627" w:type="dxa"/>
            <w:tcBorders>
              <w:top w:val="single" w:color="000000" w:sz="4" w:space="0"/>
              <w:left w:val="single" w:color="000000" w:sz="4" w:space="0"/>
              <w:bottom w:val="single" w:color="000000" w:sz="4" w:space="0"/>
              <w:right w:val="single" w:color="000000" w:sz="4" w:space="0"/>
            </w:tcBorders>
            <w:vAlign w:val="center"/>
          </w:tcPr>
          <w:p w14:paraId="053F3594">
            <w:pPr>
              <w:spacing w:line="400" w:lineRule="exact"/>
              <w:contextualSpacing/>
              <w:rPr>
                <w:rFonts w:ascii="宋体" w:hAnsi="宋体"/>
                <w:color w:val="auto"/>
                <w:highlight w:val="none"/>
              </w:rPr>
            </w:pPr>
            <w:r>
              <w:rPr>
                <w:rFonts w:hint="eastAsia" w:ascii="宋体" w:hAnsi="宋体"/>
                <w:color w:val="auto"/>
                <w:highlight w:val="none"/>
              </w:rPr>
              <w:t>首次响应文件提交截止时间：详见竞争性磋商公告。</w:t>
            </w:r>
          </w:p>
          <w:p w14:paraId="7AE0FB1B">
            <w:pPr>
              <w:spacing w:line="400" w:lineRule="exact"/>
              <w:contextualSpacing/>
              <w:rPr>
                <w:rFonts w:ascii="宋体" w:hAnsi="宋体"/>
                <w:color w:val="auto"/>
                <w:highlight w:val="none"/>
              </w:rPr>
            </w:pPr>
            <w:r>
              <w:rPr>
                <w:rFonts w:hint="eastAsia" w:ascii="宋体" w:hAnsi="宋体"/>
                <w:color w:val="auto"/>
                <w:highlight w:val="none"/>
              </w:rPr>
              <w:t>首次响应文件提交地点：详见竞争性磋商公告。</w:t>
            </w:r>
          </w:p>
        </w:tc>
      </w:tr>
      <w:tr w14:paraId="3CD18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9BE8A78">
            <w:pPr>
              <w:spacing w:line="400" w:lineRule="exact"/>
              <w:jc w:val="center"/>
              <w:rPr>
                <w:rFonts w:ascii="宋体" w:hAnsi="宋体"/>
                <w:color w:val="auto"/>
                <w:highlight w:val="none"/>
              </w:rPr>
            </w:pPr>
            <w:r>
              <w:rPr>
                <w:rFonts w:hint="eastAsia" w:ascii="宋体" w:hAnsi="宋体"/>
                <w:color w:val="auto"/>
                <w:highlight w:val="none"/>
              </w:rPr>
              <w:t>24.1</w:t>
            </w:r>
          </w:p>
        </w:tc>
        <w:tc>
          <w:tcPr>
            <w:tcW w:w="8627" w:type="dxa"/>
            <w:tcBorders>
              <w:top w:val="single" w:color="000000" w:sz="4" w:space="0"/>
              <w:left w:val="single" w:color="000000" w:sz="4" w:space="0"/>
              <w:bottom w:val="single" w:color="000000" w:sz="4" w:space="0"/>
              <w:right w:val="single" w:color="000000" w:sz="4" w:space="0"/>
            </w:tcBorders>
            <w:vAlign w:val="center"/>
          </w:tcPr>
          <w:p w14:paraId="082887BC">
            <w:pPr>
              <w:snapToGrid w:val="0"/>
              <w:spacing w:line="400" w:lineRule="exact"/>
              <w:rPr>
                <w:rFonts w:ascii="宋体" w:hAnsi="宋体"/>
                <w:color w:val="auto"/>
                <w:highlight w:val="none"/>
                <w:u w:val="single"/>
              </w:rPr>
            </w:pPr>
            <w:r>
              <w:rPr>
                <w:rFonts w:hint="eastAsia" w:ascii="宋体" w:hAnsi="宋体"/>
                <w:color w:val="auto"/>
                <w:highlight w:val="none"/>
              </w:rPr>
              <w:t>磋商小组的人数：3人。</w:t>
            </w:r>
            <w:r>
              <w:rPr>
                <w:rFonts w:hint="eastAsia" w:ascii="宋体" w:hAnsi="宋体"/>
                <w:i/>
                <w:color w:val="auto"/>
                <w:highlight w:val="none"/>
              </w:rPr>
              <w:t>（达到公开数额的应为5人以上）</w:t>
            </w:r>
          </w:p>
        </w:tc>
      </w:tr>
      <w:tr w14:paraId="2293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BC89CE9">
            <w:pPr>
              <w:spacing w:line="400" w:lineRule="exact"/>
              <w:jc w:val="center"/>
              <w:rPr>
                <w:rFonts w:ascii="宋体" w:hAnsi="宋体"/>
                <w:color w:val="auto"/>
                <w:highlight w:val="none"/>
              </w:rPr>
            </w:pPr>
            <w:r>
              <w:rPr>
                <w:rFonts w:hint="eastAsia" w:ascii="宋体" w:hAnsi="宋体"/>
                <w:color w:val="auto"/>
                <w:highlight w:val="none"/>
              </w:rPr>
              <w:t>25.2</w:t>
            </w:r>
          </w:p>
        </w:tc>
        <w:tc>
          <w:tcPr>
            <w:tcW w:w="8627" w:type="dxa"/>
            <w:tcBorders>
              <w:top w:val="single" w:color="000000" w:sz="4" w:space="0"/>
              <w:left w:val="single" w:color="000000" w:sz="4" w:space="0"/>
              <w:bottom w:val="single" w:color="000000" w:sz="4" w:space="0"/>
              <w:right w:val="single" w:color="000000" w:sz="4" w:space="0"/>
            </w:tcBorders>
            <w:vAlign w:val="center"/>
          </w:tcPr>
          <w:p w14:paraId="18866B4D">
            <w:pPr>
              <w:snapToGrid w:val="0"/>
              <w:spacing w:line="400" w:lineRule="exact"/>
              <w:rPr>
                <w:rFonts w:ascii="宋体" w:hAnsi="宋体"/>
                <w:color w:val="auto"/>
                <w:highlight w:val="none"/>
              </w:rPr>
            </w:pPr>
            <w:r>
              <w:rPr>
                <w:rFonts w:hint="eastAsia" w:ascii="宋体" w:hAnsi="宋体"/>
                <w:color w:val="auto"/>
                <w:highlight w:val="none"/>
              </w:rPr>
              <w:t>采购代理机构将依托电子交易平台发起开始解密指令，</w:t>
            </w:r>
            <w:r>
              <w:rPr>
                <w:rFonts w:hint="eastAsia" w:ascii="宋体" w:hAnsi="宋体"/>
                <w:b/>
                <w:color w:val="auto"/>
                <w:highlight w:val="none"/>
              </w:rPr>
              <w:t>供应商的法定代表人或其委托代理人须携带加密时所用的CA锁按平台提示和采购文件的规定登录到</w:t>
            </w:r>
            <w:r>
              <w:rPr>
                <w:rFonts w:hint="eastAsia" w:ascii="宋体" w:hAnsi="宋体"/>
                <w:bCs/>
                <w:color w:val="auto"/>
                <w:kern w:val="0"/>
                <w:highlight w:val="none"/>
              </w:rPr>
              <w:t>“</w:t>
            </w:r>
            <w:r>
              <w:rPr>
                <w:rFonts w:hint="eastAsia" w:ascii="宋体" w:hAnsi="宋体"/>
                <w:b/>
                <w:color w:val="auto"/>
                <w:highlight w:val="none"/>
              </w:rPr>
              <w:t>广西政府采购云”平台电子开标大厅签到并在发起解密指令之时起30分钟内完成对电子响应文件在线解密。</w:t>
            </w:r>
            <w:r>
              <w:rPr>
                <w:rFonts w:hint="eastAsia" w:ascii="宋体" w:hAnsi="宋体"/>
                <w:b/>
                <w:bCs/>
                <w:color w:val="auto"/>
                <w:highlight w:val="none"/>
              </w:rPr>
              <w:t>响应文件未按时解密的，</w:t>
            </w:r>
            <w:r>
              <w:rPr>
                <w:rFonts w:hint="eastAsia" w:ascii="宋体" w:hAnsi="宋体"/>
                <w:b/>
                <w:color w:val="auto"/>
                <w:highlight w:val="none"/>
              </w:rPr>
              <w:t>视为响应</w:t>
            </w:r>
            <w:r>
              <w:rPr>
                <w:rFonts w:hint="eastAsia" w:ascii="宋体" w:hAnsi="宋体"/>
                <w:b/>
                <w:bCs/>
                <w:color w:val="auto"/>
                <w:highlight w:val="none"/>
              </w:rPr>
              <w:t>文件无效。</w:t>
            </w:r>
          </w:p>
        </w:tc>
      </w:tr>
      <w:tr w14:paraId="0230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vMerge w:val="restart"/>
            <w:tcBorders>
              <w:top w:val="nil"/>
              <w:left w:val="single" w:color="000000" w:sz="4" w:space="0"/>
              <w:bottom w:val="single" w:color="000000" w:sz="4" w:space="0"/>
              <w:right w:val="single" w:color="000000" w:sz="4" w:space="0"/>
            </w:tcBorders>
            <w:vAlign w:val="center"/>
          </w:tcPr>
          <w:p w14:paraId="386ABFA6">
            <w:pPr>
              <w:spacing w:line="400" w:lineRule="exact"/>
              <w:jc w:val="center"/>
              <w:rPr>
                <w:rFonts w:ascii="宋体" w:hAnsi="宋体"/>
                <w:color w:val="auto"/>
                <w:highlight w:val="none"/>
              </w:rPr>
            </w:pPr>
            <w:r>
              <w:rPr>
                <w:rFonts w:hint="eastAsia" w:ascii="宋体" w:hAnsi="宋体"/>
                <w:color w:val="auto"/>
                <w:highlight w:val="none"/>
              </w:rPr>
              <w:t>26</w:t>
            </w:r>
          </w:p>
        </w:tc>
        <w:tc>
          <w:tcPr>
            <w:tcW w:w="8627" w:type="dxa"/>
            <w:tcBorders>
              <w:top w:val="single" w:color="000000" w:sz="4" w:space="0"/>
              <w:left w:val="single" w:color="000000" w:sz="4" w:space="0"/>
              <w:bottom w:val="single" w:color="000000" w:sz="4" w:space="0"/>
              <w:right w:val="single" w:color="000000" w:sz="4" w:space="0"/>
            </w:tcBorders>
            <w:vAlign w:val="center"/>
          </w:tcPr>
          <w:p w14:paraId="1BB22916">
            <w:pPr>
              <w:snapToGrid w:val="0"/>
              <w:spacing w:line="400" w:lineRule="exact"/>
              <w:rPr>
                <w:rFonts w:ascii="宋体" w:hAnsi="宋体"/>
                <w:color w:val="auto"/>
                <w:highlight w:val="none"/>
              </w:rPr>
            </w:pPr>
            <w:r>
              <w:rPr>
                <w:rFonts w:hint="eastAsia" w:ascii="宋体" w:hAnsi="宋体"/>
                <w:color w:val="auto"/>
                <w:highlight w:val="none"/>
              </w:rPr>
              <w:t>商务要求评审中允许负偏离的条款数为</w:t>
            </w:r>
            <w:r>
              <w:rPr>
                <w:rFonts w:hint="eastAsia" w:ascii="宋体" w:hAnsi="宋体"/>
                <w:color w:val="auto"/>
                <w:highlight w:val="none"/>
                <w:u w:val="single"/>
              </w:rPr>
              <w:t xml:space="preserve"> 0 </w:t>
            </w:r>
            <w:r>
              <w:rPr>
                <w:rFonts w:hint="eastAsia" w:ascii="宋体" w:hAnsi="宋体"/>
                <w:color w:val="auto"/>
                <w:highlight w:val="none"/>
              </w:rPr>
              <w:t>项。</w:t>
            </w:r>
          </w:p>
          <w:p w14:paraId="54B02254">
            <w:pPr>
              <w:snapToGrid w:val="0"/>
              <w:spacing w:line="400" w:lineRule="exact"/>
              <w:rPr>
                <w:rFonts w:ascii="宋体" w:hAnsi="宋体"/>
                <w:color w:val="auto"/>
                <w:highlight w:val="none"/>
              </w:rPr>
            </w:pPr>
            <w:r>
              <w:rPr>
                <w:rFonts w:hint="eastAsia" w:ascii="宋体" w:hAnsi="宋体"/>
                <w:color w:val="auto"/>
                <w:highlight w:val="none"/>
              </w:rPr>
              <w:t>技术要求评审中允许负偏离的条款数为</w:t>
            </w:r>
            <w:r>
              <w:rPr>
                <w:rFonts w:hint="eastAsia" w:ascii="宋体" w:hAnsi="宋体"/>
                <w:color w:val="auto"/>
                <w:highlight w:val="none"/>
                <w:u w:val="single"/>
              </w:rPr>
              <w:t xml:space="preserve"> 0 </w:t>
            </w:r>
            <w:r>
              <w:rPr>
                <w:rFonts w:hint="eastAsia" w:ascii="宋体" w:hAnsi="宋体"/>
                <w:color w:val="auto"/>
                <w:highlight w:val="none"/>
              </w:rPr>
              <w:t>项。</w:t>
            </w:r>
          </w:p>
        </w:tc>
      </w:tr>
      <w:tr w14:paraId="01693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vMerge w:val="continue"/>
            <w:tcBorders>
              <w:top w:val="nil"/>
              <w:left w:val="single" w:color="000000" w:sz="4" w:space="0"/>
              <w:bottom w:val="single" w:color="000000" w:sz="4" w:space="0"/>
              <w:right w:val="single" w:color="000000" w:sz="4" w:space="0"/>
            </w:tcBorders>
            <w:vAlign w:val="center"/>
          </w:tcPr>
          <w:p w14:paraId="665FF81D">
            <w:pPr>
              <w:widowControl/>
              <w:jc w:val="left"/>
              <w:rPr>
                <w:rFonts w:ascii="宋体" w:hAnsi="宋体"/>
                <w:color w:val="auto"/>
                <w:highlight w:val="none"/>
              </w:rPr>
            </w:pPr>
          </w:p>
        </w:tc>
        <w:tc>
          <w:tcPr>
            <w:tcW w:w="8627" w:type="dxa"/>
            <w:tcBorders>
              <w:top w:val="single" w:color="000000" w:sz="4" w:space="0"/>
              <w:left w:val="single" w:color="000000" w:sz="4" w:space="0"/>
              <w:bottom w:val="single" w:color="000000" w:sz="4" w:space="0"/>
              <w:right w:val="single" w:color="000000" w:sz="4" w:space="0"/>
            </w:tcBorders>
            <w:vAlign w:val="center"/>
          </w:tcPr>
          <w:p w14:paraId="1ECAD60E">
            <w:pPr>
              <w:pStyle w:val="5"/>
              <w:spacing w:line="400" w:lineRule="exact"/>
              <w:jc w:val="both"/>
              <w:rPr>
                <w:rFonts w:ascii="宋体" w:hAnsi="宋体"/>
                <w:b/>
                <w:color w:val="auto"/>
                <w:highlight w:val="none"/>
              </w:rPr>
            </w:pPr>
            <w:r>
              <w:rPr>
                <w:rFonts w:hint="eastAsia" w:ascii="宋体" w:hAnsi="宋体"/>
                <w:color w:val="auto"/>
                <w:highlight w:val="none"/>
              </w:rPr>
              <w:t>磋商的顺序：按照提交首次响应文件的顺序，通知磋商时，若某供应商不在通知现场时，该供应商排序到最后磋商，按照签到的顺序由其下一位供应商先参与磋商。</w:t>
            </w:r>
          </w:p>
          <w:p w14:paraId="7C8D5BE3">
            <w:pPr>
              <w:pStyle w:val="5"/>
              <w:spacing w:line="400" w:lineRule="exact"/>
              <w:jc w:val="both"/>
              <w:rPr>
                <w:rFonts w:ascii="宋体" w:hAnsi="宋体"/>
                <w:b/>
                <w:color w:val="auto"/>
                <w:highlight w:val="none"/>
              </w:rPr>
            </w:pPr>
            <w:r>
              <w:rPr>
                <w:rFonts w:hint="eastAsia" w:ascii="宋体" w:hAnsi="宋体"/>
                <w:b/>
                <w:color w:val="auto"/>
                <w:highlight w:val="none"/>
              </w:rPr>
              <w:t>注：参与磋商前，供应商法定代表人或者委托代理人向磋商小组出示本人有效证件原件[有效证件可以是身份证（含临时身份证明）或者护照的其中一项]。</w:t>
            </w:r>
          </w:p>
        </w:tc>
      </w:tr>
      <w:tr w14:paraId="4FF7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1796FDC">
            <w:pPr>
              <w:spacing w:line="400" w:lineRule="exact"/>
              <w:jc w:val="center"/>
              <w:rPr>
                <w:rFonts w:ascii="宋体" w:hAnsi="宋体"/>
                <w:color w:val="auto"/>
                <w:highlight w:val="none"/>
              </w:rPr>
            </w:pPr>
            <w:r>
              <w:rPr>
                <w:rFonts w:hint="eastAsia" w:ascii="宋体" w:hAnsi="宋体"/>
                <w:color w:val="auto"/>
                <w:highlight w:val="none"/>
              </w:rPr>
              <w:t>28.1</w:t>
            </w:r>
          </w:p>
        </w:tc>
        <w:tc>
          <w:tcPr>
            <w:tcW w:w="8627" w:type="dxa"/>
            <w:tcBorders>
              <w:top w:val="single" w:color="000000" w:sz="4" w:space="0"/>
              <w:left w:val="single" w:color="000000" w:sz="4" w:space="0"/>
              <w:bottom w:val="single" w:color="000000" w:sz="4" w:space="0"/>
              <w:right w:val="single" w:color="000000" w:sz="4" w:space="0"/>
            </w:tcBorders>
            <w:vAlign w:val="center"/>
          </w:tcPr>
          <w:p w14:paraId="64DF3889">
            <w:pPr>
              <w:autoSpaceDE w:val="0"/>
              <w:autoSpaceDN w:val="0"/>
              <w:snapToGrid w:val="0"/>
              <w:spacing w:line="400" w:lineRule="exact"/>
              <w:textAlignment w:val="bottom"/>
              <w:rPr>
                <w:rFonts w:ascii="宋体" w:hAnsi="宋体"/>
                <w:color w:val="auto"/>
                <w:highlight w:val="none"/>
              </w:rPr>
            </w:pPr>
            <w:r>
              <w:rPr>
                <w:rFonts w:hint="eastAsia" w:ascii="宋体" w:hAnsi="宋体"/>
                <w:b/>
                <w:bCs/>
                <w:color w:val="auto"/>
                <w:highlight w:val="none"/>
              </w:rPr>
              <w:t>√</w:t>
            </w:r>
            <w:r>
              <w:rPr>
                <w:rFonts w:hint="eastAsia" w:ascii="宋体" w:hAnsi="宋体"/>
                <w:color w:val="auto"/>
                <w:highlight w:val="none"/>
              </w:rPr>
              <w:t>本项目不收取履约保证金。</w:t>
            </w:r>
          </w:p>
          <w:p w14:paraId="0240B76D">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□本项目收取履约保证金，具体规定如下：</w:t>
            </w:r>
          </w:p>
          <w:p w14:paraId="7A068E47">
            <w:pPr>
              <w:spacing w:line="400" w:lineRule="exact"/>
              <w:contextualSpacing/>
              <w:rPr>
                <w:rFonts w:ascii="宋体" w:hAnsi="宋体"/>
                <w:color w:val="auto"/>
                <w:highlight w:val="none"/>
              </w:rPr>
            </w:pPr>
            <w:r>
              <w:rPr>
                <w:rFonts w:hint="eastAsia" w:ascii="宋体" w:hAnsi="宋体"/>
                <w:color w:val="auto"/>
                <w:highlight w:val="none"/>
              </w:rPr>
              <w:t>履约保证金金额：按成交金额的    %。</w:t>
            </w:r>
          </w:p>
          <w:p w14:paraId="4F4F9CD8">
            <w:pPr>
              <w:spacing w:line="400" w:lineRule="exact"/>
              <w:contextualSpacing/>
              <w:rPr>
                <w:rFonts w:ascii="宋体" w:hAnsi="宋体"/>
                <w:color w:val="auto"/>
                <w:highlight w:val="none"/>
              </w:rPr>
            </w:pPr>
            <w:r>
              <w:rPr>
                <w:rFonts w:hint="eastAsia" w:ascii="宋体" w:hAnsi="宋体"/>
                <w:color w:val="auto"/>
                <w:highlight w:val="none"/>
              </w:rPr>
              <w:t>履约保证金提交方式：合同签订之日起10个工作日内，乙方应通过银行转账、支票、汇票、本票或者金融、担保机构出具的保函等非现金方式递交。</w:t>
            </w:r>
          </w:p>
          <w:p w14:paraId="2DEDEA46">
            <w:pPr>
              <w:spacing w:line="400" w:lineRule="exact"/>
              <w:contextualSpacing/>
              <w:rPr>
                <w:rFonts w:ascii="宋体" w:hAnsi="宋体"/>
                <w:color w:val="auto"/>
                <w:highlight w:val="none"/>
              </w:rPr>
            </w:pPr>
            <w:r>
              <w:rPr>
                <w:rFonts w:hint="eastAsia" w:ascii="宋体" w:hAnsi="宋体"/>
                <w:color w:val="auto"/>
                <w:highlight w:val="none"/>
              </w:rPr>
              <w:t>履约保证金退付方式、时间及条件：质保期满无质量问题可向采购单位申请退还，采购单位在收到合格材料后5个工作日内办理退还手续(不计利息)。</w:t>
            </w:r>
          </w:p>
          <w:p w14:paraId="1A93E1B2">
            <w:pPr>
              <w:spacing w:line="400" w:lineRule="exact"/>
              <w:contextualSpacing/>
              <w:rPr>
                <w:rFonts w:ascii="宋体" w:hAnsi="宋体"/>
                <w:color w:val="auto"/>
                <w:highlight w:val="none"/>
              </w:rPr>
            </w:pPr>
            <w:r>
              <w:rPr>
                <w:rFonts w:hint="eastAsia" w:ascii="宋体" w:hAnsi="宋体"/>
                <w:color w:val="auto"/>
                <w:highlight w:val="none"/>
              </w:rPr>
              <w:t>履约保证金指定账户：履约保证金提交至采购单位指定账户，具体账户信息在签订合同时提供。</w:t>
            </w:r>
          </w:p>
          <w:p w14:paraId="0DBFAD3E">
            <w:pPr>
              <w:spacing w:line="400" w:lineRule="exact"/>
              <w:contextualSpacing/>
              <w:rPr>
                <w:rFonts w:ascii="宋体" w:hAnsi="宋体"/>
                <w:b/>
                <w:color w:val="auto"/>
                <w:highlight w:val="none"/>
              </w:rPr>
            </w:pPr>
            <w:r>
              <w:rPr>
                <w:rFonts w:hint="eastAsia" w:ascii="宋体" w:hAnsi="宋体"/>
                <w:b/>
                <w:color w:val="auto"/>
                <w:highlight w:val="none"/>
              </w:rPr>
              <w:t>备注：</w:t>
            </w:r>
            <w:r>
              <w:rPr>
                <w:rFonts w:hint="eastAsia" w:ascii="宋体" w:hAnsi="宋体"/>
                <w:color w:val="auto"/>
                <w:highlight w:val="none"/>
              </w:rPr>
              <w:br w:type="textWrapping"/>
            </w:r>
            <w:r>
              <w:rPr>
                <w:rFonts w:hint="eastAsia" w:ascii="宋体" w:hAnsi="宋体"/>
                <w:b/>
                <w:color w:val="auto"/>
                <w:highlight w:val="none"/>
              </w:rPr>
              <w:t>1</w:t>
            </w:r>
            <w:bookmarkStart w:id="25" w:name="_Hlk54170335"/>
            <w:r>
              <w:rPr>
                <w:rFonts w:hint="eastAsia" w:ascii="宋体" w:hAnsi="宋体"/>
                <w:b/>
                <w:color w:val="auto"/>
                <w:highlight w:val="none"/>
              </w:rPr>
              <w:t>、</w:t>
            </w:r>
            <w:bookmarkEnd w:id="25"/>
            <w:r>
              <w:rPr>
                <w:rFonts w:hint="eastAsia" w:ascii="宋体" w:hAnsi="宋体"/>
                <w:b/>
                <w:color w:val="auto"/>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p>
          <w:p w14:paraId="295651E4">
            <w:pPr>
              <w:spacing w:line="400" w:lineRule="exact"/>
              <w:contextualSpacing/>
              <w:rPr>
                <w:rFonts w:ascii="宋体" w:hAnsi="宋体"/>
                <w:b/>
                <w:color w:val="auto"/>
                <w:highlight w:val="none"/>
              </w:rPr>
            </w:pPr>
            <w:r>
              <w:rPr>
                <w:rFonts w:hint="eastAsia" w:ascii="宋体" w:hAnsi="宋体"/>
                <w:b/>
                <w:color w:val="auto"/>
                <w:highlight w:val="none"/>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b/>
                <w:color w:val="auto"/>
                <w:highlight w:val="none"/>
              </w:rPr>
              <w:br w:type="textWrapping"/>
            </w:r>
            <w:r>
              <w:rPr>
                <w:rFonts w:hint="eastAsia" w:ascii="宋体" w:hAnsi="宋体"/>
                <w:b/>
                <w:color w:val="auto"/>
                <w:highlight w:val="none"/>
              </w:rPr>
              <w:t>3、采用金融、担保机构出具的保函的，必须为无条件保函，否则不予签订合同。</w:t>
            </w:r>
          </w:p>
          <w:p w14:paraId="1F633C29">
            <w:pPr>
              <w:snapToGrid w:val="0"/>
              <w:spacing w:line="400" w:lineRule="exact"/>
              <w:rPr>
                <w:rFonts w:ascii="宋体" w:hAnsi="宋体"/>
                <w:color w:val="auto"/>
                <w:highlight w:val="none"/>
              </w:rPr>
            </w:pPr>
            <w:r>
              <w:rPr>
                <w:rFonts w:hint="eastAsia" w:ascii="宋体" w:hAnsi="宋体"/>
                <w:b/>
                <w:color w:val="auto"/>
                <w:highlight w:val="none"/>
              </w:rPr>
              <w:t>4、供应商为联合体的，由联合体任意一方按规定提交的履约保证金，视为有效履约保证金。</w:t>
            </w:r>
          </w:p>
        </w:tc>
      </w:tr>
      <w:tr w14:paraId="6A03A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8E8CB09">
            <w:pPr>
              <w:spacing w:line="400" w:lineRule="exact"/>
              <w:jc w:val="center"/>
              <w:rPr>
                <w:rFonts w:ascii="宋体" w:hAnsi="宋体"/>
                <w:color w:val="auto"/>
                <w:highlight w:val="none"/>
              </w:rPr>
            </w:pPr>
            <w:r>
              <w:rPr>
                <w:rFonts w:hint="eastAsia" w:ascii="宋体" w:hAnsi="宋体"/>
                <w:color w:val="auto"/>
                <w:highlight w:val="none"/>
              </w:rPr>
              <w:t>29.1</w:t>
            </w:r>
          </w:p>
        </w:tc>
        <w:tc>
          <w:tcPr>
            <w:tcW w:w="8627" w:type="dxa"/>
            <w:tcBorders>
              <w:top w:val="single" w:color="000000" w:sz="4" w:space="0"/>
              <w:left w:val="single" w:color="000000" w:sz="4" w:space="0"/>
              <w:bottom w:val="single" w:color="000000" w:sz="4" w:space="0"/>
              <w:right w:val="single" w:color="000000" w:sz="4" w:space="0"/>
            </w:tcBorders>
            <w:vAlign w:val="center"/>
          </w:tcPr>
          <w:p w14:paraId="151E2803">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 xml:space="preserve">签订合同携带的证明材料： </w:t>
            </w:r>
          </w:p>
          <w:p w14:paraId="31B1C25E">
            <w:pPr>
              <w:autoSpaceDE w:val="0"/>
              <w:autoSpaceDN w:val="0"/>
              <w:snapToGrid w:val="0"/>
              <w:spacing w:line="400" w:lineRule="exact"/>
              <w:textAlignment w:val="bottom"/>
              <w:rPr>
                <w:rFonts w:ascii="宋体" w:hAnsi="宋体"/>
                <w:color w:val="auto"/>
                <w:highlight w:val="none"/>
              </w:rPr>
            </w:pPr>
            <w:r>
              <w:rPr>
                <w:rFonts w:hint="eastAsia" w:ascii="宋体" w:hAnsi="宋体"/>
                <w:color w:val="auto"/>
                <w:highlight w:val="none"/>
              </w:rPr>
              <w:t>1、委托代理人负责签订合同的，须携带授权委托书及委托代理人身份证原件等其他资格证件。</w:t>
            </w:r>
          </w:p>
          <w:p w14:paraId="04E9F5D9">
            <w:pPr>
              <w:snapToGrid w:val="0"/>
              <w:spacing w:line="400" w:lineRule="exact"/>
              <w:rPr>
                <w:rFonts w:ascii="宋体" w:hAnsi="宋体"/>
                <w:color w:val="auto"/>
                <w:highlight w:val="none"/>
              </w:rPr>
            </w:pPr>
            <w:r>
              <w:rPr>
                <w:rFonts w:hint="eastAsia" w:ascii="宋体" w:hAnsi="宋体"/>
                <w:color w:val="auto"/>
                <w:highlight w:val="none"/>
              </w:rPr>
              <w:t>2、法定代表人负责签订合同的，须携带法定代表人身份证明原件及身份证原件等其他证明材料。</w:t>
            </w:r>
          </w:p>
        </w:tc>
      </w:tr>
      <w:tr w14:paraId="08FB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FA623F3">
            <w:pPr>
              <w:spacing w:line="400" w:lineRule="exact"/>
              <w:jc w:val="center"/>
              <w:rPr>
                <w:rFonts w:ascii="宋体" w:hAnsi="宋体"/>
                <w:color w:val="auto"/>
                <w:highlight w:val="none"/>
              </w:rPr>
            </w:pPr>
            <w:r>
              <w:rPr>
                <w:rFonts w:hint="eastAsia" w:ascii="宋体" w:hAnsi="宋体"/>
                <w:color w:val="auto"/>
                <w:highlight w:val="none"/>
              </w:rPr>
              <w:t>31.2</w:t>
            </w:r>
          </w:p>
        </w:tc>
        <w:tc>
          <w:tcPr>
            <w:tcW w:w="8627" w:type="dxa"/>
            <w:tcBorders>
              <w:top w:val="single" w:color="000000" w:sz="4" w:space="0"/>
              <w:left w:val="single" w:color="000000" w:sz="4" w:space="0"/>
              <w:bottom w:val="single" w:color="000000" w:sz="4" w:space="0"/>
              <w:right w:val="single" w:color="000000" w:sz="4" w:space="0"/>
            </w:tcBorders>
            <w:vAlign w:val="center"/>
          </w:tcPr>
          <w:p w14:paraId="6F6CF2E8">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接收质疑函方式：以纸质书面形式。</w:t>
            </w:r>
          </w:p>
          <w:p w14:paraId="6FE225B9">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质疑联系部门及联系方式：广西科文招标有限公司，质疑联系人：李婷，联系电话：0771-2023873，通讯地址：广西南宁市民族大道141号中鼎万象东方D区五层</w:t>
            </w:r>
          </w:p>
          <w:p w14:paraId="02B8FFD2">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现场提交质疑办理业务时间：工作日，上午8:00-12:00；下午15:00-18:00（北京时间）</w:t>
            </w:r>
          </w:p>
        </w:tc>
      </w:tr>
      <w:tr w14:paraId="788CF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669D790">
            <w:pPr>
              <w:spacing w:line="400" w:lineRule="exact"/>
              <w:jc w:val="center"/>
              <w:rPr>
                <w:rFonts w:ascii="宋体" w:hAnsi="宋体"/>
                <w:color w:val="auto"/>
                <w:highlight w:val="none"/>
              </w:rPr>
            </w:pPr>
            <w:r>
              <w:rPr>
                <w:rFonts w:hint="eastAsia" w:ascii="宋体" w:hAnsi="宋体"/>
                <w:color w:val="auto"/>
                <w:highlight w:val="none"/>
              </w:rPr>
              <w:t>32.1</w:t>
            </w:r>
          </w:p>
        </w:tc>
        <w:tc>
          <w:tcPr>
            <w:tcW w:w="8627" w:type="dxa"/>
            <w:tcBorders>
              <w:top w:val="single" w:color="000000" w:sz="4" w:space="0"/>
              <w:left w:val="single" w:color="000000" w:sz="4" w:space="0"/>
              <w:bottom w:val="single" w:color="000000" w:sz="4" w:space="0"/>
              <w:right w:val="single" w:color="000000" w:sz="4" w:space="0"/>
            </w:tcBorders>
            <w:vAlign w:val="center"/>
          </w:tcPr>
          <w:p w14:paraId="0F731361">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1、采购代理服务费支付方式：本项目的招标代理服务费按以下收费标准向成交供应商收取，领取成交通知书前，成交供应商应向采购代理机构一次付清招标代理服务费，否则采购代理机构有权不予以办理。</w:t>
            </w:r>
          </w:p>
          <w:p w14:paraId="45D48CDD">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2、采购代理服务费收取标准：</w:t>
            </w:r>
          </w:p>
          <w:p w14:paraId="13533500">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以分标（采购预算）为计费额，按本须知正文第32.2条规定的收费计算标准（服务类）采用差额定率累进法计算出收费基准价格，采购代理服务费收费以（收费基准价格）收取。</w:t>
            </w:r>
          </w:p>
          <w:p w14:paraId="206C2FDE">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3、采购代理服务费交纳账户信息</w:t>
            </w:r>
          </w:p>
          <w:p w14:paraId="5B995F43">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账户名称：广西科文招标有限公司南宁六分公司</w:t>
            </w:r>
          </w:p>
          <w:p w14:paraId="0753029A">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开户银行：广西北部湾银行股份有限公司南宁市云景支行</w:t>
            </w:r>
          </w:p>
          <w:p w14:paraId="1FB14C77">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银行账号：8050 3274 93 00001</w:t>
            </w:r>
          </w:p>
        </w:tc>
      </w:tr>
      <w:tr w14:paraId="1A8B9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30C6F8F">
            <w:pPr>
              <w:spacing w:line="400" w:lineRule="exact"/>
              <w:jc w:val="center"/>
              <w:rPr>
                <w:rFonts w:ascii="宋体" w:hAnsi="宋体"/>
                <w:color w:val="auto"/>
                <w:highlight w:val="none"/>
              </w:rPr>
            </w:pPr>
            <w:r>
              <w:rPr>
                <w:rFonts w:hint="eastAsia" w:ascii="宋体" w:hAnsi="宋体"/>
                <w:color w:val="auto"/>
                <w:highlight w:val="none"/>
              </w:rPr>
              <w:t>33.1</w:t>
            </w:r>
          </w:p>
        </w:tc>
        <w:tc>
          <w:tcPr>
            <w:tcW w:w="8627" w:type="dxa"/>
            <w:tcBorders>
              <w:top w:val="single" w:color="000000" w:sz="4" w:space="0"/>
              <w:left w:val="single" w:color="000000" w:sz="4" w:space="0"/>
              <w:bottom w:val="single" w:color="000000" w:sz="4" w:space="0"/>
              <w:right w:val="single" w:color="000000" w:sz="4" w:space="0"/>
            </w:tcBorders>
            <w:vAlign w:val="center"/>
          </w:tcPr>
          <w:p w14:paraId="79712670">
            <w:pPr>
              <w:pStyle w:val="10"/>
              <w:snapToGrid w:val="0"/>
              <w:spacing w:line="400" w:lineRule="exact"/>
              <w:rPr>
                <w:rFonts w:hAnsi="宋体" w:cs="Times New Roman"/>
                <w:color w:val="auto"/>
                <w:kern w:val="2"/>
                <w:sz w:val="21"/>
                <w:szCs w:val="21"/>
                <w:highlight w:val="none"/>
              </w:rPr>
            </w:pPr>
            <w:r>
              <w:rPr>
                <w:rFonts w:hint="eastAsia" w:hAnsi="宋体" w:cs="Times New Roman"/>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877C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891E7E6">
            <w:pPr>
              <w:spacing w:line="400" w:lineRule="exact"/>
              <w:jc w:val="center"/>
              <w:rPr>
                <w:rFonts w:ascii="宋体" w:hAnsi="宋体"/>
                <w:color w:val="auto"/>
                <w:highlight w:val="none"/>
              </w:rPr>
            </w:pPr>
            <w:r>
              <w:rPr>
                <w:rFonts w:hint="eastAsia" w:ascii="宋体" w:hAnsi="宋体"/>
                <w:color w:val="auto"/>
                <w:highlight w:val="none"/>
              </w:rPr>
              <w:t>33.2</w:t>
            </w:r>
          </w:p>
        </w:tc>
        <w:tc>
          <w:tcPr>
            <w:tcW w:w="8627" w:type="dxa"/>
            <w:tcBorders>
              <w:top w:val="single" w:color="000000" w:sz="4" w:space="0"/>
              <w:left w:val="single" w:color="000000" w:sz="4" w:space="0"/>
              <w:bottom w:val="single" w:color="000000" w:sz="4" w:space="0"/>
              <w:right w:val="single" w:color="000000" w:sz="4" w:space="0"/>
            </w:tcBorders>
            <w:vAlign w:val="center"/>
          </w:tcPr>
          <w:p w14:paraId="4CD3E4A3">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5BB34FE8">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2、供应商为其他组织或者自然人时，本磋商文件规定的法定代表人指负责人或者自然人。本磋商文件所称负责人是指参加竞标的其他组织</w:t>
            </w:r>
            <w:r>
              <w:rPr>
                <w:rFonts w:hint="eastAsia" w:hAnsi="宋体" w:cs="Times New Roman"/>
                <w:bCs/>
                <w:color w:val="auto"/>
                <w:sz w:val="21"/>
                <w:szCs w:val="21"/>
                <w:highlight w:val="none"/>
              </w:rPr>
              <w:t>营业执照或者执业许可证等证照上的</w:t>
            </w:r>
            <w:r>
              <w:rPr>
                <w:rFonts w:hint="eastAsia" w:hAnsi="宋体" w:cs="Times New Roman"/>
                <w:color w:val="auto"/>
                <w:sz w:val="21"/>
                <w:szCs w:val="21"/>
                <w:highlight w:val="none"/>
              </w:rPr>
              <w:t>负责人，本磋商文件所称自然人指参与竞标的自然人本人，</w:t>
            </w:r>
            <w:r>
              <w:rPr>
                <w:rFonts w:hint="eastAsia" w:hAnsi="宋体" w:cs="Times New Roman"/>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0C1EB31C">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3、本磋商文件中描述供应商的“签字”是指供应商的法定代表人或者委托代理人在文件规定签署处签名（含电子签名）的行为，私章、印鉴等其他形式均不能代替签字。</w:t>
            </w:r>
          </w:p>
          <w:p w14:paraId="58C56B42">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4、自然人竞标的，磋商文件规定盖公章处由自然人摁手指指印。</w:t>
            </w:r>
          </w:p>
          <w:p w14:paraId="5F7A9151">
            <w:pPr>
              <w:pStyle w:val="10"/>
              <w:snapToGrid w:val="0"/>
              <w:spacing w:line="400" w:lineRule="exact"/>
              <w:rPr>
                <w:rFonts w:hAnsi="宋体" w:cs="Times New Roman"/>
                <w:color w:val="auto"/>
                <w:sz w:val="21"/>
                <w:szCs w:val="21"/>
                <w:highlight w:val="none"/>
              </w:rPr>
            </w:pPr>
            <w:r>
              <w:rPr>
                <w:rFonts w:hint="eastAsia" w:hAnsi="宋体" w:cs="Times New Roman"/>
                <w:color w:val="auto"/>
                <w:sz w:val="21"/>
                <w:szCs w:val="21"/>
                <w:highlight w:val="none"/>
              </w:rPr>
              <w:t>5、本磋商文件所称的“以上”“以下”“以内”“届满”，包括本数；所称的“不满”“超过”“以外”，不包括本数。</w:t>
            </w:r>
          </w:p>
        </w:tc>
      </w:tr>
    </w:tbl>
    <w:p w14:paraId="19288E64">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1071F84">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p w14:paraId="0841FB5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一、总则</w:t>
      </w:r>
    </w:p>
    <w:p w14:paraId="615C86D7">
      <w:pPr>
        <w:spacing w:line="400" w:lineRule="exact"/>
        <w:rPr>
          <w:rFonts w:ascii="宋体" w:hAnsi="宋体"/>
          <w:color w:val="auto"/>
          <w:highlight w:val="none"/>
        </w:rPr>
      </w:pPr>
      <w:r>
        <w:rPr>
          <w:rFonts w:hint="eastAsia" w:ascii="宋体" w:hAnsi="宋体"/>
          <w:color w:val="auto"/>
          <w:highlight w:val="none"/>
        </w:rPr>
        <w:t xml:space="preserve"> </w:t>
      </w:r>
    </w:p>
    <w:p w14:paraId="76E2A5D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14:paraId="0E3E3E85">
      <w:pPr>
        <w:spacing w:line="360" w:lineRule="auto"/>
        <w:ind w:firstLine="420" w:firstLineChars="200"/>
        <w:rPr>
          <w:rFonts w:ascii="宋体" w:hAnsi="宋体"/>
          <w:color w:val="auto"/>
          <w:highlight w:val="none"/>
        </w:rPr>
      </w:pPr>
      <w:r>
        <w:rPr>
          <w:rFonts w:hint="eastAsia" w:ascii="宋体" w:hAnsi="宋体"/>
          <w:color w:val="auto"/>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6EC1A59">
      <w:pPr>
        <w:spacing w:line="360" w:lineRule="auto"/>
        <w:ind w:firstLine="420" w:firstLineChars="200"/>
        <w:rPr>
          <w:rFonts w:ascii="宋体" w:hAnsi="宋体"/>
          <w:color w:val="auto"/>
          <w:highlight w:val="none"/>
        </w:rPr>
      </w:pPr>
      <w:r>
        <w:rPr>
          <w:rFonts w:hint="eastAsia" w:ascii="宋体" w:hAnsi="宋体"/>
          <w:color w:val="auto"/>
          <w:highlight w:val="none"/>
        </w:rPr>
        <w:t>1.2</w:t>
      </w:r>
      <w:r>
        <w:rPr>
          <w:rFonts w:hint="eastAsia" w:ascii="宋体" w:hAnsi="宋体"/>
          <w:color w:val="auto"/>
          <w:spacing w:val="-6"/>
          <w:highlight w:val="none"/>
        </w:rPr>
        <w:t>本竞争性磋商文件（以下简称磋商文件）适用于本项目的所有采购程序和环节（法律、法规另有规定的，从其规定）。</w:t>
      </w:r>
    </w:p>
    <w:p w14:paraId="3CB21D2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2.定义</w:t>
      </w:r>
    </w:p>
    <w:p w14:paraId="244A2E3A">
      <w:pPr>
        <w:spacing w:line="360" w:lineRule="auto"/>
        <w:ind w:firstLine="420" w:firstLineChars="200"/>
        <w:rPr>
          <w:rFonts w:ascii="宋体" w:hAnsi="宋体"/>
          <w:color w:val="auto"/>
          <w:highlight w:val="none"/>
        </w:rPr>
      </w:pPr>
      <w:r>
        <w:rPr>
          <w:rFonts w:hint="eastAsia" w:ascii="宋体" w:hAnsi="宋体"/>
          <w:color w:val="auto"/>
          <w:highlight w:val="none"/>
        </w:rPr>
        <w:t>2.1“采购人”是指依法进行政府采购的国家机关、事业单位、团体组织。</w:t>
      </w:r>
    </w:p>
    <w:p w14:paraId="39E54F87">
      <w:pPr>
        <w:spacing w:line="360" w:lineRule="auto"/>
        <w:ind w:firstLine="420" w:firstLineChars="200"/>
        <w:rPr>
          <w:rFonts w:ascii="宋体" w:hAnsi="宋体"/>
          <w:color w:val="auto"/>
          <w:highlight w:val="none"/>
          <w:u w:val="single"/>
        </w:rPr>
      </w:pPr>
      <w:r>
        <w:rPr>
          <w:rFonts w:hint="eastAsia" w:ascii="宋体" w:hAnsi="宋体"/>
          <w:color w:val="auto"/>
          <w:highlight w:val="none"/>
        </w:rPr>
        <w:t>2.2“采购代理机构”是指政府采购集中采购机构和集中采购机构以外的采购代理机构。</w:t>
      </w:r>
    </w:p>
    <w:p w14:paraId="55A064F0">
      <w:pPr>
        <w:spacing w:line="360" w:lineRule="auto"/>
        <w:ind w:firstLine="420" w:firstLineChars="200"/>
        <w:rPr>
          <w:rFonts w:ascii="宋体" w:hAnsi="宋体"/>
          <w:color w:val="auto"/>
          <w:highlight w:val="none"/>
        </w:rPr>
      </w:pPr>
      <w:r>
        <w:rPr>
          <w:rFonts w:hint="eastAsia" w:ascii="宋体" w:hAnsi="宋体"/>
          <w:color w:val="auto"/>
          <w:highlight w:val="none"/>
        </w:rPr>
        <w:t>2.3“供应商”是指向采购人提供货物、工程或者服务的法人、其他组织或者自然人。</w:t>
      </w:r>
    </w:p>
    <w:p w14:paraId="5C4F0769">
      <w:pPr>
        <w:spacing w:line="360" w:lineRule="auto"/>
        <w:ind w:firstLine="420" w:firstLineChars="200"/>
        <w:rPr>
          <w:rFonts w:ascii="宋体" w:hAnsi="宋体"/>
          <w:color w:val="auto"/>
          <w:highlight w:val="none"/>
        </w:rPr>
      </w:pPr>
      <w:r>
        <w:rPr>
          <w:rFonts w:hint="eastAsia" w:ascii="宋体" w:hAnsi="宋体"/>
          <w:color w:val="auto"/>
          <w:highlight w:val="none"/>
        </w:rPr>
        <w:t>2.4“服务”是指除货物和工程以外的其他政府采购对象。</w:t>
      </w:r>
    </w:p>
    <w:p w14:paraId="4EF568B2">
      <w:pPr>
        <w:spacing w:line="360" w:lineRule="auto"/>
        <w:ind w:firstLine="420" w:firstLineChars="200"/>
        <w:rPr>
          <w:rFonts w:ascii="宋体" w:hAnsi="宋体"/>
          <w:color w:val="auto"/>
          <w:highlight w:val="none"/>
        </w:rPr>
      </w:pPr>
      <w:r>
        <w:rPr>
          <w:rFonts w:hint="eastAsia" w:ascii="宋体" w:hAnsi="宋体"/>
          <w:color w:val="auto"/>
          <w:highlight w:val="none"/>
        </w:rPr>
        <w:t>2.5“竞标”是指供应商按照本项目竞争性磋商公告或者邀请函规定的方式获取磋商文件、提交响应文件并希望获得标的的行为。</w:t>
      </w:r>
    </w:p>
    <w:p w14:paraId="73682787">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2.6“书面形式”是指合同书、信件和数据电文（包括电报、电传、传真、电子数据交换和电子邮件）等可以有形地表现所载内容的形式。</w:t>
      </w:r>
    </w:p>
    <w:p w14:paraId="5CF3C612">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2.7“响应文件”</w:t>
      </w:r>
      <w:r>
        <w:rPr>
          <w:rFonts w:hint="eastAsia" w:ascii="宋体" w:hAnsi="宋体"/>
          <w:color w:val="auto"/>
          <w:spacing w:val="-6"/>
          <w:highlight w:val="none"/>
        </w:rPr>
        <w:t>是指：供应商根据本磋商文件要求，编制包含资格证明、报价商务技术等所有内容的文件。</w:t>
      </w:r>
    </w:p>
    <w:p w14:paraId="60E8AEF9">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2.8“实质性要求”是指磋商文件中已经指明不满足则响应文件按无效响应处理的条款，或者不能负偏离的条款，或者采购需求中带“▲”的条款。</w:t>
      </w:r>
    </w:p>
    <w:p w14:paraId="46EBD662">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2.9“正偏离”，是指响应文件对磋商文件“采购需求”中有关条款作出的响应优于条款要求并有利于采购人的情形。</w:t>
      </w:r>
    </w:p>
    <w:p w14:paraId="35BCB5FA">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2.10“负偏离”，是指响应文件对磋商文件“采购需求”中有关条款作出的响应不满足条款要求，导致采购人要求不能得到满足的情形。</w:t>
      </w:r>
    </w:p>
    <w:p w14:paraId="2000FCDD">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2.11“允许负偏离的条款”是指采购需求中的不属于“实质性要求”的条款。</w:t>
      </w:r>
    </w:p>
    <w:p w14:paraId="19A99E1B">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2.12“首次报价”是指供应商提交的首次响应文件中的报价。</w:t>
      </w:r>
    </w:p>
    <w:p w14:paraId="06851BF3">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14:paraId="08E5F2E9">
      <w:pPr>
        <w:spacing w:line="360" w:lineRule="auto"/>
        <w:ind w:firstLine="420" w:firstLineChars="200"/>
        <w:rPr>
          <w:rFonts w:ascii="宋体" w:hAnsi="宋体"/>
          <w:color w:val="auto"/>
          <w:highlight w:val="none"/>
        </w:rPr>
      </w:pPr>
      <w:r>
        <w:rPr>
          <w:rFonts w:hint="eastAsia" w:ascii="宋体" w:hAnsi="宋体"/>
          <w:color w:val="auto"/>
          <w:highlight w:val="none"/>
        </w:rPr>
        <w:t>供应商的资格条件详见“供应商须知前附表”。</w:t>
      </w:r>
    </w:p>
    <w:p w14:paraId="39B81281">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4.竞标费用</w:t>
      </w:r>
    </w:p>
    <w:p w14:paraId="60645F17">
      <w:pPr>
        <w:spacing w:line="360" w:lineRule="auto"/>
        <w:ind w:firstLine="420" w:firstLineChars="200"/>
        <w:rPr>
          <w:rFonts w:ascii="宋体" w:hAnsi="宋体"/>
          <w:color w:val="auto"/>
          <w:highlight w:val="none"/>
        </w:rPr>
      </w:pPr>
      <w:r>
        <w:rPr>
          <w:rFonts w:hint="eastAsia" w:ascii="宋体" w:hAnsi="宋体"/>
          <w:color w:val="auto"/>
          <w:highlight w:val="none"/>
        </w:rPr>
        <w:t>供应商应承担参与本次采购活动有关的所有费用，包括但不限于获取磋商文件、勘查现场、编制和提交响应文件、参加磋商与应答、签订合同等，不论竞标结果如何，均应自行承担。</w:t>
      </w:r>
    </w:p>
    <w:p w14:paraId="374D014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14:paraId="786180B8">
      <w:pPr>
        <w:spacing w:line="360" w:lineRule="auto"/>
        <w:ind w:firstLine="420" w:firstLineChars="200"/>
        <w:rPr>
          <w:rFonts w:ascii="宋体" w:hAnsi="宋体"/>
          <w:color w:val="auto"/>
          <w:highlight w:val="none"/>
        </w:rPr>
      </w:pPr>
      <w:r>
        <w:rPr>
          <w:rFonts w:hint="eastAsia" w:ascii="宋体" w:hAnsi="宋体"/>
          <w:color w:val="auto"/>
          <w:highlight w:val="none"/>
        </w:rPr>
        <w:t>5.1本项目是否接受联合体竞标，详见“供应商须知前附表”。</w:t>
      </w:r>
    </w:p>
    <w:p w14:paraId="1CD17350">
      <w:pPr>
        <w:spacing w:line="360" w:lineRule="auto"/>
        <w:ind w:firstLine="420" w:firstLineChars="200"/>
        <w:rPr>
          <w:rFonts w:ascii="宋体" w:hAnsi="宋体"/>
          <w:color w:val="auto"/>
          <w:highlight w:val="none"/>
        </w:rPr>
      </w:pPr>
      <w:r>
        <w:rPr>
          <w:rFonts w:hint="eastAsia" w:ascii="宋体" w:hAnsi="宋体"/>
          <w:color w:val="auto"/>
          <w:highlight w:val="none"/>
        </w:rPr>
        <w:t>5.2如接受联合体竞标，联合体竞标要求详见“供应商须知前附表”。</w:t>
      </w:r>
    </w:p>
    <w:p w14:paraId="3FD800F0">
      <w:pPr>
        <w:spacing w:line="360" w:lineRule="auto"/>
        <w:ind w:firstLine="420" w:firstLineChars="200"/>
        <w:rPr>
          <w:rFonts w:ascii="宋体" w:hAnsi="宋体"/>
          <w:color w:val="auto"/>
          <w:highlight w:val="none"/>
        </w:rPr>
      </w:pPr>
      <w:r>
        <w:rPr>
          <w:rFonts w:hint="eastAsia" w:ascii="宋体" w:hAnsi="宋体"/>
          <w:color w:val="auto"/>
          <w:highlight w:val="none"/>
        </w:rPr>
        <w:t>5.3</w:t>
      </w:r>
      <w:bookmarkStart w:id="26" w:name="_Hlk66782192"/>
      <w:bookmarkEnd w:id="26"/>
      <w:r>
        <w:rPr>
          <w:rFonts w:hint="eastAsia" w:ascii="宋体" w:hAnsi="宋体"/>
          <w:color w:val="auto"/>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p>
    <w:p w14:paraId="4E526061">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14:paraId="13C13B9D">
      <w:pPr>
        <w:pStyle w:val="3"/>
        <w:keepLines w:val="0"/>
        <w:spacing w:before="0" w:after="0" w:line="360" w:lineRule="auto"/>
        <w:ind w:left="420" w:leftChars="200"/>
        <w:rPr>
          <w:rFonts w:ascii="宋体" w:hAnsi="宋体"/>
          <w:b w:val="0"/>
          <w:color w:val="auto"/>
          <w:sz w:val="21"/>
          <w:szCs w:val="21"/>
          <w:highlight w:val="none"/>
        </w:rPr>
      </w:pPr>
      <w:bookmarkStart w:id="27" w:name="_Toc254970673"/>
      <w:bookmarkEnd w:id="27"/>
      <w:bookmarkStart w:id="28" w:name="_Toc254970532"/>
      <w:r>
        <w:rPr>
          <w:rFonts w:hint="eastAsia" w:ascii="宋体" w:hAnsi="宋体"/>
          <w:b w:val="0"/>
          <w:color w:val="auto"/>
          <w:sz w:val="21"/>
          <w:szCs w:val="21"/>
          <w:highlight w:val="none"/>
        </w:rPr>
        <w:t>6.1本项目不允许转包。</w:t>
      </w:r>
      <w:bookmarkEnd w:id="28"/>
    </w:p>
    <w:p w14:paraId="23C8CB70">
      <w:pPr>
        <w:pStyle w:val="3"/>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AD787DE">
      <w:pPr>
        <w:pStyle w:val="3"/>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C8F66E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7.特别说明</w:t>
      </w:r>
    </w:p>
    <w:p w14:paraId="2C10ADE5">
      <w:pPr>
        <w:spacing w:line="360" w:lineRule="auto"/>
        <w:ind w:firstLine="420" w:firstLineChars="200"/>
        <w:rPr>
          <w:rFonts w:ascii="宋体" w:hAnsi="宋体"/>
          <w:color w:val="auto"/>
          <w:highlight w:val="none"/>
        </w:rPr>
      </w:pPr>
      <w:bookmarkStart w:id="29" w:name="_8.1提供相同品牌产品且通过资格审查、符合性审查的不同投标人参加同一合"/>
      <w:bookmarkEnd w:id="29"/>
      <w:r>
        <w:rPr>
          <w:rFonts w:hint="eastAsia" w:ascii="宋体" w:hAnsi="宋体"/>
          <w:color w:val="auto"/>
          <w:highlight w:val="none"/>
        </w:rPr>
        <w:t>7.1</w:t>
      </w:r>
      <w:bookmarkStart w:id="30" w:name="_Hlk65832145"/>
      <w:bookmarkEnd w:id="30"/>
      <w:r>
        <w:rPr>
          <w:rFonts w:hint="eastAsia" w:ascii="宋体" w:hAnsi="宋体"/>
          <w:color w:val="auto"/>
          <w:highlight w:val="none"/>
        </w:rPr>
        <w:t>如果本磋商文件要求提供供应商或制造商的资格、信誉、荣誉、业绩与企业认证等材料的，资格、信誉、荣誉、业绩与企业认证等必须为供应商或者制造商所拥有或自身获得 。</w:t>
      </w:r>
    </w:p>
    <w:p w14:paraId="015FC007">
      <w:pPr>
        <w:spacing w:line="360" w:lineRule="auto"/>
        <w:ind w:firstLine="420" w:firstLineChars="200"/>
        <w:rPr>
          <w:rFonts w:ascii="宋体" w:hAnsi="宋体"/>
          <w:color w:val="auto"/>
          <w:highlight w:val="none"/>
        </w:rPr>
      </w:pPr>
      <w:r>
        <w:rPr>
          <w:rFonts w:hint="eastAsia" w:ascii="宋体" w:hAnsi="宋体"/>
          <w:color w:val="auto"/>
          <w:highlight w:val="none"/>
        </w:rPr>
        <w:t>7.2供应商应仔细阅读磋商文件的所有内容，按照磋商文件的要求提交响应文件，并对所提供的全部资料的真实性承担法律责任。</w:t>
      </w:r>
    </w:p>
    <w:p w14:paraId="31C20917">
      <w:pPr>
        <w:spacing w:line="360" w:lineRule="auto"/>
        <w:ind w:firstLine="420" w:firstLineChars="200"/>
        <w:rPr>
          <w:rFonts w:ascii="宋体" w:hAnsi="宋体"/>
          <w:color w:val="auto"/>
          <w:highlight w:val="none"/>
        </w:rPr>
      </w:pPr>
      <w:r>
        <w:rPr>
          <w:rFonts w:hint="eastAsia" w:ascii="宋体" w:hAnsi="宋体"/>
          <w:color w:val="auto"/>
          <w:highlight w:val="none"/>
        </w:rPr>
        <w:t>7.3供应商在竞标活动中提供任何疑似虚假材料，将报监管部门查处；签订合同后发现的，成交供应商须依法赔偿采购人，且民事赔偿并不免除违法供应商的行政与刑事责任。</w:t>
      </w:r>
    </w:p>
    <w:p w14:paraId="7BE1EBBE">
      <w:pPr>
        <w:spacing w:line="360" w:lineRule="auto"/>
        <w:ind w:firstLine="420" w:firstLineChars="200"/>
        <w:rPr>
          <w:rFonts w:ascii="宋体" w:hAnsi="宋体"/>
          <w:color w:val="auto"/>
          <w:highlight w:val="none"/>
        </w:rPr>
      </w:pPr>
      <w:r>
        <w:rPr>
          <w:rFonts w:hint="eastAsia" w:ascii="宋体" w:hAnsi="宋体"/>
          <w:color w:val="auto"/>
          <w:highlight w:val="none"/>
        </w:rPr>
        <w:t>7.4在政府采购活动中，采购人员及相关人员与供应商有下列利害关系之一的，应当回避：</w:t>
      </w:r>
    </w:p>
    <w:p w14:paraId="2763A5B7">
      <w:pPr>
        <w:spacing w:line="360" w:lineRule="auto"/>
        <w:ind w:firstLine="420" w:firstLineChars="200"/>
        <w:rPr>
          <w:rFonts w:ascii="宋体" w:hAnsi="宋体"/>
          <w:color w:val="auto"/>
          <w:highlight w:val="none"/>
        </w:rPr>
      </w:pPr>
      <w:r>
        <w:rPr>
          <w:rFonts w:hint="eastAsia" w:ascii="宋体" w:hAnsi="宋体"/>
          <w:color w:val="auto"/>
          <w:highlight w:val="none"/>
        </w:rPr>
        <w:t>（1）参加采购活动前3年内与供应商存在劳动关系；</w:t>
      </w:r>
    </w:p>
    <w:p w14:paraId="68F53172">
      <w:pPr>
        <w:spacing w:line="360" w:lineRule="auto"/>
        <w:ind w:firstLine="420" w:firstLineChars="200"/>
        <w:rPr>
          <w:rFonts w:ascii="宋体" w:hAnsi="宋体"/>
          <w:color w:val="auto"/>
          <w:highlight w:val="none"/>
        </w:rPr>
      </w:pPr>
      <w:r>
        <w:rPr>
          <w:rFonts w:hint="eastAsia" w:ascii="宋体" w:hAnsi="宋体"/>
          <w:color w:val="auto"/>
          <w:highlight w:val="none"/>
        </w:rPr>
        <w:t>（2）参加采购活动前3年内担任供应商的董事、监事；</w:t>
      </w:r>
    </w:p>
    <w:p w14:paraId="12E25DB9">
      <w:pPr>
        <w:spacing w:line="360" w:lineRule="auto"/>
        <w:ind w:firstLine="420" w:firstLineChars="200"/>
        <w:rPr>
          <w:rFonts w:ascii="宋体" w:hAnsi="宋体"/>
          <w:color w:val="auto"/>
          <w:highlight w:val="none"/>
        </w:rPr>
      </w:pPr>
      <w:r>
        <w:rPr>
          <w:rFonts w:hint="eastAsia" w:ascii="宋体" w:hAnsi="宋体"/>
          <w:color w:val="auto"/>
          <w:highlight w:val="none"/>
        </w:rPr>
        <w:t>（3）参加采购活动前3年内是供应商的控股股东或者实际控制人；</w:t>
      </w:r>
    </w:p>
    <w:p w14:paraId="177F50ED">
      <w:pPr>
        <w:spacing w:line="360" w:lineRule="auto"/>
        <w:ind w:firstLine="420" w:firstLineChars="200"/>
        <w:rPr>
          <w:rFonts w:ascii="宋体" w:hAnsi="宋体"/>
          <w:color w:val="auto"/>
          <w:highlight w:val="none"/>
        </w:rPr>
      </w:pPr>
      <w:r>
        <w:rPr>
          <w:rFonts w:hint="eastAsia" w:ascii="宋体" w:hAnsi="宋体"/>
          <w:color w:val="auto"/>
          <w:highlight w:val="none"/>
        </w:rPr>
        <w:t>（4）与供应商的法定代表人或者负责人有夫妻、直系血亲、三代以内旁系血亲或者近姻亲关系；</w:t>
      </w:r>
    </w:p>
    <w:p w14:paraId="0C388218">
      <w:pPr>
        <w:spacing w:line="360" w:lineRule="auto"/>
        <w:ind w:firstLine="420" w:firstLineChars="200"/>
        <w:rPr>
          <w:rFonts w:ascii="宋体" w:hAnsi="宋体"/>
          <w:color w:val="auto"/>
          <w:highlight w:val="none"/>
        </w:rPr>
      </w:pPr>
      <w:r>
        <w:rPr>
          <w:rFonts w:hint="eastAsia" w:ascii="宋体" w:hAnsi="宋体"/>
          <w:color w:val="auto"/>
          <w:highlight w:val="none"/>
        </w:rPr>
        <w:t>（5）与供应商有其他可能影响政府采购活动公平、公正进行的关系。</w:t>
      </w:r>
    </w:p>
    <w:p w14:paraId="24F4DA02">
      <w:pPr>
        <w:spacing w:line="360" w:lineRule="auto"/>
        <w:ind w:firstLine="420" w:firstLineChars="200"/>
        <w:rPr>
          <w:rFonts w:ascii="宋体" w:hAnsi="宋体"/>
          <w:color w:val="auto"/>
          <w:highlight w:val="none"/>
        </w:rPr>
      </w:pPr>
      <w:r>
        <w:rPr>
          <w:rFonts w:hint="eastAsia" w:ascii="宋体"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0CFD070">
      <w:pPr>
        <w:spacing w:line="360" w:lineRule="auto"/>
        <w:ind w:firstLine="420" w:firstLineChars="200"/>
        <w:rPr>
          <w:rFonts w:ascii="宋体" w:hAnsi="宋体"/>
          <w:color w:val="auto"/>
          <w:highlight w:val="none"/>
        </w:rPr>
      </w:pPr>
      <w:r>
        <w:rPr>
          <w:rFonts w:hint="eastAsia" w:ascii="宋体" w:hAnsi="宋体"/>
          <w:color w:val="auto"/>
          <w:highlight w:val="none"/>
        </w:rPr>
        <w:t>7.5有下列情形之一的视为供应商相互串通竞标，响应文件将被视为无效：</w:t>
      </w:r>
    </w:p>
    <w:p w14:paraId="1898822F">
      <w:pPr>
        <w:spacing w:line="360" w:lineRule="auto"/>
        <w:ind w:firstLine="420" w:firstLineChars="200"/>
        <w:rPr>
          <w:rFonts w:ascii="宋体" w:hAnsi="宋体"/>
          <w:color w:val="auto"/>
          <w:highlight w:val="none"/>
        </w:rPr>
      </w:pPr>
      <w:r>
        <w:rPr>
          <w:rFonts w:hint="eastAsia" w:ascii="宋体" w:hAnsi="宋体"/>
          <w:color w:val="auto"/>
          <w:highlight w:val="none"/>
        </w:rPr>
        <w:t xml:space="preserve">（1）不同供应商的响应文件由同一单位或者个人编制； </w:t>
      </w:r>
    </w:p>
    <w:p w14:paraId="4AA3DB16">
      <w:pPr>
        <w:spacing w:line="360" w:lineRule="auto"/>
        <w:ind w:firstLine="420" w:firstLineChars="200"/>
        <w:rPr>
          <w:rFonts w:ascii="宋体" w:hAnsi="宋体"/>
          <w:color w:val="auto"/>
          <w:highlight w:val="none"/>
        </w:rPr>
      </w:pPr>
      <w:r>
        <w:rPr>
          <w:rFonts w:hint="eastAsia" w:ascii="宋体" w:hAnsi="宋体"/>
          <w:color w:val="auto"/>
          <w:highlight w:val="none"/>
        </w:rPr>
        <w:t>（2）不同供应商委托同一单位或者个人办理竞标事宜；</w:t>
      </w:r>
    </w:p>
    <w:p w14:paraId="2D5BF85F">
      <w:pPr>
        <w:spacing w:line="360" w:lineRule="auto"/>
        <w:ind w:firstLine="420" w:firstLineChars="200"/>
        <w:rPr>
          <w:rFonts w:ascii="宋体" w:hAnsi="宋体"/>
          <w:color w:val="auto"/>
          <w:highlight w:val="none"/>
        </w:rPr>
      </w:pPr>
      <w:r>
        <w:rPr>
          <w:rFonts w:hint="eastAsia" w:ascii="宋体" w:hAnsi="宋体"/>
          <w:color w:val="auto"/>
          <w:highlight w:val="none"/>
        </w:rPr>
        <w:t>（3）不同的供应商的响应文件载明的项目管理员为同一个人；</w:t>
      </w:r>
    </w:p>
    <w:p w14:paraId="7C5D2208">
      <w:pPr>
        <w:spacing w:line="360" w:lineRule="auto"/>
        <w:ind w:firstLine="420" w:firstLineChars="200"/>
        <w:rPr>
          <w:rFonts w:ascii="宋体" w:hAnsi="宋体"/>
          <w:color w:val="auto"/>
          <w:highlight w:val="none"/>
        </w:rPr>
      </w:pPr>
      <w:r>
        <w:rPr>
          <w:rFonts w:hint="eastAsia" w:ascii="宋体" w:hAnsi="宋体"/>
          <w:color w:val="auto"/>
          <w:highlight w:val="none"/>
        </w:rPr>
        <w:t>（4）不同供应商的响应文件异常一致或者报价呈规律性差异；</w:t>
      </w:r>
    </w:p>
    <w:p w14:paraId="069791F1">
      <w:pPr>
        <w:spacing w:line="360" w:lineRule="auto"/>
        <w:ind w:firstLine="420" w:firstLineChars="200"/>
        <w:rPr>
          <w:rFonts w:ascii="宋体" w:hAnsi="宋体"/>
          <w:color w:val="auto"/>
          <w:highlight w:val="none"/>
        </w:rPr>
      </w:pPr>
      <w:r>
        <w:rPr>
          <w:rFonts w:hint="eastAsia" w:ascii="宋体" w:hAnsi="宋体"/>
          <w:color w:val="auto"/>
          <w:highlight w:val="none"/>
        </w:rPr>
        <w:t>（5）不同供应商的响应文件相互混装；</w:t>
      </w:r>
    </w:p>
    <w:p w14:paraId="29126734">
      <w:pPr>
        <w:tabs>
          <w:tab w:val="left" w:pos="6931"/>
        </w:tabs>
        <w:spacing w:line="360" w:lineRule="auto"/>
        <w:ind w:firstLine="420" w:firstLineChars="200"/>
        <w:rPr>
          <w:rFonts w:ascii="宋体" w:hAnsi="宋体"/>
          <w:color w:val="auto"/>
          <w:highlight w:val="none"/>
        </w:rPr>
      </w:pPr>
      <w:r>
        <w:rPr>
          <w:rFonts w:hint="eastAsia" w:ascii="宋体" w:hAnsi="宋体"/>
          <w:color w:val="auto"/>
          <w:highlight w:val="none"/>
        </w:rPr>
        <w:t>（6）不同供应商的磋商保证金从同一单位或者个人账户转出。</w:t>
      </w:r>
      <w:r>
        <w:rPr>
          <w:rFonts w:hint="eastAsia" w:ascii="宋体" w:hAnsi="宋体"/>
          <w:color w:val="auto"/>
          <w:highlight w:val="none"/>
        </w:rPr>
        <w:tab/>
      </w:r>
    </w:p>
    <w:p w14:paraId="7A925EF9">
      <w:pPr>
        <w:spacing w:line="360" w:lineRule="auto"/>
        <w:ind w:firstLine="420" w:firstLineChars="200"/>
        <w:rPr>
          <w:rFonts w:ascii="宋体" w:hAnsi="宋体"/>
          <w:color w:val="auto"/>
          <w:highlight w:val="none"/>
        </w:rPr>
      </w:pPr>
      <w:r>
        <w:rPr>
          <w:rFonts w:hint="eastAsia" w:ascii="宋体" w:hAnsi="宋体"/>
          <w:color w:val="auto"/>
          <w:highlight w:val="none"/>
        </w:rPr>
        <w:t>7.6供应商有下列情形之一的，属于恶意串通行为，将报同级监督管理部门：</w:t>
      </w:r>
    </w:p>
    <w:p w14:paraId="36F179EE">
      <w:pPr>
        <w:spacing w:line="360" w:lineRule="auto"/>
        <w:ind w:firstLine="420" w:firstLineChars="200"/>
        <w:rPr>
          <w:rFonts w:ascii="宋体" w:hAnsi="宋体"/>
          <w:color w:val="auto"/>
          <w:highlight w:val="none"/>
        </w:rPr>
      </w:pPr>
      <w:r>
        <w:rPr>
          <w:rFonts w:hint="eastAsia" w:ascii="宋体" w:hAnsi="宋体"/>
          <w:color w:val="auto"/>
          <w:highlight w:val="none"/>
        </w:rPr>
        <w:t>（1）供应商直接或者间接从采购人或者采购代理机构处获得其他供应商的相关信息并修改其响应文件；</w:t>
      </w:r>
    </w:p>
    <w:p w14:paraId="2639C727">
      <w:pPr>
        <w:spacing w:line="360" w:lineRule="auto"/>
        <w:ind w:firstLine="420" w:firstLineChars="200"/>
        <w:rPr>
          <w:rFonts w:ascii="宋体" w:hAnsi="宋体"/>
          <w:color w:val="auto"/>
          <w:highlight w:val="none"/>
        </w:rPr>
      </w:pPr>
      <w:r>
        <w:rPr>
          <w:rFonts w:hint="eastAsia" w:ascii="宋体" w:hAnsi="宋体"/>
          <w:color w:val="auto"/>
          <w:highlight w:val="none"/>
        </w:rPr>
        <w:t>（2）供应商按照采购人或者采购代理机构的授意撤换、修改响应文件；</w:t>
      </w:r>
    </w:p>
    <w:p w14:paraId="1DB89EEA">
      <w:pPr>
        <w:spacing w:line="360" w:lineRule="auto"/>
        <w:ind w:firstLine="420" w:firstLineChars="200"/>
        <w:rPr>
          <w:rFonts w:ascii="宋体" w:hAnsi="宋体"/>
          <w:color w:val="auto"/>
          <w:highlight w:val="none"/>
        </w:rPr>
      </w:pPr>
      <w:r>
        <w:rPr>
          <w:rFonts w:hint="eastAsia" w:ascii="宋体" w:hAnsi="宋体"/>
          <w:color w:val="auto"/>
          <w:highlight w:val="none"/>
        </w:rPr>
        <w:t>（3）供应商之间协商报价、技术方案等响应文件或者响应文件的实质性内容；</w:t>
      </w:r>
    </w:p>
    <w:p w14:paraId="46D71919">
      <w:pPr>
        <w:spacing w:line="360" w:lineRule="auto"/>
        <w:ind w:firstLine="420" w:firstLineChars="200"/>
        <w:rPr>
          <w:rFonts w:ascii="宋体" w:hAnsi="宋体"/>
          <w:color w:val="auto"/>
          <w:highlight w:val="none"/>
        </w:rPr>
      </w:pPr>
      <w:r>
        <w:rPr>
          <w:rFonts w:hint="eastAsia" w:ascii="宋体" w:hAnsi="宋体"/>
          <w:color w:val="auto"/>
          <w:highlight w:val="none"/>
        </w:rPr>
        <w:t>（4）属于同一集团、协会、商会等组织成员的供应商按照该组织要求协同参加政府采购活动；</w:t>
      </w:r>
    </w:p>
    <w:p w14:paraId="659925E9">
      <w:pPr>
        <w:spacing w:line="360" w:lineRule="auto"/>
        <w:ind w:firstLine="420" w:firstLineChars="200"/>
        <w:rPr>
          <w:rFonts w:ascii="宋体" w:hAnsi="宋体"/>
          <w:color w:val="auto"/>
          <w:highlight w:val="none"/>
        </w:rPr>
      </w:pPr>
      <w:r>
        <w:rPr>
          <w:rFonts w:hint="eastAsia" w:ascii="宋体" w:hAnsi="宋体"/>
          <w:color w:val="auto"/>
          <w:highlight w:val="none"/>
        </w:rPr>
        <w:t>（5）供应商之间事先约定一致抬高或者压低报价，或者在政府采购活动中事先约定轮流以高价位或者低价位成交，或者事先约定由某一特定供应商成交，然后再参加竞标；</w:t>
      </w:r>
    </w:p>
    <w:p w14:paraId="28A4DFD1">
      <w:pPr>
        <w:spacing w:line="360" w:lineRule="auto"/>
        <w:ind w:firstLine="420" w:firstLineChars="200"/>
        <w:rPr>
          <w:rFonts w:ascii="宋体" w:hAnsi="宋体"/>
          <w:color w:val="auto"/>
          <w:highlight w:val="none"/>
        </w:rPr>
      </w:pPr>
      <w:r>
        <w:rPr>
          <w:rFonts w:hint="eastAsia" w:ascii="宋体" w:hAnsi="宋体"/>
          <w:color w:val="auto"/>
          <w:highlight w:val="none"/>
        </w:rPr>
        <w:t>（6）供应商之间商定部分供应商放弃参加政府采购活动或者放弃成交；</w:t>
      </w:r>
    </w:p>
    <w:p w14:paraId="73CABA00">
      <w:pPr>
        <w:spacing w:line="360" w:lineRule="auto"/>
        <w:ind w:firstLine="420" w:firstLineChars="200"/>
        <w:rPr>
          <w:rFonts w:ascii="宋体" w:hAnsi="宋体"/>
          <w:color w:val="auto"/>
          <w:highlight w:val="none"/>
        </w:rPr>
      </w:pPr>
      <w:r>
        <w:rPr>
          <w:rFonts w:hint="eastAsia" w:ascii="宋体" w:hAnsi="宋体"/>
          <w:color w:val="auto"/>
          <w:highlight w:val="none"/>
        </w:rPr>
        <w:t>（7）供应商与采购人或者采购代理机构之间、供应商相互之间，为谋求特定供应商成交或者排斥其他供应商的其他串通行为。</w:t>
      </w:r>
    </w:p>
    <w:p w14:paraId="3E77BF9A">
      <w:pPr>
        <w:spacing w:line="360" w:lineRule="auto"/>
        <w:ind w:firstLine="420" w:firstLineChars="200"/>
        <w:rPr>
          <w:rFonts w:ascii="宋体" w:hAnsi="宋体"/>
          <w:color w:val="auto"/>
          <w:highlight w:val="none"/>
        </w:rPr>
      </w:pPr>
      <w:r>
        <w:rPr>
          <w:rFonts w:hint="eastAsia" w:ascii="宋体" w:hAnsi="宋体"/>
          <w:color w:val="auto"/>
          <w:highlight w:val="none"/>
        </w:rPr>
        <w:t xml:space="preserve"> </w:t>
      </w:r>
    </w:p>
    <w:p w14:paraId="4818D625">
      <w:pPr>
        <w:spacing w:line="360" w:lineRule="auto"/>
        <w:ind w:left="1" w:firstLine="417" w:firstLineChars="199"/>
        <w:jc w:val="center"/>
        <w:rPr>
          <w:rFonts w:ascii="宋体" w:hAnsi="宋体"/>
          <w:color w:val="auto"/>
          <w:highlight w:val="none"/>
        </w:rPr>
      </w:pPr>
      <w:bookmarkStart w:id="31" w:name="_Toc254970675"/>
      <w:bookmarkEnd w:id="31"/>
      <w:bookmarkStart w:id="32" w:name="_Toc254970534"/>
      <w:r>
        <w:rPr>
          <w:rFonts w:hint="eastAsia" w:ascii="宋体" w:hAnsi="宋体"/>
          <w:color w:val="auto"/>
          <w:highlight w:val="none"/>
        </w:rPr>
        <w:t xml:space="preserve"> </w:t>
      </w:r>
      <w:bookmarkEnd w:id="32"/>
    </w:p>
    <w:p w14:paraId="0CC4DAC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p>
    <w:p w14:paraId="61BE68A9">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 </w:t>
      </w:r>
    </w:p>
    <w:p w14:paraId="3094DF0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8.磋商文件的构成</w:t>
      </w:r>
    </w:p>
    <w:p w14:paraId="6A1971FA">
      <w:pPr>
        <w:spacing w:line="360" w:lineRule="auto"/>
        <w:ind w:firstLine="420" w:firstLineChars="200"/>
        <w:jc w:val="left"/>
        <w:rPr>
          <w:rFonts w:ascii="宋体" w:hAnsi="宋体"/>
          <w:color w:val="auto"/>
          <w:highlight w:val="none"/>
        </w:rPr>
      </w:pPr>
      <w:r>
        <w:rPr>
          <w:rFonts w:hint="eastAsia" w:ascii="宋体" w:hAnsi="宋体"/>
          <w:color w:val="auto"/>
          <w:highlight w:val="none"/>
        </w:rPr>
        <w:t>（1）竞争性磋商公告；</w:t>
      </w:r>
    </w:p>
    <w:p w14:paraId="04BA6E31">
      <w:pPr>
        <w:spacing w:line="360" w:lineRule="auto"/>
        <w:ind w:firstLine="420" w:firstLineChars="200"/>
        <w:jc w:val="left"/>
        <w:rPr>
          <w:rFonts w:ascii="宋体" w:hAnsi="宋体"/>
          <w:color w:val="auto"/>
          <w:highlight w:val="none"/>
        </w:rPr>
      </w:pPr>
      <w:r>
        <w:rPr>
          <w:rFonts w:hint="eastAsia" w:ascii="宋体" w:hAnsi="宋体"/>
          <w:color w:val="auto"/>
          <w:highlight w:val="none"/>
        </w:rPr>
        <w:t xml:space="preserve">（2）供应商须知； </w:t>
      </w:r>
    </w:p>
    <w:p w14:paraId="092F119F">
      <w:pPr>
        <w:spacing w:line="360" w:lineRule="auto"/>
        <w:ind w:firstLine="420" w:firstLineChars="200"/>
        <w:jc w:val="left"/>
        <w:rPr>
          <w:rFonts w:ascii="宋体" w:hAnsi="宋体"/>
          <w:color w:val="auto"/>
          <w:highlight w:val="none"/>
        </w:rPr>
      </w:pPr>
      <w:r>
        <w:rPr>
          <w:rFonts w:hint="eastAsia" w:ascii="宋体" w:hAnsi="宋体"/>
          <w:color w:val="auto"/>
          <w:highlight w:val="none"/>
        </w:rPr>
        <w:t>（3）采购需求；</w:t>
      </w:r>
    </w:p>
    <w:p w14:paraId="59C2D7AC">
      <w:pPr>
        <w:spacing w:line="360" w:lineRule="auto"/>
        <w:ind w:firstLine="420" w:firstLineChars="200"/>
        <w:jc w:val="left"/>
        <w:rPr>
          <w:rFonts w:ascii="宋体" w:hAnsi="宋体"/>
          <w:color w:val="auto"/>
          <w:highlight w:val="none"/>
        </w:rPr>
      </w:pPr>
      <w:r>
        <w:rPr>
          <w:rFonts w:hint="eastAsia" w:ascii="宋体" w:hAnsi="宋体"/>
          <w:color w:val="auto"/>
          <w:highlight w:val="none"/>
        </w:rPr>
        <w:t>（4）评审程序、评审方法和评审标准；</w:t>
      </w:r>
    </w:p>
    <w:p w14:paraId="13D564A4">
      <w:pPr>
        <w:spacing w:line="360" w:lineRule="auto"/>
        <w:ind w:firstLine="420" w:firstLineChars="200"/>
        <w:jc w:val="left"/>
        <w:rPr>
          <w:rFonts w:ascii="宋体" w:hAnsi="宋体"/>
          <w:color w:val="auto"/>
          <w:highlight w:val="none"/>
        </w:rPr>
      </w:pPr>
      <w:r>
        <w:rPr>
          <w:rFonts w:hint="eastAsia" w:ascii="宋体" w:hAnsi="宋体"/>
          <w:color w:val="auto"/>
          <w:highlight w:val="none"/>
        </w:rPr>
        <w:t>（5）响应文件格式；</w:t>
      </w:r>
    </w:p>
    <w:p w14:paraId="4EE0A501">
      <w:pPr>
        <w:spacing w:line="360" w:lineRule="auto"/>
        <w:ind w:firstLine="420" w:firstLineChars="200"/>
        <w:jc w:val="left"/>
        <w:rPr>
          <w:rFonts w:ascii="宋体" w:hAnsi="宋体"/>
          <w:color w:val="auto"/>
          <w:highlight w:val="none"/>
        </w:rPr>
      </w:pPr>
      <w:r>
        <w:rPr>
          <w:rFonts w:hint="eastAsia" w:ascii="宋体" w:hAnsi="宋体"/>
          <w:color w:val="auto"/>
          <w:highlight w:val="none"/>
        </w:rPr>
        <w:t>（6）合同文本。</w:t>
      </w:r>
    </w:p>
    <w:p w14:paraId="61B53C5A">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14:paraId="2937B886">
      <w:pPr>
        <w:spacing w:line="360" w:lineRule="auto"/>
        <w:ind w:firstLine="420" w:firstLineChars="200"/>
        <w:rPr>
          <w:rFonts w:ascii="宋体" w:hAnsi="宋体"/>
          <w:color w:val="auto"/>
          <w:highlight w:val="none"/>
        </w:rPr>
      </w:pPr>
      <w:r>
        <w:rPr>
          <w:rFonts w:hint="eastAsia" w:ascii="宋体" w:hAnsi="宋体"/>
          <w:color w:val="auto"/>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3ABE3218">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10.磋商文件的澄清和修改</w:t>
      </w:r>
    </w:p>
    <w:p w14:paraId="5DE8B741">
      <w:pPr>
        <w:spacing w:line="400" w:lineRule="exact"/>
        <w:ind w:firstLine="420" w:firstLineChars="200"/>
        <w:rPr>
          <w:rFonts w:ascii="宋体" w:hAnsi="宋体"/>
          <w:color w:val="auto"/>
          <w:highlight w:val="none"/>
        </w:rPr>
      </w:pPr>
      <w:r>
        <w:rPr>
          <w:rFonts w:hint="eastAsia" w:ascii="宋体" w:hAnsi="宋体"/>
          <w:color w:val="auto"/>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20DB2527">
      <w:pPr>
        <w:spacing w:line="400" w:lineRule="exact"/>
        <w:ind w:firstLine="420" w:firstLineChars="200"/>
        <w:rPr>
          <w:rFonts w:ascii="宋体" w:hAnsi="宋体"/>
          <w:color w:val="auto"/>
          <w:highlight w:val="none"/>
        </w:rPr>
      </w:pPr>
      <w:r>
        <w:rPr>
          <w:rFonts w:hint="eastAsia" w:ascii="宋体" w:hAnsi="宋体"/>
          <w:color w:val="auto"/>
          <w:highlight w:val="none"/>
        </w:rPr>
        <w:t>10.2采购人和采购代理机构可以视采购具体情况，变更首次响应文件提交截止时间和开启时间，并在原公告发布媒体上发布更正公告。</w:t>
      </w:r>
    </w:p>
    <w:p w14:paraId="43CF2F61">
      <w:pPr>
        <w:spacing w:line="400" w:lineRule="exact"/>
        <w:ind w:firstLine="420" w:firstLineChars="200"/>
        <w:rPr>
          <w:rFonts w:ascii="宋体" w:hAnsi="宋体"/>
          <w:color w:val="auto"/>
          <w:highlight w:val="none"/>
        </w:rPr>
      </w:pPr>
      <w:r>
        <w:rPr>
          <w:rFonts w:hint="eastAsia" w:ascii="宋体" w:hAnsi="宋体"/>
          <w:color w:val="auto"/>
          <w:highlight w:val="none"/>
        </w:rPr>
        <w:t>10.3磋商文件澄清、答复、修改、补充的内容为磋商文件的组成部分。</w:t>
      </w:r>
      <w:r>
        <w:rPr>
          <w:rFonts w:hint="eastAsia" w:ascii="宋体" w:hAnsi="宋体"/>
          <w:b/>
          <w:color w:val="auto"/>
          <w:highlight w:val="none"/>
        </w:rPr>
        <w:t>当磋商文件与磋商文件的澄清、答复、修改、补充通知就同一内容的表述不一致时，以最后发出的文件为准。</w:t>
      </w:r>
    </w:p>
    <w:p w14:paraId="07C111D2">
      <w:pPr>
        <w:spacing w:line="400" w:lineRule="exact"/>
        <w:ind w:firstLine="422" w:firstLineChars="200"/>
        <w:rPr>
          <w:rFonts w:ascii="宋体" w:hAnsi="宋体"/>
          <w:b/>
          <w:color w:val="auto"/>
          <w:highlight w:val="none"/>
        </w:rPr>
      </w:pPr>
      <w:r>
        <w:rPr>
          <w:rFonts w:hint="eastAsia" w:ascii="宋体" w:hAnsi="宋体"/>
          <w:b/>
          <w:color w:val="auto"/>
          <w:highlight w:val="none"/>
        </w:rPr>
        <w:t>10.4响应文件未按磋商文件的澄清、修改后的内容编制的，其响应文件作无效响应处理。</w:t>
      </w:r>
    </w:p>
    <w:p w14:paraId="3460AC50">
      <w:pPr>
        <w:spacing w:line="400" w:lineRule="exact"/>
        <w:ind w:firstLine="422" w:firstLineChars="200"/>
        <w:rPr>
          <w:rFonts w:ascii="宋体" w:hAnsi="宋体"/>
          <w:b/>
          <w:color w:val="auto"/>
          <w:highlight w:val="none"/>
        </w:rPr>
      </w:pPr>
      <w:r>
        <w:rPr>
          <w:rFonts w:hint="eastAsia" w:ascii="宋体" w:hAnsi="宋体"/>
          <w:b/>
          <w:color w:val="auto"/>
          <w:highlight w:val="none"/>
        </w:rPr>
        <w:t xml:space="preserve"> </w:t>
      </w:r>
    </w:p>
    <w:p w14:paraId="3BE1C9C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三、响应文件的编制</w:t>
      </w:r>
    </w:p>
    <w:p w14:paraId="4CEF27D8">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 </w:t>
      </w:r>
    </w:p>
    <w:p w14:paraId="3FBCF70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14:paraId="42FB31B8">
      <w:pPr>
        <w:spacing w:line="360" w:lineRule="auto"/>
        <w:ind w:firstLine="420" w:firstLineChars="200"/>
        <w:rPr>
          <w:rFonts w:ascii="宋体" w:hAnsi="宋体"/>
          <w:color w:val="auto"/>
          <w:highlight w:val="none"/>
        </w:rPr>
      </w:pPr>
      <w:r>
        <w:rPr>
          <w:rFonts w:hint="eastAsia" w:ascii="宋体" w:hAnsi="宋体"/>
          <w:color w:val="auto"/>
          <w:highlight w:val="none"/>
        </w:rPr>
        <w:t>供应商必须按照磋商文件的要求编制响应文件，并对其提交的响应文件的真实性、合法性承担法律责任。响应文件必须对磋商文件作出实质性响应。</w:t>
      </w:r>
    </w:p>
    <w:p w14:paraId="4F38D241">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14:paraId="7DEA2EA8">
      <w:pPr>
        <w:spacing w:line="360" w:lineRule="auto"/>
        <w:ind w:firstLine="420" w:firstLineChars="200"/>
        <w:rPr>
          <w:rFonts w:ascii="宋体" w:hAnsi="宋体"/>
          <w:color w:val="auto"/>
          <w:highlight w:val="none"/>
        </w:rPr>
      </w:pPr>
      <w:r>
        <w:rPr>
          <w:rFonts w:hint="eastAsia" w:ascii="宋体" w:hAnsi="宋体"/>
          <w:color w:val="auto"/>
          <w:highlight w:val="none"/>
        </w:rPr>
        <w:t>12.1响应文件由资格证明文件、报价商务技术文件两部分组成。</w:t>
      </w:r>
    </w:p>
    <w:p w14:paraId="3050238D">
      <w:pPr>
        <w:spacing w:line="360" w:lineRule="auto"/>
        <w:ind w:left="840" w:leftChars="200" w:hanging="420" w:hangingChars="200"/>
        <w:rPr>
          <w:rFonts w:ascii="宋体" w:hAnsi="宋体"/>
          <w:color w:val="auto"/>
          <w:highlight w:val="none"/>
        </w:rPr>
      </w:pPr>
      <w:r>
        <w:rPr>
          <w:rFonts w:hint="eastAsia" w:ascii="宋体" w:hAnsi="宋体"/>
          <w:color w:val="auto"/>
          <w:highlight w:val="none"/>
        </w:rPr>
        <w:t>12.1.1资格证明文件：详见须知前附表</w:t>
      </w:r>
    </w:p>
    <w:p w14:paraId="12BD9C97">
      <w:pPr>
        <w:spacing w:line="360" w:lineRule="auto"/>
        <w:ind w:left="840" w:leftChars="200" w:hanging="420" w:hangingChars="200"/>
        <w:rPr>
          <w:rFonts w:ascii="宋体" w:hAnsi="宋体"/>
          <w:color w:val="auto"/>
          <w:highlight w:val="none"/>
        </w:rPr>
      </w:pPr>
      <w:r>
        <w:rPr>
          <w:rFonts w:hint="eastAsia" w:ascii="宋体" w:hAnsi="宋体"/>
          <w:color w:val="auto"/>
          <w:highlight w:val="none"/>
        </w:rPr>
        <w:t>12.1.2报价商务技术文件：详见须知前附表</w:t>
      </w:r>
    </w:p>
    <w:p w14:paraId="0669924E">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14:paraId="222E7160">
      <w:pPr>
        <w:spacing w:line="360" w:lineRule="auto"/>
        <w:ind w:firstLine="420" w:firstLineChars="200"/>
        <w:rPr>
          <w:rFonts w:ascii="宋体" w:hAnsi="宋体"/>
          <w:color w:val="auto"/>
          <w:highlight w:val="none"/>
        </w:rPr>
      </w:pPr>
      <w:r>
        <w:rPr>
          <w:rFonts w:hint="eastAsia" w:ascii="宋体" w:hAnsi="宋体"/>
          <w:color w:val="auto"/>
          <w:highlight w:val="none"/>
        </w:rPr>
        <w:t>磋商文件已有明确规定的，使用磋商文件规定的计量单位；磋商文件没有规定的，应采用中华人民共和国法定计量单位，货币种类为人民币，否则视同未响应。</w:t>
      </w:r>
    </w:p>
    <w:p w14:paraId="155AA450">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14:paraId="0B163CF5">
      <w:pPr>
        <w:spacing w:line="360" w:lineRule="auto"/>
        <w:ind w:firstLine="420" w:firstLineChars="200"/>
        <w:rPr>
          <w:rFonts w:ascii="宋体" w:hAnsi="宋体"/>
          <w:color w:val="auto"/>
          <w:highlight w:val="none"/>
        </w:rPr>
      </w:pPr>
      <w:r>
        <w:rPr>
          <w:rFonts w:hint="eastAsia" w:ascii="宋体" w:hAnsi="宋体"/>
          <w:color w:val="auto"/>
          <w:highlight w:val="none"/>
        </w:rPr>
        <w:t>供应商没有按照磋商文件要求提供全部资料，或者供应商没有对磋商文件在各方面作出实质性响应可能导致其响应无效，是供应商应当考虑的风险。</w:t>
      </w:r>
    </w:p>
    <w:p w14:paraId="2A0C6CFD">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15.竞标报价</w:t>
      </w:r>
    </w:p>
    <w:p w14:paraId="1E585564">
      <w:pPr>
        <w:tabs>
          <w:tab w:val="left" w:pos="2492"/>
        </w:tabs>
        <w:spacing w:line="360" w:lineRule="auto"/>
        <w:ind w:firstLine="420" w:firstLineChars="200"/>
        <w:rPr>
          <w:rFonts w:ascii="宋体" w:hAnsi="宋体"/>
          <w:color w:val="auto"/>
          <w:highlight w:val="none"/>
        </w:rPr>
      </w:pPr>
      <w:r>
        <w:rPr>
          <w:rFonts w:hint="eastAsia" w:ascii="宋体" w:hAnsi="宋体"/>
          <w:color w:val="auto"/>
          <w:highlight w:val="none"/>
        </w:rPr>
        <w:t>15.1竞标报价应按磋商文件中“竞标报价表”格式填写。</w:t>
      </w:r>
    </w:p>
    <w:p w14:paraId="2B899EE9">
      <w:pPr>
        <w:tabs>
          <w:tab w:val="left" w:pos="2492"/>
        </w:tabs>
        <w:spacing w:line="360" w:lineRule="auto"/>
        <w:ind w:firstLine="420" w:firstLineChars="200"/>
        <w:rPr>
          <w:rFonts w:ascii="宋体" w:hAnsi="宋体"/>
          <w:color w:val="auto"/>
          <w:highlight w:val="none"/>
        </w:rPr>
      </w:pPr>
      <w:r>
        <w:rPr>
          <w:rFonts w:hint="eastAsia" w:ascii="宋体" w:hAnsi="宋体"/>
          <w:color w:val="auto"/>
          <w:highlight w:val="none"/>
        </w:rPr>
        <w:t>15.2竞标报价的内容见“供应商须知前附表”。</w:t>
      </w:r>
    </w:p>
    <w:p w14:paraId="562BCFFE">
      <w:pPr>
        <w:spacing w:line="360" w:lineRule="auto"/>
        <w:ind w:left="426" w:leftChars="203"/>
        <w:rPr>
          <w:rFonts w:ascii="宋体" w:hAnsi="宋体"/>
          <w:color w:val="auto"/>
          <w:highlight w:val="none"/>
        </w:rPr>
      </w:pPr>
      <w:r>
        <w:rPr>
          <w:rFonts w:hint="eastAsia" w:ascii="宋体" w:hAnsi="宋体"/>
          <w:color w:val="auto"/>
          <w:highlight w:val="none"/>
        </w:rPr>
        <w:t>15.3竞标报价要求</w:t>
      </w:r>
    </w:p>
    <w:p w14:paraId="5372927C">
      <w:pPr>
        <w:spacing w:line="360" w:lineRule="auto"/>
        <w:ind w:firstLine="422" w:firstLineChars="200"/>
        <w:rPr>
          <w:rFonts w:ascii="宋体" w:hAnsi="宋体"/>
          <w:b/>
          <w:color w:val="auto"/>
          <w:highlight w:val="none"/>
        </w:rPr>
      </w:pPr>
      <w:r>
        <w:rPr>
          <w:rFonts w:hint="eastAsia" w:ascii="宋体" w:hAnsi="宋体"/>
          <w:b/>
          <w:color w:val="auto"/>
          <w:highlight w:val="none"/>
        </w:rPr>
        <w:t>15.3.1供应商的竞标报价应符合以下要求，否则响应文件按无效响应处理：</w:t>
      </w:r>
    </w:p>
    <w:p w14:paraId="409D175B">
      <w:pPr>
        <w:spacing w:line="360" w:lineRule="auto"/>
        <w:ind w:firstLine="420" w:firstLineChars="200"/>
        <w:rPr>
          <w:rFonts w:ascii="宋体" w:hAnsi="宋体"/>
          <w:color w:val="auto"/>
          <w:highlight w:val="none"/>
        </w:rPr>
      </w:pPr>
      <w:r>
        <w:rPr>
          <w:rFonts w:hint="eastAsia" w:ascii="宋体" w:hAnsi="宋体"/>
          <w:color w:val="auto"/>
          <w:highlight w:val="none"/>
        </w:rPr>
        <w:t>（1）供应商必须就“采购需求”中所竞标的每个分标的全部内容分别作完整唯一总价报价，不得存在漏项报价；</w:t>
      </w:r>
    </w:p>
    <w:p w14:paraId="00E3F169">
      <w:pPr>
        <w:spacing w:line="360" w:lineRule="auto"/>
        <w:ind w:firstLine="420" w:firstLineChars="200"/>
        <w:rPr>
          <w:rFonts w:ascii="宋体" w:hAnsi="宋体"/>
          <w:color w:val="auto"/>
          <w:highlight w:val="none"/>
        </w:rPr>
      </w:pPr>
      <w:r>
        <w:rPr>
          <w:rFonts w:hint="eastAsia" w:ascii="宋体" w:hAnsi="宋体"/>
          <w:color w:val="auto"/>
          <w:highlight w:val="none"/>
        </w:rPr>
        <w:t>（2）供应商必须就所竞标的分标的单项内容作唯一报价。</w:t>
      </w:r>
    </w:p>
    <w:p w14:paraId="2C2CA644">
      <w:pPr>
        <w:spacing w:line="360" w:lineRule="auto"/>
        <w:ind w:firstLine="420" w:firstLineChars="200"/>
        <w:rPr>
          <w:rFonts w:ascii="宋体" w:hAnsi="宋体"/>
          <w:color w:val="auto"/>
          <w:highlight w:val="none"/>
        </w:rPr>
      </w:pPr>
      <w:r>
        <w:rPr>
          <w:rFonts w:hint="eastAsia" w:ascii="宋体" w:hAnsi="宋体"/>
          <w:color w:val="auto"/>
          <w:highlight w:val="none"/>
        </w:rPr>
        <w:t>15.3.2最后报价超过所竞标分标规定的采购预算金额或者最高限价的，其响应文件将按无效响应处理。</w:t>
      </w:r>
      <w:bookmarkStart w:id="33" w:name="_Hlk42592874"/>
      <w:bookmarkEnd w:id="33"/>
    </w:p>
    <w:p w14:paraId="1ABE7A2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14:paraId="36D802DC">
      <w:pPr>
        <w:spacing w:line="360" w:lineRule="auto"/>
        <w:ind w:firstLine="420" w:firstLineChars="200"/>
        <w:rPr>
          <w:rFonts w:ascii="宋体" w:hAnsi="宋体"/>
          <w:color w:val="auto"/>
          <w:highlight w:val="none"/>
        </w:rPr>
      </w:pPr>
      <w:r>
        <w:rPr>
          <w:rFonts w:hint="eastAsia" w:ascii="宋体" w:hAnsi="宋体"/>
          <w:color w:val="auto"/>
          <w:highlight w:val="none"/>
        </w:rPr>
        <w:t>16.1竞标有效期是指为保证采购人有足够的时间在提交响应文件后完成评审、确定成交供应商、合同签订等工作而要求供应商提交的响应文件在一定时间内保持有效的期限。</w:t>
      </w:r>
    </w:p>
    <w:p w14:paraId="5FD84979">
      <w:pPr>
        <w:spacing w:line="360" w:lineRule="auto"/>
        <w:ind w:firstLine="420" w:firstLineChars="200"/>
        <w:rPr>
          <w:rFonts w:ascii="宋体" w:hAnsi="宋体"/>
          <w:color w:val="auto"/>
          <w:highlight w:val="none"/>
        </w:rPr>
      </w:pPr>
      <w:r>
        <w:rPr>
          <w:rFonts w:hint="eastAsia" w:ascii="宋体" w:hAnsi="宋体"/>
          <w:color w:val="auto"/>
          <w:highlight w:val="none"/>
        </w:rPr>
        <w:t>16.2 竞标有效期应由供应商按“供应商须知前附表”规定的期限作出响应。</w:t>
      </w:r>
    </w:p>
    <w:p w14:paraId="773F835F">
      <w:pPr>
        <w:spacing w:line="360" w:lineRule="auto"/>
        <w:ind w:firstLine="420" w:firstLineChars="200"/>
        <w:rPr>
          <w:rFonts w:ascii="宋体" w:hAnsi="宋体"/>
          <w:color w:val="auto"/>
          <w:highlight w:val="none"/>
        </w:rPr>
      </w:pPr>
      <w:r>
        <w:rPr>
          <w:rFonts w:hint="eastAsia" w:ascii="宋体" w:hAnsi="宋体"/>
          <w:color w:val="auto"/>
          <w:highlight w:val="none"/>
        </w:rPr>
        <w:t>16.3供应商的响应文件在竞标有效期内均保持有效。</w:t>
      </w:r>
    </w:p>
    <w:p w14:paraId="218F941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17.磋商保证金</w:t>
      </w:r>
    </w:p>
    <w:p w14:paraId="0456CB5F">
      <w:pPr>
        <w:spacing w:line="360" w:lineRule="auto"/>
        <w:ind w:left="420" w:leftChars="200"/>
        <w:rPr>
          <w:rFonts w:ascii="宋体" w:hAnsi="宋体"/>
          <w:color w:val="auto"/>
          <w:highlight w:val="none"/>
        </w:rPr>
      </w:pPr>
      <w:r>
        <w:rPr>
          <w:rFonts w:hint="eastAsia" w:ascii="宋体" w:hAnsi="宋体"/>
          <w:color w:val="auto"/>
          <w:highlight w:val="none"/>
        </w:rPr>
        <w:t>17.1供应商须按“供应商须知前附表”的规定提交磋商保证金。</w:t>
      </w:r>
    </w:p>
    <w:p w14:paraId="7360AD01">
      <w:pPr>
        <w:spacing w:line="360" w:lineRule="auto"/>
        <w:ind w:left="420" w:leftChars="200"/>
        <w:rPr>
          <w:rFonts w:ascii="宋体" w:hAnsi="宋体"/>
          <w:color w:val="auto"/>
          <w:highlight w:val="none"/>
        </w:rPr>
      </w:pPr>
      <w:r>
        <w:rPr>
          <w:rFonts w:hint="eastAsia" w:ascii="宋体" w:hAnsi="宋体"/>
          <w:color w:val="auto"/>
          <w:highlight w:val="none"/>
        </w:rPr>
        <w:t>17.2磋商保证金的退还</w:t>
      </w:r>
    </w:p>
    <w:p w14:paraId="39CB00A0">
      <w:pPr>
        <w:spacing w:line="360" w:lineRule="auto"/>
        <w:ind w:firstLine="420" w:firstLineChars="200"/>
        <w:rPr>
          <w:rFonts w:ascii="宋体" w:hAnsi="宋体"/>
          <w:color w:val="auto"/>
          <w:highlight w:val="none"/>
        </w:rPr>
      </w:pPr>
      <w:bookmarkStart w:id="34" w:name="_Hlk66782243"/>
      <w:bookmarkEnd w:id="34"/>
      <w:r>
        <w:rPr>
          <w:rFonts w:hint="eastAsia" w:ascii="宋体" w:hAnsi="宋体"/>
          <w:color w:val="auto"/>
          <w:highlight w:val="none"/>
        </w:rPr>
        <w:t>未</w:t>
      </w:r>
      <w:r>
        <w:rPr>
          <w:rFonts w:hint="eastAsia" w:ascii="宋体" w:hAnsi="宋体"/>
          <w:color w:val="auto"/>
          <w:spacing w:val="-6"/>
          <w:highlight w:val="none"/>
        </w:rPr>
        <w:t>成交供应商的磋商保证金自成交通知书发出之日起5个工作日内退还；</w:t>
      </w:r>
      <w:r>
        <w:rPr>
          <w:rFonts w:hint="eastAsia" w:ascii="宋体" w:hAnsi="宋体"/>
          <w:color w:val="auto"/>
          <w:highlight w:val="none"/>
        </w:rPr>
        <w:t xml:space="preserve">成交供应商的磋商保证金自签订合同之日起5个工作日内退还。 </w:t>
      </w:r>
    </w:p>
    <w:p w14:paraId="22D7D041">
      <w:pPr>
        <w:spacing w:line="360" w:lineRule="auto"/>
        <w:ind w:left="420" w:leftChars="200"/>
        <w:rPr>
          <w:rFonts w:ascii="宋体" w:hAnsi="宋体"/>
          <w:color w:val="auto"/>
          <w:highlight w:val="none"/>
        </w:rPr>
      </w:pPr>
      <w:r>
        <w:rPr>
          <w:rFonts w:hint="eastAsia" w:ascii="宋体" w:hAnsi="宋体"/>
          <w:color w:val="auto"/>
          <w:highlight w:val="none"/>
        </w:rPr>
        <w:t>17.3磋商保证金不计息。</w:t>
      </w:r>
    </w:p>
    <w:p w14:paraId="7D537FB5">
      <w:pPr>
        <w:spacing w:line="360" w:lineRule="auto"/>
        <w:ind w:left="420" w:leftChars="200"/>
        <w:rPr>
          <w:rFonts w:ascii="宋体" w:hAnsi="宋体"/>
          <w:color w:val="auto"/>
          <w:highlight w:val="none"/>
        </w:rPr>
      </w:pPr>
      <w:r>
        <w:rPr>
          <w:rFonts w:hint="eastAsia" w:ascii="宋体" w:hAnsi="宋体"/>
          <w:color w:val="auto"/>
          <w:highlight w:val="none"/>
        </w:rPr>
        <w:t xml:space="preserve">17.4供应商有下列情形之一的，磋商保证金将不予退还： </w:t>
      </w:r>
    </w:p>
    <w:p w14:paraId="16D3CD9A">
      <w:pPr>
        <w:spacing w:line="360" w:lineRule="auto"/>
        <w:ind w:left="420" w:leftChars="200"/>
        <w:rPr>
          <w:rFonts w:ascii="宋体" w:hAnsi="宋体"/>
          <w:color w:val="auto"/>
          <w:highlight w:val="none"/>
        </w:rPr>
      </w:pPr>
      <w:r>
        <w:rPr>
          <w:rFonts w:hint="eastAsia" w:ascii="宋体" w:hAnsi="宋体"/>
          <w:color w:val="auto"/>
          <w:highlight w:val="none"/>
        </w:rPr>
        <w:t>（1）供应商在提交首次响应文件截止时间后撤回响应文件的；</w:t>
      </w:r>
    </w:p>
    <w:p w14:paraId="2B6C48E0">
      <w:pPr>
        <w:spacing w:line="360" w:lineRule="auto"/>
        <w:ind w:left="420" w:leftChars="200"/>
        <w:rPr>
          <w:rFonts w:ascii="宋体" w:hAnsi="宋体"/>
          <w:color w:val="auto"/>
          <w:highlight w:val="none"/>
        </w:rPr>
      </w:pPr>
      <w:r>
        <w:rPr>
          <w:rFonts w:hint="eastAsia" w:ascii="宋体" w:hAnsi="宋体"/>
          <w:color w:val="auto"/>
          <w:highlight w:val="none"/>
        </w:rPr>
        <w:t>（2）未按规定提交履约保证金的；</w:t>
      </w:r>
    </w:p>
    <w:p w14:paraId="38D3BABC">
      <w:pPr>
        <w:spacing w:line="360" w:lineRule="auto"/>
        <w:ind w:left="420" w:leftChars="200"/>
        <w:rPr>
          <w:rFonts w:ascii="宋体" w:hAnsi="宋体"/>
          <w:color w:val="auto"/>
          <w:highlight w:val="none"/>
        </w:rPr>
      </w:pPr>
      <w:r>
        <w:rPr>
          <w:rFonts w:hint="eastAsia" w:ascii="宋体" w:hAnsi="宋体"/>
          <w:color w:val="auto"/>
          <w:highlight w:val="none"/>
        </w:rPr>
        <w:t>（3）供应商在响应文件中提供虚假材料的；</w:t>
      </w:r>
    </w:p>
    <w:p w14:paraId="282FE644">
      <w:pPr>
        <w:spacing w:line="360" w:lineRule="auto"/>
        <w:ind w:firstLine="420" w:firstLineChars="200"/>
        <w:rPr>
          <w:rFonts w:ascii="宋体" w:hAnsi="宋体"/>
          <w:color w:val="auto"/>
          <w:highlight w:val="none"/>
        </w:rPr>
      </w:pPr>
      <w:r>
        <w:rPr>
          <w:rFonts w:hint="eastAsia" w:ascii="宋体" w:hAnsi="宋体"/>
          <w:color w:val="auto"/>
          <w:highlight w:val="none"/>
        </w:rPr>
        <w:t>（4）除因不可抗力或者磋商文件认可的情形以外，成交供应商不与采购人签订合同的；</w:t>
      </w:r>
    </w:p>
    <w:p w14:paraId="49E3E125">
      <w:pPr>
        <w:spacing w:line="360" w:lineRule="auto"/>
        <w:ind w:left="420" w:leftChars="200"/>
        <w:rPr>
          <w:rFonts w:ascii="宋体" w:hAnsi="宋体"/>
          <w:color w:val="auto"/>
          <w:highlight w:val="none"/>
        </w:rPr>
      </w:pPr>
      <w:r>
        <w:rPr>
          <w:rFonts w:hint="eastAsia" w:ascii="宋体" w:hAnsi="宋体"/>
          <w:color w:val="auto"/>
          <w:highlight w:val="none"/>
        </w:rPr>
        <w:t>（5）供应商与采购人、其他供应商或者采购代理机构恶意串通的；</w:t>
      </w:r>
    </w:p>
    <w:p w14:paraId="708EC3FB">
      <w:pPr>
        <w:spacing w:line="360" w:lineRule="auto"/>
        <w:ind w:left="420" w:leftChars="200"/>
        <w:rPr>
          <w:rFonts w:ascii="宋体" w:hAnsi="宋体"/>
          <w:color w:val="auto"/>
          <w:highlight w:val="none"/>
        </w:rPr>
      </w:pPr>
      <w:r>
        <w:rPr>
          <w:rFonts w:hint="eastAsia" w:ascii="宋体" w:hAnsi="宋体"/>
          <w:color w:val="auto"/>
          <w:highlight w:val="none"/>
        </w:rPr>
        <w:t>（6）法律法规规定的其他情形。</w:t>
      </w:r>
    </w:p>
    <w:p w14:paraId="0EFFEB9D">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14:paraId="7300525D">
      <w:pPr>
        <w:spacing w:line="360" w:lineRule="auto"/>
        <w:ind w:firstLine="420" w:firstLineChars="200"/>
        <w:rPr>
          <w:rFonts w:ascii="宋体" w:hAnsi="宋体"/>
          <w:color w:val="auto"/>
          <w:spacing w:val="-6"/>
          <w:highlight w:val="none"/>
        </w:rPr>
      </w:pPr>
      <w:r>
        <w:rPr>
          <w:rFonts w:hint="eastAsia" w:ascii="宋体" w:hAnsi="宋体"/>
          <w:color w:val="auto"/>
          <w:highlight w:val="none"/>
        </w:rPr>
        <w:t>18.1供应商应按本磋商文件规定的格式和顺序编制响应文件并标注页码，响应文件内容</w:t>
      </w:r>
      <w:r>
        <w:rPr>
          <w:rFonts w:hint="eastAsia" w:ascii="宋体" w:hAnsi="宋体"/>
          <w:color w:val="auto"/>
          <w:spacing w:val="-6"/>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olor w:val="auto"/>
          <w:spacing w:val="-6"/>
          <w:highlight w:val="none"/>
        </w:rPr>
        <w:t>后果由供应商承担。</w:t>
      </w:r>
    </w:p>
    <w:p w14:paraId="22BFE6EA">
      <w:pPr>
        <w:spacing w:line="360" w:lineRule="auto"/>
        <w:ind w:firstLine="420" w:firstLineChars="200"/>
        <w:rPr>
          <w:rFonts w:ascii="宋体" w:hAnsi="宋体"/>
          <w:color w:val="auto"/>
          <w:highlight w:val="none"/>
        </w:rPr>
      </w:pPr>
      <w:r>
        <w:rPr>
          <w:rFonts w:hint="eastAsia" w:ascii="宋体" w:hAnsi="宋体"/>
          <w:color w:val="auto"/>
          <w:highlight w:val="none"/>
        </w:rPr>
        <w:t>18.2响应文件应按资格证明文件、报价商务技术文件分别编制电子文件，并按</w:t>
      </w:r>
      <w:r>
        <w:rPr>
          <w:rFonts w:hint="eastAsia" w:ascii="宋体" w:hAnsi="宋体"/>
          <w:bCs/>
          <w:color w:val="auto"/>
          <w:kern w:val="0"/>
          <w:highlight w:val="none"/>
        </w:rPr>
        <w:t>“</w:t>
      </w:r>
      <w:r>
        <w:rPr>
          <w:rFonts w:hint="eastAsia" w:ascii="宋体" w:hAnsi="宋体"/>
          <w:color w:val="auto"/>
          <w:highlight w:val="none"/>
        </w:rPr>
        <w:t>广西政府采购云”平台的要求编制、加密、上传。</w:t>
      </w:r>
    </w:p>
    <w:p w14:paraId="0CC93E5A">
      <w:pPr>
        <w:spacing w:line="360" w:lineRule="auto"/>
        <w:ind w:firstLine="420" w:firstLineChars="200"/>
        <w:rPr>
          <w:rFonts w:ascii="宋体" w:hAnsi="宋体"/>
          <w:color w:val="auto"/>
          <w:highlight w:val="none"/>
        </w:rPr>
      </w:pPr>
      <w:r>
        <w:rPr>
          <w:rFonts w:hint="eastAsia" w:ascii="宋体" w:hAnsi="宋体"/>
          <w:color w:val="auto"/>
          <w:highlight w:val="none"/>
        </w:rPr>
        <w:t>18.</w:t>
      </w:r>
      <w:bookmarkStart w:id="35" w:name="_Hlk65832699"/>
      <w:r>
        <w:rPr>
          <w:rFonts w:hint="eastAsia" w:ascii="宋体" w:hAnsi="宋体"/>
          <w:color w:val="auto"/>
          <w:highlight w:val="none"/>
        </w:rPr>
        <w:t>3</w:t>
      </w:r>
      <w:bookmarkEnd w:id="35"/>
      <w:r>
        <w:rPr>
          <w:rFonts w:hint="eastAsia" w:ascii="宋体" w:hAnsi="宋体"/>
          <w:color w:val="auto"/>
          <w:highlight w:val="none"/>
        </w:rPr>
        <w:t>响应文件须由供应商在规定位置盖公章并签字</w:t>
      </w:r>
      <w:bookmarkStart w:id="36" w:name="_Hlk65832569"/>
      <w:r>
        <w:rPr>
          <w:rFonts w:hint="eastAsia" w:ascii="宋体" w:hAnsi="宋体"/>
          <w:color w:val="auto"/>
          <w:highlight w:val="none"/>
        </w:rPr>
        <w:t>（具体以供应商须知前附表或响应文件格式规定为准）</w:t>
      </w:r>
      <w:bookmarkEnd w:id="36"/>
      <w:r>
        <w:rPr>
          <w:rFonts w:hint="eastAsia" w:ascii="宋体" w:hAnsi="宋体"/>
          <w:color w:val="auto"/>
          <w:highlight w:val="none"/>
        </w:rPr>
        <w:t>，否则其响应文件按无效响应处理。</w:t>
      </w:r>
    </w:p>
    <w:p w14:paraId="3549E436">
      <w:pPr>
        <w:spacing w:line="360" w:lineRule="auto"/>
        <w:ind w:firstLine="420" w:firstLineChars="200"/>
        <w:rPr>
          <w:rFonts w:ascii="宋体" w:hAnsi="宋体"/>
          <w:color w:val="auto"/>
          <w:highlight w:val="none"/>
        </w:rPr>
      </w:pPr>
      <w:r>
        <w:rPr>
          <w:rFonts w:hint="eastAsia" w:ascii="宋体" w:hAnsi="宋体"/>
          <w:color w:val="auto"/>
          <w:highlight w:val="none"/>
        </w:rPr>
        <w:t>18.4响应文件中标注的供应商名称应与营业执照（事业单位法人证书、执业许可证、自然人身份证）及公章一致，否则其响应文件按无效响应处理。</w:t>
      </w:r>
    </w:p>
    <w:p w14:paraId="4DA0ED06">
      <w:pPr>
        <w:spacing w:line="360" w:lineRule="auto"/>
        <w:ind w:firstLine="420" w:firstLineChars="200"/>
        <w:rPr>
          <w:rFonts w:ascii="宋体" w:hAnsi="宋体"/>
          <w:color w:val="auto"/>
          <w:highlight w:val="none"/>
        </w:rPr>
      </w:pPr>
      <w:r>
        <w:rPr>
          <w:rFonts w:hint="eastAsia" w:ascii="宋体" w:hAnsi="宋体"/>
          <w:color w:val="auto"/>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3DB3E2A">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19.响应文件的加密、解密</w:t>
      </w:r>
    </w:p>
    <w:p w14:paraId="2CBBB4B4">
      <w:pPr>
        <w:spacing w:line="360" w:lineRule="auto"/>
        <w:ind w:firstLine="420" w:firstLineChars="200"/>
        <w:rPr>
          <w:rFonts w:ascii="宋体" w:hAnsi="宋体"/>
          <w:color w:val="auto"/>
          <w:highlight w:val="none"/>
        </w:rPr>
      </w:pPr>
      <w:r>
        <w:rPr>
          <w:rFonts w:hint="eastAsia" w:ascii="宋体" w:hAnsi="宋体"/>
          <w:color w:val="auto"/>
          <w:highlight w:val="none"/>
        </w:rPr>
        <w:t>19.1电子响应文件编制完成后，供应商应按</w:t>
      </w:r>
      <w:r>
        <w:rPr>
          <w:rFonts w:hint="eastAsia" w:ascii="宋体" w:hAnsi="宋体"/>
          <w:bCs/>
          <w:color w:val="auto"/>
          <w:kern w:val="0"/>
          <w:highlight w:val="none"/>
        </w:rPr>
        <w:t>“</w:t>
      </w:r>
      <w:r>
        <w:rPr>
          <w:rFonts w:hint="eastAsia" w:ascii="宋体" w:hAnsi="宋体"/>
          <w:color w:val="auto"/>
          <w:highlight w:val="none"/>
        </w:rPr>
        <w:t>广西政府采购云”平台的要求进行加密，并在规定时间内解密，否则，由此产生的后果由供应商自行负责。</w:t>
      </w:r>
    </w:p>
    <w:p w14:paraId="2AFA823A">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14:paraId="39BE62C9">
      <w:pPr>
        <w:spacing w:line="360" w:lineRule="auto"/>
        <w:ind w:firstLine="420" w:firstLineChars="200"/>
        <w:rPr>
          <w:rFonts w:ascii="宋体" w:hAnsi="宋体"/>
          <w:color w:val="auto"/>
          <w:highlight w:val="none"/>
        </w:rPr>
      </w:pPr>
      <w:r>
        <w:rPr>
          <w:rFonts w:hint="eastAsia" w:ascii="宋体" w:hAnsi="宋体"/>
          <w:color w:val="auto"/>
          <w:highlight w:val="none"/>
        </w:rPr>
        <w:t>20.1供应商必须在“供应商须知前附表”规定的时间和地点提交响应文件。</w:t>
      </w:r>
    </w:p>
    <w:p w14:paraId="4B79DDDE">
      <w:pPr>
        <w:widowControl/>
        <w:spacing w:line="360" w:lineRule="auto"/>
        <w:ind w:firstLine="420" w:firstLineChars="200"/>
        <w:rPr>
          <w:rFonts w:ascii="宋体" w:hAnsi="宋体"/>
          <w:b/>
          <w:color w:val="auto"/>
          <w:highlight w:val="none"/>
        </w:rPr>
      </w:pPr>
      <w:r>
        <w:rPr>
          <w:rFonts w:hint="eastAsia" w:ascii="宋体" w:hAnsi="宋体"/>
          <w:color w:val="auto"/>
          <w:highlight w:val="none"/>
        </w:rPr>
        <w:t>20.2本项目为全流程电子化政府采购项目，通过</w:t>
      </w:r>
      <w:r>
        <w:rPr>
          <w:rFonts w:hint="eastAsia" w:ascii="宋体" w:hAnsi="宋体"/>
          <w:bCs/>
          <w:color w:val="auto"/>
          <w:kern w:val="0"/>
          <w:highlight w:val="none"/>
        </w:rPr>
        <w:t>“</w:t>
      </w:r>
      <w:r>
        <w:rPr>
          <w:rFonts w:hint="eastAsia" w:ascii="宋体" w:hAnsi="宋体"/>
          <w:color w:val="auto"/>
          <w:highlight w:val="none"/>
        </w:rPr>
        <w:t>广西政府采购云”平台（https://www.gcy.zfcg.gxzf.gov.cn/）实行在线电子竞标，供应商应先安装“政采云电子交易客户端”（请自行前往</w:t>
      </w:r>
      <w:r>
        <w:rPr>
          <w:rFonts w:hint="eastAsia" w:ascii="宋体" w:hAnsi="宋体"/>
          <w:bCs/>
          <w:color w:val="auto"/>
          <w:kern w:val="0"/>
          <w:highlight w:val="none"/>
        </w:rPr>
        <w:t>“</w:t>
      </w:r>
      <w:r>
        <w:rPr>
          <w:rFonts w:hint="eastAsia" w:ascii="宋体" w:hAnsi="宋体"/>
          <w:color w:val="auto"/>
          <w:highlight w:val="none"/>
        </w:rPr>
        <w:t>广西政府采购云”平台进行下载），并按照本项目竞争性磋商文件和</w:t>
      </w:r>
      <w:r>
        <w:rPr>
          <w:rFonts w:hint="eastAsia" w:ascii="宋体" w:hAnsi="宋体"/>
          <w:bCs/>
          <w:color w:val="auto"/>
          <w:kern w:val="0"/>
          <w:highlight w:val="none"/>
        </w:rPr>
        <w:t>“</w:t>
      </w:r>
      <w:r>
        <w:rPr>
          <w:rFonts w:hint="eastAsia" w:ascii="宋体" w:hAnsi="宋体"/>
          <w:color w:val="auto"/>
          <w:highlight w:val="none"/>
        </w:rPr>
        <w:t>广西政府采购云”平台的要求编制、加密后在首次响应文件提交截止时间前通过网络上传至”广西政府采购云”平台，</w:t>
      </w:r>
      <w:r>
        <w:rPr>
          <w:rFonts w:hint="eastAsia" w:ascii="宋体" w:hAnsi="宋体"/>
          <w:b/>
          <w:color w:val="auto"/>
          <w:highlight w:val="none"/>
        </w:rPr>
        <w:t>供应商在</w:t>
      </w:r>
      <w:r>
        <w:rPr>
          <w:rFonts w:hint="eastAsia" w:ascii="宋体" w:hAnsi="宋体"/>
          <w:bCs/>
          <w:color w:val="auto"/>
          <w:kern w:val="0"/>
          <w:highlight w:val="none"/>
        </w:rPr>
        <w:t>“</w:t>
      </w:r>
      <w:r>
        <w:rPr>
          <w:rFonts w:hint="eastAsia" w:ascii="宋体" w:hAnsi="宋体"/>
          <w:b/>
          <w:color w:val="auto"/>
          <w:highlight w:val="none"/>
        </w:rPr>
        <w:t>广西政府采购云”平台提交电子版响应文件时，请填写参加远程开标活动经办人联系方式。</w:t>
      </w:r>
    </w:p>
    <w:p w14:paraId="5BACB315">
      <w:pPr>
        <w:pStyle w:val="3"/>
        <w:keepLines w:val="0"/>
        <w:spacing w:before="0" w:after="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20.3未在规定时间内上传或者未按“广西政府采购云”平台的要求编制、加密的电子响应文件，“广西政府采购云”平台将拒收。</w:t>
      </w:r>
    </w:p>
    <w:p w14:paraId="70EE1960">
      <w:pPr>
        <w:pStyle w:val="4"/>
        <w:rPr>
          <w:rFonts w:ascii="宋体" w:hAnsi="宋体"/>
          <w:color w:val="auto"/>
          <w:highlight w:val="none"/>
        </w:rPr>
      </w:pPr>
      <w:r>
        <w:rPr>
          <w:rFonts w:hint="eastAsia" w:ascii="宋体" w:hAnsi="宋体"/>
          <w:color w:val="auto"/>
          <w:highlight w:val="none"/>
        </w:rPr>
        <w:t>20.4电子响应文件提交方</w:t>
      </w:r>
      <w:r>
        <w:rPr>
          <w:rFonts w:hint="eastAsia" w:ascii="宋体" w:hAnsi="宋体"/>
          <w:bCs/>
          <w:color w:val="auto"/>
          <w:highlight w:val="none"/>
        </w:rPr>
        <w:t>式见“竞争性磋商公告”</w:t>
      </w:r>
      <w:r>
        <w:rPr>
          <w:rFonts w:hint="eastAsia" w:ascii="宋体" w:hAnsi="宋体"/>
          <w:color w:val="auto"/>
          <w:highlight w:val="none"/>
        </w:rPr>
        <w:t>中“四、响应文件提交”。</w:t>
      </w:r>
    </w:p>
    <w:p w14:paraId="7F119FF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14:paraId="595ABA28">
      <w:pPr>
        <w:spacing w:line="360" w:lineRule="auto"/>
        <w:ind w:firstLine="420" w:firstLineChars="200"/>
        <w:rPr>
          <w:rFonts w:ascii="宋体" w:hAnsi="宋体"/>
          <w:bCs/>
          <w:color w:val="auto"/>
          <w:highlight w:val="none"/>
        </w:rPr>
      </w:pPr>
      <w:r>
        <w:rPr>
          <w:rFonts w:hint="eastAsia" w:ascii="宋体" w:hAnsi="宋体"/>
          <w:bCs/>
          <w:color w:val="auto"/>
          <w:highlight w:val="none"/>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olor w:val="auto"/>
          <w:highlight w:val="none"/>
        </w:rPr>
        <w:t>“</w:t>
      </w:r>
      <w:r>
        <w:rPr>
          <w:rFonts w:hint="eastAsia" w:ascii="宋体" w:hAnsi="宋体"/>
          <w:bCs/>
          <w:color w:val="auto"/>
          <w:highlight w:val="none"/>
        </w:rPr>
        <w:t>广西政府采购云”平台将予以拒收。</w:t>
      </w:r>
    </w:p>
    <w:p w14:paraId="2B5F13D1">
      <w:pPr>
        <w:spacing w:line="360" w:lineRule="auto"/>
        <w:ind w:firstLine="482" w:firstLineChars="200"/>
        <w:rPr>
          <w:rFonts w:ascii="黑体" w:hAnsi="黑体" w:eastAsia="黑体" w:cs="宋体"/>
          <w:b/>
          <w:bCs/>
          <w:color w:val="auto"/>
          <w:sz w:val="24"/>
          <w:szCs w:val="24"/>
          <w:highlight w:val="none"/>
        </w:rPr>
      </w:pPr>
      <w:bookmarkStart w:id="37" w:name="_Hlk45702405"/>
      <w:bookmarkEnd w:id="37"/>
      <w:r>
        <w:rPr>
          <w:rFonts w:hint="eastAsia" w:ascii="黑体" w:hAnsi="黑体" w:eastAsia="黑体" w:cs="宋体"/>
          <w:b/>
          <w:bCs/>
          <w:color w:val="auto"/>
          <w:sz w:val="24"/>
          <w:szCs w:val="24"/>
          <w:highlight w:val="none"/>
        </w:rPr>
        <w:t>22. 首次响应文件的退回</w:t>
      </w:r>
    </w:p>
    <w:p w14:paraId="51DAF024">
      <w:pPr>
        <w:spacing w:line="400" w:lineRule="exact"/>
        <w:ind w:firstLine="420" w:firstLineChars="200"/>
        <w:rPr>
          <w:rFonts w:ascii="宋体" w:hAnsi="宋体"/>
          <w:color w:val="auto"/>
          <w:highlight w:val="none"/>
        </w:rPr>
      </w:pPr>
      <w:r>
        <w:rPr>
          <w:rFonts w:hint="eastAsia" w:ascii="宋体" w:hAnsi="宋体"/>
          <w:color w:val="auto"/>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64EF554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 截止时间后的撤回</w:t>
      </w:r>
    </w:p>
    <w:p w14:paraId="63A1E91B">
      <w:pPr>
        <w:spacing w:line="360" w:lineRule="auto"/>
        <w:ind w:firstLine="420" w:firstLineChars="200"/>
        <w:rPr>
          <w:rFonts w:ascii="宋体" w:hAnsi="宋体"/>
          <w:color w:val="auto"/>
          <w:highlight w:val="none"/>
        </w:rPr>
      </w:pPr>
      <w:r>
        <w:rPr>
          <w:rFonts w:hint="eastAsia" w:ascii="宋体" w:hAnsi="宋体"/>
          <w:color w:val="auto"/>
          <w:highlight w:val="none"/>
        </w:rPr>
        <w:t>23.1供应商在首次响应文件提交截止时间后书面通知采购人、采购代理机构书面撤回响应文件的，将根据本须知正文17.4的规定不予退还其磋商保证金。</w:t>
      </w:r>
    </w:p>
    <w:p w14:paraId="0B753C70">
      <w:pPr>
        <w:spacing w:line="360" w:lineRule="auto"/>
        <w:rPr>
          <w:rFonts w:ascii="宋体" w:hAnsi="宋体"/>
          <w:color w:val="auto"/>
          <w:highlight w:val="none"/>
        </w:rPr>
      </w:pPr>
      <w:r>
        <w:rPr>
          <w:rFonts w:hint="eastAsia" w:ascii="宋体" w:hAnsi="宋体"/>
          <w:color w:val="auto"/>
          <w:highlight w:val="none"/>
        </w:rPr>
        <w:t xml:space="preserve"> </w:t>
      </w:r>
    </w:p>
    <w:p w14:paraId="42480B2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1F38441E">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 </w:t>
      </w:r>
    </w:p>
    <w:p w14:paraId="2316CB9A">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24.磋商小组成立</w:t>
      </w:r>
    </w:p>
    <w:p w14:paraId="2A4F5F68">
      <w:pPr>
        <w:spacing w:line="360" w:lineRule="auto"/>
        <w:ind w:firstLine="420" w:firstLineChars="200"/>
        <w:rPr>
          <w:rFonts w:ascii="宋体" w:hAnsi="宋体"/>
          <w:color w:val="auto"/>
          <w:highlight w:val="none"/>
        </w:rPr>
      </w:pPr>
      <w:r>
        <w:rPr>
          <w:rFonts w:hint="eastAsia" w:ascii="宋体" w:hAnsi="宋体"/>
          <w:color w:val="auto"/>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63BE1EE">
      <w:pPr>
        <w:spacing w:line="360" w:lineRule="auto"/>
        <w:ind w:firstLine="420" w:firstLineChars="200"/>
        <w:rPr>
          <w:rFonts w:ascii="宋体" w:hAnsi="宋体"/>
          <w:color w:val="auto"/>
          <w:highlight w:val="none"/>
        </w:rPr>
      </w:pPr>
      <w:r>
        <w:rPr>
          <w:rFonts w:hint="eastAsia" w:ascii="宋体" w:hAnsi="宋体"/>
          <w:color w:val="auto"/>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893457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25.首次响应文件的开启</w:t>
      </w:r>
    </w:p>
    <w:p w14:paraId="6A166BA1">
      <w:pPr>
        <w:spacing w:line="360" w:lineRule="auto"/>
        <w:ind w:firstLine="420" w:firstLineChars="200"/>
        <w:rPr>
          <w:rFonts w:ascii="宋体" w:hAnsi="宋体"/>
          <w:color w:val="auto"/>
          <w:highlight w:val="none"/>
        </w:rPr>
      </w:pPr>
      <w:r>
        <w:rPr>
          <w:rFonts w:hint="eastAsia" w:ascii="宋体" w:hAnsi="宋体"/>
          <w:color w:val="auto"/>
          <w:highlight w:val="none"/>
        </w:rPr>
        <w:t>25.1首次响应文件由磋商小组或者采购代理机构在“供应商须知前附表”规定的时间开启。</w:t>
      </w:r>
    </w:p>
    <w:p w14:paraId="09902300">
      <w:pPr>
        <w:spacing w:line="360" w:lineRule="auto"/>
        <w:ind w:firstLine="420" w:firstLineChars="200"/>
        <w:rPr>
          <w:rFonts w:ascii="宋体" w:hAnsi="宋体"/>
          <w:color w:val="auto"/>
          <w:highlight w:val="none"/>
        </w:rPr>
      </w:pPr>
      <w:r>
        <w:rPr>
          <w:rFonts w:hint="eastAsia" w:ascii="宋体" w:hAnsi="宋体"/>
          <w:color w:val="auto"/>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b/>
          <w:color w:val="auto"/>
          <w:highlight w:val="none"/>
        </w:rPr>
        <w:t>供应商的法定代表人或其委托代理人须携带加密时所用的CA锁按平台提示和采购文件的规定登录到</w:t>
      </w:r>
      <w:r>
        <w:rPr>
          <w:rFonts w:hint="eastAsia" w:ascii="宋体" w:hAnsi="宋体"/>
          <w:color w:val="auto"/>
          <w:highlight w:val="none"/>
        </w:rPr>
        <w:t>“</w:t>
      </w:r>
      <w:r>
        <w:rPr>
          <w:rFonts w:hint="eastAsia" w:ascii="宋体" w:hAnsi="宋体"/>
          <w:b/>
          <w:color w:val="auto"/>
          <w:highlight w:val="none"/>
        </w:rPr>
        <w:t>广西政府采购云”平台电子开标大厅签到并在发起解密指令之时起30分钟内完成对电子响应文件在线解密。</w:t>
      </w:r>
      <w:r>
        <w:rPr>
          <w:rFonts w:hint="eastAsia" w:ascii="宋体" w:hAnsi="宋体"/>
          <w:b/>
          <w:bCs/>
          <w:color w:val="auto"/>
          <w:highlight w:val="none"/>
        </w:rPr>
        <w:t>响应文件未按时解密的，</w:t>
      </w:r>
      <w:r>
        <w:rPr>
          <w:rFonts w:hint="eastAsia" w:ascii="宋体" w:hAnsi="宋体"/>
          <w:b/>
          <w:color w:val="auto"/>
          <w:highlight w:val="none"/>
        </w:rPr>
        <w:t>视为响应</w:t>
      </w:r>
      <w:r>
        <w:rPr>
          <w:rFonts w:hint="eastAsia" w:ascii="宋体" w:hAnsi="宋体"/>
          <w:b/>
          <w:bCs/>
          <w:color w:val="auto"/>
          <w:highlight w:val="none"/>
        </w:rPr>
        <w:t>文件无效。</w:t>
      </w:r>
      <w:r>
        <w:rPr>
          <w:rFonts w:hint="eastAsia" w:ascii="宋体" w:hAnsi="宋体"/>
          <w:color w:val="auto"/>
          <w:highlight w:val="none"/>
        </w:rPr>
        <w:t>（解密异常情况处理：详见本章26.2电子交易活动的中止。）</w:t>
      </w:r>
    </w:p>
    <w:p w14:paraId="410B13E0">
      <w:pPr>
        <w:spacing w:line="360" w:lineRule="auto"/>
        <w:ind w:firstLine="420" w:firstLineChars="200"/>
        <w:rPr>
          <w:rFonts w:ascii="宋体" w:hAnsi="宋体"/>
          <w:color w:val="auto"/>
          <w:highlight w:val="none"/>
        </w:rPr>
      </w:pPr>
      <w:r>
        <w:rPr>
          <w:rFonts w:hint="eastAsia" w:ascii="宋体" w:hAnsi="宋体"/>
          <w:color w:val="auto"/>
          <w:highlight w:val="none"/>
        </w:rPr>
        <w:t>25.3成功解密响应文件的供应商不足3家的，不得磋商。</w:t>
      </w:r>
    </w:p>
    <w:p w14:paraId="75C63574">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26.评审程序、评审方法和评审标准</w:t>
      </w:r>
    </w:p>
    <w:p w14:paraId="13A06660">
      <w:pPr>
        <w:spacing w:line="360" w:lineRule="auto"/>
        <w:ind w:firstLine="420" w:firstLineChars="200"/>
        <w:rPr>
          <w:rFonts w:ascii="宋体" w:hAnsi="宋体"/>
          <w:color w:val="auto"/>
          <w:highlight w:val="none"/>
        </w:rPr>
      </w:pPr>
      <w:r>
        <w:rPr>
          <w:rFonts w:hint="eastAsia" w:ascii="宋体" w:hAnsi="宋体"/>
          <w:color w:val="auto"/>
          <w:highlight w:val="none"/>
        </w:rPr>
        <w:t>26.1磋商小组按照“第四章 评审程序、评审方法和评审标准”规定的方法、评审因素、标准和程序对响应文件进行评审。</w:t>
      </w:r>
    </w:p>
    <w:p w14:paraId="27FB67DF">
      <w:pPr>
        <w:spacing w:line="400" w:lineRule="exact"/>
        <w:ind w:firstLine="420" w:firstLineChars="200"/>
        <w:rPr>
          <w:rFonts w:ascii="宋体" w:hAnsi="宋体"/>
          <w:color w:val="auto"/>
          <w:highlight w:val="none"/>
        </w:rPr>
      </w:pPr>
      <w:r>
        <w:rPr>
          <w:rFonts w:hint="eastAsia" w:ascii="宋体" w:hAnsi="宋体"/>
          <w:color w:val="auto"/>
          <w:highlight w:val="none"/>
        </w:rPr>
        <w:t>26.2电子交易活动的中止。采购过程中出现以下情形，导致电子交易平台无法正常运行，或者无法保证电子交易的公平、公正和安全时，采购机构可中止电子交易活动：</w:t>
      </w:r>
    </w:p>
    <w:p w14:paraId="7FEA0471">
      <w:pPr>
        <w:spacing w:line="400" w:lineRule="exact"/>
        <w:ind w:firstLine="420" w:firstLineChars="200"/>
        <w:rPr>
          <w:rFonts w:ascii="宋体" w:hAnsi="宋体"/>
          <w:color w:val="auto"/>
          <w:highlight w:val="none"/>
        </w:rPr>
      </w:pPr>
      <w:r>
        <w:rPr>
          <w:rFonts w:hint="eastAsia" w:ascii="宋体" w:hAnsi="宋体"/>
          <w:color w:val="auto"/>
          <w:highlight w:val="none"/>
        </w:rPr>
        <w:t xml:space="preserve">（1）电子交易平台发生故障而无法登录访问的； </w:t>
      </w:r>
    </w:p>
    <w:p w14:paraId="0D23C716">
      <w:pPr>
        <w:spacing w:line="400" w:lineRule="exact"/>
        <w:ind w:firstLine="420" w:firstLineChars="200"/>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7EBE089D">
      <w:pPr>
        <w:spacing w:line="400" w:lineRule="exact"/>
        <w:ind w:firstLine="420" w:firstLineChars="200"/>
        <w:rPr>
          <w:rFonts w:ascii="宋体" w:hAnsi="宋体"/>
          <w:color w:val="auto"/>
          <w:highlight w:val="none"/>
        </w:rPr>
      </w:pPr>
      <w:r>
        <w:rPr>
          <w:rFonts w:hint="eastAsia" w:ascii="宋体" w:hAnsi="宋体"/>
          <w:color w:val="auto"/>
          <w:highlight w:val="none"/>
        </w:rPr>
        <w:t>（3）电子交易平台发现严重安全漏洞，有潜在泄密危险的；</w:t>
      </w:r>
    </w:p>
    <w:p w14:paraId="73DC9A52">
      <w:pPr>
        <w:spacing w:line="400" w:lineRule="exact"/>
        <w:ind w:firstLine="420" w:firstLineChars="200"/>
        <w:rPr>
          <w:rFonts w:ascii="宋体" w:hAnsi="宋体"/>
          <w:color w:val="auto"/>
          <w:highlight w:val="none"/>
        </w:rPr>
      </w:pPr>
      <w:r>
        <w:rPr>
          <w:rFonts w:hint="eastAsia" w:ascii="宋体" w:hAnsi="宋体"/>
          <w:color w:val="auto"/>
          <w:highlight w:val="none"/>
        </w:rPr>
        <w:t xml:space="preserve">（4）病毒发作导致不能进行正常操作的； </w:t>
      </w:r>
    </w:p>
    <w:p w14:paraId="6C958917">
      <w:pPr>
        <w:spacing w:line="400" w:lineRule="exact"/>
        <w:ind w:firstLine="420" w:firstLineChars="200"/>
        <w:rPr>
          <w:rFonts w:ascii="宋体" w:hAnsi="宋体"/>
          <w:color w:val="auto"/>
          <w:highlight w:val="none"/>
        </w:rPr>
      </w:pPr>
      <w:r>
        <w:rPr>
          <w:rFonts w:hint="eastAsia" w:ascii="宋体" w:hAnsi="宋体"/>
          <w:color w:val="auto"/>
          <w:highlight w:val="none"/>
        </w:rPr>
        <w:t>（4）其他无法保证电子交易的公平、公正和安全的情况。</w:t>
      </w:r>
    </w:p>
    <w:p w14:paraId="1E04A718">
      <w:pPr>
        <w:spacing w:line="400" w:lineRule="exact"/>
        <w:ind w:firstLine="420" w:firstLineChars="200"/>
        <w:rPr>
          <w:rFonts w:ascii="宋体" w:hAnsi="宋体"/>
          <w:color w:val="auto"/>
          <w:highlight w:val="none"/>
        </w:rPr>
      </w:pPr>
      <w:r>
        <w:rPr>
          <w:rFonts w:hint="eastAsia" w:ascii="宋体" w:hAnsi="宋体"/>
          <w:color w:val="auto"/>
          <w:highlight w:val="none"/>
        </w:rPr>
        <w:t>26.3出现以上情形，不影响采购公平、公正性的，采购代理机构可以待上述情形消除后继续组织电子交易活动；影响或可能影响采购公平、公正性的，经采购代理机构确认后，应当重新采购。</w:t>
      </w:r>
    </w:p>
    <w:p w14:paraId="4E6D5EFC">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27.确定成交供应商及结果公告</w:t>
      </w:r>
    </w:p>
    <w:p w14:paraId="1B796A99">
      <w:pPr>
        <w:spacing w:line="360" w:lineRule="auto"/>
        <w:ind w:firstLine="420" w:firstLineChars="200"/>
        <w:rPr>
          <w:rFonts w:ascii="宋体" w:hAnsi="宋体"/>
          <w:color w:val="auto"/>
          <w:highlight w:val="none"/>
        </w:rPr>
      </w:pPr>
      <w:r>
        <w:rPr>
          <w:rFonts w:hint="eastAsia" w:ascii="宋体" w:hAnsi="宋体"/>
          <w:color w:val="auto"/>
          <w:highlight w:val="none"/>
        </w:rPr>
        <w:t>27.1</w:t>
      </w:r>
      <w:r>
        <w:rPr>
          <w:rFonts w:hint="eastAsia" w:ascii="宋体" w:hAnsi="宋体"/>
          <w:color w:val="auto"/>
          <w:kern w:val="0"/>
          <w:highlight w:val="none"/>
        </w:rPr>
        <w:t xml:space="preserve"> </w:t>
      </w:r>
      <w:r>
        <w:rPr>
          <w:rFonts w:hint="eastAsia" w:ascii="宋体" w:hAnsi="宋体"/>
          <w:color w:val="auto"/>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0545592">
      <w:pPr>
        <w:spacing w:line="360" w:lineRule="auto"/>
        <w:ind w:firstLine="420" w:firstLineChars="200"/>
        <w:rPr>
          <w:rFonts w:ascii="宋体" w:hAnsi="宋体"/>
          <w:color w:val="auto"/>
          <w:highlight w:val="none"/>
        </w:rPr>
      </w:pPr>
      <w:r>
        <w:rPr>
          <w:rFonts w:hint="eastAsia" w:ascii="宋体" w:hAnsi="宋体"/>
          <w:color w:val="auto"/>
          <w:highlight w:val="none"/>
        </w:rPr>
        <w:t>27.2采购代理机构应当在</w:t>
      </w:r>
      <w:r>
        <w:rPr>
          <w:rFonts w:hint="eastAsia" w:ascii="宋体" w:hAnsi="宋体"/>
          <w:color w:val="auto"/>
          <w:kern w:val="0"/>
          <w:highlight w:val="none"/>
        </w:rPr>
        <w:t>成交</w:t>
      </w:r>
      <w:r>
        <w:rPr>
          <w:rFonts w:hint="eastAsia" w:ascii="宋体" w:hAnsi="宋体"/>
          <w:color w:val="auto"/>
          <w:highlight w:val="none"/>
        </w:rPr>
        <w:t>供应商确定后2个工作日内，在省级以上财政部门指定的媒体上公告成交结果，同时向成交供应商发出成交通知书。</w:t>
      </w:r>
      <w:r>
        <w:rPr>
          <w:rFonts w:hint="eastAsia" w:ascii="宋体" w:hAnsi="宋体"/>
          <w:b/>
          <w:color w:val="auto"/>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olor w:val="auto"/>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8" w:name="_Hlk66782294"/>
      <w:bookmarkEnd w:id="38"/>
      <w:r>
        <w:rPr>
          <w:rFonts w:hint="eastAsia" w:ascii="宋体" w:hAnsi="宋体" w:cs="Courier New"/>
          <w:color w:val="auto"/>
          <w:highlight w:val="none"/>
        </w:rPr>
        <w:t>成交供应商享受</w:t>
      </w:r>
      <w:r>
        <w:rPr>
          <w:rFonts w:hint="eastAsia" w:ascii="宋体" w:hAnsi="宋体"/>
          <w:color w:val="auto"/>
          <w:highlight w:val="none"/>
        </w:rPr>
        <w:t>《政府采购促进中小企业发展管理办法》（财库〔2020〕46号）规定的中小企业扶持</w:t>
      </w:r>
      <w:r>
        <w:rPr>
          <w:rFonts w:hint="eastAsia" w:ascii="宋体" w:hAnsi="宋体" w:cs="Courier New"/>
          <w:color w:val="auto"/>
          <w:highlight w:val="none"/>
        </w:rPr>
        <w:t>政策的，采购人、采购代理机构应当随成交结果公开成交供应商的《中小企业声明函》。</w:t>
      </w:r>
    </w:p>
    <w:p w14:paraId="0BEC4453">
      <w:pPr>
        <w:spacing w:line="360" w:lineRule="auto"/>
        <w:ind w:firstLine="420" w:firstLineChars="200"/>
        <w:rPr>
          <w:rFonts w:ascii="宋体" w:hAnsi="宋体" w:cs="Courier New"/>
          <w:color w:val="auto"/>
          <w:highlight w:val="none"/>
        </w:rPr>
      </w:pPr>
      <w:r>
        <w:rPr>
          <w:rFonts w:hint="eastAsia" w:ascii="宋体" w:hAnsi="宋体"/>
          <w:color w:val="auto"/>
          <w:highlight w:val="none"/>
        </w:rPr>
        <w:t>27.3</w:t>
      </w:r>
      <w:r>
        <w:rPr>
          <w:rFonts w:hint="eastAsia" w:ascii="宋体" w:hAnsi="宋体" w:cs="Courier New"/>
          <w:color w:val="auto"/>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2A8036BC">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28.履约保证金</w:t>
      </w:r>
    </w:p>
    <w:p w14:paraId="36B75413">
      <w:pPr>
        <w:spacing w:line="360" w:lineRule="auto"/>
        <w:ind w:firstLine="424" w:firstLineChars="202"/>
        <w:rPr>
          <w:rFonts w:ascii="宋体" w:hAnsi="宋体"/>
          <w:color w:val="auto"/>
          <w:highlight w:val="none"/>
        </w:rPr>
      </w:pPr>
      <w:r>
        <w:rPr>
          <w:rFonts w:hint="eastAsia" w:ascii="宋体" w:hAnsi="宋体"/>
          <w:color w:val="auto"/>
          <w:highlight w:val="none"/>
        </w:rPr>
        <w:t>28.1 履约保证金的金额、提交方式、退付的时间和条件详见 “供应商须知前附表”。成交供应商未按规定提交履约保证金的，视为拒绝与采购人签订合同。</w:t>
      </w:r>
    </w:p>
    <w:p w14:paraId="26FE0714">
      <w:pPr>
        <w:spacing w:line="360" w:lineRule="auto"/>
        <w:ind w:firstLine="424" w:firstLineChars="202"/>
        <w:rPr>
          <w:rFonts w:ascii="宋体" w:hAnsi="宋体"/>
          <w:color w:val="auto"/>
          <w:highlight w:val="none"/>
        </w:rPr>
      </w:pPr>
      <w:r>
        <w:rPr>
          <w:rFonts w:hint="eastAsia" w:ascii="宋体" w:hAnsi="宋体"/>
          <w:color w:val="auto"/>
          <w:highlight w:val="none"/>
        </w:rPr>
        <w:t>28.2在履约保证金退还日期前，若成交供应商的开户名称、开户银行、帐号有变动的，请以书面形式通知履约保证金收取单位，否则由此产生的后果由成交供应商自行承担。</w:t>
      </w:r>
    </w:p>
    <w:p w14:paraId="62648F96">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29.签订合同</w:t>
      </w:r>
    </w:p>
    <w:p w14:paraId="07D27FAB">
      <w:pPr>
        <w:spacing w:line="360" w:lineRule="auto"/>
        <w:ind w:firstLine="424" w:firstLineChars="202"/>
        <w:rPr>
          <w:rFonts w:ascii="宋体" w:hAnsi="宋体"/>
          <w:color w:val="auto"/>
          <w:highlight w:val="none"/>
        </w:rPr>
      </w:pPr>
      <w:r>
        <w:rPr>
          <w:rFonts w:hint="eastAsia" w:ascii="宋体" w:hAnsi="宋体"/>
          <w:color w:val="auto"/>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75F039E2">
      <w:pPr>
        <w:spacing w:line="360" w:lineRule="auto"/>
        <w:ind w:firstLine="424" w:firstLineChars="202"/>
        <w:rPr>
          <w:rFonts w:ascii="宋体" w:hAnsi="宋体"/>
          <w:color w:val="auto"/>
          <w:highlight w:val="none"/>
        </w:rPr>
      </w:pPr>
      <w:r>
        <w:rPr>
          <w:rFonts w:hint="eastAsia" w:ascii="宋体" w:hAnsi="宋体"/>
          <w:color w:val="auto"/>
          <w:highlight w:val="none"/>
        </w:rPr>
        <w:t>29.2 签订合同时间：按成交通知书规定的时间与采购人签订政府采购合同（最长不能超过25日）。</w:t>
      </w:r>
    </w:p>
    <w:p w14:paraId="54B3351E">
      <w:pPr>
        <w:spacing w:line="360" w:lineRule="auto"/>
        <w:ind w:firstLine="424" w:firstLineChars="202"/>
        <w:rPr>
          <w:rFonts w:ascii="宋体" w:hAnsi="宋体"/>
          <w:color w:val="auto"/>
          <w:highlight w:val="none"/>
        </w:rPr>
      </w:pPr>
      <w:r>
        <w:rPr>
          <w:rFonts w:hint="eastAsia" w:ascii="宋体" w:hAnsi="宋体"/>
          <w:color w:val="auto"/>
          <w:highlight w:val="none"/>
        </w:rPr>
        <w:t>29.3成交供应商拒绝与采购人签订合同的，按照本须知正文第27.3条的规定执行。</w:t>
      </w:r>
    </w:p>
    <w:p w14:paraId="5994B877">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30.政府采购合同公告</w:t>
      </w:r>
    </w:p>
    <w:p w14:paraId="3D8A515E">
      <w:pPr>
        <w:spacing w:line="360" w:lineRule="auto"/>
        <w:ind w:firstLine="420" w:firstLineChars="200"/>
        <w:rPr>
          <w:rFonts w:ascii="宋体" w:hAnsi="宋体"/>
          <w:color w:val="auto"/>
          <w:highlight w:val="none"/>
        </w:rPr>
      </w:pPr>
      <w:r>
        <w:rPr>
          <w:rFonts w:hint="eastAsia" w:ascii="宋体" w:hAnsi="宋体"/>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F5AC373">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 询问、质疑和投诉</w:t>
      </w:r>
    </w:p>
    <w:p w14:paraId="2B1BFB7E">
      <w:pPr>
        <w:pStyle w:val="4"/>
        <w:spacing w:line="360" w:lineRule="auto"/>
        <w:rPr>
          <w:rFonts w:ascii="宋体" w:hAnsi="宋体"/>
          <w:color w:val="auto"/>
          <w:highlight w:val="none"/>
        </w:rPr>
      </w:pPr>
      <w:r>
        <w:rPr>
          <w:rFonts w:hint="eastAsia" w:ascii="宋体" w:hAnsi="宋体"/>
          <w:color w:val="auto"/>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158CC9F4">
      <w:pPr>
        <w:spacing w:line="360" w:lineRule="auto"/>
        <w:ind w:firstLine="420" w:firstLineChars="200"/>
        <w:rPr>
          <w:rFonts w:ascii="宋体" w:hAnsi="宋体"/>
          <w:color w:val="auto"/>
          <w:highlight w:val="none"/>
        </w:rPr>
      </w:pPr>
      <w:r>
        <w:rPr>
          <w:rFonts w:hint="eastAsia" w:ascii="宋体" w:hAnsi="宋体"/>
          <w:color w:val="auto"/>
          <w:highlight w:val="none"/>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olor w:val="auto"/>
          <w:highlight w:val="none"/>
        </w:rPr>
        <w:t>“供应商须知前附表”。具体质疑起算时间如下：</w:t>
      </w:r>
    </w:p>
    <w:p w14:paraId="6968879D">
      <w:pPr>
        <w:spacing w:line="360" w:lineRule="auto"/>
        <w:ind w:firstLine="420" w:firstLineChars="200"/>
        <w:rPr>
          <w:rFonts w:ascii="宋体" w:hAnsi="宋体"/>
          <w:color w:val="auto"/>
          <w:highlight w:val="none"/>
        </w:rPr>
      </w:pPr>
      <w:r>
        <w:rPr>
          <w:rFonts w:hint="eastAsia" w:ascii="宋体" w:hAnsi="宋体"/>
          <w:color w:val="auto"/>
          <w:highlight w:val="none"/>
        </w:rPr>
        <w:t>（1）对可以质疑的磋商文件提出质疑的，为收到磋商文件之日或者竞争性磋商公告期限届满之日；</w:t>
      </w:r>
    </w:p>
    <w:p w14:paraId="415E1F6B">
      <w:pPr>
        <w:spacing w:line="360" w:lineRule="auto"/>
        <w:ind w:firstLine="420" w:firstLineChars="200"/>
        <w:rPr>
          <w:rFonts w:ascii="宋体" w:hAnsi="宋体"/>
          <w:color w:val="auto"/>
          <w:highlight w:val="none"/>
        </w:rPr>
      </w:pPr>
      <w:r>
        <w:rPr>
          <w:rFonts w:hint="eastAsia" w:ascii="宋体" w:hAnsi="宋体"/>
          <w:color w:val="auto"/>
          <w:highlight w:val="none"/>
        </w:rPr>
        <w:t>（2）对采购过程提出质疑的，为各采购程序环节结束之日；</w:t>
      </w:r>
    </w:p>
    <w:p w14:paraId="351DFCDE">
      <w:pPr>
        <w:spacing w:line="360" w:lineRule="auto"/>
        <w:ind w:firstLine="420" w:firstLineChars="200"/>
        <w:rPr>
          <w:rFonts w:ascii="宋体" w:hAnsi="宋体"/>
          <w:color w:val="auto"/>
          <w:highlight w:val="none"/>
        </w:rPr>
      </w:pPr>
      <w:r>
        <w:rPr>
          <w:rFonts w:hint="eastAsia" w:ascii="宋体" w:hAnsi="宋体"/>
          <w:color w:val="auto"/>
          <w:highlight w:val="none"/>
        </w:rPr>
        <w:t>（3）对成交结果提出质疑的，为成交结果公告期限届满之日。</w:t>
      </w:r>
    </w:p>
    <w:p w14:paraId="53C2D4ED">
      <w:pPr>
        <w:spacing w:line="360" w:lineRule="auto"/>
        <w:ind w:firstLine="420" w:firstLineChars="200"/>
        <w:rPr>
          <w:rFonts w:ascii="宋体" w:hAnsi="宋体"/>
          <w:color w:val="auto"/>
          <w:highlight w:val="none"/>
        </w:rPr>
      </w:pPr>
      <w:r>
        <w:rPr>
          <w:rFonts w:hint="eastAsia" w:ascii="宋体" w:hAnsi="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62BB29">
      <w:pPr>
        <w:spacing w:line="360" w:lineRule="auto"/>
        <w:ind w:firstLine="420" w:firstLineChars="200"/>
        <w:rPr>
          <w:rFonts w:ascii="宋体" w:hAnsi="宋体"/>
          <w:color w:val="auto"/>
          <w:highlight w:val="none"/>
        </w:rPr>
      </w:pPr>
      <w:r>
        <w:rPr>
          <w:rFonts w:hint="eastAsia" w:ascii="宋体" w:hAnsi="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bCs/>
          <w:color w:val="auto"/>
          <w:highlight w:val="none"/>
        </w:rPr>
        <w:t>（质疑函格式后附）</w:t>
      </w:r>
      <w:r>
        <w:rPr>
          <w:rFonts w:hint="eastAsia" w:ascii="宋体" w:hAnsi="宋体"/>
          <w:color w:val="auto"/>
          <w:highlight w:val="none"/>
        </w:rPr>
        <w:t>：</w:t>
      </w:r>
    </w:p>
    <w:p w14:paraId="142539B3">
      <w:pPr>
        <w:spacing w:line="360" w:lineRule="auto"/>
        <w:ind w:firstLine="420" w:firstLineChars="200"/>
        <w:rPr>
          <w:rFonts w:ascii="宋体" w:hAnsi="宋体"/>
          <w:color w:val="auto"/>
          <w:highlight w:val="none"/>
        </w:rPr>
      </w:pPr>
      <w:r>
        <w:rPr>
          <w:rFonts w:hint="eastAsia" w:ascii="宋体" w:hAnsi="宋体"/>
          <w:color w:val="auto"/>
          <w:highlight w:val="none"/>
        </w:rPr>
        <w:t>（1）供应商的姓名或者名称、地址、邮编、联系人及联系电话；</w:t>
      </w:r>
    </w:p>
    <w:p w14:paraId="7CA9B7CA">
      <w:pPr>
        <w:spacing w:line="360" w:lineRule="auto"/>
        <w:ind w:firstLine="420" w:firstLineChars="200"/>
        <w:rPr>
          <w:rFonts w:ascii="宋体" w:hAnsi="宋体"/>
          <w:color w:val="auto"/>
          <w:highlight w:val="none"/>
        </w:rPr>
      </w:pPr>
      <w:r>
        <w:rPr>
          <w:rFonts w:hint="eastAsia" w:ascii="宋体" w:hAnsi="宋体"/>
          <w:color w:val="auto"/>
          <w:highlight w:val="none"/>
        </w:rPr>
        <w:t>（2）质疑项目的名称、编号；</w:t>
      </w:r>
    </w:p>
    <w:p w14:paraId="734B3EC1">
      <w:pPr>
        <w:spacing w:line="360" w:lineRule="auto"/>
        <w:ind w:firstLine="420" w:firstLineChars="200"/>
        <w:rPr>
          <w:rFonts w:ascii="宋体" w:hAnsi="宋体"/>
          <w:color w:val="auto"/>
          <w:highlight w:val="none"/>
        </w:rPr>
      </w:pPr>
      <w:r>
        <w:rPr>
          <w:rFonts w:hint="eastAsia" w:ascii="宋体" w:hAnsi="宋体"/>
          <w:color w:val="auto"/>
          <w:highlight w:val="none"/>
        </w:rPr>
        <w:t>（3）具体、明确的质疑事项和与质疑事项相关的请求；</w:t>
      </w:r>
    </w:p>
    <w:p w14:paraId="4AB2DFC8">
      <w:pPr>
        <w:spacing w:line="360" w:lineRule="auto"/>
        <w:ind w:firstLine="420" w:firstLineChars="200"/>
        <w:rPr>
          <w:rFonts w:ascii="宋体" w:hAnsi="宋体"/>
          <w:color w:val="auto"/>
          <w:highlight w:val="none"/>
        </w:rPr>
      </w:pPr>
      <w:r>
        <w:rPr>
          <w:rFonts w:hint="eastAsia" w:ascii="宋体" w:hAnsi="宋体"/>
          <w:color w:val="auto"/>
          <w:highlight w:val="none"/>
        </w:rPr>
        <w:t>（4）事实依据；</w:t>
      </w:r>
    </w:p>
    <w:p w14:paraId="05E6DDB6">
      <w:pPr>
        <w:spacing w:line="360" w:lineRule="auto"/>
        <w:ind w:firstLine="420" w:firstLineChars="200"/>
        <w:rPr>
          <w:rFonts w:ascii="宋体" w:hAnsi="宋体"/>
          <w:color w:val="auto"/>
          <w:highlight w:val="none"/>
        </w:rPr>
      </w:pPr>
      <w:r>
        <w:rPr>
          <w:rFonts w:hint="eastAsia" w:ascii="宋体" w:hAnsi="宋体"/>
          <w:color w:val="auto"/>
          <w:highlight w:val="none"/>
        </w:rPr>
        <w:t>（5）必要的法律依据；</w:t>
      </w:r>
    </w:p>
    <w:p w14:paraId="78350C2F">
      <w:pPr>
        <w:spacing w:line="360" w:lineRule="auto"/>
        <w:ind w:firstLine="420" w:firstLineChars="200"/>
        <w:rPr>
          <w:rFonts w:ascii="宋体" w:hAnsi="宋体"/>
          <w:color w:val="auto"/>
          <w:highlight w:val="none"/>
        </w:rPr>
      </w:pPr>
      <w:r>
        <w:rPr>
          <w:rFonts w:hint="eastAsia" w:ascii="宋体" w:hAnsi="宋体"/>
          <w:color w:val="auto"/>
          <w:highlight w:val="none"/>
        </w:rPr>
        <w:t>（6）提出质疑的日期。</w:t>
      </w:r>
    </w:p>
    <w:p w14:paraId="427B4285">
      <w:pPr>
        <w:spacing w:line="360" w:lineRule="auto"/>
        <w:ind w:firstLine="420" w:firstLineChars="200"/>
        <w:rPr>
          <w:rFonts w:ascii="宋体" w:hAnsi="宋体"/>
          <w:color w:val="auto"/>
          <w:highlight w:val="none"/>
        </w:rPr>
      </w:pPr>
      <w:r>
        <w:rPr>
          <w:rFonts w:hint="eastAsia" w:ascii="宋体" w:hAnsi="宋体"/>
          <w:color w:val="auto"/>
          <w:highlight w:val="none"/>
        </w:rPr>
        <w:t>供应商为自然人的，应当由本人签字；供应商为法人或者其他组织的，应当由法定代表人、主要负责人，或者其委托代理人签字或者盖章，并加盖公章。</w:t>
      </w:r>
    </w:p>
    <w:p w14:paraId="0568A6F5">
      <w:pPr>
        <w:spacing w:line="360" w:lineRule="auto"/>
        <w:ind w:firstLine="420" w:firstLineChars="200"/>
        <w:rPr>
          <w:rFonts w:ascii="宋体" w:hAnsi="宋体"/>
          <w:color w:val="auto"/>
          <w:highlight w:val="none"/>
        </w:rPr>
      </w:pPr>
      <w:r>
        <w:rPr>
          <w:rFonts w:hint="eastAsia" w:ascii="宋体" w:hAnsi="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6B3D597">
      <w:pPr>
        <w:spacing w:line="360" w:lineRule="auto"/>
        <w:ind w:firstLine="420" w:firstLineChars="200"/>
        <w:rPr>
          <w:rFonts w:ascii="宋体" w:hAnsi="宋体"/>
          <w:color w:val="auto"/>
          <w:highlight w:val="none"/>
        </w:rPr>
      </w:pPr>
      <w:r>
        <w:rPr>
          <w:rFonts w:hint="eastAsia" w:ascii="宋体" w:hAnsi="宋体"/>
          <w:color w:val="auto"/>
          <w:highlight w:val="none"/>
        </w:rPr>
        <w:t>（1）对采购文件提出的质疑，依法通过澄清或者修改可以继续开展采购活动的，澄清或者修改采购文件后继续开展采购活动；否则应当修改采购文件后重新开展采购活动。</w:t>
      </w:r>
    </w:p>
    <w:p w14:paraId="0094BC1D">
      <w:pPr>
        <w:spacing w:line="360" w:lineRule="auto"/>
        <w:ind w:firstLine="420" w:firstLineChars="200"/>
        <w:rPr>
          <w:rFonts w:ascii="宋体" w:hAnsi="宋体"/>
          <w:color w:val="auto"/>
          <w:highlight w:val="none"/>
        </w:rPr>
      </w:pPr>
      <w:r>
        <w:rPr>
          <w:rFonts w:hint="eastAsia" w:ascii="宋体" w:hAnsi="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72A6D858">
      <w:pPr>
        <w:spacing w:line="360" w:lineRule="auto"/>
        <w:ind w:firstLine="420" w:firstLineChars="200"/>
        <w:rPr>
          <w:rFonts w:ascii="宋体" w:hAnsi="宋体"/>
          <w:color w:val="auto"/>
          <w:highlight w:val="none"/>
        </w:rPr>
      </w:pPr>
      <w:r>
        <w:rPr>
          <w:rFonts w:hint="eastAsia" w:ascii="宋体" w:hAnsi="宋体"/>
          <w:color w:val="auto"/>
          <w:highlight w:val="none"/>
        </w:rPr>
        <w:t>质疑答复导致成交结果改变的，采购人或者采购代理机构应当将有关情况书面报告本级财政部门。</w:t>
      </w:r>
    </w:p>
    <w:p w14:paraId="6BCF73D0">
      <w:pPr>
        <w:spacing w:line="360" w:lineRule="auto"/>
        <w:ind w:firstLine="420" w:firstLineChars="200"/>
        <w:rPr>
          <w:rFonts w:ascii="宋体" w:hAnsi="宋体"/>
          <w:color w:val="auto"/>
          <w:highlight w:val="none"/>
        </w:rPr>
      </w:pPr>
      <w:r>
        <w:rPr>
          <w:rFonts w:hint="eastAsia" w:ascii="宋体" w:hAnsi="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2B76B3E">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32.其他内容</w:t>
      </w:r>
    </w:p>
    <w:p w14:paraId="0B55D370">
      <w:pPr>
        <w:tabs>
          <w:tab w:val="left" w:pos="2835"/>
        </w:tabs>
        <w:spacing w:line="360" w:lineRule="auto"/>
        <w:ind w:firstLine="420" w:firstLineChars="200"/>
        <w:rPr>
          <w:rFonts w:ascii="宋体" w:hAnsi="宋体"/>
          <w:color w:val="auto"/>
          <w:highlight w:val="none"/>
        </w:rPr>
      </w:pPr>
      <w:r>
        <w:rPr>
          <w:rFonts w:hint="eastAsia" w:ascii="宋体" w:hAnsi="宋体"/>
          <w:color w:val="auto"/>
          <w:highlight w:val="none"/>
        </w:rPr>
        <w:t>32.1代理服务费：代理服务收取标准及缴费账户详见“供应商须知前附表”，供应商为联合体的，可以由联合体中的一方或者多方共同交纳代理服务费。</w:t>
      </w:r>
    </w:p>
    <w:p w14:paraId="23F8726F">
      <w:pPr>
        <w:tabs>
          <w:tab w:val="left" w:pos="2835"/>
        </w:tabs>
        <w:spacing w:line="360" w:lineRule="auto"/>
        <w:ind w:firstLine="420" w:firstLineChars="200"/>
        <w:rPr>
          <w:rFonts w:ascii="宋体" w:hAnsi="宋体"/>
          <w:color w:val="auto"/>
          <w:highlight w:val="none"/>
        </w:rPr>
      </w:pPr>
      <w:r>
        <w:rPr>
          <w:rFonts w:hint="eastAsia" w:ascii="宋体" w:hAnsi="宋体"/>
          <w:color w:val="auto"/>
          <w:highlight w:val="none"/>
        </w:rPr>
        <w:t>32.2代理服务费收费计算标准：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25D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3FBCFBC8">
            <w:pPr>
              <w:spacing w:line="360" w:lineRule="auto"/>
              <w:rPr>
                <w:rFonts w:ascii="宋体" w:hAnsi="宋体"/>
                <w:color w:val="auto"/>
                <w:highlight w:val="none"/>
              </w:rPr>
            </w:pPr>
            <w:r>
              <w:rPr>
                <w:rFonts w:hint="eastAsia" w:ascii="宋体" w:hAnsi="宋体"/>
                <w:color w:val="auto"/>
                <w:highlight w:val="none"/>
              </w:rPr>
              <w:t xml:space="preserve">               费率</w:t>
            </w:r>
          </w:p>
          <w:p w14:paraId="246CE54B">
            <w:pPr>
              <w:spacing w:line="360" w:lineRule="auto"/>
              <w:rPr>
                <w:rFonts w:ascii="宋体" w:hAnsi="宋体"/>
                <w:color w:val="auto"/>
                <w:highlight w:val="none"/>
              </w:rPr>
            </w:pPr>
            <w:r>
              <w:rPr>
                <w:rFonts w:hint="eastAsia" w:ascii="宋体" w:hAnsi="宋体"/>
                <w:color w:val="auto"/>
                <w:highlight w:val="none"/>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3A76BA9D">
            <w:pPr>
              <w:spacing w:line="360" w:lineRule="auto"/>
              <w:ind w:firstLine="105" w:firstLineChars="50"/>
              <w:jc w:val="center"/>
              <w:rPr>
                <w:rFonts w:ascii="宋体" w:hAnsi="宋体"/>
                <w:color w:val="auto"/>
                <w:highlight w:val="none"/>
              </w:rPr>
            </w:pPr>
            <w:r>
              <w:rPr>
                <w:rFonts w:hint="eastAsia" w:ascii="宋体" w:hAnsi="宋体"/>
                <w:color w:val="auto"/>
                <w:highlight w:val="none"/>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51D71E6B">
            <w:pPr>
              <w:spacing w:line="360" w:lineRule="auto"/>
              <w:jc w:val="center"/>
              <w:rPr>
                <w:rFonts w:ascii="宋体" w:hAnsi="宋体"/>
                <w:color w:val="auto"/>
                <w:highlight w:val="none"/>
              </w:rPr>
            </w:pPr>
            <w:r>
              <w:rPr>
                <w:rFonts w:hint="eastAsia" w:ascii="宋体" w:hAnsi="宋体"/>
                <w:color w:val="auto"/>
                <w:highlight w:val="none"/>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414360AE">
            <w:pPr>
              <w:spacing w:line="360" w:lineRule="auto"/>
              <w:jc w:val="center"/>
              <w:rPr>
                <w:rFonts w:ascii="宋体" w:hAnsi="宋体"/>
                <w:color w:val="auto"/>
                <w:highlight w:val="none"/>
              </w:rPr>
            </w:pPr>
            <w:r>
              <w:rPr>
                <w:rFonts w:hint="eastAsia" w:ascii="宋体" w:hAnsi="宋体"/>
                <w:color w:val="auto"/>
                <w:highlight w:val="none"/>
              </w:rPr>
              <w:t>工程类</w:t>
            </w:r>
          </w:p>
        </w:tc>
      </w:tr>
      <w:tr w14:paraId="012A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25195924">
            <w:pPr>
              <w:spacing w:line="360" w:lineRule="auto"/>
              <w:rPr>
                <w:rFonts w:ascii="宋体" w:hAnsi="宋体"/>
                <w:color w:val="auto"/>
                <w:highlight w:val="none"/>
              </w:rPr>
            </w:pPr>
            <w:r>
              <w:rPr>
                <w:rFonts w:hint="eastAsia" w:ascii="宋体" w:hAnsi="宋体"/>
                <w:color w:val="auto"/>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36306FBD">
            <w:pPr>
              <w:spacing w:line="360" w:lineRule="auto"/>
              <w:rPr>
                <w:rFonts w:ascii="宋体" w:hAnsi="宋体"/>
                <w:color w:val="auto"/>
                <w:highlight w:val="none"/>
              </w:rPr>
            </w:pPr>
            <w:r>
              <w:rPr>
                <w:rFonts w:hint="eastAsia" w:ascii="宋体" w:hAnsi="宋体"/>
                <w:color w:val="auto"/>
                <w:kern w:val="0"/>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tcPr>
          <w:p w14:paraId="522CA4F9">
            <w:pPr>
              <w:spacing w:line="360" w:lineRule="auto"/>
              <w:ind w:firstLine="210" w:firstLineChars="100"/>
              <w:rPr>
                <w:rFonts w:ascii="宋体" w:hAnsi="宋体"/>
                <w:color w:val="auto"/>
                <w:highlight w:val="none"/>
              </w:rPr>
            </w:pPr>
            <w:r>
              <w:rPr>
                <w:rFonts w:hint="eastAsia" w:ascii="宋体" w:hAnsi="宋体"/>
                <w:color w:val="auto"/>
                <w:kern w:val="0"/>
                <w:highlight w:val="none"/>
              </w:rPr>
              <w:t>1.5%</w:t>
            </w:r>
          </w:p>
        </w:tc>
        <w:tc>
          <w:tcPr>
            <w:tcW w:w="1546" w:type="dxa"/>
            <w:tcBorders>
              <w:top w:val="single" w:color="auto" w:sz="4" w:space="0"/>
              <w:left w:val="single" w:color="auto" w:sz="4" w:space="0"/>
              <w:bottom w:val="single" w:color="auto" w:sz="4" w:space="0"/>
              <w:right w:val="single" w:color="auto" w:sz="4" w:space="0"/>
            </w:tcBorders>
          </w:tcPr>
          <w:p w14:paraId="67471B37">
            <w:pPr>
              <w:spacing w:line="360" w:lineRule="auto"/>
              <w:ind w:firstLine="210" w:firstLineChars="100"/>
              <w:rPr>
                <w:rFonts w:ascii="宋体" w:hAnsi="宋体"/>
                <w:color w:val="auto"/>
                <w:highlight w:val="none"/>
              </w:rPr>
            </w:pPr>
            <w:r>
              <w:rPr>
                <w:rFonts w:hint="eastAsia" w:ascii="宋体" w:hAnsi="宋体"/>
                <w:color w:val="auto"/>
                <w:kern w:val="0"/>
                <w:highlight w:val="none"/>
              </w:rPr>
              <w:t xml:space="preserve">1.0% </w:t>
            </w:r>
          </w:p>
        </w:tc>
      </w:tr>
      <w:tr w14:paraId="636B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3B3C8EBA">
            <w:pPr>
              <w:spacing w:line="360" w:lineRule="auto"/>
              <w:rPr>
                <w:rFonts w:ascii="宋体" w:hAnsi="宋体"/>
                <w:color w:val="auto"/>
                <w:highlight w:val="none"/>
              </w:rPr>
            </w:pPr>
            <w:r>
              <w:rPr>
                <w:rFonts w:hint="eastAsia" w:ascii="宋体" w:hAnsi="宋体"/>
                <w:color w:val="auto"/>
                <w:highlight w:val="none"/>
              </w:rPr>
              <w:t>100～500万元</w:t>
            </w:r>
          </w:p>
        </w:tc>
        <w:tc>
          <w:tcPr>
            <w:tcW w:w="1659" w:type="dxa"/>
            <w:tcBorders>
              <w:top w:val="single" w:color="auto" w:sz="4" w:space="0"/>
              <w:left w:val="single" w:color="auto" w:sz="4" w:space="0"/>
              <w:bottom w:val="single" w:color="auto" w:sz="4" w:space="0"/>
              <w:right w:val="single" w:color="auto" w:sz="4" w:space="0"/>
            </w:tcBorders>
          </w:tcPr>
          <w:p w14:paraId="761932DC">
            <w:pPr>
              <w:spacing w:line="360" w:lineRule="auto"/>
              <w:ind w:firstLine="210" w:firstLineChars="100"/>
              <w:rPr>
                <w:rFonts w:ascii="宋体" w:hAnsi="宋体"/>
                <w:color w:val="auto"/>
                <w:highlight w:val="none"/>
              </w:rPr>
            </w:pPr>
            <w:r>
              <w:rPr>
                <w:rFonts w:hint="eastAsia" w:ascii="宋体" w:hAnsi="宋体"/>
                <w:color w:val="auto"/>
                <w:kern w:val="0"/>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tcPr>
          <w:p w14:paraId="6A231707">
            <w:pPr>
              <w:spacing w:line="360" w:lineRule="auto"/>
              <w:ind w:firstLine="210" w:firstLineChars="100"/>
              <w:rPr>
                <w:rFonts w:ascii="宋体" w:hAnsi="宋体"/>
                <w:color w:val="auto"/>
                <w:highlight w:val="none"/>
              </w:rPr>
            </w:pPr>
            <w:r>
              <w:rPr>
                <w:rFonts w:hint="eastAsia" w:ascii="宋体" w:hAnsi="宋体"/>
                <w:color w:val="auto"/>
                <w:kern w:val="0"/>
                <w:highlight w:val="none"/>
              </w:rPr>
              <w:t>0.8%</w:t>
            </w:r>
          </w:p>
        </w:tc>
        <w:tc>
          <w:tcPr>
            <w:tcW w:w="1546" w:type="dxa"/>
            <w:tcBorders>
              <w:top w:val="single" w:color="auto" w:sz="4" w:space="0"/>
              <w:left w:val="single" w:color="auto" w:sz="4" w:space="0"/>
              <w:bottom w:val="single" w:color="auto" w:sz="4" w:space="0"/>
              <w:right w:val="single" w:color="auto" w:sz="4" w:space="0"/>
            </w:tcBorders>
          </w:tcPr>
          <w:p w14:paraId="4572A869">
            <w:pPr>
              <w:spacing w:line="360" w:lineRule="auto"/>
              <w:ind w:firstLine="210" w:firstLineChars="100"/>
              <w:rPr>
                <w:rFonts w:ascii="宋体" w:hAnsi="宋体"/>
                <w:color w:val="auto"/>
                <w:highlight w:val="none"/>
              </w:rPr>
            </w:pPr>
            <w:r>
              <w:rPr>
                <w:rFonts w:hint="eastAsia" w:ascii="宋体" w:hAnsi="宋体"/>
                <w:color w:val="auto"/>
                <w:kern w:val="0"/>
                <w:highlight w:val="none"/>
              </w:rPr>
              <w:t xml:space="preserve">0.7% </w:t>
            </w:r>
          </w:p>
        </w:tc>
      </w:tr>
      <w:tr w14:paraId="0DE1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15F1CCC7">
            <w:pPr>
              <w:spacing w:line="360" w:lineRule="auto"/>
              <w:rPr>
                <w:rFonts w:ascii="宋体" w:hAnsi="宋体"/>
                <w:color w:val="auto"/>
                <w:highlight w:val="none"/>
              </w:rPr>
            </w:pPr>
            <w:r>
              <w:rPr>
                <w:rFonts w:hint="eastAsia" w:ascii="宋体" w:hAnsi="宋体"/>
                <w:color w:val="auto"/>
                <w:highlight w:val="none"/>
              </w:rPr>
              <w:t>500～1000万元</w:t>
            </w:r>
          </w:p>
        </w:tc>
        <w:tc>
          <w:tcPr>
            <w:tcW w:w="1659" w:type="dxa"/>
            <w:tcBorders>
              <w:top w:val="single" w:color="auto" w:sz="4" w:space="0"/>
              <w:left w:val="single" w:color="auto" w:sz="4" w:space="0"/>
              <w:bottom w:val="single" w:color="auto" w:sz="4" w:space="0"/>
              <w:right w:val="single" w:color="auto" w:sz="4" w:space="0"/>
            </w:tcBorders>
          </w:tcPr>
          <w:p w14:paraId="6D57E9F1">
            <w:pPr>
              <w:spacing w:line="360" w:lineRule="auto"/>
              <w:rPr>
                <w:rFonts w:ascii="宋体" w:hAnsi="宋体"/>
                <w:color w:val="auto"/>
                <w:highlight w:val="none"/>
              </w:rPr>
            </w:pPr>
            <w:r>
              <w:rPr>
                <w:rFonts w:hint="eastAsia" w:ascii="宋体" w:hAnsi="宋体"/>
                <w:color w:val="auto"/>
                <w:kern w:val="0"/>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tcPr>
          <w:p w14:paraId="4007B450">
            <w:pPr>
              <w:spacing w:line="360" w:lineRule="auto"/>
              <w:ind w:firstLine="210" w:firstLineChars="100"/>
              <w:rPr>
                <w:rFonts w:ascii="宋体" w:hAnsi="宋体"/>
                <w:color w:val="auto"/>
                <w:highlight w:val="none"/>
              </w:rPr>
            </w:pPr>
            <w:r>
              <w:rPr>
                <w:rFonts w:hint="eastAsia" w:ascii="宋体" w:hAnsi="宋体"/>
                <w:color w:val="auto"/>
                <w:kern w:val="0"/>
                <w:highlight w:val="none"/>
              </w:rPr>
              <w:t>0.45%</w:t>
            </w:r>
          </w:p>
        </w:tc>
        <w:tc>
          <w:tcPr>
            <w:tcW w:w="1546" w:type="dxa"/>
            <w:tcBorders>
              <w:top w:val="single" w:color="auto" w:sz="4" w:space="0"/>
              <w:left w:val="single" w:color="auto" w:sz="4" w:space="0"/>
              <w:bottom w:val="single" w:color="auto" w:sz="4" w:space="0"/>
              <w:right w:val="single" w:color="auto" w:sz="4" w:space="0"/>
            </w:tcBorders>
          </w:tcPr>
          <w:p w14:paraId="79E7ABED">
            <w:pPr>
              <w:spacing w:line="360" w:lineRule="auto"/>
              <w:ind w:firstLine="210" w:firstLineChars="100"/>
              <w:rPr>
                <w:rFonts w:ascii="宋体" w:hAnsi="宋体"/>
                <w:color w:val="auto"/>
                <w:highlight w:val="none"/>
              </w:rPr>
            </w:pPr>
            <w:r>
              <w:rPr>
                <w:rFonts w:hint="eastAsia" w:ascii="宋体" w:hAnsi="宋体"/>
                <w:color w:val="auto"/>
                <w:kern w:val="0"/>
                <w:highlight w:val="none"/>
              </w:rPr>
              <w:t>0.55%</w:t>
            </w:r>
          </w:p>
        </w:tc>
      </w:tr>
      <w:tr w14:paraId="0FE6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112C540B">
            <w:pPr>
              <w:spacing w:line="360" w:lineRule="auto"/>
              <w:rPr>
                <w:rFonts w:ascii="宋体" w:hAnsi="宋体"/>
                <w:color w:val="auto"/>
                <w:highlight w:val="none"/>
              </w:rPr>
            </w:pPr>
            <w:r>
              <w:rPr>
                <w:rFonts w:hint="eastAsia" w:ascii="宋体" w:hAnsi="宋体"/>
                <w:color w:val="auto"/>
                <w:highlight w:val="none"/>
              </w:rPr>
              <w:t>1000～5000万元</w:t>
            </w:r>
          </w:p>
        </w:tc>
        <w:tc>
          <w:tcPr>
            <w:tcW w:w="1659" w:type="dxa"/>
            <w:tcBorders>
              <w:top w:val="single" w:color="auto" w:sz="4" w:space="0"/>
              <w:left w:val="single" w:color="auto" w:sz="4" w:space="0"/>
              <w:bottom w:val="single" w:color="auto" w:sz="4" w:space="0"/>
              <w:right w:val="single" w:color="auto" w:sz="4" w:space="0"/>
            </w:tcBorders>
          </w:tcPr>
          <w:p w14:paraId="5EBAB8C3">
            <w:pPr>
              <w:spacing w:line="360" w:lineRule="auto"/>
              <w:ind w:firstLine="210" w:firstLineChars="100"/>
              <w:rPr>
                <w:rFonts w:ascii="宋体" w:hAnsi="宋体"/>
                <w:color w:val="auto"/>
                <w:highlight w:val="none"/>
              </w:rPr>
            </w:pPr>
            <w:r>
              <w:rPr>
                <w:rFonts w:hint="eastAsia" w:ascii="宋体" w:hAnsi="宋体"/>
                <w:color w:val="auto"/>
                <w:kern w:val="0"/>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tcPr>
          <w:p w14:paraId="5931AA34">
            <w:pPr>
              <w:spacing w:line="360" w:lineRule="auto"/>
              <w:ind w:firstLine="210" w:firstLineChars="100"/>
              <w:rPr>
                <w:rFonts w:ascii="宋体" w:hAnsi="宋体"/>
                <w:color w:val="auto"/>
                <w:highlight w:val="none"/>
              </w:rPr>
            </w:pPr>
            <w:r>
              <w:rPr>
                <w:rFonts w:hint="eastAsia" w:ascii="宋体" w:hAnsi="宋体"/>
                <w:color w:val="auto"/>
                <w:kern w:val="0"/>
                <w:highlight w:val="none"/>
              </w:rPr>
              <w:t>0.25%</w:t>
            </w:r>
          </w:p>
        </w:tc>
        <w:tc>
          <w:tcPr>
            <w:tcW w:w="1546" w:type="dxa"/>
            <w:tcBorders>
              <w:top w:val="single" w:color="auto" w:sz="4" w:space="0"/>
              <w:left w:val="single" w:color="auto" w:sz="4" w:space="0"/>
              <w:bottom w:val="single" w:color="auto" w:sz="4" w:space="0"/>
              <w:right w:val="single" w:color="auto" w:sz="4" w:space="0"/>
            </w:tcBorders>
          </w:tcPr>
          <w:p w14:paraId="7ECFF162">
            <w:pPr>
              <w:spacing w:line="360" w:lineRule="auto"/>
              <w:ind w:firstLine="210" w:firstLineChars="100"/>
              <w:rPr>
                <w:rFonts w:ascii="宋体" w:hAnsi="宋体"/>
                <w:color w:val="auto"/>
                <w:highlight w:val="none"/>
              </w:rPr>
            </w:pPr>
            <w:r>
              <w:rPr>
                <w:rFonts w:hint="eastAsia" w:ascii="宋体" w:hAnsi="宋体"/>
                <w:color w:val="auto"/>
                <w:kern w:val="0"/>
                <w:highlight w:val="none"/>
              </w:rPr>
              <w:t xml:space="preserve">0.35% </w:t>
            </w:r>
          </w:p>
        </w:tc>
      </w:tr>
      <w:tr w14:paraId="156E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16243A09">
            <w:pPr>
              <w:spacing w:line="360" w:lineRule="auto"/>
              <w:rPr>
                <w:rFonts w:ascii="宋体" w:hAnsi="宋体"/>
                <w:color w:val="auto"/>
                <w:highlight w:val="none"/>
              </w:rPr>
            </w:pPr>
            <w:r>
              <w:rPr>
                <w:rFonts w:hint="eastAsia" w:ascii="宋体" w:hAnsi="宋体"/>
                <w:color w:val="auto"/>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56499D95">
            <w:pPr>
              <w:spacing w:line="360" w:lineRule="auto"/>
              <w:ind w:firstLine="210" w:firstLineChars="100"/>
              <w:rPr>
                <w:rFonts w:ascii="宋体" w:hAnsi="宋体"/>
                <w:color w:val="auto"/>
                <w:highlight w:val="none"/>
              </w:rPr>
            </w:pPr>
            <w:r>
              <w:rPr>
                <w:rFonts w:hint="eastAsia" w:ascii="宋体" w:hAnsi="宋体"/>
                <w:color w:val="auto"/>
                <w:kern w:val="0"/>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tcPr>
          <w:p w14:paraId="3C6B2C61">
            <w:pPr>
              <w:spacing w:line="360" w:lineRule="auto"/>
              <w:ind w:firstLine="210" w:firstLineChars="100"/>
              <w:rPr>
                <w:rFonts w:ascii="宋体" w:hAnsi="宋体"/>
                <w:color w:val="auto"/>
                <w:highlight w:val="none"/>
              </w:rPr>
            </w:pPr>
            <w:r>
              <w:rPr>
                <w:rFonts w:hint="eastAsia" w:ascii="宋体" w:hAnsi="宋体"/>
                <w:color w:val="auto"/>
                <w:kern w:val="0"/>
                <w:highlight w:val="none"/>
              </w:rPr>
              <w:t>0.1%</w:t>
            </w:r>
          </w:p>
        </w:tc>
        <w:tc>
          <w:tcPr>
            <w:tcW w:w="1546" w:type="dxa"/>
            <w:tcBorders>
              <w:top w:val="single" w:color="auto" w:sz="4" w:space="0"/>
              <w:left w:val="single" w:color="auto" w:sz="4" w:space="0"/>
              <w:bottom w:val="single" w:color="auto" w:sz="4" w:space="0"/>
              <w:right w:val="single" w:color="auto" w:sz="4" w:space="0"/>
            </w:tcBorders>
          </w:tcPr>
          <w:p w14:paraId="01792932">
            <w:pPr>
              <w:spacing w:line="360" w:lineRule="auto"/>
              <w:ind w:firstLine="210" w:firstLineChars="100"/>
              <w:rPr>
                <w:rFonts w:ascii="宋体" w:hAnsi="宋体"/>
                <w:color w:val="auto"/>
                <w:highlight w:val="none"/>
              </w:rPr>
            </w:pPr>
            <w:r>
              <w:rPr>
                <w:rFonts w:hint="eastAsia" w:ascii="宋体" w:hAnsi="宋体"/>
                <w:color w:val="auto"/>
                <w:kern w:val="0"/>
                <w:highlight w:val="none"/>
              </w:rPr>
              <w:t>0.2%</w:t>
            </w:r>
          </w:p>
        </w:tc>
      </w:tr>
      <w:tr w14:paraId="4CC6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37D10DA8">
            <w:pPr>
              <w:spacing w:line="360" w:lineRule="auto"/>
              <w:rPr>
                <w:rFonts w:ascii="宋体" w:hAnsi="宋体"/>
                <w:color w:val="auto"/>
                <w:highlight w:val="none"/>
              </w:rPr>
            </w:pPr>
            <w:r>
              <w:rPr>
                <w:rFonts w:hint="eastAsia" w:ascii="宋体" w:hAnsi="宋体"/>
                <w:color w:val="auto"/>
                <w:highlight w:val="none"/>
              </w:rPr>
              <w:t>1～5亿元</w:t>
            </w:r>
          </w:p>
        </w:tc>
        <w:tc>
          <w:tcPr>
            <w:tcW w:w="1659" w:type="dxa"/>
            <w:tcBorders>
              <w:top w:val="single" w:color="auto" w:sz="4" w:space="0"/>
              <w:left w:val="single" w:color="auto" w:sz="4" w:space="0"/>
              <w:bottom w:val="single" w:color="auto" w:sz="4" w:space="0"/>
              <w:right w:val="single" w:color="auto" w:sz="4" w:space="0"/>
            </w:tcBorders>
          </w:tcPr>
          <w:p w14:paraId="65DA6929">
            <w:pPr>
              <w:spacing w:line="360" w:lineRule="auto"/>
              <w:ind w:firstLine="210" w:firstLineChars="100"/>
              <w:rPr>
                <w:rFonts w:ascii="宋体" w:hAnsi="宋体"/>
                <w:color w:val="auto"/>
                <w:highlight w:val="none"/>
              </w:rPr>
            </w:pPr>
            <w:r>
              <w:rPr>
                <w:rFonts w:hint="eastAsia" w:ascii="宋体" w:hAnsi="宋体"/>
                <w:color w:val="auto"/>
                <w:highlight w:val="none"/>
              </w:rPr>
              <w:t>0.05%</w:t>
            </w:r>
          </w:p>
        </w:tc>
        <w:tc>
          <w:tcPr>
            <w:tcW w:w="1532" w:type="dxa"/>
            <w:tcBorders>
              <w:top w:val="single" w:color="auto" w:sz="4" w:space="0"/>
              <w:left w:val="single" w:color="auto" w:sz="4" w:space="0"/>
              <w:bottom w:val="single" w:color="auto" w:sz="4" w:space="0"/>
              <w:right w:val="single" w:color="auto" w:sz="4" w:space="0"/>
            </w:tcBorders>
          </w:tcPr>
          <w:p w14:paraId="6DAB14E4">
            <w:pPr>
              <w:spacing w:line="360" w:lineRule="auto"/>
              <w:rPr>
                <w:rFonts w:ascii="宋体" w:hAnsi="宋体"/>
                <w:color w:val="auto"/>
                <w:highlight w:val="none"/>
              </w:rPr>
            </w:pPr>
            <w:r>
              <w:rPr>
                <w:rFonts w:hint="eastAsia" w:ascii="宋体" w:hAnsi="宋体"/>
                <w:color w:val="auto"/>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tcPr>
          <w:p w14:paraId="525129AA">
            <w:pPr>
              <w:spacing w:line="360" w:lineRule="auto"/>
              <w:rPr>
                <w:rFonts w:ascii="宋体" w:hAnsi="宋体"/>
                <w:color w:val="auto"/>
                <w:highlight w:val="none"/>
              </w:rPr>
            </w:pPr>
            <w:r>
              <w:rPr>
                <w:rFonts w:hint="eastAsia" w:ascii="宋体" w:hAnsi="宋体"/>
                <w:color w:val="auto"/>
                <w:highlight w:val="none"/>
              </w:rPr>
              <w:t xml:space="preserve">  0.05%</w:t>
            </w:r>
          </w:p>
        </w:tc>
      </w:tr>
      <w:tr w14:paraId="7E29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3D3C4C3C">
            <w:pPr>
              <w:spacing w:line="360" w:lineRule="auto"/>
              <w:rPr>
                <w:rFonts w:ascii="宋体" w:hAnsi="宋体"/>
                <w:color w:val="auto"/>
                <w:highlight w:val="none"/>
              </w:rPr>
            </w:pPr>
            <w:r>
              <w:rPr>
                <w:rFonts w:hint="eastAsia" w:ascii="宋体" w:hAnsi="宋体"/>
                <w:color w:val="auto"/>
                <w:highlight w:val="none"/>
              </w:rPr>
              <w:t>5～10亿元</w:t>
            </w:r>
          </w:p>
        </w:tc>
        <w:tc>
          <w:tcPr>
            <w:tcW w:w="1659" w:type="dxa"/>
            <w:tcBorders>
              <w:top w:val="single" w:color="auto" w:sz="4" w:space="0"/>
              <w:left w:val="single" w:color="auto" w:sz="4" w:space="0"/>
              <w:bottom w:val="single" w:color="auto" w:sz="4" w:space="0"/>
              <w:right w:val="single" w:color="auto" w:sz="4" w:space="0"/>
            </w:tcBorders>
          </w:tcPr>
          <w:p w14:paraId="38EAC50D">
            <w:pPr>
              <w:spacing w:line="360" w:lineRule="auto"/>
              <w:ind w:firstLine="105" w:firstLineChars="50"/>
              <w:rPr>
                <w:rFonts w:ascii="宋体" w:hAnsi="宋体"/>
                <w:color w:val="auto"/>
                <w:highlight w:val="none"/>
              </w:rPr>
            </w:pPr>
            <w:r>
              <w:rPr>
                <w:rFonts w:hint="eastAsia" w:ascii="宋体" w:hAnsi="宋体"/>
                <w:color w:val="auto"/>
                <w:highlight w:val="none"/>
              </w:rPr>
              <w:t>0.035%</w:t>
            </w:r>
          </w:p>
        </w:tc>
        <w:tc>
          <w:tcPr>
            <w:tcW w:w="1532" w:type="dxa"/>
            <w:tcBorders>
              <w:top w:val="single" w:color="auto" w:sz="4" w:space="0"/>
              <w:left w:val="single" w:color="auto" w:sz="4" w:space="0"/>
              <w:bottom w:val="single" w:color="auto" w:sz="4" w:space="0"/>
              <w:right w:val="single" w:color="auto" w:sz="4" w:space="0"/>
            </w:tcBorders>
          </w:tcPr>
          <w:p w14:paraId="315ACAC6">
            <w:pPr>
              <w:spacing w:line="360" w:lineRule="auto"/>
              <w:rPr>
                <w:rFonts w:ascii="宋体" w:hAnsi="宋体"/>
                <w:color w:val="auto"/>
                <w:highlight w:val="none"/>
              </w:rPr>
            </w:pPr>
            <w:r>
              <w:rPr>
                <w:rFonts w:hint="eastAsia" w:ascii="宋体" w:hAnsi="宋体"/>
                <w:color w:val="auto"/>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043EFB66">
            <w:pPr>
              <w:spacing w:line="360" w:lineRule="auto"/>
              <w:ind w:firstLine="105" w:firstLineChars="50"/>
              <w:rPr>
                <w:rFonts w:ascii="宋体" w:hAnsi="宋体"/>
                <w:color w:val="auto"/>
                <w:highlight w:val="none"/>
              </w:rPr>
            </w:pPr>
            <w:r>
              <w:rPr>
                <w:rFonts w:hint="eastAsia" w:ascii="宋体" w:hAnsi="宋体"/>
                <w:color w:val="auto"/>
                <w:highlight w:val="none"/>
              </w:rPr>
              <w:t>0.035%</w:t>
            </w:r>
          </w:p>
        </w:tc>
      </w:tr>
      <w:tr w14:paraId="23D0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3310D1D8">
            <w:pPr>
              <w:spacing w:line="360" w:lineRule="auto"/>
              <w:rPr>
                <w:rFonts w:ascii="宋体" w:hAnsi="宋体"/>
                <w:color w:val="auto"/>
                <w:highlight w:val="none"/>
              </w:rPr>
            </w:pPr>
            <w:r>
              <w:rPr>
                <w:rFonts w:hint="eastAsia" w:ascii="宋体" w:hAnsi="宋体"/>
                <w:color w:val="auto"/>
                <w:highlight w:val="none"/>
              </w:rPr>
              <w:t>10～50亿元</w:t>
            </w:r>
          </w:p>
        </w:tc>
        <w:tc>
          <w:tcPr>
            <w:tcW w:w="1659" w:type="dxa"/>
            <w:tcBorders>
              <w:top w:val="single" w:color="auto" w:sz="4" w:space="0"/>
              <w:left w:val="single" w:color="auto" w:sz="4" w:space="0"/>
              <w:bottom w:val="single" w:color="auto" w:sz="4" w:space="0"/>
              <w:right w:val="single" w:color="auto" w:sz="4" w:space="0"/>
            </w:tcBorders>
          </w:tcPr>
          <w:p w14:paraId="234C9B46">
            <w:pPr>
              <w:spacing w:line="360" w:lineRule="auto"/>
              <w:ind w:firstLine="105" w:firstLineChars="50"/>
              <w:rPr>
                <w:rFonts w:ascii="宋体" w:hAnsi="宋体"/>
                <w:color w:val="auto"/>
                <w:highlight w:val="none"/>
              </w:rPr>
            </w:pPr>
            <w:r>
              <w:rPr>
                <w:rFonts w:hint="eastAsia" w:ascii="宋体" w:hAnsi="宋体"/>
                <w:color w:val="auto"/>
                <w:highlight w:val="none"/>
              </w:rPr>
              <w:t>0.008%</w:t>
            </w:r>
          </w:p>
        </w:tc>
        <w:tc>
          <w:tcPr>
            <w:tcW w:w="1532" w:type="dxa"/>
            <w:tcBorders>
              <w:top w:val="single" w:color="auto" w:sz="4" w:space="0"/>
              <w:left w:val="single" w:color="auto" w:sz="4" w:space="0"/>
              <w:bottom w:val="single" w:color="auto" w:sz="4" w:space="0"/>
              <w:right w:val="single" w:color="auto" w:sz="4" w:space="0"/>
            </w:tcBorders>
          </w:tcPr>
          <w:p w14:paraId="635D664D">
            <w:pPr>
              <w:spacing w:line="360" w:lineRule="auto"/>
              <w:ind w:firstLine="210" w:firstLineChars="100"/>
              <w:rPr>
                <w:rFonts w:ascii="宋体" w:hAnsi="宋体"/>
                <w:color w:val="auto"/>
                <w:highlight w:val="none"/>
              </w:rPr>
            </w:pPr>
            <w:r>
              <w:rPr>
                <w:rFonts w:hint="eastAsia" w:ascii="宋体" w:hAnsi="宋体"/>
                <w:color w:val="auto"/>
                <w:highlight w:val="none"/>
              </w:rPr>
              <w:t>0.008%</w:t>
            </w:r>
          </w:p>
        </w:tc>
        <w:tc>
          <w:tcPr>
            <w:tcW w:w="1546" w:type="dxa"/>
            <w:tcBorders>
              <w:top w:val="single" w:color="auto" w:sz="4" w:space="0"/>
              <w:left w:val="single" w:color="auto" w:sz="4" w:space="0"/>
              <w:bottom w:val="single" w:color="auto" w:sz="4" w:space="0"/>
              <w:right w:val="single" w:color="auto" w:sz="4" w:space="0"/>
            </w:tcBorders>
          </w:tcPr>
          <w:p w14:paraId="356EFDE7">
            <w:pPr>
              <w:spacing w:line="360" w:lineRule="auto"/>
              <w:ind w:firstLine="105" w:firstLineChars="50"/>
              <w:rPr>
                <w:rFonts w:ascii="宋体" w:hAnsi="宋体"/>
                <w:color w:val="auto"/>
                <w:highlight w:val="none"/>
              </w:rPr>
            </w:pPr>
            <w:r>
              <w:rPr>
                <w:rFonts w:hint="eastAsia" w:ascii="宋体" w:hAnsi="宋体"/>
                <w:color w:val="auto"/>
                <w:highlight w:val="none"/>
              </w:rPr>
              <w:t>0.008%</w:t>
            </w:r>
          </w:p>
        </w:tc>
      </w:tr>
      <w:tr w14:paraId="0446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734FA7CB">
            <w:pPr>
              <w:spacing w:line="360" w:lineRule="auto"/>
              <w:rPr>
                <w:rFonts w:ascii="宋体" w:hAnsi="宋体"/>
                <w:color w:val="auto"/>
                <w:highlight w:val="none"/>
              </w:rPr>
            </w:pPr>
            <w:r>
              <w:rPr>
                <w:rFonts w:hint="eastAsia" w:ascii="宋体" w:hAnsi="宋体"/>
                <w:color w:val="auto"/>
                <w:highlight w:val="none"/>
              </w:rPr>
              <w:t>50～100亿元</w:t>
            </w:r>
          </w:p>
        </w:tc>
        <w:tc>
          <w:tcPr>
            <w:tcW w:w="1659" w:type="dxa"/>
            <w:tcBorders>
              <w:top w:val="single" w:color="auto" w:sz="4" w:space="0"/>
              <w:left w:val="single" w:color="auto" w:sz="4" w:space="0"/>
              <w:bottom w:val="single" w:color="auto" w:sz="4" w:space="0"/>
              <w:right w:val="single" w:color="auto" w:sz="4" w:space="0"/>
            </w:tcBorders>
          </w:tcPr>
          <w:p w14:paraId="3486BF72">
            <w:pPr>
              <w:spacing w:line="360" w:lineRule="auto"/>
              <w:rPr>
                <w:rFonts w:ascii="宋体" w:hAnsi="宋体"/>
                <w:color w:val="auto"/>
                <w:highlight w:val="none"/>
              </w:rPr>
            </w:pPr>
            <w:r>
              <w:rPr>
                <w:rFonts w:hint="eastAsia" w:ascii="宋体" w:hAnsi="宋体"/>
                <w:color w:val="auto"/>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7A3C8C92">
            <w:pPr>
              <w:spacing w:line="360" w:lineRule="auto"/>
              <w:ind w:firstLine="210" w:firstLineChars="100"/>
              <w:rPr>
                <w:rFonts w:ascii="宋体" w:hAnsi="宋体"/>
                <w:color w:val="auto"/>
                <w:highlight w:val="none"/>
              </w:rPr>
            </w:pPr>
            <w:r>
              <w:rPr>
                <w:rFonts w:hint="eastAsia" w:ascii="宋体" w:hAnsi="宋体"/>
                <w:color w:val="auto"/>
                <w:highlight w:val="none"/>
              </w:rPr>
              <w:t>0.006%</w:t>
            </w:r>
          </w:p>
        </w:tc>
        <w:tc>
          <w:tcPr>
            <w:tcW w:w="1546" w:type="dxa"/>
            <w:tcBorders>
              <w:top w:val="single" w:color="auto" w:sz="4" w:space="0"/>
              <w:left w:val="single" w:color="auto" w:sz="4" w:space="0"/>
              <w:bottom w:val="single" w:color="auto" w:sz="4" w:space="0"/>
              <w:right w:val="single" w:color="auto" w:sz="4" w:space="0"/>
            </w:tcBorders>
          </w:tcPr>
          <w:p w14:paraId="41204EDC">
            <w:pPr>
              <w:spacing w:line="360" w:lineRule="auto"/>
              <w:ind w:firstLine="105" w:firstLineChars="50"/>
              <w:rPr>
                <w:rFonts w:ascii="宋体" w:hAnsi="宋体"/>
                <w:color w:val="auto"/>
                <w:highlight w:val="none"/>
              </w:rPr>
            </w:pPr>
            <w:r>
              <w:rPr>
                <w:rFonts w:hint="eastAsia" w:ascii="宋体" w:hAnsi="宋体"/>
                <w:color w:val="auto"/>
                <w:highlight w:val="none"/>
              </w:rPr>
              <w:t>0.006%</w:t>
            </w:r>
          </w:p>
        </w:tc>
      </w:tr>
      <w:tr w14:paraId="028B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69371A93">
            <w:pPr>
              <w:spacing w:line="360" w:lineRule="auto"/>
              <w:rPr>
                <w:rFonts w:ascii="宋体" w:hAnsi="宋体"/>
                <w:color w:val="auto"/>
                <w:highlight w:val="none"/>
              </w:rPr>
            </w:pPr>
            <w:r>
              <w:rPr>
                <w:rFonts w:hint="eastAsia" w:ascii="宋体" w:hAnsi="宋体"/>
                <w:color w:val="auto"/>
                <w:highlight w:val="none"/>
              </w:rPr>
              <w:t>100亿以上</w:t>
            </w:r>
          </w:p>
        </w:tc>
        <w:tc>
          <w:tcPr>
            <w:tcW w:w="1659" w:type="dxa"/>
            <w:tcBorders>
              <w:top w:val="single" w:color="auto" w:sz="4" w:space="0"/>
              <w:left w:val="single" w:color="auto" w:sz="4" w:space="0"/>
              <w:bottom w:val="single" w:color="auto" w:sz="4" w:space="0"/>
              <w:right w:val="single" w:color="auto" w:sz="4" w:space="0"/>
            </w:tcBorders>
          </w:tcPr>
          <w:p w14:paraId="6D870236">
            <w:pPr>
              <w:spacing w:line="360" w:lineRule="auto"/>
              <w:rPr>
                <w:rFonts w:ascii="宋体" w:hAnsi="宋体"/>
                <w:color w:val="auto"/>
                <w:highlight w:val="none"/>
              </w:rPr>
            </w:pPr>
            <w:r>
              <w:rPr>
                <w:rFonts w:hint="eastAsia" w:ascii="宋体" w:hAnsi="宋体"/>
                <w:color w:val="auto"/>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503640F9">
            <w:pPr>
              <w:spacing w:line="360" w:lineRule="auto"/>
              <w:ind w:firstLine="210" w:firstLineChars="100"/>
              <w:rPr>
                <w:rFonts w:ascii="宋体" w:hAnsi="宋体"/>
                <w:color w:val="auto"/>
                <w:highlight w:val="none"/>
              </w:rPr>
            </w:pPr>
            <w:r>
              <w:rPr>
                <w:rFonts w:hint="eastAsia" w:ascii="宋体" w:hAnsi="宋体"/>
                <w:color w:val="auto"/>
                <w:highlight w:val="none"/>
              </w:rPr>
              <w:t>0.004%</w:t>
            </w:r>
          </w:p>
        </w:tc>
        <w:tc>
          <w:tcPr>
            <w:tcW w:w="1546" w:type="dxa"/>
            <w:tcBorders>
              <w:top w:val="single" w:color="auto" w:sz="4" w:space="0"/>
              <w:left w:val="single" w:color="auto" w:sz="4" w:space="0"/>
              <w:bottom w:val="single" w:color="auto" w:sz="4" w:space="0"/>
              <w:right w:val="single" w:color="auto" w:sz="4" w:space="0"/>
            </w:tcBorders>
          </w:tcPr>
          <w:p w14:paraId="7152C090">
            <w:pPr>
              <w:spacing w:line="360" w:lineRule="auto"/>
              <w:ind w:firstLine="105" w:firstLineChars="50"/>
              <w:rPr>
                <w:rFonts w:ascii="宋体" w:hAnsi="宋体"/>
                <w:color w:val="auto"/>
                <w:highlight w:val="none"/>
              </w:rPr>
            </w:pPr>
            <w:r>
              <w:rPr>
                <w:rFonts w:hint="eastAsia" w:ascii="宋体" w:hAnsi="宋体"/>
                <w:color w:val="auto"/>
                <w:highlight w:val="none"/>
              </w:rPr>
              <w:t>0.004%</w:t>
            </w:r>
          </w:p>
        </w:tc>
      </w:tr>
    </w:tbl>
    <w:p w14:paraId="158D9491">
      <w:pPr>
        <w:spacing w:line="360" w:lineRule="auto"/>
        <w:ind w:firstLine="420" w:firstLineChars="200"/>
        <w:rPr>
          <w:rFonts w:ascii="宋体" w:hAnsi="宋体"/>
          <w:color w:val="auto"/>
          <w:highlight w:val="none"/>
        </w:rPr>
      </w:pPr>
      <w:r>
        <w:rPr>
          <w:rFonts w:hint="eastAsia" w:ascii="宋体" w:hAnsi="宋体"/>
          <w:color w:val="auto"/>
          <w:highlight w:val="none"/>
        </w:rPr>
        <w:t>注：</w:t>
      </w:r>
    </w:p>
    <w:p w14:paraId="57C71A7C">
      <w:pPr>
        <w:spacing w:line="360" w:lineRule="auto"/>
        <w:ind w:firstLine="420" w:firstLineChars="200"/>
        <w:rPr>
          <w:rFonts w:ascii="宋体" w:hAnsi="宋体"/>
          <w:color w:val="auto"/>
          <w:highlight w:val="none"/>
        </w:rPr>
      </w:pPr>
      <w:r>
        <w:rPr>
          <w:rFonts w:hint="eastAsia" w:ascii="宋体" w:hAnsi="宋体"/>
          <w:color w:val="auto"/>
          <w:highlight w:val="none"/>
        </w:rPr>
        <w:t>（1）按本表费率计算的收费为采购代理的收费基准价格；</w:t>
      </w:r>
    </w:p>
    <w:p w14:paraId="59AAF9F8">
      <w:pPr>
        <w:spacing w:line="360" w:lineRule="auto"/>
        <w:ind w:firstLine="420" w:firstLineChars="200"/>
        <w:rPr>
          <w:rFonts w:ascii="宋体" w:hAnsi="宋体"/>
          <w:color w:val="auto"/>
          <w:highlight w:val="none"/>
        </w:rPr>
      </w:pPr>
      <w:r>
        <w:rPr>
          <w:rFonts w:hint="eastAsia" w:ascii="宋体" w:hAnsi="宋体"/>
          <w:color w:val="auto"/>
          <w:highlight w:val="none"/>
        </w:rPr>
        <w:t>（2）采购代理收费按差额定率累进法计算。</w:t>
      </w:r>
    </w:p>
    <w:p w14:paraId="017A9759">
      <w:pPr>
        <w:spacing w:line="360" w:lineRule="auto"/>
        <w:ind w:firstLine="420" w:firstLineChars="200"/>
        <w:rPr>
          <w:rFonts w:ascii="宋体" w:hAnsi="宋体"/>
          <w:color w:val="auto"/>
          <w:highlight w:val="none"/>
        </w:rPr>
      </w:pPr>
      <w:r>
        <w:rPr>
          <w:rFonts w:hint="eastAsia" w:ascii="宋体" w:hAnsi="宋体"/>
          <w:color w:val="auto"/>
          <w:highlight w:val="none"/>
        </w:rPr>
        <w:t>例如：某服务采购代理业务成交金额或者暂定价为150万元，计算采购代理收费额如下：</w:t>
      </w:r>
    </w:p>
    <w:p w14:paraId="38F2C9F6">
      <w:pPr>
        <w:spacing w:line="360" w:lineRule="auto"/>
        <w:ind w:firstLine="420" w:firstLineChars="200"/>
        <w:rPr>
          <w:rFonts w:ascii="宋体" w:hAnsi="宋体"/>
          <w:color w:val="auto"/>
          <w:highlight w:val="none"/>
        </w:rPr>
      </w:pPr>
      <w:r>
        <w:rPr>
          <w:rFonts w:hint="eastAsia" w:ascii="宋体" w:hAnsi="宋体"/>
          <w:color w:val="auto"/>
          <w:highlight w:val="none"/>
        </w:rPr>
        <w:t>100 万元 ×l.5 %＝ 1.5 万元</w:t>
      </w:r>
    </w:p>
    <w:p w14:paraId="1DFA0FF1">
      <w:pPr>
        <w:spacing w:line="360" w:lineRule="auto"/>
        <w:ind w:firstLine="420" w:firstLineChars="200"/>
        <w:rPr>
          <w:rFonts w:ascii="宋体" w:hAnsi="宋体"/>
          <w:color w:val="auto"/>
          <w:highlight w:val="none"/>
        </w:rPr>
      </w:pPr>
      <w:r>
        <w:rPr>
          <w:rFonts w:hint="eastAsia" w:ascii="宋体" w:hAnsi="宋体"/>
          <w:color w:val="auto"/>
          <w:highlight w:val="none"/>
        </w:rPr>
        <w:t>（ 150 － 100 ）万元 ×0.8%＝ 0.4万元</w:t>
      </w:r>
    </w:p>
    <w:p w14:paraId="68BB8FE1">
      <w:pPr>
        <w:spacing w:line="360" w:lineRule="auto"/>
        <w:ind w:firstLine="420" w:firstLineChars="200"/>
        <w:rPr>
          <w:rFonts w:ascii="宋体" w:hAnsi="宋体"/>
          <w:color w:val="auto"/>
          <w:highlight w:val="none"/>
        </w:rPr>
      </w:pPr>
      <w:r>
        <w:rPr>
          <w:rFonts w:hint="eastAsia" w:ascii="宋体" w:hAnsi="宋体"/>
          <w:color w:val="auto"/>
          <w:highlight w:val="none"/>
        </w:rPr>
        <w:t>合计收费＝ 1.5 ＋ 0.4＝ 1.9 万元</w:t>
      </w:r>
    </w:p>
    <w:p w14:paraId="37371008">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32.3 采购代理服务费交纳银行帐号信息：</w:t>
      </w:r>
      <w:r>
        <w:rPr>
          <w:rFonts w:hint="eastAsia" w:ascii="宋体" w:hAnsi="宋体"/>
          <w:color w:val="auto"/>
          <w:highlight w:val="none"/>
        </w:rPr>
        <w:t>详见“供应商须知前附表”。</w:t>
      </w:r>
    </w:p>
    <w:p w14:paraId="0359DC4E">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33.需要补充的其他内容</w:t>
      </w:r>
    </w:p>
    <w:p w14:paraId="088527B6">
      <w:pPr>
        <w:pStyle w:val="10"/>
        <w:spacing w:line="360" w:lineRule="auto"/>
        <w:ind w:firstLine="420" w:firstLineChars="200"/>
        <w:textAlignment w:val="center"/>
        <w:rPr>
          <w:rFonts w:hAnsi="宋体"/>
          <w:color w:val="auto"/>
          <w:kern w:val="2"/>
          <w:sz w:val="21"/>
          <w:szCs w:val="21"/>
          <w:highlight w:val="none"/>
        </w:rPr>
      </w:pPr>
      <w:r>
        <w:rPr>
          <w:rFonts w:hint="eastAsia" w:hAnsi="宋体"/>
          <w:color w:val="auto"/>
          <w:kern w:val="2"/>
          <w:sz w:val="21"/>
          <w:szCs w:val="21"/>
          <w:highlight w:val="none"/>
        </w:rPr>
        <w:t>33.1本磋商文件解释规则详见“供应商须知前附表”。</w:t>
      </w:r>
    </w:p>
    <w:p w14:paraId="75D05043">
      <w:pPr>
        <w:pStyle w:val="10"/>
        <w:spacing w:line="360" w:lineRule="auto"/>
        <w:ind w:firstLine="420" w:firstLineChars="200"/>
        <w:textAlignment w:val="center"/>
        <w:rPr>
          <w:rFonts w:hAnsi="宋体"/>
          <w:color w:val="auto"/>
          <w:kern w:val="2"/>
          <w:sz w:val="21"/>
          <w:szCs w:val="21"/>
          <w:highlight w:val="none"/>
        </w:rPr>
      </w:pPr>
      <w:r>
        <w:rPr>
          <w:rFonts w:hint="eastAsia" w:hAnsi="宋体"/>
          <w:color w:val="auto"/>
          <w:kern w:val="2"/>
          <w:sz w:val="21"/>
          <w:szCs w:val="21"/>
          <w:highlight w:val="none"/>
        </w:rPr>
        <w:t>33.2 其他事项详见“供应商须知前附表”。</w:t>
      </w:r>
    </w:p>
    <w:p w14:paraId="5B43D0CB">
      <w:pPr>
        <w:pStyle w:val="10"/>
        <w:spacing w:line="360" w:lineRule="auto"/>
        <w:ind w:firstLine="420" w:firstLineChars="200"/>
        <w:textAlignment w:val="center"/>
        <w:rPr>
          <w:rFonts w:hAnsi="宋体"/>
          <w:color w:val="auto"/>
          <w:kern w:val="2"/>
          <w:sz w:val="21"/>
          <w:szCs w:val="21"/>
          <w:highlight w:val="none"/>
        </w:rPr>
      </w:pPr>
      <w:r>
        <w:rPr>
          <w:rFonts w:hint="eastAsia" w:hAnsi="宋体"/>
          <w:color w:val="auto"/>
          <w:kern w:val="2"/>
          <w:sz w:val="21"/>
          <w:szCs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915A1A6">
      <w:pPr>
        <w:pStyle w:val="10"/>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4E579CB7">
      <w:pPr>
        <w:pStyle w:val="10"/>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（2）在工程采购项目中，工程由中小企业承建，即工程施工单位为中小企业，不对其中涉及的货物的制造商和服务的承接商作出要求；</w:t>
      </w:r>
    </w:p>
    <w:p w14:paraId="6AC16877">
      <w:pPr>
        <w:pStyle w:val="10"/>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5EAEF74">
      <w:pPr>
        <w:pStyle w:val="10"/>
        <w:spacing w:line="360" w:lineRule="auto"/>
        <w:ind w:firstLine="420" w:firstLineChars="200"/>
        <w:textAlignment w:val="center"/>
        <w:rPr>
          <w:rFonts w:hAnsi="宋体"/>
          <w:color w:val="auto"/>
          <w:kern w:val="2"/>
          <w:sz w:val="21"/>
          <w:szCs w:val="21"/>
          <w:highlight w:val="none"/>
        </w:rPr>
      </w:pPr>
      <w:r>
        <w:rPr>
          <w:rFonts w:hint="eastAsia" w:hAnsi="宋体"/>
          <w:color w:val="auto"/>
          <w:kern w:val="2"/>
          <w:sz w:val="21"/>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4B9FC5D">
      <w:pPr>
        <w:pStyle w:val="10"/>
        <w:spacing w:line="360" w:lineRule="auto"/>
        <w:ind w:firstLine="420" w:firstLineChars="200"/>
        <w:textAlignment w:val="center"/>
        <w:rPr>
          <w:rFonts w:ascii="宋体" w:hAnsi="宋体"/>
          <w:b/>
          <w:color w:val="auto"/>
          <w:sz w:val="32"/>
          <w:szCs w:val="32"/>
          <w:highlight w:val="none"/>
        </w:rPr>
      </w:pPr>
      <w:r>
        <w:rPr>
          <w:rFonts w:hint="eastAsia" w:hAnsi="宋体"/>
          <w:color w:val="auto"/>
          <w:kern w:val="2"/>
          <w:sz w:val="21"/>
          <w:szCs w:val="21"/>
          <w:highlight w:val="none"/>
        </w:rPr>
        <w:t>依据本磋商文件规定享受扶持政策获得政府采购合同的，小微企业不得将合同分包给大中型企业，中型企业不得将合同分包给大型企业。</w:t>
      </w:r>
    </w:p>
    <w:p w14:paraId="35EBA82A">
      <w:pPr>
        <w:pStyle w:val="2"/>
        <w:spacing w:line="360" w:lineRule="auto"/>
        <w:jc w:val="center"/>
        <w:rPr>
          <w:rFonts w:ascii="宋体" w:hAnsi="宋体"/>
          <w:color w:val="auto"/>
          <w:highlight w:val="none"/>
        </w:rPr>
      </w:pPr>
      <w:bookmarkStart w:id="39" w:name="_Toc74323458"/>
      <w:bookmarkEnd w:id="39"/>
      <w:r>
        <w:rPr>
          <w:color w:val="auto"/>
          <w:highlight w:val="none"/>
        </w:rPr>
        <w:br w:type="page"/>
      </w:r>
      <w:bookmarkStart w:id="40" w:name="_Toc25399"/>
      <w:r>
        <w:rPr>
          <w:rFonts w:hint="eastAsia" w:ascii="宋体" w:hAnsi="宋体"/>
          <w:color w:val="auto"/>
          <w:highlight w:val="none"/>
        </w:rPr>
        <w:t>第三章 采购需求</w:t>
      </w:r>
      <w:bookmarkEnd w:id="40"/>
    </w:p>
    <w:p w14:paraId="41FC8BAA">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p w14:paraId="650A6AEF">
      <w:pPr>
        <w:spacing w:line="360" w:lineRule="exact"/>
        <w:jc w:val="left"/>
        <w:rPr>
          <w:rFonts w:ascii="宋体" w:hAnsi="宋体"/>
          <w:b/>
          <w:color w:val="auto"/>
          <w:highlight w:val="none"/>
        </w:rPr>
      </w:pPr>
      <w:r>
        <w:rPr>
          <w:rFonts w:hint="eastAsia" w:ascii="宋体" w:hAnsi="宋体"/>
          <w:b/>
          <w:color w:val="auto"/>
          <w:highlight w:val="none"/>
        </w:rPr>
        <w:t>说明：</w:t>
      </w:r>
    </w:p>
    <w:p w14:paraId="35E81FB9">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0D2F8D56">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详见本章后附的节能产品政府采购品目清单），供应商的竞标货物必须使用政府强制采购的节能产品，否则响应文件作无效响应处理。</w:t>
      </w:r>
    </w:p>
    <w:p w14:paraId="6D2B1E5D">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3、如供应商竞标产品存在侵犯他人的知识产权或者专利成果行为的，由供应商自行承担相应法律责任。</w:t>
      </w:r>
    </w:p>
    <w:p w14:paraId="012AE4BD">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4、“实质性要求”是指竞争性磋商文件中已经指明不满足则响应无效的条款，或者不能负偏离的条款，或者采购需求中带“▲”的条款。</w:t>
      </w:r>
    </w:p>
    <w:p w14:paraId="27F37548">
      <w:pPr>
        <w:spacing w:line="360" w:lineRule="exact"/>
        <w:ind w:firstLine="310" w:firstLineChars="147"/>
        <w:jc w:val="left"/>
        <w:rPr>
          <w:rFonts w:ascii="宋体" w:hAnsi="宋体"/>
          <w:b/>
          <w:color w:val="auto"/>
          <w:highlight w:val="none"/>
        </w:rPr>
      </w:pPr>
      <w:r>
        <w:rPr>
          <w:rFonts w:hint="eastAsia" w:ascii="宋体" w:hAnsi="宋体"/>
          <w:b/>
          <w:color w:val="auto"/>
          <w:highlight w:val="none"/>
        </w:rPr>
        <w:t xml:space="preserve"> </w:t>
      </w:r>
    </w:p>
    <w:p w14:paraId="6A45E340">
      <w:pPr>
        <w:spacing w:line="360" w:lineRule="exact"/>
        <w:ind w:firstLine="310" w:firstLineChars="147"/>
        <w:jc w:val="left"/>
        <w:rPr>
          <w:rFonts w:ascii="宋体" w:hAnsi="宋体"/>
          <w:bCs/>
          <w:color w:val="auto"/>
          <w:highlight w:val="none"/>
          <w:u w:val="single"/>
        </w:rPr>
      </w:pPr>
      <w:r>
        <w:rPr>
          <w:rFonts w:hint="eastAsia" w:ascii="宋体" w:hAnsi="宋体"/>
          <w:b/>
          <w:color w:val="auto"/>
          <w:highlight w:val="none"/>
        </w:rPr>
        <w:t xml:space="preserve">最高限价：143.59 </w:t>
      </w:r>
      <w:r>
        <w:rPr>
          <w:rFonts w:hint="eastAsia" w:ascii="宋体" w:hAnsi="宋体"/>
          <w:bCs/>
          <w:color w:val="auto"/>
          <w:highlight w:val="none"/>
          <w:u w:val="single"/>
        </w:rPr>
        <w:t>万元</w:t>
      </w:r>
    </w:p>
    <w:tbl>
      <w:tblPr>
        <w:tblStyle w:val="15"/>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
        <w:gridCol w:w="707"/>
        <w:gridCol w:w="770"/>
        <w:gridCol w:w="101"/>
        <w:gridCol w:w="639"/>
        <w:gridCol w:w="6975"/>
      </w:tblGrid>
      <w:tr w14:paraId="171DA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714" w:type="dxa"/>
            <w:gridSpan w:val="6"/>
            <w:tcBorders>
              <w:top w:val="single" w:color="000000" w:sz="4" w:space="0"/>
              <w:left w:val="single" w:color="000000" w:sz="4" w:space="0"/>
              <w:bottom w:val="single" w:color="000000" w:sz="4" w:space="0"/>
              <w:right w:val="single" w:color="000000" w:sz="4" w:space="0"/>
            </w:tcBorders>
            <w:vAlign w:val="center"/>
          </w:tcPr>
          <w:p w14:paraId="4E245515">
            <w:pPr>
              <w:tabs>
                <w:tab w:val="left" w:pos="180"/>
                <w:tab w:val="left" w:pos="1620"/>
              </w:tabs>
              <w:spacing w:line="360" w:lineRule="exact"/>
              <w:rPr>
                <w:rFonts w:ascii="宋体" w:hAnsi="宋体"/>
                <w:b/>
                <w:color w:val="auto"/>
                <w:highlight w:val="none"/>
              </w:rPr>
            </w:pPr>
            <w:r>
              <w:rPr>
                <w:rFonts w:hint="eastAsia" w:ascii="宋体" w:hAnsi="宋体"/>
                <w:b/>
                <w:color w:val="auto"/>
                <w:highlight w:val="none"/>
              </w:rPr>
              <w:t>一、技术要求</w:t>
            </w:r>
          </w:p>
        </w:tc>
      </w:tr>
      <w:tr w14:paraId="17AA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2" w:type="dxa"/>
            <w:tcBorders>
              <w:top w:val="single" w:color="000000" w:sz="4" w:space="0"/>
              <w:left w:val="single" w:color="000000" w:sz="4" w:space="0"/>
              <w:bottom w:val="single" w:color="000000" w:sz="4" w:space="0"/>
              <w:right w:val="single" w:color="000000" w:sz="4" w:space="0"/>
            </w:tcBorders>
            <w:vAlign w:val="center"/>
          </w:tcPr>
          <w:p w14:paraId="736DA71E">
            <w:pPr>
              <w:tabs>
                <w:tab w:val="left" w:pos="180"/>
                <w:tab w:val="left" w:pos="1620"/>
              </w:tabs>
              <w:spacing w:line="360" w:lineRule="exact"/>
              <w:jc w:val="center"/>
              <w:rPr>
                <w:rFonts w:ascii="宋体" w:hAnsi="宋体"/>
                <w:b/>
                <w:bCs/>
                <w:color w:val="auto"/>
                <w:highlight w:val="none"/>
              </w:rPr>
            </w:pPr>
            <w:r>
              <w:rPr>
                <w:rFonts w:hint="eastAsia" w:ascii="宋体" w:hAnsi="宋体"/>
                <w:b/>
                <w:bCs/>
                <w:color w:val="auto"/>
                <w:highlight w:val="none"/>
              </w:rPr>
              <w:t>序号</w:t>
            </w:r>
          </w:p>
        </w:tc>
        <w:tc>
          <w:tcPr>
            <w:tcW w:w="707" w:type="dxa"/>
            <w:tcBorders>
              <w:top w:val="single" w:color="000000" w:sz="4" w:space="0"/>
              <w:left w:val="single" w:color="000000" w:sz="4" w:space="0"/>
              <w:bottom w:val="single" w:color="000000" w:sz="4" w:space="0"/>
              <w:right w:val="single" w:color="000000" w:sz="4" w:space="0"/>
            </w:tcBorders>
            <w:vAlign w:val="center"/>
          </w:tcPr>
          <w:p w14:paraId="3EF164F3">
            <w:pPr>
              <w:tabs>
                <w:tab w:val="left" w:pos="180"/>
                <w:tab w:val="left" w:pos="1620"/>
              </w:tabs>
              <w:spacing w:line="360" w:lineRule="exact"/>
              <w:jc w:val="center"/>
              <w:rPr>
                <w:rFonts w:ascii="宋体" w:hAnsi="宋体"/>
                <w:b/>
                <w:bCs/>
                <w:color w:val="auto"/>
                <w:highlight w:val="none"/>
              </w:rPr>
            </w:pPr>
            <w:r>
              <w:rPr>
                <w:rFonts w:hint="eastAsia" w:ascii="宋体" w:hAnsi="宋体"/>
                <w:b/>
                <w:bCs/>
                <w:color w:val="auto"/>
                <w:highlight w:val="none"/>
              </w:rPr>
              <w:t>标的名称</w:t>
            </w:r>
          </w:p>
        </w:tc>
        <w:tc>
          <w:tcPr>
            <w:tcW w:w="770" w:type="dxa"/>
            <w:tcBorders>
              <w:top w:val="single" w:color="000000" w:sz="4" w:space="0"/>
              <w:left w:val="single" w:color="000000" w:sz="4" w:space="0"/>
              <w:bottom w:val="single" w:color="000000" w:sz="4" w:space="0"/>
              <w:right w:val="single" w:color="000000" w:sz="4" w:space="0"/>
            </w:tcBorders>
            <w:vAlign w:val="center"/>
          </w:tcPr>
          <w:p w14:paraId="2556C6C0">
            <w:pPr>
              <w:tabs>
                <w:tab w:val="left" w:pos="180"/>
                <w:tab w:val="left" w:pos="1620"/>
              </w:tabs>
              <w:spacing w:line="360" w:lineRule="exact"/>
              <w:jc w:val="center"/>
              <w:rPr>
                <w:rFonts w:ascii="宋体" w:hAnsi="宋体"/>
                <w:b/>
                <w:bCs/>
                <w:color w:val="auto"/>
                <w:highlight w:val="none"/>
              </w:rPr>
            </w:pPr>
            <w:r>
              <w:rPr>
                <w:rFonts w:hint="eastAsia" w:ascii="宋体" w:hAnsi="宋体"/>
                <w:b/>
                <w:bCs/>
                <w:color w:val="auto"/>
                <w:highlight w:val="none"/>
              </w:rPr>
              <w:t>数量及单位</w:t>
            </w:r>
          </w:p>
        </w:tc>
        <w:tc>
          <w:tcPr>
            <w:tcW w:w="740" w:type="dxa"/>
            <w:gridSpan w:val="2"/>
            <w:tcBorders>
              <w:top w:val="single" w:color="000000" w:sz="4" w:space="0"/>
              <w:left w:val="single" w:color="000000" w:sz="4" w:space="0"/>
              <w:bottom w:val="single" w:color="000000" w:sz="4" w:space="0"/>
              <w:right w:val="single" w:color="000000" w:sz="4" w:space="0"/>
            </w:tcBorders>
            <w:vAlign w:val="center"/>
          </w:tcPr>
          <w:p w14:paraId="6D091FFD">
            <w:pPr>
              <w:tabs>
                <w:tab w:val="left" w:pos="180"/>
                <w:tab w:val="left" w:pos="1620"/>
              </w:tabs>
              <w:spacing w:line="360" w:lineRule="exact"/>
              <w:jc w:val="center"/>
              <w:rPr>
                <w:rFonts w:ascii="宋体" w:hAnsi="宋体"/>
                <w:b/>
                <w:bCs/>
                <w:color w:val="auto"/>
                <w:highlight w:val="none"/>
              </w:rPr>
            </w:pPr>
            <w:r>
              <w:rPr>
                <w:rFonts w:hint="eastAsia" w:ascii="宋体" w:hAnsi="宋体"/>
                <w:b/>
                <w:bCs/>
                <w:color w:val="auto"/>
                <w:highlight w:val="none"/>
              </w:rPr>
              <w:t>所属</w:t>
            </w:r>
          </w:p>
          <w:p w14:paraId="6913119B">
            <w:pPr>
              <w:tabs>
                <w:tab w:val="left" w:pos="180"/>
                <w:tab w:val="left" w:pos="1620"/>
              </w:tabs>
              <w:spacing w:line="360" w:lineRule="exact"/>
              <w:jc w:val="center"/>
              <w:rPr>
                <w:rFonts w:ascii="宋体" w:hAnsi="宋体"/>
                <w:b/>
                <w:bCs/>
                <w:color w:val="auto"/>
                <w:highlight w:val="none"/>
              </w:rPr>
            </w:pPr>
            <w:r>
              <w:rPr>
                <w:rFonts w:hint="eastAsia" w:ascii="宋体" w:hAnsi="宋体"/>
                <w:b/>
                <w:bCs/>
                <w:color w:val="auto"/>
                <w:highlight w:val="none"/>
              </w:rPr>
              <w:t>行业</w:t>
            </w:r>
          </w:p>
        </w:tc>
        <w:tc>
          <w:tcPr>
            <w:tcW w:w="6975" w:type="dxa"/>
            <w:tcBorders>
              <w:top w:val="single" w:color="000000" w:sz="4" w:space="0"/>
              <w:left w:val="single" w:color="000000" w:sz="4" w:space="0"/>
              <w:bottom w:val="single" w:color="000000" w:sz="4" w:space="0"/>
              <w:right w:val="single" w:color="000000" w:sz="4" w:space="0"/>
            </w:tcBorders>
            <w:vAlign w:val="center"/>
          </w:tcPr>
          <w:p w14:paraId="589053E7">
            <w:pPr>
              <w:tabs>
                <w:tab w:val="left" w:pos="180"/>
                <w:tab w:val="left" w:pos="1620"/>
              </w:tabs>
              <w:spacing w:line="360" w:lineRule="exact"/>
              <w:jc w:val="center"/>
              <w:rPr>
                <w:rFonts w:ascii="宋体" w:hAnsi="宋体"/>
                <w:b/>
                <w:bCs/>
                <w:color w:val="auto"/>
                <w:highlight w:val="none"/>
              </w:rPr>
            </w:pPr>
            <w:r>
              <w:rPr>
                <w:rFonts w:hint="eastAsia" w:ascii="宋体" w:hAnsi="宋体"/>
                <w:b/>
                <w:bCs/>
                <w:color w:val="auto"/>
                <w:highlight w:val="none"/>
              </w:rPr>
              <w:t>技术要求</w:t>
            </w:r>
          </w:p>
        </w:tc>
      </w:tr>
      <w:tr w14:paraId="33FB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2" w:type="dxa"/>
            <w:tcBorders>
              <w:top w:val="single" w:color="000000" w:sz="4" w:space="0"/>
              <w:left w:val="single" w:color="000000" w:sz="4" w:space="0"/>
              <w:bottom w:val="single" w:color="000000" w:sz="4" w:space="0"/>
              <w:right w:val="single" w:color="000000" w:sz="4" w:space="0"/>
            </w:tcBorders>
            <w:vAlign w:val="center"/>
          </w:tcPr>
          <w:p w14:paraId="63F46BC5">
            <w:pPr>
              <w:tabs>
                <w:tab w:val="left" w:pos="180"/>
                <w:tab w:val="left" w:pos="1620"/>
              </w:tabs>
              <w:spacing w:line="360" w:lineRule="exact"/>
              <w:jc w:val="center"/>
              <w:rPr>
                <w:rFonts w:ascii="宋体" w:hAnsi="宋体"/>
                <w:color w:val="auto"/>
                <w:highlight w:val="none"/>
              </w:rPr>
            </w:pPr>
            <w:r>
              <w:rPr>
                <w:rFonts w:hint="eastAsia" w:ascii="宋体" w:hAnsi="宋体"/>
                <w:color w:val="auto"/>
                <w:highlight w:val="none"/>
              </w:rPr>
              <w:t>1</w:t>
            </w:r>
          </w:p>
        </w:tc>
        <w:tc>
          <w:tcPr>
            <w:tcW w:w="707" w:type="dxa"/>
            <w:tcBorders>
              <w:top w:val="single" w:color="000000" w:sz="4" w:space="0"/>
              <w:left w:val="single" w:color="000000" w:sz="4" w:space="0"/>
              <w:bottom w:val="single" w:color="000000" w:sz="4" w:space="0"/>
              <w:right w:val="single" w:color="000000" w:sz="4" w:space="0"/>
            </w:tcBorders>
            <w:vAlign w:val="center"/>
          </w:tcPr>
          <w:p w14:paraId="13639C73">
            <w:pPr>
              <w:tabs>
                <w:tab w:val="left" w:pos="180"/>
                <w:tab w:val="left" w:pos="1620"/>
              </w:tabs>
              <w:spacing w:line="360" w:lineRule="exact"/>
              <w:jc w:val="center"/>
              <w:rPr>
                <w:rFonts w:ascii="宋体" w:hAnsi="宋体"/>
                <w:color w:val="auto"/>
                <w:highlight w:val="none"/>
              </w:rPr>
            </w:pPr>
            <w:r>
              <w:rPr>
                <w:rFonts w:hint="eastAsia" w:ascii="宋体" w:hAnsi="宋体"/>
                <w:color w:val="auto"/>
                <w:highlight w:val="none"/>
              </w:rPr>
              <w:t>壮美广西·发改云国产化改造服务</w:t>
            </w:r>
          </w:p>
        </w:tc>
        <w:tc>
          <w:tcPr>
            <w:tcW w:w="770" w:type="dxa"/>
            <w:tcBorders>
              <w:top w:val="single" w:color="000000" w:sz="4" w:space="0"/>
              <w:left w:val="single" w:color="000000" w:sz="4" w:space="0"/>
              <w:bottom w:val="single" w:color="000000" w:sz="4" w:space="0"/>
              <w:right w:val="single" w:color="000000" w:sz="4" w:space="0"/>
            </w:tcBorders>
            <w:vAlign w:val="center"/>
          </w:tcPr>
          <w:p w14:paraId="33AC719D">
            <w:pPr>
              <w:tabs>
                <w:tab w:val="left" w:pos="180"/>
                <w:tab w:val="left" w:pos="1620"/>
              </w:tabs>
              <w:spacing w:line="360" w:lineRule="exact"/>
              <w:jc w:val="center"/>
              <w:rPr>
                <w:rFonts w:ascii="宋体" w:hAnsi="宋体"/>
                <w:color w:val="auto"/>
                <w:highlight w:val="none"/>
              </w:rPr>
            </w:pPr>
            <w:r>
              <w:rPr>
                <w:rFonts w:hint="eastAsia" w:ascii="宋体" w:hAnsi="宋体"/>
                <w:color w:val="auto"/>
                <w:highlight w:val="none"/>
              </w:rPr>
              <w:t>1项</w:t>
            </w:r>
          </w:p>
        </w:tc>
        <w:tc>
          <w:tcPr>
            <w:tcW w:w="740" w:type="dxa"/>
            <w:gridSpan w:val="2"/>
            <w:tcBorders>
              <w:top w:val="single" w:color="000000" w:sz="4" w:space="0"/>
              <w:left w:val="single" w:color="000000" w:sz="4" w:space="0"/>
              <w:bottom w:val="single" w:color="000000" w:sz="4" w:space="0"/>
              <w:right w:val="single" w:color="000000" w:sz="4" w:space="0"/>
            </w:tcBorders>
            <w:vAlign w:val="center"/>
          </w:tcPr>
          <w:p w14:paraId="3E4B7140">
            <w:pPr>
              <w:tabs>
                <w:tab w:val="left" w:pos="180"/>
                <w:tab w:val="left" w:pos="1620"/>
              </w:tabs>
              <w:spacing w:line="360" w:lineRule="exact"/>
              <w:jc w:val="center"/>
              <w:rPr>
                <w:rFonts w:ascii="宋体" w:hAnsi="宋体"/>
                <w:color w:val="auto"/>
                <w:highlight w:val="none"/>
              </w:rPr>
            </w:pPr>
            <w:r>
              <w:rPr>
                <w:rFonts w:hint="eastAsia" w:ascii="宋体" w:hAnsi="宋体"/>
                <w:color w:val="auto"/>
                <w:highlight w:val="none"/>
              </w:rPr>
              <w:t>软件和信息技术服务业</w:t>
            </w:r>
          </w:p>
        </w:tc>
        <w:tc>
          <w:tcPr>
            <w:tcW w:w="6975" w:type="dxa"/>
            <w:tcBorders>
              <w:top w:val="single" w:color="000000" w:sz="4" w:space="0"/>
              <w:left w:val="single" w:color="000000" w:sz="4" w:space="0"/>
              <w:bottom w:val="single" w:color="000000" w:sz="4" w:space="0"/>
              <w:right w:val="single" w:color="000000" w:sz="4" w:space="0"/>
            </w:tcBorders>
            <w:vAlign w:val="center"/>
          </w:tcPr>
          <w:p w14:paraId="45480834">
            <w:pPr>
              <w:widowControl/>
              <w:snapToGrid w:val="0"/>
              <w:spacing w:line="360" w:lineRule="exact"/>
              <w:ind w:firstLine="420" w:firstLineChars="200"/>
              <w:jc w:val="left"/>
              <w:rPr>
                <w:rFonts w:ascii="宋体" w:hAnsi="宋体"/>
                <w:color w:val="auto"/>
                <w:highlight w:val="none"/>
                <w:shd w:val="clear" w:color="auto" w:fill="FFFFFF"/>
              </w:rPr>
            </w:pPr>
            <w:r>
              <w:rPr>
                <w:rFonts w:hint="eastAsia" w:ascii="宋体" w:hAnsi="宋体"/>
                <w:color w:val="auto"/>
                <w:highlight w:val="none"/>
                <w:shd w:val="clear" w:color="auto" w:fill="FFFFFF"/>
              </w:rPr>
              <w:t>本项目需基于壮美广西</w:t>
            </w:r>
            <w:r>
              <w:rPr>
                <w:rFonts w:hint="eastAsia" w:ascii="微软雅黑" w:hAnsi="微软雅黑" w:eastAsia="微软雅黑" w:cs="微软雅黑"/>
                <w:color w:val="auto"/>
                <w:highlight w:val="none"/>
                <w:shd w:val="clear" w:color="auto" w:fill="FFFFFF"/>
              </w:rPr>
              <w:t>・</w:t>
            </w:r>
            <w:r>
              <w:rPr>
                <w:rFonts w:hint="eastAsia" w:ascii="宋体" w:hAnsi="宋体" w:cs="宋体"/>
                <w:color w:val="auto"/>
                <w:highlight w:val="none"/>
                <w:shd w:val="clear" w:color="auto" w:fill="FFFFFF"/>
              </w:rPr>
              <w:t>发改云平台开展适配改造工作，同步在项目管理系统中新增功能模块，配套完成平台适配改造及系统接口优化升级，确保平台原有核心功能平稳延续、正常运行</w:t>
            </w:r>
            <w:r>
              <w:rPr>
                <w:rFonts w:hint="eastAsia" w:ascii="宋体" w:hAnsi="宋体"/>
                <w:color w:val="auto"/>
                <w:highlight w:val="none"/>
                <w:shd w:val="clear" w:color="auto" w:fill="FFFFFF"/>
              </w:rPr>
              <w:t>。</w:t>
            </w:r>
          </w:p>
          <w:p w14:paraId="6E74CA92">
            <w:pPr>
              <w:spacing w:line="360" w:lineRule="exact"/>
              <w:ind w:firstLine="422" w:firstLineChars="200"/>
              <w:rPr>
                <w:rFonts w:ascii="宋体" w:hAnsi="宋体"/>
                <w:b/>
                <w:bCs/>
                <w:color w:val="auto"/>
                <w:highlight w:val="none"/>
              </w:rPr>
            </w:pPr>
            <w:r>
              <w:rPr>
                <w:rFonts w:hint="eastAsia" w:ascii="宋体" w:hAnsi="宋体"/>
                <w:b/>
                <w:bCs/>
                <w:color w:val="auto"/>
                <w:highlight w:val="none"/>
              </w:rPr>
              <w:t>1、壮美广西</w:t>
            </w:r>
            <w:r>
              <w:rPr>
                <w:rFonts w:hint="eastAsia" w:ascii="微软雅黑" w:hAnsi="微软雅黑" w:eastAsia="微软雅黑" w:cs="微软雅黑"/>
                <w:b/>
                <w:bCs/>
                <w:color w:val="auto"/>
                <w:highlight w:val="none"/>
              </w:rPr>
              <w:t>・</w:t>
            </w:r>
            <w:r>
              <w:rPr>
                <w:rFonts w:hint="eastAsia" w:ascii="宋体" w:hAnsi="宋体" w:cs="宋体"/>
                <w:b/>
                <w:bCs/>
                <w:color w:val="auto"/>
                <w:highlight w:val="none"/>
              </w:rPr>
              <w:t>发改云国产化适配改</w:t>
            </w:r>
            <w:r>
              <w:rPr>
                <w:rFonts w:hint="eastAsia" w:ascii="宋体" w:hAnsi="宋体"/>
                <w:b/>
                <w:bCs/>
                <w:color w:val="auto"/>
                <w:highlight w:val="none"/>
              </w:rPr>
              <w:t>造</w:t>
            </w:r>
          </w:p>
          <w:p w14:paraId="245A9508">
            <w:pPr>
              <w:spacing w:line="360" w:lineRule="exact"/>
              <w:ind w:firstLine="420" w:firstLineChars="200"/>
              <w:rPr>
                <w:rFonts w:ascii="宋体" w:hAnsi="宋体"/>
                <w:color w:val="auto"/>
                <w:highlight w:val="none"/>
              </w:rPr>
            </w:pPr>
            <w:r>
              <w:rPr>
                <w:rFonts w:hint="eastAsia" w:ascii="宋体" w:hAnsi="宋体"/>
                <w:color w:val="auto"/>
                <w:highlight w:val="none"/>
              </w:rPr>
              <w:t>结合本项目核心业务需求，开展定制化开发与功能扩展，完成统一门户、项目管理系统、发改云审批系统、可视化指挥调度系统的国产化适配改造，实现对国产数据库、用户终端国产操作系统及国产中间件信息的展示功能。同时，基于实际业务场景，在现有壮美广西</w:t>
            </w:r>
            <w:r>
              <w:rPr>
                <w:rFonts w:hint="eastAsia" w:ascii="微软雅黑" w:hAnsi="微软雅黑" w:eastAsia="微软雅黑" w:cs="微软雅黑"/>
                <w:color w:val="auto"/>
                <w:highlight w:val="none"/>
              </w:rPr>
              <w:t>・</w:t>
            </w:r>
            <w:r>
              <w:rPr>
                <w:rFonts w:hint="eastAsia" w:ascii="宋体" w:hAnsi="宋体" w:cs="宋体"/>
                <w:color w:val="auto"/>
                <w:highlight w:val="none"/>
              </w:rPr>
              <w:t>发改云项目管理系统中新增通用智能库表配置、调度分析报告、</w:t>
            </w:r>
            <w:r>
              <w:rPr>
                <w:rFonts w:hint="eastAsia" w:ascii="宋体" w:hAnsi="宋体"/>
                <w:color w:val="auto"/>
                <w:highlight w:val="none"/>
              </w:rPr>
              <w:t>多线审查三大功能模块，通过数据自动整合、智能调度优化、跨部门协同机制，全面提升项目管理智能化水平与决策支持能力。</w:t>
            </w:r>
          </w:p>
          <w:p w14:paraId="25646A97">
            <w:pPr>
              <w:spacing w:line="360" w:lineRule="exact"/>
              <w:ind w:firstLine="420" w:firstLineChars="200"/>
              <w:rPr>
                <w:rFonts w:ascii="宋体" w:hAnsi="宋体"/>
                <w:color w:val="auto"/>
                <w:highlight w:val="none"/>
              </w:rPr>
            </w:pPr>
            <w:r>
              <w:rPr>
                <w:rFonts w:hint="eastAsia" w:ascii="宋体" w:hAnsi="宋体"/>
                <w:color w:val="auto"/>
                <w:highlight w:val="none"/>
              </w:rPr>
              <w:t>1.1 统一门户国产化适配改造</w:t>
            </w:r>
          </w:p>
          <w:p w14:paraId="450F4CF4">
            <w:pPr>
              <w:spacing w:line="360" w:lineRule="exact"/>
              <w:ind w:firstLine="420" w:firstLineChars="200"/>
              <w:rPr>
                <w:rFonts w:ascii="宋体" w:hAnsi="宋体"/>
                <w:color w:val="auto"/>
                <w:highlight w:val="none"/>
              </w:rPr>
            </w:pPr>
            <w:r>
              <w:rPr>
                <w:rFonts w:hint="eastAsia" w:ascii="宋体" w:hAnsi="宋体"/>
                <w:color w:val="auto"/>
                <w:highlight w:val="none"/>
              </w:rPr>
              <w:t>基于壮美广西</w:t>
            </w:r>
            <w:r>
              <w:rPr>
                <w:rFonts w:hint="eastAsia" w:ascii="微软雅黑" w:hAnsi="微软雅黑" w:eastAsia="微软雅黑" w:cs="微软雅黑"/>
                <w:color w:val="auto"/>
                <w:highlight w:val="none"/>
              </w:rPr>
              <w:t>・</w:t>
            </w:r>
            <w:r>
              <w:rPr>
                <w:rFonts w:hint="eastAsia" w:ascii="宋体" w:hAnsi="宋体" w:cs="宋体"/>
                <w:color w:val="auto"/>
                <w:highlight w:val="none"/>
              </w:rPr>
              <w:t>发改云平台现有统一门户进行国产化适配改造，改造后需确保单点登录、统一支撑等核心功能的延续性与有效性</w:t>
            </w:r>
            <w:r>
              <w:rPr>
                <w:rFonts w:hint="eastAsia" w:ascii="宋体" w:hAnsi="宋体"/>
                <w:color w:val="auto"/>
                <w:highlight w:val="none"/>
              </w:rPr>
              <w:t>。</w:t>
            </w:r>
          </w:p>
          <w:p w14:paraId="1AD4AEB9">
            <w:pPr>
              <w:spacing w:line="360" w:lineRule="exact"/>
              <w:ind w:firstLine="420" w:firstLineChars="200"/>
              <w:rPr>
                <w:rFonts w:ascii="宋体" w:hAnsi="宋体"/>
                <w:color w:val="auto"/>
                <w:highlight w:val="none"/>
              </w:rPr>
            </w:pPr>
            <w:r>
              <w:rPr>
                <w:rFonts w:hint="eastAsia" w:ascii="宋体" w:hAnsi="宋体"/>
                <w:color w:val="auto"/>
                <w:highlight w:val="none"/>
              </w:rPr>
              <w:t>1.1.1 单点登录</w:t>
            </w:r>
          </w:p>
          <w:p w14:paraId="53F148BE">
            <w:pPr>
              <w:spacing w:line="360" w:lineRule="exact"/>
              <w:ind w:firstLine="420" w:firstLineChars="200"/>
              <w:rPr>
                <w:rFonts w:ascii="宋体" w:hAnsi="宋体"/>
                <w:color w:val="auto"/>
                <w:highlight w:val="none"/>
              </w:rPr>
            </w:pPr>
            <w:r>
              <w:rPr>
                <w:rFonts w:hint="eastAsia" w:ascii="宋体" w:hAnsi="宋体"/>
                <w:color w:val="auto"/>
                <w:highlight w:val="none"/>
              </w:rPr>
              <w:t>平台级跳转：支持用户通过统一门户单点登录后，自动认证跳转至项目管理、项目报批等核心模块，实现数据可视化资源挂载整合及自治区发展和改革委员会官网关联对接。</w:t>
            </w:r>
          </w:p>
          <w:p w14:paraId="003B42AE">
            <w:pPr>
              <w:spacing w:line="360" w:lineRule="exact"/>
              <w:ind w:firstLine="420" w:firstLineChars="200"/>
              <w:rPr>
                <w:rFonts w:ascii="宋体" w:hAnsi="宋体"/>
                <w:color w:val="auto"/>
                <w:highlight w:val="none"/>
              </w:rPr>
            </w:pPr>
            <w:r>
              <w:rPr>
                <w:rFonts w:hint="eastAsia" w:ascii="宋体" w:hAnsi="宋体"/>
                <w:color w:val="auto"/>
                <w:highlight w:val="none"/>
              </w:rPr>
              <w:t>业务级跳转：在项目报批模块中，通过单点登录支撑项目申报、项目赋码、项目审批全流程跳转，同步展示项目公示数据、政策法规等关联信息。</w:t>
            </w:r>
          </w:p>
          <w:p w14:paraId="03AC8984">
            <w:pPr>
              <w:spacing w:line="360" w:lineRule="exact"/>
              <w:ind w:firstLine="420" w:firstLineChars="200"/>
              <w:rPr>
                <w:rFonts w:ascii="宋体" w:hAnsi="宋体"/>
                <w:color w:val="auto"/>
                <w:highlight w:val="none"/>
              </w:rPr>
            </w:pPr>
            <w:r>
              <w:rPr>
                <w:rFonts w:hint="eastAsia" w:ascii="宋体" w:hAnsi="宋体"/>
                <w:color w:val="auto"/>
                <w:highlight w:val="none"/>
              </w:rPr>
              <w:t>1.1.2 统一支撑</w:t>
            </w:r>
          </w:p>
          <w:p w14:paraId="13AFF603">
            <w:pPr>
              <w:spacing w:line="360" w:lineRule="exact"/>
              <w:ind w:firstLine="420" w:firstLineChars="200"/>
              <w:rPr>
                <w:rFonts w:ascii="宋体" w:hAnsi="宋体"/>
                <w:color w:val="auto"/>
                <w:highlight w:val="none"/>
              </w:rPr>
            </w:pPr>
            <w:r>
              <w:rPr>
                <w:rFonts w:hint="eastAsia" w:ascii="宋体" w:hAnsi="宋体"/>
                <w:color w:val="auto"/>
                <w:highlight w:val="none"/>
              </w:rPr>
              <w:t>统一支撑平台作为基础组件服务载体，为所有应用提供标准化支撑能力，可实现对已有业务应用的统一管理与挂接，核心功能包括：</w:t>
            </w:r>
          </w:p>
          <w:p w14:paraId="45784969">
            <w:pPr>
              <w:spacing w:line="360" w:lineRule="exact"/>
              <w:ind w:firstLine="420" w:firstLineChars="200"/>
              <w:rPr>
                <w:rFonts w:ascii="宋体" w:hAnsi="宋体"/>
                <w:color w:val="auto"/>
                <w:highlight w:val="none"/>
              </w:rPr>
            </w:pPr>
            <w:r>
              <w:rPr>
                <w:rFonts w:hint="eastAsia" w:ascii="宋体" w:hAnsi="宋体"/>
                <w:color w:val="auto"/>
                <w:highlight w:val="none"/>
              </w:rPr>
              <w:t>组织架构管理：构建标准化组织架构体系，支撑跨层级、跨部门业务协同；</w:t>
            </w:r>
          </w:p>
          <w:p w14:paraId="63F2D119">
            <w:pPr>
              <w:spacing w:line="360" w:lineRule="exact"/>
              <w:ind w:firstLine="420" w:firstLineChars="200"/>
              <w:rPr>
                <w:rFonts w:ascii="宋体" w:hAnsi="宋体"/>
                <w:color w:val="auto"/>
                <w:highlight w:val="none"/>
              </w:rPr>
            </w:pPr>
            <w:r>
              <w:rPr>
                <w:rFonts w:hint="eastAsia" w:ascii="宋体" w:hAnsi="宋体"/>
                <w:color w:val="auto"/>
                <w:highlight w:val="none"/>
              </w:rPr>
              <w:t>权限管理：实现精细化权限分配与管控，保障数据安全与操作合规；</w:t>
            </w:r>
          </w:p>
          <w:p w14:paraId="26767F77">
            <w:pPr>
              <w:spacing w:line="360" w:lineRule="exact"/>
              <w:ind w:firstLine="420" w:firstLineChars="200"/>
              <w:rPr>
                <w:rFonts w:ascii="宋体" w:hAnsi="宋体"/>
                <w:color w:val="auto"/>
                <w:highlight w:val="none"/>
              </w:rPr>
            </w:pPr>
            <w:r>
              <w:rPr>
                <w:rFonts w:hint="eastAsia" w:ascii="宋体" w:hAnsi="宋体"/>
                <w:color w:val="auto"/>
                <w:highlight w:val="none"/>
              </w:rPr>
              <w:t>消息中心：提供统一消息推送与提醒服务，提升业务流转效率；</w:t>
            </w:r>
          </w:p>
          <w:p w14:paraId="1666BB5D">
            <w:pPr>
              <w:spacing w:line="360" w:lineRule="exact"/>
              <w:ind w:firstLine="420" w:firstLineChars="200"/>
              <w:rPr>
                <w:rFonts w:ascii="宋体" w:hAnsi="宋体"/>
                <w:color w:val="auto"/>
                <w:highlight w:val="none"/>
              </w:rPr>
            </w:pPr>
            <w:r>
              <w:rPr>
                <w:rFonts w:hint="eastAsia" w:ascii="宋体" w:hAnsi="宋体"/>
                <w:color w:val="auto"/>
                <w:highlight w:val="none"/>
              </w:rPr>
              <w:t>界面导航菜单管理：支持个性化导航配置，优化用户操作体验；</w:t>
            </w:r>
          </w:p>
          <w:p w14:paraId="6ED5CC03">
            <w:pPr>
              <w:spacing w:line="360" w:lineRule="exact"/>
              <w:ind w:firstLine="420" w:firstLineChars="200"/>
              <w:rPr>
                <w:rFonts w:ascii="宋体" w:hAnsi="宋体"/>
                <w:color w:val="auto"/>
                <w:highlight w:val="none"/>
              </w:rPr>
            </w:pPr>
            <w:r>
              <w:rPr>
                <w:rFonts w:hint="eastAsia" w:ascii="宋体" w:hAnsi="宋体"/>
                <w:color w:val="auto"/>
                <w:highlight w:val="none"/>
              </w:rPr>
              <w:t>系统日志审计：全程记录系统操作行为，确保操作可追溯、可监管；</w:t>
            </w:r>
          </w:p>
          <w:p w14:paraId="7BD17541">
            <w:pPr>
              <w:spacing w:line="360" w:lineRule="exact"/>
              <w:ind w:firstLine="420" w:firstLineChars="200"/>
              <w:rPr>
                <w:rFonts w:ascii="宋体" w:hAnsi="宋体"/>
                <w:color w:val="auto"/>
                <w:highlight w:val="none"/>
              </w:rPr>
            </w:pPr>
            <w:r>
              <w:rPr>
                <w:rFonts w:hint="eastAsia" w:ascii="宋体" w:hAnsi="宋体"/>
                <w:color w:val="auto"/>
                <w:highlight w:val="none"/>
              </w:rPr>
              <w:t>定时服务：提供自动化定时任务调度能力，支撑批量处理等场景需求。</w:t>
            </w:r>
          </w:p>
          <w:p w14:paraId="6721162D">
            <w:pPr>
              <w:spacing w:line="360" w:lineRule="exact"/>
              <w:ind w:firstLine="420" w:firstLineChars="200"/>
              <w:rPr>
                <w:rFonts w:ascii="宋体" w:hAnsi="宋体"/>
                <w:color w:val="auto"/>
                <w:highlight w:val="none"/>
              </w:rPr>
            </w:pPr>
            <w:r>
              <w:rPr>
                <w:rFonts w:hint="eastAsia" w:ascii="宋体" w:hAnsi="宋体"/>
                <w:color w:val="auto"/>
                <w:highlight w:val="none"/>
              </w:rPr>
              <w:t>1.2 项目管理系统国产化适配改造</w:t>
            </w:r>
          </w:p>
          <w:p w14:paraId="05AF69E8">
            <w:pPr>
              <w:spacing w:line="360" w:lineRule="exact"/>
              <w:ind w:firstLine="420" w:firstLineChars="200"/>
              <w:rPr>
                <w:rFonts w:ascii="宋体" w:hAnsi="宋体"/>
                <w:color w:val="auto"/>
                <w:highlight w:val="none"/>
              </w:rPr>
            </w:pPr>
            <w:r>
              <w:rPr>
                <w:rFonts w:hint="eastAsia" w:ascii="宋体" w:hAnsi="宋体"/>
                <w:color w:val="auto"/>
                <w:highlight w:val="none"/>
              </w:rPr>
              <w:t>基于壮美广西</w:t>
            </w:r>
            <w:r>
              <w:rPr>
                <w:rFonts w:hint="eastAsia" w:ascii="微软雅黑" w:hAnsi="微软雅黑" w:eastAsia="微软雅黑" w:cs="微软雅黑"/>
                <w:color w:val="auto"/>
                <w:highlight w:val="none"/>
              </w:rPr>
              <w:t>・</w:t>
            </w:r>
            <w:r>
              <w:rPr>
                <w:rFonts w:hint="eastAsia" w:ascii="宋体" w:hAnsi="宋体" w:cs="宋体"/>
                <w:color w:val="auto"/>
                <w:highlight w:val="none"/>
              </w:rPr>
              <w:t>发改云平台现有项目管理系统开展国产化适配改造，确保首页、通知公告、项目审核、投资计划、项目调度、统计报表、部门管理、系统日志、规划发布、问题征解、价格检测、个人助理、后台管理、接口模块等核心功能的延续性与有效性。通过整合部门管理、日志审计及第三方系统对接能力，全面契合国产化要求，进一步提升项目管理效率、规范业务流程，保障数据互通共享与操作全流程可追溯，为发改项目高效推进提供坚实支撑。核心功能适配要求</w:t>
            </w:r>
            <w:r>
              <w:rPr>
                <w:rFonts w:hint="eastAsia" w:ascii="宋体" w:hAnsi="宋体"/>
                <w:color w:val="auto"/>
                <w:highlight w:val="none"/>
              </w:rPr>
              <w:t>：</w:t>
            </w:r>
          </w:p>
          <w:p w14:paraId="263F7675">
            <w:pPr>
              <w:spacing w:line="360" w:lineRule="exact"/>
              <w:ind w:firstLine="420" w:firstLineChars="200"/>
              <w:rPr>
                <w:rFonts w:ascii="宋体" w:hAnsi="宋体"/>
                <w:color w:val="auto"/>
                <w:highlight w:val="none"/>
              </w:rPr>
            </w:pPr>
            <w:r>
              <w:rPr>
                <w:rFonts w:hint="eastAsia" w:ascii="宋体" w:hAnsi="宋体"/>
                <w:color w:val="auto"/>
                <w:highlight w:val="none"/>
              </w:rPr>
              <w:t>项目审核：支持多条件精准查询项目信息，按项目类型全景展现全区投资项目总体情况；</w:t>
            </w:r>
          </w:p>
          <w:p w14:paraId="65356C5D">
            <w:pPr>
              <w:spacing w:line="360" w:lineRule="exact"/>
              <w:ind w:firstLine="420" w:firstLineChars="200"/>
              <w:rPr>
                <w:rFonts w:ascii="宋体" w:hAnsi="宋体"/>
                <w:color w:val="auto"/>
                <w:highlight w:val="none"/>
              </w:rPr>
            </w:pPr>
            <w:r>
              <w:rPr>
                <w:rFonts w:hint="eastAsia" w:ascii="宋体" w:hAnsi="宋体"/>
                <w:color w:val="auto"/>
                <w:highlight w:val="none"/>
              </w:rPr>
              <w:t>项目调度：实时展示全区统筹推进重大项目进度上报情况，支撑动态监管；</w:t>
            </w:r>
          </w:p>
          <w:p w14:paraId="0A7A4BA1">
            <w:pPr>
              <w:spacing w:line="360" w:lineRule="exact"/>
              <w:ind w:firstLine="420" w:firstLineChars="200"/>
              <w:rPr>
                <w:rFonts w:ascii="宋体" w:hAnsi="宋体"/>
                <w:color w:val="auto"/>
                <w:highlight w:val="none"/>
              </w:rPr>
            </w:pPr>
            <w:r>
              <w:rPr>
                <w:rFonts w:hint="eastAsia" w:ascii="宋体" w:hAnsi="宋体"/>
                <w:color w:val="auto"/>
                <w:highlight w:val="none"/>
              </w:rPr>
              <w:t>投资计划：可视化呈现全区统筹推进重大项目投资完成情况，为决策提供数据支撑。</w:t>
            </w:r>
          </w:p>
          <w:p w14:paraId="01D7CC00">
            <w:pPr>
              <w:spacing w:line="360" w:lineRule="exact"/>
              <w:ind w:firstLine="420" w:firstLineChars="200"/>
              <w:rPr>
                <w:rFonts w:ascii="宋体" w:hAnsi="宋体"/>
                <w:color w:val="auto"/>
                <w:highlight w:val="none"/>
              </w:rPr>
            </w:pPr>
            <w:r>
              <w:rPr>
                <w:rFonts w:hint="eastAsia" w:ascii="宋体" w:hAnsi="宋体"/>
                <w:color w:val="auto"/>
                <w:highlight w:val="none"/>
              </w:rPr>
              <w:t>1.3 发改云审批系统国产化适配改造</w:t>
            </w:r>
          </w:p>
          <w:p w14:paraId="1687C876">
            <w:pPr>
              <w:spacing w:line="360" w:lineRule="exact"/>
              <w:ind w:firstLine="420" w:firstLineChars="200"/>
              <w:rPr>
                <w:rFonts w:ascii="宋体" w:hAnsi="宋体"/>
                <w:color w:val="auto"/>
                <w:highlight w:val="none"/>
              </w:rPr>
            </w:pPr>
            <w:r>
              <w:rPr>
                <w:rFonts w:hint="eastAsia" w:ascii="宋体" w:hAnsi="宋体"/>
                <w:color w:val="auto"/>
                <w:highlight w:val="none"/>
              </w:rPr>
              <w:t>基于壮美广西</w:t>
            </w:r>
            <w:r>
              <w:rPr>
                <w:rFonts w:hint="eastAsia" w:ascii="微软雅黑" w:hAnsi="微软雅黑" w:eastAsia="微软雅黑" w:cs="微软雅黑"/>
                <w:color w:val="auto"/>
                <w:highlight w:val="none"/>
              </w:rPr>
              <w:t>・</w:t>
            </w:r>
            <w:r>
              <w:rPr>
                <w:rFonts w:hint="eastAsia" w:ascii="宋体" w:hAnsi="宋体" w:cs="宋体"/>
                <w:color w:val="auto"/>
                <w:highlight w:val="none"/>
              </w:rPr>
              <w:t>发改云平台现有发改云审批系统进行国产化适配改造，确保首页管理、审批事项库管理、审批监督、后台管理、配置中心、应用集成等核心功能的延续性与有效性。系统需支持审批事项展示、审批监督（办件监控）等核心场景需求，通过优化审批业务流程、提升事项管</w:t>
            </w:r>
            <w:r>
              <w:rPr>
                <w:rFonts w:hint="eastAsia" w:ascii="宋体" w:hAnsi="宋体"/>
                <w:color w:val="auto"/>
                <w:highlight w:val="none"/>
              </w:rPr>
              <w:t>理与督办效率、增强系统配置灵活性与应用协同性，全面满足国产化自主可控要求，保障审批工作规范有序、数据安全可追溯，为发改审批业务高效运转提供技术支撑。</w:t>
            </w:r>
          </w:p>
          <w:p w14:paraId="1FB17508">
            <w:pPr>
              <w:spacing w:line="360" w:lineRule="exact"/>
              <w:ind w:firstLine="420" w:firstLineChars="200"/>
              <w:rPr>
                <w:rFonts w:ascii="宋体" w:hAnsi="宋体"/>
                <w:color w:val="auto"/>
                <w:highlight w:val="none"/>
              </w:rPr>
            </w:pPr>
            <w:r>
              <w:rPr>
                <w:rFonts w:hint="eastAsia" w:ascii="宋体" w:hAnsi="宋体"/>
                <w:color w:val="auto"/>
                <w:highlight w:val="none"/>
              </w:rPr>
              <w:t>1.4 可视化调度系统国产化适配</w:t>
            </w:r>
          </w:p>
          <w:p w14:paraId="41FCF2D9">
            <w:pPr>
              <w:spacing w:line="360" w:lineRule="exact"/>
              <w:ind w:firstLine="420" w:firstLineChars="200"/>
              <w:rPr>
                <w:rFonts w:ascii="宋体" w:hAnsi="宋体"/>
                <w:color w:val="auto"/>
                <w:highlight w:val="none"/>
              </w:rPr>
            </w:pPr>
            <w:r>
              <w:rPr>
                <w:rFonts w:hint="eastAsia" w:ascii="宋体" w:hAnsi="宋体"/>
                <w:color w:val="auto"/>
                <w:highlight w:val="none"/>
              </w:rPr>
              <w:t>基于壮美广西</w:t>
            </w:r>
            <w:r>
              <w:rPr>
                <w:rFonts w:hint="eastAsia" w:ascii="微软雅黑" w:hAnsi="微软雅黑" w:eastAsia="微软雅黑" w:cs="微软雅黑"/>
                <w:color w:val="auto"/>
                <w:highlight w:val="none"/>
              </w:rPr>
              <w:t>・</w:t>
            </w:r>
            <w:r>
              <w:rPr>
                <w:rFonts w:hint="eastAsia" w:ascii="宋体" w:hAnsi="宋体" w:cs="宋体"/>
                <w:color w:val="auto"/>
                <w:highlight w:val="none"/>
              </w:rPr>
              <w:t>发改云平台现有可视化调度系统开展国产化适配改造，确保项目管理、营商环境展示、信用广西展示等核心功能的延续性与有效性。系统需通过大屏可视化方式，直观呈现全区权重项目、</w:t>
            </w:r>
            <w:r>
              <w:rPr>
                <w:rFonts w:hint="eastAsia" w:ascii="宋体" w:hAnsi="宋体"/>
                <w:color w:val="auto"/>
                <w:highlight w:val="none"/>
              </w:rPr>
              <w:t>“三个一万亿” 工程重大项目、增发国债项目的投资完成情况、建设进度及问题处理动态，并支持跳转至营商环境大屏和信用广西系统查看详细信息，实现项目动态、营商环境及信用数据的一目了然。</w:t>
            </w:r>
          </w:p>
          <w:p w14:paraId="12F2965F">
            <w:pPr>
              <w:spacing w:line="360" w:lineRule="exact"/>
              <w:ind w:firstLine="420" w:firstLineChars="200"/>
              <w:rPr>
                <w:rFonts w:ascii="宋体" w:hAnsi="宋体"/>
                <w:color w:val="auto"/>
                <w:highlight w:val="none"/>
              </w:rPr>
            </w:pPr>
            <w:r>
              <w:rPr>
                <w:rFonts w:hint="eastAsia" w:ascii="宋体" w:hAnsi="宋体"/>
                <w:color w:val="auto"/>
                <w:highlight w:val="none"/>
              </w:rPr>
              <w:t>1.4.1 核心展示功能</w:t>
            </w:r>
          </w:p>
          <w:p w14:paraId="6CCC5206">
            <w:pPr>
              <w:spacing w:line="360" w:lineRule="exact"/>
              <w:ind w:firstLine="420" w:firstLineChars="200"/>
              <w:rPr>
                <w:rFonts w:ascii="宋体" w:hAnsi="宋体"/>
                <w:color w:val="auto"/>
                <w:highlight w:val="none"/>
              </w:rPr>
            </w:pPr>
            <w:r>
              <w:rPr>
                <w:rFonts w:hint="eastAsia" w:ascii="宋体" w:hAnsi="宋体"/>
                <w:color w:val="auto"/>
                <w:highlight w:val="none"/>
              </w:rPr>
              <w:t>储备库：展示项目数量、投资金额等核心指标，支持储备项目精准搜索与详细信息查询；</w:t>
            </w:r>
          </w:p>
          <w:p w14:paraId="0CA3E232">
            <w:pPr>
              <w:spacing w:line="360" w:lineRule="exact"/>
              <w:ind w:firstLine="420" w:firstLineChars="200"/>
              <w:rPr>
                <w:rFonts w:ascii="宋体" w:hAnsi="宋体"/>
                <w:color w:val="auto"/>
                <w:highlight w:val="none"/>
              </w:rPr>
            </w:pPr>
            <w:r>
              <w:rPr>
                <w:rFonts w:hint="eastAsia" w:ascii="宋体" w:hAnsi="宋体"/>
                <w:color w:val="auto"/>
                <w:highlight w:val="none"/>
              </w:rPr>
              <w:t>开工库：呈现项目数量、投资金额等关键数据，支持开工项目检索与信息展示；</w:t>
            </w:r>
          </w:p>
          <w:p w14:paraId="50307BB0">
            <w:pPr>
              <w:spacing w:line="360" w:lineRule="exact"/>
              <w:ind w:firstLine="420" w:firstLineChars="200"/>
              <w:rPr>
                <w:rFonts w:ascii="宋体" w:hAnsi="宋体"/>
                <w:color w:val="auto"/>
                <w:highlight w:val="none"/>
              </w:rPr>
            </w:pPr>
            <w:r>
              <w:rPr>
                <w:rFonts w:hint="eastAsia" w:ascii="宋体" w:hAnsi="宋体"/>
                <w:color w:val="auto"/>
                <w:highlight w:val="none"/>
              </w:rPr>
              <w:t>建设库：全面展示项目建设进度与问题协调情况，支持单个项目概况、建设进度及现场情况的穿透式查询。</w:t>
            </w:r>
          </w:p>
          <w:p w14:paraId="206B51B3">
            <w:pPr>
              <w:spacing w:line="360" w:lineRule="exact"/>
              <w:ind w:firstLine="420" w:firstLineChars="200"/>
              <w:rPr>
                <w:rFonts w:ascii="宋体" w:hAnsi="宋体"/>
                <w:color w:val="auto"/>
                <w:highlight w:val="none"/>
              </w:rPr>
            </w:pPr>
            <w:r>
              <w:rPr>
                <w:rFonts w:hint="eastAsia" w:ascii="宋体" w:hAnsi="宋体"/>
                <w:color w:val="auto"/>
                <w:highlight w:val="none"/>
              </w:rPr>
              <w:t>1.5 服务器端及终端适配改造及系统调优</w:t>
            </w:r>
          </w:p>
          <w:p w14:paraId="75C7A91A">
            <w:pPr>
              <w:spacing w:line="360" w:lineRule="exact"/>
              <w:ind w:firstLine="420" w:firstLineChars="200"/>
              <w:rPr>
                <w:rFonts w:ascii="宋体" w:hAnsi="宋体"/>
                <w:color w:val="auto"/>
                <w:highlight w:val="none"/>
              </w:rPr>
            </w:pPr>
            <w:r>
              <w:rPr>
                <w:rFonts w:hint="eastAsia" w:ascii="宋体" w:hAnsi="宋体"/>
                <w:color w:val="auto"/>
                <w:highlight w:val="none"/>
              </w:rPr>
              <w:t>本项目国产化适配改造涵盖服务器端适配、终端适配及系统调优三大核心环节，具体工作内容如下：</w:t>
            </w:r>
          </w:p>
          <w:p w14:paraId="68EA8D06">
            <w:pPr>
              <w:spacing w:line="360" w:lineRule="exact"/>
              <w:ind w:firstLine="420" w:firstLineChars="200"/>
              <w:rPr>
                <w:rFonts w:ascii="宋体" w:hAnsi="宋体"/>
                <w:color w:val="auto"/>
                <w:highlight w:val="none"/>
              </w:rPr>
            </w:pPr>
            <w:r>
              <w:rPr>
                <w:rFonts w:hint="eastAsia" w:ascii="宋体" w:hAnsi="宋体"/>
                <w:color w:val="auto"/>
                <w:highlight w:val="none"/>
              </w:rPr>
              <w:t>1.5.1 服务器端适配</w:t>
            </w:r>
          </w:p>
          <w:p w14:paraId="0887F6F7">
            <w:pPr>
              <w:spacing w:line="360" w:lineRule="exact"/>
              <w:ind w:firstLine="420" w:firstLineChars="200"/>
              <w:rPr>
                <w:rFonts w:ascii="宋体" w:hAnsi="宋体"/>
                <w:color w:val="auto"/>
                <w:highlight w:val="none"/>
              </w:rPr>
            </w:pPr>
            <w:r>
              <w:rPr>
                <w:rFonts w:hint="eastAsia" w:ascii="宋体" w:hAnsi="宋体"/>
                <w:color w:val="auto"/>
                <w:highlight w:val="none"/>
              </w:rPr>
              <w:t>需完成与服务器环境（含中间件、数据库、应用程序）的全面适配，确保系统在国产化环境下稳定运行。</w:t>
            </w:r>
          </w:p>
          <w:p w14:paraId="34C923A9">
            <w:pPr>
              <w:spacing w:line="360" w:lineRule="exact"/>
              <w:ind w:firstLine="420" w:firstLineChars="200"/>
              <w:rPr>
                <w:rFonts w:ascii="宋体" w:hAnsi="宋体"/>
                <w:color w:val="auto"/>
                <w:highlight w:val="none"/>
              </w:rPr>
            </w:pPr>
            <w:r>
              <w:rPr>
                <w:rFonts w:hint="eastAsia" w:ascii="宋体" w:hAnsi="宋体"/>
                <w:color w:val="auto"/>
                <w:highlight w:val="none"/>
              </w:rPr>
              <w:t>1.5.1.1 中间件适配</w:t>
            </w:r>
          </w:p>
          <w:p w14:paraId="324B48CF">
            <w:pPr>
              <w:spacing w:line="360" w:lineRule="exact"/>
              <w:ind w:firstLine="420" w:firstLineChars="200"/>
              <w:rPr>
                <w:rFonts w:ascii="宋体" w:hAnsi="宋体"/>
                <w:color w:val="auto"/>
                <w:highlight w:val="none"/>
              </w:rPr>
            </w:pPr>
            <w:r>
              <w:rPr>
                <w:rFonts w:hint="eastAsia" w:ascii="宋体" w:hAnsi="宋体"/>
                <w:color w:val="auto"/>
                <w:highlight w:val="none"/>
              </w:rPr>
              <w:t>采用国产中间件替换原有 Tomcat 中间件，实现应用中间件、负载均衡、缓存、存储服务等核心组件的国产化适配部署。</w:t>
            </w:r>
          </w:p>
          <w:p w14:paraId="01CD0110">
            <w:pPr>
              <w:spacing w:line="360" w:lineRule="exact"/>
              <w:ind w:firstLine="420" w:firstLineChars="200"/>
              <w:rPr>
                <w:rFonts w:ascii="宋体" w:hAnsi="宋体"/>
                <w:color w:val="auto"/>
                <w:highlight w:val="none"/>
              </w:rPr>
            </w:pPr>
            <w:r>
              <w:rPr>
                <w:rFonts w:hint="eastAsia" w:ascii="宋体" w:hAnsi="宋体"/>
                <w:color w:val="auto"/>
                <w:highlight w:val="none"/>
              </w:rPr>
              <w:t>1.5.1.2 数据库兼容适配</w:t>
            </w:r>
          </w:p>
          <w:p w14:paraId="589BA7D2">
            <w:pPr>
              <w:spacing w:line="360" w:lineRule="exact"/>
              <w:ind w:firstLine="420" w:firstLineChars="200"/>
              <w:rPr>
                <w:rFonts w:ascii="宋体" w:hAnsi="宋体"/>
                <w:color w:val="auto"/>
                <w:highlight w:val="none"/>
              </w:rPr>
            </w:pPr>
            <w:r>
              <w:rPr>
                <w:rFonts w:hint="eastAsia" w:ascii="宋体" w:hAnsi="宋体"/>
                <w:color w:val="auto"/>
                <w:highlight w:val="none"/>
              </w:rPr>
              <w:t>完成数据库数据类型转换与兼容适配，实现主流国产数据库的数据表、存储过程、序列、触发器等结构的初始化配置。</w:t>
            </w:r>
          </w:p>
          <w:p w14:paraId="464BED53">
            <w:pPr>
              <w:spacing w:line="360" w:lineRule="exact"/>
              <w:ind w:firstLine="420" w:firstLineChars="200"/>
              <w:rPr>
                <w:rFonts w:ascii="宋体" w:hAnsi="宋体"/>
                <w:color w:val="auto"/>
                <w:highlight w:val="none"/>
              </w:rPr>
            </w:pPr>
            <w:r>
              <w:rPr>
                <w:rFonts w:hint="eastAsia" w:ascii="宋体" w:hAnsi="宋体"/>
                <w:color w:val="auto"/>
                <w:highlight w:val="none"/>
              </w:rPr>
              <w:t>1.5.1.3 应用程序适配</w:t>
            </w:r>
          </w:p>
          <w:p w14:paraId="5D3C0854">
            <w:pPr>
              <w:spacing w:line="360" w:lineRule="exact"/>
              <w:ind w:firstLine="420" w:firstLineChars="200"/>
              <w:rPr>
                <w:rFonts w:ascii="宋体" w:hAnsi="宋体"/>
                <w:color w:val="auto"/>
                <w:highlight w:val="none"/>
              </w:rPr>
            </w:pPr>
            <w:r>
              <w:rPr>
                <w:rFonts w:hint="eastAsia" w:ascii="宋体" w:hAnsi="宋体"/>
                <w:color w:val="auto"/>
                <w:highlight w:val="none"/>
              </w:rPr>
              <w:t>环境编码兼容适配：确保系统编码与国产化环境完全兼容；</w:t>
            </w:r>
          </w:p>
          <w:p w14:paraId="49726A08">
            <w:pPr>
              <w:spacing w:line="360" w:lineRule="exact"/>
              <w:ind w:firstLine="420" w:firstLineChars="200"/>
              <w:rPr>
                <w:rFonts w:ascii="宋体" w:hAnsi="宋体"/>
                <w:color w:val="auto"/>
                <w:highlight w:val="none"/>
              </w:rPr>
            </w:pPr>
            <w:r>
              <w:rPr>
                <w:rFonts w:hint="eastAsia" w:ascii="宋体" w:hAnsi="宋体"/>
                <w:color w:val="auto"/>
                <w:highlight w:val="none"/>
              </w:rPr>
              <w:t>业务流程设计兼容适配：优化业务流程设计，契合国产化环境运行要求；</w:t>
            </w:r>
          </w:p>
          <w:p w14:paraId="166AC94A">
            <w:pPr>
              <w:spacing w:line="360" w:lineRule="exact"/>
              <w:ind w:firstLine="420" w:firstLineChars="200"/>
              <w:rPr>
                <w:rFonts w:ascii="宋体" w:hAnsi="宋体"/>
                <w:color w:val="auto"/>
                <w:highlight w:val="none"/>
              </w:rPr>
            </w:pPr>
            <w:r>
              <w:rPr>
                <w:rFonts w:hint="eastAsia" w:ascii="宋体" w:hAnsi="宋体"/>
                <w:color w:val="auto"/>
                <w:highlight w:val="none"/>
              </w:rPr>
              <w:t>应用控件兼容适配：完成各类应用控件的国产化适配改造；</w:t>
            </w:r>
          </w:p>
          <w:p w14:paraId="2742AC5E">
            <w:pPr>
              <w:spacing w:line="360" w:lineRule="exact"/>
              <w:ind w:firstLine="420" w:firstLineChars="200"/>
              <w:rPr>
                <w:rFonts w:ascii="宋体" w:hAnsi="宋体"/>
                <w:color w:val="auto"/>
                <w:highlight w:val="none"/>
              </w:rPr>
            </w:pPr>
            <w:r>
              <w:rPr>
                <w:rFonts w:hint="eastAsia" w:ascii="宋体" w:hAnsi="宋体"/>
                <w:color w:val="auto"/>
                <w:highlight w:val="none"/>
              </w:rPr>
              <w:t>浏览器兼容适配：实现对 Firefox、360 等国产浏览器的全面兼容，针对部分页面不支持的 JS 代码写法，结合国产浏览器实际情况进行修改，确保脚本、控件、文件上传插件及页面样式的兼容适配。</w:t>
            </w:r>
          </w:p>
          <w:p w14:paraId="4BC7EFB5">
            <w:pPr>
              <w:spacing w:line="360" w:lineRule="exact"/>
              <w:ind w:firstLine="420" w:firstLineChars="200"/>
              <w:rPr>
                <w:rFonts w:ascii="宋体" w:hAnsi="宋体"/>
                <w:color w:val="auto"/>
                <w:highlight w:val="none"/>
              </w:rPr>
            </w:pPr>
            <w:r>
              <w:rPr>
                <w:rFonts w:hint="eastAsia" w:ascii="宋体" w:hAnsi="宋体"/>
                <w:color w:val="auto"/>
                <w:highlight w:val="none"/>
              </w:rPr>
              <w:t>1.5.2 终端适配工作</w:t>
            </w:r>
          </w:p>
          <w:p w14:paraId="3534913C">
            <w:pPr>
              <w:spacing w:line="360" w:lineRule="exact"/>
              <w:ind w:firstLine="420" w:firstLineChars="200"/>
              <w:rPr>
                <w:rFonts w:ascii="宋体" w:hAnsi="宋体"/>
                <w:color w:val="auto"/>
                <w:highlight w:val="none"/>
              </w:rPr>
            </w:pPr>
            <w:r>
              <w:rPr>
                <w:rFonts w:hint="eastAsia" w:ascii="宋体" w:hAnsi="宋体"/>
                <w:color w:val="auto"/>
                <w:highlight w:val="none"/>
              </w:rPr>
              <w:t>针对国产终端浏览器（如 Firefox）不支持部分插件的问题，对前端 WEB 程序进行逐一检查与调整：一方面完成插件移除改造，另一方面优化显示乱码、页码样式、JS 脚本等问题，实现国产浏览器与 IE 浏览器的双向兼容。</w:t>
            </w:r>
          </w:p>
          <w:p w14:paraId="54D44B13">
            <w:pPr>
              <w:spacing w:line="360" w:lineRule="exact"/>
              <w:ind w:firstLine="420" w:firstLineChars="200"/>
              <w:rPr>
                <w:rFonts w:ascii="宋体" w:hAnsi="宋体"/>
                <w:color w:val="auto"/>
                <w:highlight w:val="none"/>
              </w:rPr>
            </w:pPr>
            <w:r>
              <w:rPr>
                <w:rFonts w:hint="eastAsia" w:ascii="宋体" w:hAnsi="宋体"/>
                <w:color w:val="auto"/>
                <w:highlight w:val="none"/>
              </w:rPr>
              <w:t>1.5.3 系统调优工作</w:t>
            </w:r>
          </w:p>
          <w:p w14:paraId="50E4D53C">
            <w:pPr>
              <w:spacing w:line="360" w:lineRule="exact"/>
              <w:ind w:firstLine="420" w:firstLineChars="200"/>
              <w:rPr>
                <w:rFonts w:ascii="宋体" w:hAnsi="宋体"/>
                <w:color w:val="auto"/>
                <w:highlight w:val="none"/>
              </w:rPr>
            </w:pPr>
            <w:r>
              <w:rPr>
                <w:rFonts w:hint="eastAsia" w:ascii="宋体" w:hAnsi="宋体"/>
                <w:color w:val="auto"/>
                <w:highlight w:val="none"/>
              </w:rPr>
              <w:t>一是浏览器兼容调优：兼容 IE 内核与非 IE 内核浏览器（如火狐），涵盖共性样式、共性脚本、特殊脚本、特殊样式等适配优化。</w:t>
            </w:r>
          </w:p>
          <w:p w14:paraId="5AE3C39C">
            <w:pPr>
              <w:spacing w:line="360" w:lineRule="exact"/>
              <w:ind w:firstLine="420" w:firstLineChars="200"/>
              <w:rPr>
                <w:rFonts w:ascii="宋体" w:hAnsi="宋体"/>
                <w:color w:val="auto"/>
                <w:highlight w:val="none"/>
              </w:rPr>
            </w:pPr>
            <w:r>
              <w:rPr>
                <w:rFonts w:hint="eastAsia" w:ascii="宋体" w:hAnsi="宋体"/>
                <w:color w:val="auto"/>
                <w:highlight w:val="none"/>
              </w:rPr>
              <w:t>二是数据库兼容调优：包括 SQL 语句优化、驱动包更新、数据库类型适配、存储过程调优等内容。</w:t>
            </w:r>
          </w:p>
          <w:p w14:paraId="3D563FC6">
            <w:pPr>
              <w:spacing w:line="360" w:lineRule="exact"/>
              <w:ind w:firstLine="420" w:firstLineChars="200"/>
              <w:rPr>
                <w:rFonts w:ascii="宋体" w:hAnsi="宋体"/>
                <w:color w:val="auto"/>
                <w:highlight w:val="none"/>
              </w:rPr>
            </w:pPr>
            <w:r>
              <w:rPr>
                <w:rFonts w:hint="eastAsia" w:ascii="宋体" w:hAnsi="宋体"/>
                <w:color w:val="auto"/>
                <w:highlight w:val="none"/>
              </w:rPr>
              <w:t>三是应用服务器兼容调优：涵盖 EJB、EAR 包结构优化、运行依赖包适配、过滤器调优等工作</w:t>
            </w:r>
          </w:p>
          <w:p w14:paraId="58BB1717">
            <w:pPr>
              <w:spacing w:line="360" w:lineRule="exact"/>
              <w:ind w:firstLine="420" w:firstLineChars="200"/>
              <w:rPr>
                <w:rFonts w:ascii="宋体" w:hAnsi="宋体"/>
                <w:color w:val="auto"/>
                <w:highlight w:val="none"/>
              </w:rPr>
            </w:pPr>
            <w:r>
              <w:rPr>
                <w:rFonts w:hint="eastAsia" w:ascii="宋体" w:hAnsi="宋体"/>
                <w:color w:val="auto"/>
                <w:highlight w:val="none"/>
              </w:rPr>
              <w:t>四是插件兼容调优：重新开发适配新环境的专用插件，确保功能替代与性能优化。</w:t>
            </w:r>
          </w:p>
          <w:p w14:paraId="38A038F9">
            <w:pPr>
              <w:spacing w:line="360" w:lineRule="exact"/>
              <w:ind w:firstLine="420" w:firstLineChars="200"/>
              <w:rPr>
                <w:rFonts w:ascii="宋体" w:hAnsi="宋体"/>
                <w:color w:val="auto"/>
                <w:highlight w:val="none"/>
              </w:rPr>
            </w:pPr>
            <w:r>
              <w:rPr>
                <w:rFonts w:hint="eastAsia" w:ascii="宋体" w:hAnsi="宋体"/>
                <w:color w:val="auto"/>
                <w:highlight w:val="none"/>
              </w:rPr>
              <w:t>五是应用程序接口调优：优化 JS 文件使用方式，更换为浏览器支持的调用方法，提升接口兼容性与响应速度。</w:t>
            </w:r>
          </w:p>
          <w:p w14:paraId="52007CC1">
            <w:pPr>
              <w:spacing w:line="360" w:lineRule="exact"/>
              <w:ind w:firstLine="422" w:firstLineChars="200"/>
              <w:rPr>
                <w:rFonts w:ascii="宋体" w:hAnsi="宋体"/>
                <w:b/>
                <w:bCs/>
                <w:color w:val="auto"/>
                <w:highlight w:val="none"/>
              </w:rPr>
            </w:pPr>
            <w:r>
              <w:rPr>
                <w:rFonts w:hint="eastAsia" w:ascii="宋体" w:hAnsi="宋体"/>
                <w:b/>
                <w:bCs/>
                <w:color w:val="auto"/>
                <w:highlight w:val="none"/>
              </w:rPr>
              <w:t>2、壮美广西</w:t>
            </w:r>
            <w:r>
              <w:rPr>
                <w:rFonts w:hint="eastAsia" w:ascii="微软雅黑" w:hAnsi="微软雅黑" w:eastAsia="微软雅黑" w:cs="微软雅黑"/>
                <w:b/>
                <w:bCs/>
                <w:color w:val="auto"/>
                <w:highlight w:val="none"/>
              </w:rPr>
              <w:t>・</w:t>
            </w:r>
            <w:r>
              <w:rPr>
                <w:rFonts w:hint="eastAsia" w:ascii="宋体" w:hAnsi="宋体" w:cs="宋体"/>
                <w:b/>
                <w:bCs/>
                <w:color w:val="auto"/>
                <w:highlight w:val="none"/>
              </w:rPr>
              <w:t>发改云系统接口国产化适配改</w:t>
            </w:r>
            <w:r>
              <w:rPr>
                <w:rFonts w:hint="eastAsia" w:ascii="宋体" w:hAnsi="宋体"/>
                <w:b/>
                <w:bCs/>
                <w:color w:val="auto"/>
                <w:highlight w:val="none"/>
              </w:rPr>
              <w:t>造</w:t>
            </w:r>
          </w:p>
          <w:p w14:paraId="2684E405">
            <w:pPr>
              <w:spacing w:line="360" w:lineRule="exact"/>
              <w:ind w:firstLine="420" w:firstLineChars="200"/>
              <w:rPr>
                <w:rFonts w:ascii="宋体" w:hAnsi="宋体"/>
                <w:color w:val="auto"/>
                <w:highlight w:val="none"/>
              </w:rPr>
            </w:pPr>
            <w:r>
              <w:rPr>
                <w:rFonts w:hint="eastAsia" w:ascii="宋体" w:hAnsi="宋体"/>
                <w:color w:val="auto"/>
                <w:highlight w:val="none"/>
              </w:rPr>
              <w:t>本项目适配改造完成后，需确保系统顺畅和稳定，中标供应商需承担适配改造后接口无缝对接的全部工作，确保业务数据交互不受影响。</w:t>
            </w:r>
          </w:p>
          <w:p w14:paraId="08DB6F8B">
            <w:pPr>
              <w:spacing w:line="360" w:lineRule="exact"/>
              <w:ind w:firstLine="420" w:firstLineChars="200"/>
              <w:rPr>
                <w:rFonts w:ascii="宋体" w:hAnsi="宋体"/>
                <w:color w:val="auto"/>
                <w:highlight w:val="none"/>
              </w:rPr>
            </w:pPr>
            <w:r>
              <w:rPr>
                <w:rFonts w:hint="eastAsia" w:ascii="宋体" w:hAnsi="宋体"/>
                <w:color w:val="auto"/>
                <w:highlight w:val="none"/>
              </w:rPr>
              <w:t>2.1 问题征解类相关接口适配改造</w:t>
            </w:r>
          </w:p>
          <w:p w14:paraId="460B65DE">
            <w:pPr>
              <w:spacing w:line="360" w:lineRule="exact"/>
              <w:ind w:firstLine="420" w:firstLineChars="200"/>
              <w:rPr>
                <w:rFonts w:ascii="宋体" w:hAnsi="宋体"/>
                <w:color w:val="auto"/>
                <w:highlight w:val="none"/>
              </w:rPr>
            </w:pPr>
            <w:r>
              <w:rPr>
                <w:rFonts w:hint="eastAsia" w:ascii="宋体" w:hAnsi="宋体"/>
                <w:color w:val="auto"/>
                <w:highlight w:val="none"/>
              </w:rPr>
              <w:t>聚焦问题征解全流程数据交互需求，完成问题征解类相关接口国产化适配改造，保障相关方实时掌握征解动态，支撑问题高效处理与跨部门沟通。核心接口包含：</w:t>
            </w:r>
          </w:p>
          <w:p w14:paraId="4EF3CD16">
            <w:pPr>
              <w:spacing w:line="360" w:lineRule="exact"/>
              <w:ind w:firstLine="420" w:firstLineChars="200"/>
              <w:rPr>
                <w:rFonts w:ascii="宋体" w:hAnsi="宋体"/>
                <w:color w:val="auto"/>
                <w:highlight w:val="none"/>
              </w:rPr>
            </w:pPr>
            <w:r>
              <w:rPr>
                <w:rFonts w:hint="eastAsia" w:ascii="宋体" w:hAnsi="宋体"/>
                <w:color w:val="auto"/>
                <w:highlight w:val="none"/>
              </w:rPr>
              <w:t>基础查询类：获取我的问题列表、问题详情、获取问题提交项目列表、提交类型列表；</w:t>
            </w:r>
          </w:p>
          <w:p w14:paraId="268273F8">
            <w:pPr>
              <w:spacing w:line="360" w:lineRule="exact"/>
              <w:ind w:firstLine="420" w:firstLineChars="200"/>
              <w:rPr>
                <w:rFonts w:ascii="宋体" w:hAnsi="宋体"/>
                <w:color w:val="auto"/>
                <w:highlight w:val="none"/>
              </w:rPr>
            </w:pPr>
            <w:r>
              <w:rPr>
                <w:rFonts w:hint="eastAsia" w:ascii="宋体" w:hAnsi="宋体"/>
                <w:color w:val="auto"/>
                <w:highlight w:val="none"/>
              </w:rPr>
              <w:t>互动提交类：提交我的问题接口、获取建言献策列表、建言献策详情、提交建言献策、提交建言献策类型；</w:t>
            </w:r>
          </w:p>
          <w:p w14:paraId="440DBEE6">
            <w:pPr>
              <w:spacing w:line="360" w:lineRule="exact"/>
              <w:ind w:firstLine="420" w:firstLineChars="200"/>
              <w:rPr>
                <w:rFonts w:ascii="宋体" w:hAnsi="宋体"/>
                <w:color w:val="auto"/>
                <w:highlight w:val="none"/>
              </w:rPr>
            </w:pPr>
            <w:r>
              <w:rPr>
                <w:rFonts w:hint="eastAsia" w:ascii="宋体" w:hAnsi="宋体"/>
                <w:color w:val="auto"/>
                <w:highlight w:val="none"/>
              </w:rPr>
              <w:t>动态展示类：获取征解动态列表、征解动态详情。</w:t>
            </w:r>
          </w:p>
          <w:p w14:paraId="618283C6">
            <w:pPr>
              <w:spacing w:line="360" w:lineRule="exact"/>
              <w:ind w:firstLine="420" w:firstLineChars="200"/>
              <w:rPr>
                <w:rFonts w:ascii="宋体" w:hAnsi="宋体"/>
                <w:color w:val="auto"/>
                <w:highlight w:val="none"/>
              </w:rPr>
            </w:pPr>
            <w:r>
              <w:rPr>
                <w:rFonts w:hint="eastAsia" w:ascii="宋体" w:hAnsi="宋体"/>
                <w:color w:val="auto"/>
                <w:highlight w:val="none"/>
              </w:rPr>
              <w:t>2.2 其他接口对接适配改造</w:t>
            </w:r>
          </w:p>
          <w:p w14:paraId="5C758BBC">
            <w:pPr>
              <w:spacing w:line="360" w:lineRule="exact"/>
              <w:ind w:firstLine="420" w:firstLineChars="200"/>
              <w:rPr>
                <w:rFonts w:ascii="宋体" w:hAnsi="宋体"/>
                <w:color w:val="auto"/>
                <w:highlight w:val="none"/>
              </w:rPr>
            </w:pPr>
            <w:r>
              <w:rPr>
                <w:rFonts w:hint="eastAsia" w:ascii="宋体" w:hAnsi="宋体"/>
                <w:color w:val="auto"/>
                <w:highlight w:val="none"/>
              </w:rPr>
              <w:t>围绕各类业务数据获取与互通需求，完成其他接口国产化适配改造，为发改业务办理、监管核查提供精准数据支撑，保障信息传递的准确性与时效性。核心接口包含：</w:t>
            </w:r>
          </w:p>
          <w:p w14:paraId="5BE90F25">
            <w:pPr>
              <w:spacing w:line="360" w:lineRule="exact"/>
              <w:ind w:firstLine="420" w:firstLineChars="200"/>
              <w:rPr>
                <w:rFonts w:ascii="宋体" w:hAnsi="宋体"/>
                <w:color w:val="auto"/>
                <w:highlight w:val="none"/>
              </w:rPr>
            </w:pPr>
            <w:r>
              <w:rPr>
                <w:rFonts w:hint="eastAsia" w:ascii="宋体" w:hAnsi="宋体"/>
                <w:color w:val="auto"/>
                <w:highlight w:val="none"/>
              </w:rPr>
              <w:t>数据查询类：数据存量查询接口、事项办理总库表接口；</w:t>
            </w:r>
          </w:p>
          <w:p w14:paraId="73057AC4">
            <w:pPr>
              <w:spacing w:line="360" w:lineRule="exact"/>
              <w:ind w:firstLine="420" w:firstLineChars="200"/>
              <w:rPr>
                <w:rFonts w:ascii="宋体" w:hAnsi="宋体"/>
                <w:color w:val="auto"/>
                <w:highlight w:val="none"/>
              </w:rPr>
            </w:pPr>
            <w:r>
              <w:rPr>
                <w:rFonts w:hint="eastAsia" w:ascii="宋体" w:hAnsi="宋体"/>
                <w:color w:val="auto"/>
                <w:highlight w:val="none"/>
              </w:rPr>
              <w:t>业务分类类：公共服务类信息相关接口、其他行政权力类信息相关接口、行政许可类信息相关接口、行政确认类信息相关接口、行政处罚类信息相关接口、行政检查类信息相关接口、行政给付类信息相关接口；</w:t>
            </w:r>
          </w:p>
          <w:p w14:paraId="355C98A5">
            <w:pPr>
              <w:spacing w:line="360" w:lineRule="exact"/>
              <w:ind w:firstLine="420" w:firstLineChars="200"/>
              <w:rPr>
                <w:rFonts w:ascii="宋体" w:hAnsi="宋体"/>
                <w:color w:val="auto"/>
                <w:highlight w:val="none"/>
              </w:rPr>
            </w:pPr>
            <w:r>
              <w:rPr>
                <w:rFonts w:hint="eastAsia" w:ascii="宋体" w:hAnsi="宋体"/>
                <w:color w:val="auto"/>
                <w:highlight w:val="none"/>
              </w:rPr>
              <w:t>其他接口：其他关联业务接口。</w:t>
            </w:r>
          </w:p>
          <w:p w14:paraId="7C3C5965">
            <w:pPr>
              <w:spacing w:line="360" w:lineRule="exact"/>
              <w:ind w:firstLine="422" w:firstLineChars="200"/>
              <w:rPr>
                <w:rFonts w:ascii="宋体" w:hAnsi="宋体"/>
                <w:b/>
                <w:bCs/>
                <w:color w:val="auto"/>
                <w:highlight w:val="none"/>
              </w:rPr>
            </w:pPr>
            <w:r>
              <w:rPr>
                <w:rFonts w:hint="eastAsia" w:ascii="宋体" w:hAnsi="宋体"/>
                <w:b/>
                <w:bCs/>
                <w:color w:val="auto"/>
                <w:highlight w:val="none"/>
              </w:rPr>
              <w:t>3、新增功能模块</w:t>
            </w:r>
          </w:p>
          <w:p w14:paraId="4AB463D9">
            <w:pPr>
              <w:spacing w:line="360" w:lineRule="exact"/>
              <w:ind w:firstLine="420" w:firstLineChars="200"/>
              <w:rPr>
                <w:rFonts w:ascii="宋体" w:hAnsi="宋体"/>
                <w:color w:val="auto"/>
                <w:highlight w:val="none"/>
              </w:rPr>
            </w:pPr>
            <w:r>
              <w:rPr>
                <w:rFonts w:hint="eastAsia" w:ascii="宋体" w:hAnsi="宋体"/>
                <w:color w:val="auto"/>
                <w:highlight w:val="none"/>
              </w:rPr>
              <w:t>3.1通用智能库表配置：新增通用项目库页面表单，通过模块配置、代码项配置、审核人员配置等功能，实现项目库快速搭建、审核入库及调度管理全流程支撑；</w:t>
            </w:r>
          </w:p>
          <w:p w14:paraId="08EBE8D7">
            <w:pPr>
              <w:spacing w:line="360" w:lineRule="exact"/>
              <w:ind w:firstLine="420" w:firstLineChars="200"/>
              <w:rPr>
                <w:rFonts w:ascii="宋体" w:hAnsi="宋体"/>
                <w:color w:val="auto"/>
                <w:highlight w:val="none"/>
              </w:rPr>
            </w:pPr>
            <w:r>
              <w:rPr>
                <w:rFonts w:hint="eastAsia" w:ascii="宋体" w:hAnsi="宋体"/>
                <w:color w:val="auto"/>
                <w:highlight w:val="none"/>
              </w:rPr>
              <w:t>3.2调度分析：基于用户提供的报告模板进行个性化开发，形成标准化系统版式，支持调度分析报告模板的灵活调用；</w:t>
            </w:r>
          </w:p>
          <w:p w14:paraId="77D5673C">
            <w:pPr>
              <w:spacing w:line="360" w:lineRule="exact"/>
              <w:ind w:firstLine="420" w:firstLineChars="200"/>
              <w:rPr>
                <w:rFonts w:ascii="宋体" w:hAnsi="宋体"/>
                <w:color w:val="auto"/>
                <w:highlight w:val="none"/>
              </w:rPr>
            </w:pPr>
            <w:r>
              <w:rPr>
                <w:rFonts w:hint="eastAsia" w:ascii="宋体" w:hAnsi="宋体"/>
                <w:color w:val="auto"/>
                <w:highlight w:val="none"/>
              </w:rPr>
              <w:t>3.3联合审查管理：构建跨部门联合审查机制，实现审查流程电子化流转，配套系统退回提醒与消息推送功能，提升审查效率与协同水平。</w:t>
            </w:r>
          </w:p>
          <w:p w14:paraId="38F4E80B">
            <w:pPr>
              <w:spacing w:line="360" w:lineRule="exact"/>
              <w:ind w:firstLine="422" w:firstLineChars="200"/>
              <w:rPr>
                <w:rFonts w:ascii="宋体" w:hAnsi="宋体"/>
                <w:b/>
                <w:bCs/>
                <w:color w:val="auto"/>
                <w:highlight w:val="none"/>
              </w:rPr>
            </w:pPr>
            <w:r>
              <w:rPr>
                <w:rFonts w:hint="eastAsia" w:ascii="宋体" w:hAnsi="宋体"/>
                <w:b/>
                <w:bCs/>
                <w:color w:val="auto"/>
                <w:highlight w:val="none"/>
              </w:rPr>
              <w:t>4、系统迁移及数据迁移</w:t>
            </w:r>
          </w:p>
          <w:p w14:paraId="244B38A1">
            <w:pPr>
              <w:spacing w:line="360" w:lineRule="exact"/>
              <w:ind w:firstLine="420" w:firstLineChars="200"/>
              <w:rPr>
                <w:rFonts w:ascii="宋体" w:hAnsi="宋体"/>
                <w:color w:val="auto"/>
                <w:highlight w:val="none"/>
              </w:rPr>
            </w:pPr>
            <w:r>
              <w:rPr>
                <w:rFonts w:hint="eastAsia" w:ascii="宋体" w:hAnsi="宋体"/>
                <w:color w:val="auto"/>
                <w:highlight w:val="none"/>
              </w:rPr>
              <w:t>中标供应商需全面统筹本项目数据迁移工作，承担数据迁移全流程工作，确保迁移过程安全可控、数据完整无误。</w:t>
            </w:r>
          </w:p>
          <w:p w14:paraId="17E1EBBA">
            <w:pPr>
              <w:spacing w:line="360" w:lineRule="exact"/>
              <w:ind w:firstLine="420" w:firstLineChars="200"/>
              <w:rPr>
                <w:rFonts w:ascii="宋体" w:hAnsi="宋体"/>
                <w:color w:val="auto"/>
                <w:highlight w:val="none"/>
              </w:rPr>
            </w:pPr>
            <w:r>
              <w:rPr>
                <w:rFonts w:hint="eastAsia" w:ascii="宋体" w:hAnsi="宋体"/>
                <w:color w:val="auto"/>
                <w:highlight w:val="none"/>
              </w:rPr>
              <w:t>4.1 应用部署和数据迁移</w:t>
            </w:r>
          </w:p>
          <w:p w14:paraId="2EA5224F">
            <w:pPr>
              <w:spacing w:line="360" w:lineRule="exact"/>
              <w:ind w:firstLine="420" w:firstLineChars="200"/>
              <w:rPr>
                <w:rFonts w:ascii="宋体" w:hAnsi="宋体"/>
                <w:color w:val="auto"/>
                <w:highlight w:val="none"/>
              </w:rPr>
            </w:pPr>
            <w:r>
              <w:rPr>
                <w:rFonts w:hint="eastAsia" w:ascii="宋体" w:hAnsi="宋体"/>
                <w:color w:val="auto"/>
                <w:highlight w:val="none"/>
              </w:rPr>
              <w:t>本项目改造完成后，需在国产软硬件环境中完成系统部署，并科学规划数据迁移全流程：</w:t>
            </w:r>
          </w:p>
          <w:p w14:paraId="7583517F">
            <w:pPr>
              <w:spacing w:line="360" w:lineRule="exact"/>
              <w:ind w:firstLine="420" w:firstLineChars="200"/>
              <w:rPr>
                <w:rFonts w:ascii="宋体" w:hAnsi="宋体"/>
                <w:color w:val="auto"/>
                <w:highlight w:val="none"/>
              </w:rPr>
            </w:pPr>
            <w:r>
              <w:rPr>
                <w:rFonts w:hint="eastAsia" w:ascii="宋体" w:hAnsi="宋体"/>
                <w:color w:val="auto"/>
                <w:highlight w:val="none"/>
              </w:rPr>
              <w:t>完成数据模拟迁移并验证通过后，启动正式数据迁移工作；</w:t>
            </w:r>
          </w:p>
          <w:p w14:paraId="45D736A1">
            <w:pPr>
              <w:spacing w:line="360" w:lineRule="exact"/>
              <w:ind w:firstLine="420" w:firstLineChars="200"/>
              <w:rPr>
                <w:rFonts w:ascii="宋体" w:hAnsi="宋体"/>
                <w:color w:val="auto"/>
                <w:highlight w:val="none"/>
              </w:rPr>
            </w:pPr>
            <w:r>
              <w:rPr>
                <w:rFonts w:hint="eastAsia" w:ascii="宋体" w:hAnsi="宋体"/>
                <w:color w:val="auto"/>
                <w:highlight w:val="none"/>
              </w:rPr>
              <w:t>针对迁移后的数据库进行性能优化调整，确保满足应用系统实际运行需求；</w:t>
            </w:r>
          </w:p>
          <w:p w14:paraId="2CED097D">
            <w:pPr>
              <w:spacing w:line="360" w:lineRule="exact"/>
              <w:ind w:firstLine="420" w:firstLineChars="200"/>
              <w:rPr>
                <w:rFonts w:ascii="宋体" w:hAnsi="宋体"/>
                <w:color w:val="auto"/>
                <w:highlight w:val="none"/>
              </w:rPr>
            </w:pPr>
            <w:r>
              <w:rPr>
                <w:rFonts w:hint="eastAsia" w:ascii="宋体" w:hAnsi="宋体"/>
                <w:color w:val="auto"/>
                <w:highlight w:val="none"/>
              </w:rPr>
              <w:t>正式数据迁移完成后，将应用系统软件移植至新数据库环境，系统投入实际使用。</w:t>
            </w:r>
          </w:p>
          <w:p w14:paraId="62786901">
            <w:pPr>
              <w:spacing w:line="360" w:lineRule="exact"/>
              <w:ind w:firstLine="420" w:firstLineChars="200"/>
              <w:rPr>
                <w:rFonts w:ascii="宋体" w:hAnsi="宋体"/>
                <w:color w:val="auto"/>
                <w:highlight w:val="none"/>
              </w:rPr>
            </w:pPr>
            <w:r>
              <w:rPr>
                <w:rFonts w:hint="eastAsia" w:ascii="宋体" w:hAnsi="宋体"/>
                <w:color w:val="auto"/>
                <w:highlight w:val="none"/>
              </w:rPr>
              <w:t>4.2 适配测试和性能调优</w:t>
            </w:r>
          </w:p>
          <w:p w14:paraId="6CC03691">
            <w:pPr>
              <w:spacing w:line="360" w:lineRule="exact"/>
              <w:ind w:firstLine="420" w:firstLineChars="200"/>
              <w:rPr>
                <w:rFonts w:ascii="宋体" w:hAnsi="宋体"/>
                <w:color w:val="auto"/>
                <w:highlight w:val="none"/>
              </w:rPr>
            </w:pPr>
            <w:r>
              <w:rPr>
                <w:rFonts w:hint="eastAsia" w:ascii="宋体" w:hAnsi="宋体"/>
                <w:color w:val="auto"/>
                <w:highlight w:val="none"/>
              </w:rPr>
              <w:t>为保障迁移后系统操作流畅度，需对系统开展全面适配测试，结合性能测试和安全性测试结果，动态实施调优和晚上。项目相关人员需密切协作，尽早发现并修复软件缺陷，确保业务系统达到高质量、高性能、高可靠性运行标准。</w:t>
            </w:r>
          </w:p>
          <w:p w14:paraId="056887BE">
            <w:pPr>
              <w:spacing w:line="360" w:lineRule="exact"/>
              <w:ind w:firstLine="420" w:firstLineChars="200"/>
              <w:rPr>
                <w:rFonts w:ascii="宋体" w:hAnsi="宋体"/>
                <w:color w:val="auto"/>
                <w:highlight w:val="none"/>
              </w:rPr>
            </w:pPr>
            <w:r>
              <w:rPr>
                <w:rFonts w:hint="eastAsia" w:ascii="宋体" w:hAnsi="宋体"/>
                <w:color w:val="auto"/>
                <w:highlight w:val="none"/>
              </w:rPr>
              <w:t>4.3 适配验证</w:t>
            </w:r>
          </w:p>
          <w:p w14:paraId="55AC6EB2">
            <w:pPr>
              <w:spacing w:line="360" w:lineRule="exact"/>
              <w:ind w:firstLine="420" w:firstLineChars="200"/>
              <w:rPr>
                <w:rFonts w:ascii="宋体" w:hAnsi="宋体"/>
                <w:color w:val="auto"/>
                <w:highlight w:val="none"/>
              </w:rPr>
            </w:pPr>
            <w:r>
              <w:rPr>
                <w:rFonts w:hint="eastAsia" w:ascii="宋体" w:hAnsi="宋体"/>
                <w:color w:val="auto"/>
                <w:highlight w:val="none"/>
              </w:rPr>
              <w:t>迁移至国产化环境后，需完成技术架构、功能、流程、接口的全面适配改造。在应用迁移部署、数据迁移、测试工作完成后，开展全维度适配验证，核心内容包括：</w:t>
            </w:r>
          </w:p>
          <w:p w14:paraId="32EBAE7B">
            <w:pPr>
              <w:spacing w:line="360" w:lineRule="exact"/>
              <w:ind w:firstLine="420" w:firstLineChars="200"/>
              <w:rPr>
                <w:rFonts w:ascii="宋体" w:hAnsi="宋体"/>
                <w:color w:val="auto"/>
                <w:highlight w:val="none"/>
              </w:rPr>
            </w:pPr>
            <w:r>
              <w:rPr>
                <w:rFonts w:hint="eastAsia" w:ascii="宋体" w:hAnsi="宋体"/>
                <w:color w:val="auto"/>
                <w:highlight w:val="none"/>
              </w:rPr>
              <w:t>兼容性验证：确保系统与国产软硬件环境兼容适配；</w:t>
            </w:r>
          </w:p>
          <w:p w14:paraId="23516732">
            <w:pPr>
              <w:spacing w:line="360" w:lineRule="exact"/>
              <w:ind w:firstLine="420" w:firstLineChars="200"/>
              <w:rPr>
                <w:rFonts w:ascii="宋体" w:hAnsi="宋体"/>
                <w:color w:val="auto"/>
                <w:highlight w:val="none"/>
              </w:rPr>
            </w:pPr>
            <w:r>
              <w:rPr>
                <w:rFonts w:hint="eastAsia" w:ascii="宋体" w:hAnsi="宋体"/>
                <w:color w:val="auto"/>
                <w:highlight w:val="none"/>
              </w:rPr>
              <w:t>性能验证：验证系统运行速度、并发处理等性能指标；</w:t>
            </w:r>
          </w:p>
          <w:p w14:paraId="102C4E47">
            <w:pPr>
              <w:spacing w:line="360" w:lineRule="exact"/>
              <w:ind w:firstLine="420" w:firstLineChars="200"/>
              <w:rPr>
                <w:rFonts w:ascii="宋体" w:hAnsi="宋体"/>
                <w:color w:val="auto"/>
                <w:highlight w:val="none"/>
              </w:rPr>
            </w:pPr>
            <w:r>
              <w:rPr>
                <w:rFonts w:hint="eastAsia" w:ascii="宋体" w:hAnsi="宋体"/>
                <w:color w:val="auto"/>
                <w:highlight w:val="none"/>
              </w:rPr>
              <w:t>业务流畅性验证：保障业务流程全链路顺畅运行；</w:t>
            </w:r>
          </w:p>
          <w:p w14:paraId="7E10A70D">
            <w:pPr>
              <w:spacing w:line="360" w:lineRule="exact"/>
              <w:ind w:firstLine="420" w:firstLineChars="200"/>
              <w:rPr>
                <w:rFonts w:ascii="宋体" w:hAnsi="宋体"/>
                <w:color w:val="auto"/>
                <w:highlight w:val="none"/>
              </w:rPr>
            </w:pPr>
            <w:r>
              <w:rPr>
                <w:rFonts w:hint="eastAsia" w:ascii="宋体" w:hAnsi="宋体"/>
                <w:color w:val="auto"/>
                <w:highlight w:val="none"/>
              </w:rPr>
              <w:t>数据完整性验证：确保迁移后数据无丢失、无差错。</w:t>
            </w:r>
          </w:p>
          <w:p w14:paraId="1991D869">
            <w:pPr>
              <w:spacing w:line="360" w:lineRule="exact"/>
              <w:ind w:firstLine="420" w:firstLineChars="200"/>
              <w:rPr>
                <w:rFonts w:ascii="宋体" w:hAnsi="宋体"/>
                <w:color w:val="auto"/>
                <w:highlight w:val="none"/>
              </w:rPr>
            </w:pPr>
            <w:r>
              <w:rPr>
                <w:rFonts w:hint="eastAsia" w:ascii="宋体" w:hAnsi="宋体"/>
                <w:color w:val="auto"/>
                <w:highlight w:val="none"/>
              </w:rPr>
              <w:t>4.4 预迁移、正式割接</w:t>
            </w:r>
          </w:p>
          <w:p w14:paraId="62B855D0">
            <w:pPr>
              <w:spacing w:line="360" w:lineRule="exact"/>
              <w:ind w:firstLine="420" w:firstLineChars="200"/>
              <w:rPr>
                <w:rFonts w:ascii="宋体" w:hAnsi="宋体"/>
                <w:color w:val="auto"/>
                <w:highlight w:val="none"/>
              </w:rPr>
            </w:pPr>
            <w:r>
              <w:rPr>
                <w:rFonts w:hint="eastAsia" w:ascii="宋体" w:hAnsi="宋体"/>
                <w:color w:val="auto"/>
                <w:highlight w:val="none"/>
              </w:rPr>
              <w:t>测试环境验证通过后，需严格按照正式平台系统迁移、割接方案执行：正式迁移、割接前必须完成 1 次模拟迁移与割接，确保流程合规、风险可控，保障正式迁移、割接工作顺利完成。</w:t>
            </w:r>
          </w:p>
          <w:p w14:paraId="4B2B922A">
            <w:pPr>
              <w:spacing w:line="360" w:lineRule="exact"/>
              <w:ind w:firstLine="422" w:firstLineChars="200"/>
              <w:rPr>
                <w:rFonts w:ascii="宋体" w:hAnsi="宋体"/>
                <w:b/>
                <w:bCs/>
                <w:color w:val="auto"/>
                <w:highlight w:val="none"/>
              </w:rPr>
            </w:pPr>
            <w:r>
              <w:rPr>
                <w:rFonts w:hint="eastAsia" w:ascii="宋体" w:hAnsi="宋体"/>
                <w:b/>
                <w:bCs/>
                <w:color w:val="auto"/>
                <w:highlight w:val="none"/>
              </w:rPr>
              <w:t>5、等保测评协助和密码改造</w:t>
            </w:r>
          </w:p>
          <w:p w14:paraId="32D2327E">
            <w:pPr>
              <w:spacing w:line="360" w:lineRule="exact"/>
              <w:ind w:firstLine="420" w:firstLineChars="200"/>
              <w:rPr>
                <w:rFonts w:ascii="宋体" w:hAnsi="宋体"/>
                <w:color w:val="auto"/>
                <w:highlight w:val="none"/>
              </w:rPr>
            </w:pPr>
            <w:r>
              <w:rPr>
                <w:rFonts w:hint="eastAsia" w:ascii="宋体" w:hAnsi="宋体"/>
                <w:color w:val="auto"/>
                <w:highlight w:val="none"/>
              </w:rPr>
              <w:t>5.1 等保测评协助</w:t>
            </w:r>
          </w:p>
          <w:p w14:paraId="185C7735">
            <w:pPr>
              <w:spacing w:line="360" w:lineRule="exact"/>
              <w:ind w:firstLine="420" w:firstLineChars="200"/>
              <w:rPr>
                <w:rFonts w:ascii="宋体" w:hAnsi="宋体"/>
                <w:color w:val="auto"/>
                <w:highlight w:val="none"/>
              </w:rPr>
            </w:pPr>
            <w:r>
              <w:rPr>
                <w:rFonts w:hint="eastAsia" w:ascii="宋体" w:hAnsi="宋体"/>
                <w:color w:val="auto"/>
                <w:highlight w:val="none"/>
              </w:rPr>
              <w:t>需协助用户对接等保测评机构开展全流程测评工作，具体包括：</w:t>
            </w:r>
          </w:p>
          <w:p w14:paraId="3D367AAC">
            <w:pPr>
              <w:spacing w:line="360" w:lineRule="exact"/>
              <w:ind w:firstLine="420" w:firstLineChars="200"/>
              <w:rPr>
                <w:rFonts w:ascii="宋体" w:hAnsi="宋体"/>
                <w:color w:val="auto"/>
                <w:highlight w:val="none"/>
              </w:rPr>
            </w:pPr>
            <w:r>
              <w:rPr>
                <w:rFonts w:hint="eastAsia" w:ascii="宋体" w:hAnsi="宋体"/>
                <w:color w:val="auto"/>
                <w:highlight w:val="none"/>
              </w:rPr>
              <w:t>测评前期：开展安全评估、编制系统相关材料、梳理并编写符合等保测评要求的安全管理制度；</w:t>
            </w:r>
          </w:p>
          <w:p w14:paraId="623EF919">
            <w:pPr>
              <w:spacing w:line="360" w:lineRule="exact"/>
              <w:ind w:firstLine="420" w:firstLineChars="200"/>
              <w:rPr>
                <w:rFonts w:ascii="宋体" w:hAnsi="宋体"/>
                <w:color w:val="auto"/>
                <w:highlight w:val="none"/>
              </w:rPr>
            </w:pPr>
            <w:r>
              <w:rPr>
                <w:rFonts w:hint="eastAsia" w:ascii="宋体" w:hAnsi="宋体"/>
                <w:color w:val="auto"/>
                <w:highlight w:val="none"/>
              </w:rPr>
              <w:t>测评过程：配合专家评审答疑、协助开展测评现场工作、解答测评机构疑问；</w:t>
            </w:r>
          </w:p>
          <w:p w14:paraId="1CD5E8BB">
            <w:pPr>
              <w:spacing w:line="360" w:lineRule="exact"/>
              <w:ind w:firstLine="420" w:firstLineChars="200"/>
              <w:rPr>
                <w:rFonts w:ascii="宋体" w:hAnsi="宋体"/>
                <w:color w:val="auto"/>
                <w:highlight w:val="none"/>
              </w:rPr>
            </w:pPr>
            <w:r>
              <w:rPr>
                <w:rFonts w:hint="eastAsia" w:ascii="宋体" w:hAnsi="宋体"/>
                <w:color w:val="auto"/>
                <w:highlight w:val="none"/>
              </w:rPr>
              <w:t>整体目标：加快测评通过进度，确保系统满足等保相关要求。</w:t>
            </w:r>
          </w:p>
          <w:p w14:paraId="4DA3480F">
            <w:pPr>
              <w:spacing w:line="360" w:lineRule="exact"/>
              <w:ind w:firstLine="420" w:firstLineChars="200"/>
              <w:rPr>
                <w:rFonts w:ascii="宋体" w:hAnsi="宋体"/>
                <w:color w:val="auto"/>
                <w:highlight w:val="none"/>
              </w:rPr>
            </w:pPr>
            <w:r>
              <w:rPr>
                <w:rFonts w:hint="eastAsia" w:ascii="宋体" w:hAnsi="宋体"/>
                <w:color w:val="auto"/>
                <w:highlight w:val="none"/>
              </w:rPr>
              <w:t>5.2 密码改造</w:t>
            </w:r>
          </w:p>
          <w:p w14:paraId="4E8FCC01">
            <w:pPr>
              <w:spacing w:line="360" w:lineRule="exact"/>
              <w:ind w:firstLine="420" w:firstLineChars="200"/>
              <w:rPr>
                <w:rFonts w:ascii="宋体" w:hAnsi="宋体"/>
                <w:color w:val="auto"/>
                <w:highlight w:val="none"/>
              </w:rPr>
            </w:pPr>
            <w:r>
              <w:rPr>
                <w:rFonts w:hint="eastAsia" w:ascii="宋体" w:hAnsi="宋体"/>
                <w:color w:val="auto"/>
                <w:highlight w:val="none"/>
              </w:rPr>
              <w:t>根据国家密码管理局关于密改要求，开展密码改造工作：</w:t>
            </w:r>
          </w:p>
          <w:p w14:paraId="48FD5C8F">
            <w:pPr>
              <w:spacing w:line="360" w:lineRule="exact"/>
              <w:ind w:firstLine="420" w:firstLineChars="200"/>
              <w:rPr>
                <w:rFonts w:ascii="宋体" w:hAnsi="宋体"/>
                <w:color w:val="auto"/>
                <w:highlight w:val="none"/>
              </w:rPr>
            </w:pPr>
            <w:r>
              <w:rPr>
                <w:rFonts w:hint="eastAsia" w:ascii="宋体" w:hAnsi="宋体"/>
                <w:color w:val="auto"/>
                <w:highlight w:val="none"/>
              </w:rPr>
              <w:t>（1）密评改造，对接第三方密码机或密码服务，提供标准化接入与对接接口服务。</w:t>
            </w:r>
          </w:p>
          <w:p w14:paraId="41B8383C">
            <w:pPr>
              <w:spacing w:line="360" w:lineRule="exact"/>
              <w:ind w:firstLine="420" w:firstLineChars="200"/>
              <w:rPr>
                <w:rFonts w:ascii="宋体" w:hAnsi="宋体"/>
                <w:color w:val="auto"/>
                <w:highlight w:val="none"/>
              </w:rPr>
            </w:pPr>
            <w:r>
              <w:rPr>
                <w:rFonts w:hint="eastAsia" w:ascii="宋体" w:hAnsi="宋体"/>
                <w:color w:val="auto"/>
                <w:highlight w:val="none"/>
              </w:rPr>
              <w:t>（2）完成 PC 端与移动端身份鉴别功能改造。</w:t>
            </w:r>
          </w:p>
          <w:p w14:paraId="7F44AC64">
            <w:pPr>
              <w:spacing w:line="360" w:lineRule="exact"/>
              <w:ind w:firstLine="420" w:firstLineChars="200"/>
              <w:rPr>
                <w:rFonts w:ascii="宋体" w:hAnsi="宋体"/>
                <w:color w:val="auto"/>
                <w:highlight w:val="none"/>
              </w:rPr>
            </w:pPr>
            <w:r>
              <w:rPr>
                <w:rFonts w:hint="eastAsia" w:ascii="宋体" w:hAnsi="宋体"/>
                <w:color w:val="auto"/>
                <w:highlight w:val="none"/>
              </w:rPr>
              <w:t>（3）实现访问控制信息完整性改造。</w:t>
            </w:r>
          </w:p>
          <w:p w14:paraId="095D3BF8">
            <w:pPr>
              <w:spacing w:line="360" w:lineRule="exact"/>
              <w:ind w:firstLine="420" w:firstLineChars="200"/>
              <w:rPr>
                <w:rFonts w:ascii="宋体" w:hAnsi="宋体"/>
                <w:color w:val="auto"/>
                <w:highlight w:val="none"/>
              </w:rPr>
            </w:pPr>
            <w:r>
              <w:rPr>
                <w:rFonts w:hint="eastAsia" w:ascii="宋体" w:hAnsi="宋体"/>
                <w:color w:val="auto"/>
                <w:highlight w:val="none"/>
              </w:rPr>
              <w:t>（4）完成重要数据存储机密性与完整性改造。</w:t>
            </w:r>
          </w:p>
          <w:p w14:paraId="17B8D548">
            <w:pPr>
              <w:spacing w:line="360" w:lineRule="exact"/>
              <w:ind w:firstLine="420" w:firstLineChars="200"/>
              <w:rPr>
                <w:rFonts w:ascii="宋体" w:hAnsi="宋体"/>
                <w:color w:val="auto"/>
                <w:highlight w:val="none"/>
              </w:rPr>
            </w:pPr>
            <w:r>
              <w:rPr>
                <w:rFonts w:hint="eastAsia" w:ascii="宋体" w:hAnsi="宋体"/>
                <w:color w:val="auto"/>
                <w:highlight w:val="none"/>
              </w:rPr>
              <w:t>（5）完成数据传输机密性与完整性改造。</w:t>
            </w:r>
          </w:p>
          <w:p w14:paraId="6E004BAD">
            <w:pPr>
              <w:widowControl/>
              <w:snapToGrid w:val="0"/>
              <w:spacing w:line="360" w:lineRule="exact"/>
              <w:ind w:firstLine="422" w:firstLineChars="200"/>
              <w:jc w:val="left"/>
              <w:rPr>
                <w:rFonts w:ascii="宋体" w:hAnsi="宋体"/>
                <w:color w:val="auto"/>
                <w:highlight w:val="none"/>
                <w:shd w:val="clear" w:color="auto" w:fill="FFFFFF"/>
              </w:rPr>
            </w:pPr>
            <w:r>
              <w:rPr>
                <w:rFonts w:hint="eastAsia" w:ascii="宋体" w:hAnsi="宋体"/>
                <w:b/>
                <w:bCs/>
                <w:color w:val="auto"/>
                <w:highlight w:val="none"/>
                <w:shd w:val="clear" w:color="auto" w:fill="FFFFFF"/>
              </w:rPr>
              <w:t>6、配合完成数据治理工作（包括配合开展目录资源整理挂载及相关接口、库表等开发）</w:t>
            </w:r>
          </w:p>
        </w:tc>
      </w:tr>
      <w:tr w14:paraId="3C0C1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714" w:type="dxa"/>
            <w:gridSpan w:val="6"/>
            <w:tcBorders>
              <w:top w:val="single" w:color="auto" w:sz="4" w:space="0"/>
              <w:left w:val="single" w:color="auto" w:sz="4" w:space="0"/>
              <w:bottom w:val="single" w:color="auto" w:sz="4" w:space="0"/>
              <w:right w:val="single" w:color="auto" w:sz="4" w:space="0"/>
            </w:tcBorders>
          </w:tcPr>
          <w:p w14:paraId="2A339F03">
            <w:pPr>
              <w:spacing w:line="360" w:lineRule="exact"/>
              <w:rPr>
                <w:rFonts w:ascii="宋体" w:hAnsi="宋体"/>
                <w:color w:val="auto"/>
                <w:highlight w:val="none"/>
              </w:rPr>
            </w:pPr>
            <w:r>
              <w:rPr>
                <w:rFonts w:hint="eastAsia" w:ascii="宋体" w:hAnsi="宋体"/>
                <w:b/>
                <w:color w:val="auto"/>
                <w:highlight w:val="none"/>
              </w:rPr>
              <w:t>二、商务要求</w:t>
            </w:r>
          </w:p>
        </w:tc>
      </w:tr>
      <w:tr w14:paraId="6C763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05AB3B95">
            <w:pPr>
              <w:spacing w:line="360" w:lineRule="exact"/>
              <w:jc w:val="center"/>
              <w:rPr>
                <w:rFonts w:ascii="宋体" w:hAnsi="宋体"/>
                <w:b/>
                <w:color w:val="auto"/>
                <w:highlight w:val="none"/>
              </w:rPr>
            </w:pPr>
            <w:r>
              <w:rPr>
                <w:rFonts w:hint="eastAsia" w:ascii="宋体" w:hAnsi="宋体"/>
                <w:b/>
                <w:bCs/>
                <w:color w:val="auto"/>
                <w:highlight w:val="none"/>
              </w:rPr>
              <w:t>▲</w:t>
            </w:r>
            <w:r>
              <w:rPr>
                <w:rFonts w:hint="eastAsia" w:ascii="宋体" w:hAnsi="宋体"/>
                <w:b/>
                <w:color w:val="auto"/>
                <w:highlight w:val="none"/>
              </w:rPr>
              <w:t>报价要求</w:t>
            </w:r>
          </w:p>
        </w:tc>
        <w:tc>
          <w:tcPr>
            <w:tcW w:w="7614" w:type="dxa"/>
            <w:gridSpan w:val="2"/>
            <w:tcBorders>
              <w:top w:val="single" w:color="auto" w:sz="4" w:space="0"/>
              <w:left w:val="nil"/>
              <w:bottom w:val="single" w:color="auto" w:sz="4" w:space="0"/>
              <w:right w:val="single" w:color="auto" w:sz="4" w:space="0"/>
            </w:tcBorders>
            <w:vAlign w:val="center"/>
          </w:tcPr>
          <w:p w14:paraId="73EA011F">
            <w:pPr>
              <w:spacing w:line="360" w:lineRule="exact"/>
              <w:rPr>
                <w:rFonts w:ascii="宋体" w:hAnsi="宋体"/>
                <w:color w:val="auto"/>
                <w:highlight w:val="none"/>
              </w:rPr>
            </w:pPr>
            <w:r>
              <w:rPr>
                <w:rFonts w:hint="eastAsia" w:ascii="宋体" w:hAnsi="宋体"/>
                <w:color w:val="auto"/>
                <w:highlight w:val="none"/>
              </w:rPr>
              <w:t>报价是履行合同的最终价格，必须包含完成所有服务、安装调试、技术支持、培训和采购要求提供的所有伴随服务等费用和税费。报价不能超出采购预算，否则磋商无效。</w:t>
            </w:r>
          </w:p>
        </w:tc>
      </w:tr>
      <w:tr w14:paraId="34F4D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4DCB94D9">
            <w:pPr>
              <w:spacing w:line="360" w:lineRule="exact"/>
              <w:jc w:val="center"/>
              <w:rPr>
                <w:rFonts w:ascii="宋体" w:hAnsi="宋体"/>
                <w:b/>
                <w:color w:val="auto"/>
                <w:highlight w:val="none"/>
              </w:rPr>
            </w:pPr>
            <w:r>
              <w:rPr>
                <w:rFonts w:hint="eastAsia" w:ascii="宋体" w:hAnsi="宋体"/>
                <w:b/>
                <w:bCs/>
                <w:color w:val="auto"/>
                <w:highlight w:val="none"/>
              </w:rPr>
              <w:t>▲</w:t>
            </w:r>
            <w:r>
              <w:rPr>
                <w:rFonts w:hint="eastAsia" w:ascii="宋体" w:hAnsi="宋体"/>
                <w:b/>
                <w:color w:val="auto"/>
                <w:highlight w:val="none"/>
              </w:rPr>
              <w:t>交付时间及地点</w:t>
            </w:r>
          </w:p>
        </w:tc>
        <w:tc>
          <w:tcPr>
            <w:tcW w:w="7614" w:type="dxa"/>
            <w:gridSpan w:val="2"/>
            <w:tcBorders>
              <w:top w:val="single" w:color="auto" w:sz="4" w:space="0"/>
              <w:left w:val="nil"/>
              <w:bottom w:val="single" w:color="auto" w:sz="4" w:space="0"/>
              <w:right w:val="single" w:color="auto" w:sz="4" w:space="0"/>
            </w:tcBorders>
            <w:vAlign w:val="center"/>
          </w:tcPr>
          <w:p w14:paraId="7419B62F">
            <w:pPr>
              <w:spacing w:line="360" w:lineRule="exact"/>
              <w:rPr>
                <w:rFonts w:ascii="宋体" w:hAnsi="宋体"/>
                <w:color w:val="auto"/>
                <w:highlight w:val="none"/>
              </w:rPr>
            </w:pPr>
            <w:r>
              <w:rPr>
                <w:rFonts w:hint="eastAsia" w:ascii="宋体" w:hAnsi="宋体"/>
                <w:color w:val="auto"/>
                <w:highlight w:val="none"/>
              </w:rPr>
              <w:t>1、交付的时间：</w:t>
            </w:r>
            <w:r>
              <w:rPr>
                <w:rFonts w:hint="eastAsia" w:ascii="宋体" w:hAnsi="宋体" w:cs="宋体"/>
                <w:color w:val="auto"/>
                <w:highlight w:val="none"/>
              </w:rPr>
              <w:t>2026年6月</w:t>
            </w:r>
            <w:r>
              <w:rPr>
                <w:rFonts w:ascii="宋体" w:hAnsi="宋体" w:cs="宋体"/>
                <w:color w:val="auto"/>
                <w:highlight w:val="none"/>
              </w:rPr>
              <w:t>20</w:t>
            </w:r>
            <w:r>
              <w:rPr>
                <w:rFonts w:hint="eastAsia" w:ascii="宋体" w:hAnsi="宋体" w:cs="宋体"/>
                <w:color w:val="auto"/>
                <w:highlight w:val="none"/>
              </w:rPr>
              <w:t>日前完成履约验收。</w:t>
            </w:r>
          </w:p>
          <w:p w14:paraId="5799FE15">
            <w:pPr>
              <w:spacing w:line="360" w:lineRule="exact"/>
              <w:rPr>
                <w:rFonts w:ascii="宋体" w:hAnsi="宋体"/>
                <w:bCs/>
                <w:color w:val="auto"/>
                <w:highlight w:val="none"/>
              </w:rPr>
            </w:pPr>
            <w:r>
              <w:rPr>
                <w:rFonts w:hint="eastAsia" w:ascii="宋体" w:hAnsi="宋体"/>
                <w:color w:val="auto"/>
                <w:highlight w:val="none"/>
              </w:rPr>
              <w:t>2、交付的地点：广西壮族自治区南宁市内采购人指定地点。</w:t>
            </w:r>
          </w:p>
        </w:tc>
      </w:tr>
      <w:tr w14:paraId="3D58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571C8B2F">
            <w:pPr>
              <w:spacing w:line="360" w:lineRule="exact"/>
              <w:jc w:val="center"/>
              <w:rPr>
                <w:rFonts w:ascii="宋体" w:hAnsi="宋体"/>
                <w:color w:val="auto"/>
                <w:highlight w:val="none"/>
              </w:rPr>
            </w:pPr>
            <w:r>
              <w:rPr>
                <w:rFonts w:hint="eastAsia" w:ascii="宋体" w:hAnsi="宋体"/>
                <w:b/>
                <w:color w:val="auto"/>
                <w:highlight w:val="none"/>
              </w:rPr>
              <w:t>售后服务要求</w:t>
            </w:r>
          </w:p>
        </w:tc>
        <w:tc>
          <w:tcPr>
            <w:tcW w:w="7614" w:type="dxa"/>
            <w:gridSpan w:val="2"/>
            <w:tcBorders>
              <w:top w:val="single" w:color="auto" w:sz="4" w:space="0"/>
              <w:left w:val="nil"/>
              <w:bottom w:val="single" w:color="auto" w:sz="4" w:space="0"/>
              <w:right w:val="single" w:color="auto" w:sz="4" w:space="0"/>
            </w:tcBorders>
            <w:vAlign w:val="center"/>
          </w:tcPr>
          <w:p w14:paraId="7440C53A">
            <w:pPr>
              <w:pStyle w:val="27"/>
              <w:spacing w:line="360" w:lineRule="exact"/>
              <w:ind w:firstLine="0" w:firstLineChars="0"/>
              <w:rPr>
                <w:rFonts w:ascii="宋体" w:hAnsi="宋体"/>
                <w:color w:val="auto"/>
                <w:kern w:val="2"/>
                <w:sz w:val="21"/>
                <w:szCs w:val="21"/>
                <w:highlight w:val="none"/>
              </w:rPr>
            </w:pPr>
            <w:r>
              <w:rPr>
                <w:rFonts w:hint="eastAsia" w:ascii="宋体" w:hAnsi="宋体"/>
                <w:color w:val="auto"/>
                <w:kern w:val="2"/>
                <w:sz w:val="21"/>
                <w:szCs w:val="21"/>
                <w:highlight w:val="none"/>
              </w:rPr>
              <w:t>1、项目竣工后，中标单位应提供软件版本升级、功能维护、咨询等运维服务。</w:t>
            </w:r>
          </w:p>
          <w:p w14:paraId="73B741F9">
            <w:pPr>
              <w:pStyle w:val="27"/>
              <w:spacing w:line="360" w:lineRule="exact"/>
              <w:ind w:firstLine="0" w:firstLineChars="0"/>
              <w:rPr>
                <w:rFonts w:ascii="宋体" w:hAnsi="宋体"/>
                <w:color w:val="auto"/>
                <w:kern w:val="2"/>
                <w:sz w:val="21"/>
                <w:szCs w:val="21"/>
                <w:highlight w:val="none"/>
              </w:rPr>
            </w:pPr>
            <w:r>
              <w:rPr>
                <w:rFonts w:hint="eastAsia" w:ascii="宋体" w:hAnsi="宋体"/>
                <w:color w:val="auto"/>
                <w:kern w:val="2"/>
                <w:sz w:val="21"/>
                <w:szCs w:val="21"/>
                <w:highlight w:val="none"/>
              </w:rPr>
              <w:t>2、质保期内技术服务</w:t>
            </w:r>
          </w:p>
          <w:p w14:paraId="2426AF96">
            <w:pPr>
              <w:pStyle w:val="27"/>
              <w:spacing w:line="360" w:lineRule="exact"/>
              <w:ind w:firstLine="420"/>
              <w:rPr>
                <w:rFonts w:ascii="宋体" w:hAnsi="宋体"/>
                <w:color w:val="auto"/>
                <w:kern w:val="2"/>
                <w:sz w:val="21"/>
                <w:szCs w:val="21"/>
                <w:highlight w:val="none"/>
              </w:rPr>
            </w:pPr>
            <w:r>
              <w:rPr>
                <w:rFonts w:hint="eastAsia" w:ascii="宋体" w:hAnsi="宋体"/>
                <w:color w:val="auto"/>
                <w:kern w:val="2"/>
                <w:sz w:val="21"/>
                <w:szCs w:val="21"/>
                <w:highlight w:val="none"/>
              </w:rPr>
              <w:t>质保期：自履约验收合格之日起计算不少于一年（含一年）。质保期内中标人负责系统的安装、运行、维护和升级服务。在系统维护期间需提供1人驻场运维，运维内容包含业务系统、网络、数据库、信息安全系统等运维和运维应急响应。</w:t>
            </w:r>
          </w:p>
          <w:p w14:paraId="7E7ED431">
            <w:pPr>
              <w:spacing w:line="360" w:lineRule="exact"/>
              <w:rPr>
                <w:rFonts w:ascii="宋体" w:hAnsi="宋体"/>
                <w:color w:val="auto"/>
                <w:highlight w:val="none"/>
              </w:rPr>
            </w:pPr>
            <w:r>
              <w:rPr>
                <w:rFonts w:hint="eastAsia" w:ascii="宋体" w:hAnsi="宋体"/>
                <w:color w:val="auto"/>
                <w:highlight w:val="none"/>
              </w:rPr>
              <w:t>3、系统运行期间应提供实时在线的客户服务和现场服务。应具备灵活多样的通讯手段，提供7×24小时响应服务。实时解决常见问题。</w:t>
            </w:r>
          </w:p>
          <w:p w14:paraId="305B05C5">
            <w:pPr>
              <w:spacing w:line="360" w:lineRule="exact"/>
              <w:rPr>
                <w:rFonts w:ascii="宋体" w:hAnsi="宋体"/>
                <w:color w:val="auto"/>
                <w:highlight w:val="none"/>
              </w:rPr>
            </w:pPr>
            <w:r>
              <w:rPr>
                <w:rFonts w:hint="eastAsia" w:ascii="宋体" w:hAnsi="宋体"/>
                <w:color w:val="auto"/>
                <w:highlight w:val="none"/>
              </w:rPr>
              <w:t>3.1故障响应：供应商在接到系统故障报修要求时，半小时内做出明确响应和维护安排，在2小时内为采购单位提供维护服务，并做出故障诊断报告，3小时内恢复正常。</w:t>
            </w:r>
          </w:p>
          <w:p w14:paraId="7E52BA54">
            <w:pPr>
              <w:spacing w:line="360" w:lineRule="exact"/>
              <w:rPr>
                <w:rFonts w:ascii="宋体" w:hAnsi="宋体"/>
                <w:color w:val="auto"/>
                <w:highlight w:val="none"/>
              </w:rPr>
            </w:pPr>
            <w:r>
              <w:rPr>
                <w:rFonts w:hint="eastAsia" w:ascii="宋体" w:hAnsi="宋体"/>
                <w:color w:val="auto"/>
                <w:highlight w:val="none"/>
              </w:rPr>
              <w:t>3.2热线服务：供应商应提供热线电话、E-mail、传真、网站等途径，随时接受采购单位提出的各种技术和使用问题，不能即时解决的问题要在1小时内提出解决方案。</w:t>
            </w:r>
          </w:p>
          <w:p w14:paraId="586E4928">
            <w:pPr>
              <w:spacing w:line="360" w:lineRule="exact"/>
              <w:rPr>
                <w:rFonts w:ascii="宋体" w:hAnsi="宋体"/>
                <w:color w:val="auto"/>
                <w:highlight w:val="none"/>
              </w:rPr>
            </w:pPr>
            <w:r>
              <w:rPr>
                <w:rFonts w:hint="eastAsia" w:ascii="宋体" w:hAnsi="宋体"/>
                <w:color w:val="auto"/>
                <w:highlight w:val="none"/>
              </w:rPr>
              <w:t>3.3系统巡检：每月至少提供4次对系统进行巡检服务，及时发现和排除潜在问题或故障隐患，保证系统的稳定运行。</w:t>
            </w:r>
          </w:p>
          <w:p w14:paraId="2D4649AA">
            <w:pPr>
              <w:spacing w:line="360" w:lineRule="exact"/>
              <w:rPr>
                <w:rFonts w:ascii="宋体" w:hAnsi="宋体"/>
                <w:color w:val="auto"/>
                <w:highlight w:val="none"/>
              </w:rPr>
            </w:pPr>
            <w:r>
              <w:rPr>
                <w:rFonts w:hint="eastAsia" w:ascii="宋体" w:hAnsi="宋体"/>
                <w:color w:val="auto"/>
                <w:highlight w:val="none"/>
              </w:rPr>
              <w:t>3.4系统升级：质保期内供应商应提供免费的系统软件升级服务。升级内容包括解决的BUG、采纳用户建议以及业务需求调整实现的功能和其他内容。</w:t>
            </w:r>
          </w:p>
          <w:p w14:paraId="2796754B">
            <w:pPr>
              <w:spacing w:line="360" w:lineRule="exact"/>
              <w:rPr>
                <w:rFonts w:ascii="宋体" w:hAnsi="宋体"/>
                <w:color w:val="auto"/>
                <w:highlight w:val="none"/>
              </w:rPr>
            </w:pPr>
            <w:r>
              <w:rPr>
                <w:rFonts w:hint="eastAsia" w:ascii="宋体" w:hAnsi="宋体"/>
                <w:color w:val="auto"/>
                <w:highlight w:val="none"/>
              </w:rPr>
              <w:t>4、供应商应具备相关的售后服务体系，在承诺服务期内提供完善、及时、无推诿的应用软件等项目实施范围内的服务保障。</w:t>
            </w:r>
          </w:p>
          <w:p w14:paraId="701FAE6A">
            <w:pPr>
              <w:spacing w:line="360" w:lineRule="exact"/>
              <w:rPr>
                <w:rFonts w:ascii="宋体" w:hAnsi="宋体"/>
                <w:color w:val="auto"/>
                <w:highlight w:val="none"/>
              </w:rPr>
            </w:pPr>
            <w:r>
              <w:rPr>
                <w:rFonts w:hint="eastAsia" w:ascii="宋体" w:hAnsi="宋体"/>
                <w:color w:val="auto"/>
                <w:highlight w:val="none"/>
              </w:rPr>
              <w:t>5、供应商提供相应的应用软件技术和系统操作等方面的培训。有关应用软件的操作培训课程，培训应该在本期项目验收完成前进行。培训方式至少包括1次现场培训。</w:t>
            </w:r>
          </w:p>
          <w:p w14:paraId="7711EC3F">
            <w:pPr>
              <w:spacing w:line="360" w:lineRule="exact"/>
              <w:rPr>
                <w:rFonts w:ascii="宋体" w:hAnsi="宋体"/>
                <w:color w:val="auto"/>
                <w:highlight w:val="none"/>
              </w:rPr>
            </w:pPr>
            <w:r>
              <w:rPr>
                <w:rFonts w:hint="eastAsia" w:ascii="宋体" w:hAnsi="宋体"/>
                <w:color w:val="auto"/>
                <w:highlight w:val="none"/>
              </w:rPr>
              <w:t>6、在项目验收后的服务期内，如因需要增加系统功能而产生的费用，双方另议；如果是软件设计漏洞或偏差，中标单位必须及时修正，且不另收费用。</w:t>
            </w:r>
          </w:p>
        </w:tc>
      </w:tr>
      <w:tr w14:paraId="0E571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6A1DC1F3">
            <w:pPr>
              <w:spacing w:line="360" w:lineRule="exact"/>
              <w:jc w:val="center"/>
              <w:rPr>
                <w:rFonts w:ascii="宋体" w:hAnsi="宋体"/>
                <w:b/>
                <w:color w:val="auto"/>
                <w:highlight w:val="none"/>
              </w:rPr>
            </w:pPr>
            <w:r>
              <w:rPr>
                <w:rFonts w:hint="eastAsia" w:ascii="宋体" w:hAnsi="宋体"/>
                <w:b/>
                <w:color w:val="auto"/>
                <w:highlight w:val="none"/>
              </w:rPr>
              <w:t>付款方式</w:t>
            </w:r>
          </w:p>
        </w:tc>
        <w:tc>
          <w:tcPr>
            <w:tcW w:w="7614" w:type="dxa"/>
            <w:gridSpan w:val="2"/>
            <w:tcBorders>
              <w:top w:val="single" w:color="auto" w:sz="4" w:space="0"/>
              <w:left w:val="nil"/>
              <w:bottom w:val="single" w:color="auto" w:sz="4" w:space="0"/>
              <w:right w:val="single" w:color="auto" w:sz="4" w:space="0"/>
            </w:tcBorders>
            <w:vAlign w:val="center"/>
          </w:tcPr>
          <w:p w14:paraId="0C6CA284">
            <w:pPr>
              <w:spacing w:line="360" w:lineRule="exact"/>
              <w:rPr>
                <w:rFonts w:ascii="宋体" w:hAnsi="宋体"/>
                <w:b/>
                <w:color w:val="auto"/>
                <w:highlight w:val="none"/>
              </w:rPr>
            </w:pPr>
            <w:r>
              <w:rPr>
                <w:rFonts w:hint="eastAsia" w:ascii="宋体" w:hAnsi="宋体" w:cs="宋体"/>
                <w:color w:val="auto"/>
                <w:highlight w:val="none"/>
              </w:rPr>
              <w:t>合同签订后十个工作日内，采购人向中标人支付合同金额的40%；合同通过履约验收后十个工作日内，采购人向中标人支付合同金额的50%；项目竣工验收合格后十个工作日内，采购人向中标人支付合同金额的10%。中标人（乙方）每次请款前，须向按采购人（甲方）要求提供材料以及开具等额的增值税普通发票。</w:t>
            </w:r>
          </w:p>
        </w:tc>
      </w:tr>
      <w:tr w14:paraId="3CEF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6E6D04CE">
            <w:pPr>
              <w:spacing w:line="360" w:lineRule="exact"/>
              <w:jc w:val="center"/>
              <w:rPr>
                <w:rFonts w:ascii="宋体" w:hAnsi="宋体"/>
                <w:b/>
                <w:color w:val="auto"/>
                <w:highlight w:val="none"/>
              </w:rPr>
            </w:pPr>
            <w:r>
              <w:rPr>
                <w:rFonts w:hint="eastAsia" w:ascii="宋体" w:hAnsi="宋体"/>
                <w:b/>
                <w:color w:val="auto"/>
                <w:highlight w:val="none"/>
              </w:rPr>
              <w:t>履约验收方案</w:t>
            </w:r>
          </w:p>
        </w:tc>
        <w:tc>
          <w:tcPr>
            <w:tcW w:w="7614" w:type="dxa"/>
            <w:gridSpan w:val="2"/>
            <w:tcBorders>
              <w:top w:val="single" w:color="auto" w:sz="4" w:space="0"/>
              <w:left w:val="nil"/>
              <w:bottom w:val="single" w:color="auto" w:sz="4" w:space="0"/>
              <w:right w:val="single" w:color="auto" w:sz="4" w:space="0"/>
            </w:tcBorders>
            <w:vAlign w:val="center"/>
          </w:tcPr>
          <w:p w14:paraId="3F871533">
            <w:pPr>
              <w:tabs>
                <w:tab w:val="left" w:pos="180"/>
                <w:tab w:val="left" w:pos="1620"/>
              </w:tabs>
              <w:spacing w:line="360" w:lineRule="exact"/>
              <w:rPr>
                <w:rFonts w:ascii="宋体" w:hAnsi="宋体"/>
                <w:color w:val="auto"/>
                <w:highlight w:val="none"/>
              </w:rPr>
            </w:pPr>
            <w:r>
              <w:rPr>
                <w:rFonts w:hint="eastAsia" w:ascii="宋体" w:hAnsi="宋体"/>
                <w:color w:val="auto"/>
                <w:highlight w:val="none"/>
              </w:rPr>
              <w:t>1、验收标准原则上按照《广西壮族自治区政府采购项目履约验收管理办法》的有关要求进行。</w:t>
            </w:r>
          </w:p>
          <w:p w14:paraId="4B30164A">
            <w:pPr>
              <w:tabs>
                <w:tab w:val="left" w:pos="180"/>
                <w:tab w:val="left" w:pos="1620"/>
              </w:tabs>
              <w:spacing w:line="360" w:lineRule="exact"/>
              <w:rPr>
                <w:rFonts w:ascii="宋体" w:hAnsi="宋体"/>
                <w:color w:val="auto"/>
                <w:highlight w:val="none"/>
              </w:rPr>
            </w:pPr>
            <w:r>
              <w:rPr>
                <w:rFonts w:hint="eastAsia" w:ascii="宋体" w:hAnsi="宋体"/>
                <w:color w:val="auto"/>
                <w:highlight w:val="none"/>
              </w:rPr>
              <w:t>2、验收过程中所产生的一切费用均由成交供应商承担。</w:t>
            </w:r>
          </w:p>
          <w:p w14:paraId="2AFD01EE">
            <w:pPr>
              <w:spacing w:line="360" w:lineRule="exact"/>
              <w:ind w:right="-57" w:rightChars="-27"/>
              <w:jc w:val="left"/>
              <w:rPr>
                <w:rFonts w:ascii="宋体" w:hAnsi="宋体"/>
                <w:color w:val="auto"/>
                <w:highlight w:val="none"/>
              </w:rPr>
            </w:pPr>
            <w:r>
              <w:rPr>
                <w:rFonts w:hint="eastAsia" w:ascii="宋体" w:hAnsi="宋体"/>
                <w:color w:val="auto"/>
                <w:highlight w:val="none"/>
              </w:rPr>
              <w:t>3、验收时，由采购人对照合同条款进行核验。如不符合采购文件的技术需求及要求以及提供虚假承诺的，按相关规定作违约处理，成交人承担所有责任和费用，采购人保留进一步追究责任的权利。</w:t>
            </w:r>
          </w:p>
          <w:p w14:paraId="5001A000">
            <w:pPr>
              <w:spacing w:line="360" w:lineRule="exact"/>
              <w:rPr>
                <w:rFonts w:ascii="宋体" w:hAnsi="宋体"/>
                <w:color w:val="auto"/>
                <w:kern w:val="0"/>
                <w:highlight w:val="none"/>
              </w:rPr>
            </w:pPr>
            <w:r>
              <w:rPr>
                <w:rFonts w:hint="eastAsia" w:ascii="宋体" w:hAnsi="宋体"/>
                <w:color w:val="auto"/>
                <w:highlight w:val="none"/>
              </w:rPr>
              <w:t xml:space="preserve">4、其它按合同条款的约定。   </w:t>
            </w:r>
          </w:p>
        </w:tc>
      </w:tr>
      <w:tr w14:paraId="72B7C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174C1612">
            <w:pPr>
              <w:spacing w:line="360" w:lineRule="exact"/>
              <w:jc w:val="center"/>
              <w:rPr>
                <w:rFonts w:ascii="宋体" w:hAnsi="宋体"/>
                <w:b/>
                <w:color w:val="auto"/>
                <w:highlight w:val="none"/>
              </w:rPr>
            </w:pPr>
            <w:r>
              <w:rPr>
                <w:rFonts w:hint="eastAsia" w:ascii="宋体" w:hAnsi="宋体"/>
                <w:b/>
                <w:bCs/>
                <w:color w:val="auto"/>
                <w:highlight w:val="none"/>
              </w:rPr>
              <w:t>▲</w:t>
            </w:r>
            <w:r>
              <w:rPr>
                <w:rFonts w:hint="eastAsia" w:ascii="宋体" w:hAnsi="宋体"/>
                <w:b/>
                <w:color w:val="auto"/>
                <w:highlight w:val="none"/>
              </w:rPr>
              <w:t>知识产权和保密要求</w:t>
            </w:r>
          </w:p>
        </w:tc>
        <w:tc>
          <w:tcPr>
            <w:tcW w:w="7614" w:type="dxa"/>
            <w:gridSpan w:val="2"/>
            <w:tcBorders>
              <w:top w:val="single" w:color="auto" w:sz="4" w:space="0"/>
              <w:left w:val="nil"/>
              <w:bottom w:val="single" w:color="auto" w:sz="4" w:space="0"/>
              <w:right w:val="single" w:color="auto" w:sz="4" w:space="0"/>
            </w:tcBorders>
            <w:vAlign w:val="center"/>
          </w:tcPr>
          <w:p w14:paraId="066C808A">
            <w:pPr>
              <w:spacing w:line="360" w:lineRule="exact"/>
              <w:rPr>
                <w:rFonts w:ascii="宋体" w:hAnsi="宋体"/>
                <w:color w:val="auto"/>
                <w:highlight w:val="none"/>
              </w:rPr>
            </w:pPr>
            <w:r>
              <w:rPr>
                <w:rFonts w:hint="eastAsia" w:ascii="宋体" w:hAnsi="宋体"/>
                <w:color w:val="auto"/>
                <w:highlight w:val="none"/>
              </w:rPr>
              <w:t>1、服务期间应当严格执行保密制度，对在服务中获得的资料和信息要严格保密，不能对外泄露。</w:t>
            </w:r>
          </w:p>
          <w:p w14:paraId="2C854907">
            <w:pPr>
              <w:spacing w:line="360" w:lineRule="exact"/>
              <w:rPr>
                <w:rFonts w:ascii="宋体" w:hAnsi="宋体"/>
                <w:color w:val="auto"/>
                <w:highlight w:val="none"/>
              </w:rPr>
            </w:pPr>
            <w:r>
              <w:rPr>
                <w:rFonts w:hint="eastAsia" w:ascii="宋体" w:hAnsi="宋体"/>
                <w:color w:val="auto"/>
                <w:highlight w:val="none"/>
              </w:rPr>
              <w:t>2、在本服务进行过程中，有关的知识产权、著作权均属于采购人享有。采购人可以在其业务范围内充分自由地利用这些成果开展业务活动。成交供应商应当依采购人的要求，提供一切必要的信息和采取一切必要的行动，包括申请、注册、登记等，协助采购人取得和行使有关的知识产权。上述服务成果有关的发明权、署名权（依照法律规定应由成交供应商署名的除外）等精神权利归采购人享有，应尊重采购人的精神权利并协助采购人行使这些权利。</w:t>
            </w:r>
          </w:p>
          <w:p w14:paraId="5E1C2A83">
            <w:pPr>
              <w:spacing w:line="360" w:lineRule="exact"/>
              <w:rPr>
                <w:rFonts w:ascii="宋体" w:hAnsi="宋体"/>
                <w:color w:val="auto"/>
                <w:highlight w:val="none"/>
              </w:rPr>
            </w:pPr>
            <w:r>
              <w:rPr>
                <w:rFonts w:hint="eastAsia" w:ascii="宋体" w:hAnsi="宋体"/>
                <w:color w:val="auto"/>
                <w:highlight w:val="none"/>
              </w:rPr>
              <w:t>3、在为采购人提供服务期间使用成交供应商已有的获得国家认可知识产权的技术成果用于本项目的编制方向，产生费用的计入本项目的成本并及时向采购人申明。经采购人核实，确认属于专利成果的，采购人只享有该技术的使用权，在采购人的业务范围内可以充分使用，但不得用于其它商用目的，亦不得自行向第三方转让。</w:t>
            </w:r>
          </w:p>
          <w:p w14:paraId="51CC088E">
            <w:pPr>
              <w:spacing w:line="360" w:lineRule="exact"/>
              <w:rPr>
                <w:rFonts w:ascii="宋体" w:hAnsi="宋体"/>
                <w:color w:val="auto"/>
                <w:highlight w:val="none"/>
              </w:rPr>
            </w:pPr>
            <w:r>
              <w:rPr>
                <w:rFonts w:hint="eastAsia" w:ascii="宋体" w:hAnsi="宋体"/>
                <w:color w:val="auto"/>
                <w:highlight w:val="none"/>
              </w:rPr>
              <w:t>4、在为采购人提供服务期间，出于项目的需要使用任何第三方的软件知识产权的产品或数据，需对该产品或数据具有合法所有权或使用权或分许可权，在不侵犯第三方合法权益的情况下使用，使用第三方产品或数据产生的费用纳入本项目的服务成本。</w:t>
            </w:r>
          </w:p>
          <w:p w14:paraId="2E7DCA5F">
            <w:pPr>
              <w:spacing w:line="360" w:lineRule="exact"/>
              <w:rPr>
                <w:rFonts w:ascii="宋体" w:hAnsi="宋体"/>
                <w:color w:val="auto"/>
                <w:highlight w:val="none"/>
              </w:rPr>
            </w:pPr>
            <w:r>
              <w:rPr>
                <w:rFonts w:hint="eastAsia" w:ascii="宋体" w:hAnsi="宋体"/>
                <w:color w:val="auto"/>
                <w:highlight w:val="none"/>
              </w:rPr>
              <w:t>5、违反本条规定而产生侵权纠纷，导致采购人不能正常使用成果文件用于实际业务，则负责赔偿采购人由此造成的全部损失。</w:t>
            </w:r>
          </w:p>
          <w:p w14:paraId="48727DDF">
            <w:pPr>
              <w:widowControl/>
              <w:spacing w:line="360" w:lineRule="exact"/>
              <w:jc w:val="left"/>
              <w:rPr>
                <w:rFonts w:ascii="宋体" w:hAnsi="宋体"/>
                <w:color w:val="auto"/>
                <w:highlight w:val="none"/>
              </w:rPr>
            </w:pPr>
            <w:r>
              <w:rPr>
                <w:rFonts w:hint="eastAsia" w:ascii="宋体" w:hAnsi="宋体"/>
                <w:color w:val="auto"/>
                <w:highlight w:val="none"/>
              </w:rPr>
              <w:t>6、使用权许可要求：采购人对所采购的成果数据拥有合法的所有权、使用许可权。</w:t>
            </w:r>
          </w:p>
        </w:tc>
      </w:tr>
    </w:tbl>
    <w:p w14:paraId="655953ED">
      <w:pPr>
        <w:spacing w:line="360" w:lineRule="exact"/>
        <w:jc w:val="left"/>
        <w:rPr>
          <w:rFonts w:ascii="宋体" w:hAnsi="宋体"/>
          <w:bCs/>
          <w:color w:val="auto"/>
          <w:highlight w:val="none"/>
          <w:u w:val="single"/>
        </w:rPr>
      </w:pPr>
      <w:r>
        <w:rPr>
          <w:rFonts w:hint="eastAsia" w:ascii="宋体" w:hAnsi="宋体"/>
          <w:bCs/>
          <w:color w:val="auto"/>
          <w:highlight w:val="none"/>
          <w:u w:val="single"/>
        </w:rPr>
        <w:t xml:space="preserve"> </w:t>
      </w:r>
    </w:p>
    <w:p w14:paraId="6F1B9A47">
      <w:pPr>
        <w:pStyle w:val="2"/>
        <w:jc w:val="center"/>
        <w:rPr>
          <w:rFonts w:ascii="宋体" w:hAnsi="宋体"/>
          <w:color w:val="auto"/>
          <w:highlight w:val="none"/>
        </w:rPr>
      </w:pPr>
      <w:bookmarkStart w:id="41" w:name="_Toc74323459"/>
      <w:bookmarkEnd w:id="41"/>
      <w:r>
        <w:rPr>
          <w:rFonts w:hint="eastAsia" w:ascii="宋体" w:hAnsi="宋体"/>
          <w:color w:val="auto"/>
          <w:highlight w:val="none"/>
        </w:rPr>
        <w:br w:type="page"/>
      </w:r>
      <w:bookmarkStart w:id="42" w:name="_Toc30396"/>
      <w:r>
        <w:rPr>
          <w:rFonts w:hint="eastAsia" w:ascii="宋体" w:hAnsi="宋体"/>
          <w:color w:val="auto"/>
          <w:highlight w:val="none"/>
        </w:rPr>
        <w:t>第四章  评审程序、评审方法和评审标准</w:t>
      </w:r>
      <w:bookmarkEnd w:id="42"/>
    </w:p>
    <w:p w14:paraId="3BE0150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1D7E9A62">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 </w:t>
      </w:r>
    </w:p>
    <w:p w14:paraId="1E13B378">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1.资格审查</w:t>
      </w:r>
    </w:p>
    <w:p w14:paraId="2A18800B">
      <w:pPr>
        <w:snapToGrid w:val="0"/>
        <w:spacing w:line="360" w:lineRule="auto"/>
        <w:ind w:firstLine="420" w:firstLineChars="200"/>
        <w:rPr>
          <w:rFonts w:ascii="宋体" w:hAnsi="宋体"/>
          <w:color w:val="auto"/>
          <w:highlight w:val="none"/>
        </w:rPr>
      </w:pPr>
      <w:r>
        <w:rPr>
          <w:rFonts w:hint="eastAsia" w:ascii="宋体" w:hAnsi="宋体"/>
          <w:color w:val="auto"/>
          <w:highlight w:val="none"/>
        </w:rPr>
        <w:t>1.1响应文件开启后，磋商小组依法对供应商的资格证明文件进行审查。</w:t>
      </w:r>
    </w:p>
    <w:p w14:paraId="61B3D376">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18"/>
          <w:rFonts w:cs="宋体"/>
          <w:color w:val="auto"/>
          <w:highlight w:val="none"/>
        </w:rPr>
        <w:t>www.ccgp.gov.cn</w:t>
      </w:r>
      <w:r>
        <w:rPr>
          <w:rStyle w:val="18"/>
          <w:rFonts w:cs="宋体"/>
          <w:color w:val="auto"/>
          <w:highlight w:val="none"/>
        </w:rPr>
        <w:fldChar w:fldCharType="end"/>
      </w:r>
      <w:r>
        <w:rPr>
          <w:rFonts w:hint="eastAsia" w:ascii="宋体" w:hAnsi="宋体"/>
          <w:color w:val="auto"/>
          <w:highlight w:val="none"/>
        </w:rPr>
        <w:t>）</w:t>
      </w:r>
    </w:p>
    <w:p w14:paraId="55A5A8EF">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（2）信用查询截止时点：资格审查结束前</w:t>
      </w:r>
    </w:p>
    <w:p w14:paraId="14946BA3">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（3）查询记录和证据留存方式：将查询网站中的查询记录截图并作为评审资料保存。</w:t>
      </w:r>
    </w:p>
    <w:p w14:paraId="6BBC5380">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7EBE9D">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1.2资格审查标准为本磋商文件中载明对供应商资格要求的条件。资格审查采用合格制，凡符合磋商文件规定的供应商资格要求的响应文件均通过资格审查。</w:t>
      </w:r>
    </w:p>
    <w:p w14:paraId="2F029BE4">
      <w:pPr>
        <w:spacing w:line="360" w:lineRule="auto"/>
        <w:ind w:firstLine="420" w:firstLineChars="200"/>
        <w:rPr>
          <w:rFonts w:ascii="宋体" w:hAnsi="宋体"/>
          <w:color w:val="auto"/>
          <w:highlight w:val="none"/>
        </w:rPr>
      </w:pPr>
      <w:r>
        <w:rPr>
          <w:rFonts w:hint="eastAsia" w:ascii="宋体" w:hAnsi="宋体"/>
          <w:color w:val="auto"/>
          <w:highlight w:val="none"/>
        </w:rPr>
        <w:t>1.3供应商有下列情形之一的，资格审查不通过，其响应文件按无效响应处理：</w:t>
      </w:r>
    </w:p>
    <w:p w14:paraId="7FB48381">
      <w:pPr>
        <w:spacing w:line="360" w:lineRule="auto"/>
        <w:ind w:firstLine="420" w:firstLineChars="200"/>
        <w:rPr>
          <w:rFonts w:ascii="宋体" w:hAnsi="宋体"/>
          <w:color w:val="auto"/>
          <w:highlight w:val="none"/>
        </w:rPr>
      </w:pPr>
      <w:r>
        <w:rPr>
          <w:rFonts w:hint="eastAsia" w:ascii="宋体" w:hAnsi="宋体"/>
          <w:color w:val="auto"/>
          <w:highlight w:val="none"/>
        </w:rPr>
        <w:t>（1）不具备磋商文件中规定的资格要求的；</w:t>
      </w:r>
    </w:p>
    <w:p w14:paraId="63771902">
      <w:pPr>
        <w:spacing w:line="360" w:lineRule="auto"/>
        <w:ind w:firstLine="420" w:firstLineChars="200"/>
        <w:rPr>
          <w:rFonts w:ascii="宋体" w:hAnsi="宋体"/>
          <w:color w:val="auto"/>
          <w:highlight w:val="none"/>
        </w:rPr>
      </w:pPr>
      <w:r>
        <w:rPr>
          <w:rFonts w:hint="eastAsia" w:ascii="宋体" w:hAnsi="宋体"/>
          <w:color w:val="auto"/>
          <w:highlight w:val="none"/>
        </w:rPr>
        <w:t>（2）响应文件的资格证明文件缺少任一项“供应商须知前附表”资格证明文件规定的“必须提供”的文件资料的；</w:t>
      </w:r>
    </w:p>
    <w:p w14:paraId="70F1E1AE">
      <w:pPr>
        <w:spacing w:line="360" w:lineRule="auto"/>
        <w:ind w:firstLine="420" w:firstLineChars="200"/>
        <w:rPr>
          <w:rFonts w:ascii="宋体" w:hAnsi="宋体"/>
          <w:color w:val="auto"/>
          <w:highlight w:val="none"/>
        </w:rPr>
      </w:pPr>
      <w:r>
        <w:rPr>
          <w:rFonts w:hint="eastAsia" w:ascii="宋体" w:hAnsi="宋体"/>
          <w:color w:val="auto"/>
          <w:highlight w:val="none"/>
        </w:rPr>
        <w:t>（3）响应文件中的资格证明文件出现任一项不符合“供应商须知前附表”资格证明文件规定的“必须提供”的文件资料要求或者无效的；</w:t>
      </w:r>
    </w:p>
    <w:p w14:paraId="64CC958D">
      <w:pPr>
        <w:spacing w:line="360" w:lineRule="auto"/>
        <w:ind w:firstLine="420" w:firstLineChars="200"/>
        <w:rPr>
          <w:rFonts w:ascii="宋体" w:hAnsi="宋体"/>
          <w:color w:val="auto"/>
          <w:highlight w:val="none"/>
        </w:rPr>
      </w:pPr>
      <w:r>
        <w:rPr>
          <w:rFonts w:hint="eastAsia" w:ascii="宋体" w:hAnsi="宋体"/>
          <w:color w:val="auto"/>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4475E54A">
      <w:pPr>
        <w:spacing w:line="360" w:lineRule="auto"/>
        <w:ind w:firstLine="420" w:firstLineChars="200"/>
        <w:rPr>
          <w:rFonts w:ascii="宋体" w:hAnsi="宋体"/>
          <w:color w:val="auto"/>
          <w:highlight w:val="none"/>
        </w:rPr>
      </w:pPr>
      <w:r>
        <w:rPr>
          <w:rFonts w:hint="eastAsia" w:ascii="宋体" w:hAnsi="宋体"/>
          <w:color w:val="auto"/>
          <w:highlight w:val="none"/>
        </w:rPr>
        <w:t>1.4通过资格审查的合格供应商不足3家的，不得进入符合性审查环节，采购人或者采购代理机构应当重新开展采购活动。</w:t>
      </w:r>
    </w:p>
    <w:p w14:paraId="4659BE3D">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2.符合性审查</w:t>
      </w:r>
    </w:p>
    <w:p w14:paraId="20B6A31D">
      <w:pPr>
        <w:spacing w:line="360" w:lineRule="auto"/>
        <w:ind w:firstLine="420" w:firstLineChars="200"/>
        <w:rPr>
          <w:rFonts w:ascii="宋体" w:hAnsi="宋体"/>
          <w:color w:val="auto"/>
          <w:highlight w:val="none"/>
        </w:rPr>
      </w:pPr>
      <w:bookmarkStart w:id="43" w:name="_Hlk42528882"/>
      <w:bookmarkEnd w:id="43"/>
      <w:r>
        <w:rPr>
          <w:rFonts w:hint="eastAsia" w:ascii="宋体" w:hAnsi="宋体"/>
          <w:color w:val="auto"/>
          <w:highlight w:val="none"/>
        </w:rPr>
        <w:t>2.1由磋商小组对资格审查的合格供应商的响应文件的竞标报价、商务、技术等实质性要求进行符合性审查，以确定其是否满足磋商文件的实质性要求。</w:t>
      </w:r>
    </w:p>
    <w:p w14:paraId="35A8F478">
      <w:pPr>
        <w:spacing w:line="360" w:lineRule="auto"/>
        <w:ind w:firstLine="420" w:firstLineChars="200"/>
        <w:rPr>
          <w:rFonts w:ascii="宋体" w:hAnsi="宋体"/>
          <w:color w:val="auto"/>
          <w:highlight w:val="none"/>
        </w:rPr>
      </w:pPr>
      <w:r>
        <w:rPr>
          <w:rFonts w:hint="eastAsia" w:ascii="宋体" w:hAnsi="宋体"/>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40EA15">
      <w:pPr>
        <w:spacing w:line="360" w:lineRule="auto"/>
        <w:ind w:firstLine="420" w:firstLineChars="200"/>
        <w:rPr>
          <w:rFonts w:ascii="宋体" w:hAnsi="宋体"/>
          <w:color w:val="auto"/>
          <w:spacing w:val="-6"/>
          <w:highlight w:val="none"/>
        </w:rPr>
      </w:pPr>
      <w:r>
        <w:rPr>
          <w:rFonts w:hint="eastAsia" w:ascii="宋体" w:hAnsi="宋体"/>
          <w:color w:val="auto"/>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olor w:val="auto"/>
          <w:spacing w:val="-6"/>
          <w:highlight w:val="none"/>
        </w:rPr>
        <w:t>。供应商为自然人的，必须由本人签字并附身份证明。</w:t>
      </w:r>
    </w:p>
    <w:p w14:paraId="4E439C9D">
      <w:pPr>
        <w:spacing w:line="360" w:lineRule="auto"/>
        <w:ind w:firstLine="396" w:firstLineChars="200"/>
        <w:rPr>
          <w:rFonts w:ascii="宋体" w:hAnsi="宋体"/>
          <w:color w:val="auto"/>
          <w:highlight w:val="none"/>
        </w:rPr>
      </w:pPr>
      <w:r>
        <w:rPr>
          <w:rFonts w:hint="eastAsia" w:ascii="宋体" w:hAnsi="宋体"/>
          <w:color w:val="auto"/>
          <w:spacing w:val="-6"/>
          <w:highlight w:val="none"/>
        </w:rPr>
        <w:t>2.4</w:t>
      </w:r>
      <w:r>
        <w:rPr>
          <w:rFonts w:hint="eastAsia" w:ascii="宋体" w:hAnsi="宋体"/>
          <w:color w:val="auto"/>
          <w:highlight w:val="none"/>
        </w:rPr>
        <w:t xml:space="preserve">首次响应文件报价出现前后不一致的，按照下列规定修正： </w:t>
      </w:r>
    </w:p>
    <w:p w14:paraId="569072DC">
      <w:pPr>
        <w:spacing w:line="360" w:lineRule="auto"/>
        <w:ind w:firstLine="420" w:firstLineChars="200"/>
        <w:rPr>
          <w:rFonts w:ascii="宋体" w:hAnsi="宋体"/>
          <w:color w:val="auto"/>
          <w:highlight w:val="none"/>
        </w:rPr>
      </w:pPr>
      <w:r>
        <w:rPr>
          <w:rFonts w:hint="eastAsia" w:ascii="宋体" w:hAnsi="宋体"/>
          <w:color w:val="auto"/>
          <w:highlight w:val="none"/>
        </w:rPr>
        <w:t>（1）响应文件中报价表内容与响应文件中相应内容不一致的，以报价表为准；</w:t>
      </w:r>
    </w:p>
    <w:p w14:paraId="39F43088">
      <w:pPr>
        <w:spacing w:line="360" w:lineRule="auto"/>
        <w:ind w:firstLine="420" w:firstLineChars="200"/>
        <w:rPr>
          <w:rFonts w:ascii="宋体" w:hAnsi="宋体"/>
          <w:color w:val="auto"/>
          <w:highlight w:val="none"/>
        </w:rPr>
      </w:pPr>
      <w:r>
        <w:rPr>
          <w:rFonts w:hint="eastAsia" w:ascii="宋体" w:hAnsi="宋体"/>
          <w:color w:val="auto"/>
          <w:highlight w:val="none"/>
        </w:rPr>
        <w:t>（2）大写金额和小写金额不一致的，以大写金额为准；</w:t>
      </w:r>
    </w:p>
    <w:p w14:paraId="4068BE2E">
      <w:pPr>
        <w:spacing w:line="360" w:lineRule="auto"/>
        <w:ind w:firstLine="420" w:firstLineChars="200"/>
        <w:rPr>
          <w:rFonts w:ascii="宋体" w:hAnsi="宋体"/>
          <w:color w:val="auto"/>
          <w:highlight w:val="none"/>
        </w:rPr>
      </w:pPr>
      <w:r>
        <w:rPr>
          <w:rFonts w:hint="eastAsia" w:ascii="宋体" w:hAnsi="宋体"/>
          <w:color w:val="auto"/>
          <w:highlight w:val="none"/>
        </w:rPr>
        <w:t>（3）单价金额小数点或者百分比有明显错位的，以报价表的总价为准，并修改单价；</w:t>
      </w:r>
    </w:p>
    <w:p w14:paraId="674E7CCC">
      <w:pPr>
        <w:spacing w:line="360" w:lineRule="auto"/>
        <w:ind w:firstLine="420" w:firstLineChars="200"/>
        <w:rPr>
          <w:rFonts w:ascii="宋体" w:hAnsi="宋体"/>
          <w:color w:val="auto"/>
          <w:highlight w:val="none"/>
        </w:rPr>
      </w:pPr>
      <w:r>
        <w:rPr>
          <w:rFonts w:hint="eastAsia" w:ascii="宋体" w:hAnsi="宋体"/>
          <w:color w:val="auto"/>
          <w:highlight w:val="none"/>
        </w:rPr>
        <w:t>（4）总价金额与按单价汇总金额不一致的，以单价金额计算结果为准。</w:t>
      </w:r>
    </w:p>
    <w:p w14:paraId="274CEA4E">
      <w:pPr>
        <w:spacing w:line="360" w:lineRule="auto"/>
        <w:ind w:firstLine="420" w:firstLineChars="200"/>
        <w:rPr>
          <w:rFonts w:ascii="宋体" w:hAnsi="宋体"/>
          <w:color w:val="auto"/>
          <w:highlight w:val="none"/>
        </w:rPr>
      </w:pPr>
      <w:r>
        <w:rPr>
          <w:rFonts w:hint="eastAsia" w:ascii="宋体" w:hAnsi="宋体"/>
          <w:color w:val="auto"/>
          <w:highlight w:val="none"/>
        </w:rPr>
        <w:t>同时出现两种以上不一致的，按照以上（1）-（4）规定的顺序逐条进行修正。修正后的报价经供应商确认后产生约束力，供应商不确认的，其响应文件按无效响应处理。</w:t>
      </w:r>
    </w:p>
    <w:p w14:paraId="16F7896C">
      <w:pPr>
        <w:spacing w:line="360" w:lineRule="auto"/>
        <w:ind w:firstLine="420" w:firstLineChars="200"/>
        <w:rPr>
          <w:rFonts w:ascii="宋体" w:hAnsi="宋体"/>
          <w:color w:val="auto"/>
          <w:highlight w:val="none"/>
        </w:rPr>
      </w:pPr>
      <w:r>
        <w:rPr>
          <w:rFonts w:hint="eastAsia" w:ascii="宋体" w:hAnsi="宋体"/>
          <w:color w:val="auto"/>
          <w:highlight w:val="none"/>
        </w:rPr>
        <w:t>2.5商务技术报价评审</w:t>
      </w:r>
    </w:p>
    <w:p w14:paraId="72B6C4EA">
      <w:pPr>
        <w:spacing w:line="360" w:lineRule="auto"/>
        <w:ind w:firstLine="420" w:firstLineChars="200"/>
        <w:rPr>
          <w:rFonts w:ascii="宋体" w:hAnsi="宋体"/>
          <w:color w:val="auto"/>
          <w:highlight w:val="none"/>
        </w:rPr>
      </w:pPr>
      <w:r>
        <w:rPr>
          <w:rFonts w:hint="eastAsia" w:ascii="宋体" w:hAnsi="宋体"/>
          <w:color w:val="auto"/>
          <w:highlight w:val="none"/>
        </w:rPr>
        <w:t>在评审时，如发现下列情形之一的，将被视为响应文件无效响应处理：</w:t>
      </w:r>
    </w:p>
    <w:p w14:paraId="113ACF21">
      <w:pPr>
        <w:spacing w:line="360" w:lineRule="auto"/>
        <w:ind w:firstLine="420" w:firstLineChars="200"/>
        <w:rPr>
          <w:rFonts w:ascii="宋体" w:hAnsi="宋体"/>
          <w:color w:val="auto"/>
          <w:highlight w:val="none"/>
        </w:rPr>
      </w:pPr>
      <w:r>
        <w:rPr>
          <w:rFonts w:hint="eastAsia" w:ascii="宋体" w:hAnsi="宋体"/>
          <w:color w:val="auto"/>
          <w:highlight w:val="none"/>
        </w:rPr>
        <w:t>（1）商务技术评审</w:t>
      </w:r>
    </w:p>
    <w:p w14:paraId="168D7C77">
      <w:pPr>
        <w:spacing w:line="360" w:lineRule="auto"/>
        <w:ind w:firstLine="420" w:firstLineChars="200"/>
        <w:rPr>
          <w:rFonts w:ascii="宋体" w:hAnsi="宋体"/>
          <w:color w:val="auto"/>
          <w:highlight w:val="none"/>
        </w:rPr>
      </w:pPr>
      <w:r>
        <w:rPr>
          <w:rFonts w:hint="eastAsia" w:ascii="宋体" w:hAnsi="宋体"/>
          <w:color w:val="auto"/>
          <w:highlight w:val="none"/>
        </w:rPr>
        <w:t>1）响应文件未按磋商文件要求签署、盖章；</w:t>
      </w:r>
    </w:p>
    <w:p w14:paraId="08504335">
      <w:pPr>
        <w:spacing w:line="360" w:lineRule="auto"/>
        <w:ind w:firstLine="420" w:firstLineChars="200"/>
        <w:rPr>
          <w:rFonts w:ascii="宋体" w:hAnsi="宋体"/>
          <w:color w:val="auto"/>
          <w:highlight w:val="none"/>
        </w:rPr>
      </w:pPr>
      <w:r>
        <w:rPr>
          <w:rFonts w:hint="eastAsia" w:ascii="宋体" w:hAnsi="宋体"/>
          <w:color w:val="auto"/>
          <w:highlight w:val="none"/>
        </w:rPr>
        <w:t xml:space="preserve">2）委托代理人未能出具有效身份证或者出具的身份证与授权委托书中的信息不符的； </w:t>
      </w:r>
    </w:p>
    <w:p w14:paraId="721FAD3E">
      <w:pPr>
        <w:spacing w:line="360" w:lineRule="auto"/>
        <w:ind w:firstLine="420" w:firstLineChars="200"/>
        <w:rPr>
          <w:rFonts w:ascii="宋体" w:hAnsi="宋体"/>
          <w:color w:val="auto"/>
          <w:highlight w:val="none"/>
        </w:rPr>
      </w:pPr>
      <w:r>
        <w:rPr>
          <w:rFonts w:hint="eastAsia" w:ascii="宋体" w:hAnsi="宋体"/>
          <w:color w:val="auto"/>
          <w:highlight w:val="none"/>
        </w:rPr>
        <w:t>3）提交的磋商保证金无效的或者未按照磋商文件的规定提交磋商保证金；</w:t>
      </w:r>
    </w:p>
    <w:p w14:paraId="3A580A81">
      <w:pPr>
        <w:spacing w:line="360" w:lineRule="auto"/>
        <w:ind w:firstLine="420" w:firstLineChars="200"/>
        <w:rPr>
          <w:rFonts w:ascii="宋体" w:hAnsi="宋体"/>
          <w:color w:val="auto"/>
          <w:highlight w:val="none"/>
        </w:rPr>
      </w:pPr>
      <w:r>
        <w:rPr>
          <w:rFonts w:hint="eastAsia" w:ascii="宋体" w:hAnsi="宋体"/>
          <w:color w:val="auto"/>
          <w:highlight w:val="none"/>
        </w:rPr>
        <w:t>4）响应文件中的报价商务技术文件出现任一项不符合“供应商须知前附表”中“必须提供”或者“委托时必须提供”文件资料要求的规定或者提供的报价商务技术文件无效。</w:t>
      </w:r>
    </w:p>
    <w:p w14:paraId="18EAC67B">
      <w:pPr>
        <w:spacing w:line="360" w:lineRule="auto"/>
        <w:ind w:firstLine="420" w:firstLineChars="200"/>
        <w:rPr>
          <w:rFonts w:ascii="宋体" w:hAnsi="宋体"/>
          <w:color w:val="auto"/>
          <w:highlight w:val="none"/>
        </w:rPr>
      </w:pPr>
      <w:r>
        <w:rPr>
          <w:rFonts w:hint="eastAsia" w:ascii="宋体" w:hAnsi="宋体"/>
          <w:color w:val="auto"/>
          <w:highlight w:val="none"/>
        </w:rPr>
        <w:t>5）商务条款中标“▲”的条款发生负偏离或者允许负偏离的条款数超过“供应商须知前附表”规定项数的；</w:t>
      </w:r>
    </w:p>
    <w:p w14:paraId="2AC1152E">
      <w:pPr>
        <w:spacing w:line="360" w:lineRule="auto"/>
        <w:ind w:firstLine="420" w:firstLineChars="200"/>
        <w:rPr>
          <w:rFonts w:ascii="宋体" w:hAnsi="宋体"/>
          <w:color w:val="auto"/>
          <w:highlight w:val="none"/>
        </w:rPr>
      </w:pPr>
      <w:r>
        <w:rPr>
          <w:rFonts w:hint="eastAsia" w:ascii="宋体" w:hAnsi="宋体"/>
          <w:color w:val="auto"/>
          <w:highlight w:val="none"/>
        </w:rPr>
        <w:t>6）未对竞标有效期作出响应或者响应文件承诺的竞标有效期不满足磋商文件要求；</w:t>
      </w:r>
    </w:p>
    <w:p w14:paraId="08F3FDBC">
      <w:pPr>
        <w:spacing w:line="360" w:lineRule="auto"/>
        <w:ind w:firstLine="420" w:firstLineChars="200"/>
        <w:rPr>
          <w:rFonts w:ascii="宋体" w:hAnsi="宋体"/>
          <w:color w:val="auto"/>
          <w:highlight w:val="none"/>
        </w:rPr>
      </w:pPr>
      <w:r>
        <w:rPr>
          <w:rFonts w:hint="eastAsia" w:ascii="宋体" w:hAnsi="宋体"/>
          <w:color w:val="auto"/>
          <w:highlight w:val="none"/>
        </w:rPr>
        <w:t>7）响应文件的实质性内容未使用中文表述、使用计量单位不符合磋商文件要求；</w:t>
      </w:r>
    </w:p>
    <w:p w14:paraId="09E6F17B">
      <w:pPr>
        <w:spacing w:line="360" w:lineRule="auto"/>
        <w:ind w:firstLine="420" w:firstLineChars="200"/>
        <w:rPr>
          <w:rFonts w:ascii="宋体" w:hAnsi="宋体"/>
          <w:color w:val="auto"/>
          <w:highlight w:val="none"/>
        </w:rPr>
      </w:pPr>
      <w:r>
        <w:rPr>
          <w:rFonts w:hint="eastAsia" w:ascii="宋体" w:hAnsi="宋体"/>
          <w:color w:val="auto"/>
          <w:highlight w:val="none"/>
        </w:rPr>
        <w:t>8）响应文件中的文件资料因填写不齐全或者内容虚假或者出现其他情形而导致被磋商小组认定无效；</w:t>
      </w:r>
    </w:p>
    <w:p w14:paraId="26227AD6">
      <w:pPr>
        <w:spacing w:line="360" w:lineRule="auto"/>
        <w:ind w:firstLine="420" w:firstLineChars="200"/>
        <w:rPr>
          <w:rFonts w:ascii="宋体" w:hAnsi="宋体"/>
          <w:color w:val="auto"/>
          <w:highlight w:val="none"/>
        </w:rPr>
      </w:pPr>
      <w:r>
        <w:rPr>
          <w:rFonts w:hint="eastAsia" w:ascii="宋体" w:hAnsi="宋体"/>
          <w:color w:val="auto"/>
          <w:highlight w:val="none"/>
        </w:rPr>
        <w:t>9）响应文件含有采购人不能接受的附加条件；</w:t>
      </w:r>
    </w:p>
    <w:p w14:paraId="4D7D1051">
      <w:pPr>
        <w:spacing w:line="360" w:lineRule="auto"/>
        <w:ind w:firstLine="420" w:firstLineChars="200"/>
        <w:rPr>
          <w:rFonts w:ascii="宋体" w:hAnsi="宋体"/>
          <w:color w:val="auto"/>
          <w:highlight w:val="none"/>
        </w:rPr>
      </w:pPr>
      <w:r>
        <w:rPr>
          <w:rFonts w:hint="eastAsia" w:ascii="宋体" w:hAnsi="宋体"/>
          <w:color w:val="auto"/>
          <w:highlight w:val="none"/>
        </w:rPr>
        <w:t>10）属于“供应商须知正文”第7.5条情形；</w:t>
      </w:r>
    </w:p>
    <w:p w14:paraId="4035CF6E">
      <w:pPr>
        <w:spacing w:line="360" w:lineRule="auto"/>
        <w:ind w:firstLine="420" w:firstLineChars="200"/>
        <w:rPr>
          <w:rFonts w:ascii="宋体" w:hAnsi="宋体"/>
          <w:color w:val="auto"/>
          <w:highlight w:val="none"/>
        </w:rPr>
      </w:pPr>
      <w:r>
        <w:rPr>
          <w:rFonts w:hint="eastAsia" w:ascii="宋体" w:hAnsi="宋体"/>
          <w:color w:val="auto"/>
          <w:highlight w:val="none"/>
        </w:rPr>
        <w:t>11）技术要求中标“▲”的条款发生负偏离或允许负偏离的条款数超过“供应商须知前附表”规定项数的；</w:t>
      </w:r>
    </w:p>
    <w:p w14:paraId="326443D2">
      <w:pPr>
        <w:spacing w:line="360" w:lineRule="auto"/>
        <w:ind w:firstLine="420" w:firstLineChars="200"/>
        <w:rPr>
          <w:rFonts w:ascii="宋体" w:hAnsi="宋体"/>
          <w:color w:val="auto"/>
          <w:highlight w:val="none"/>
        </w:rPr>
      </w:pPr>
      <w:r>
        <w:rPr>
          <w:rFonts w:hint="eastAsia" w:ascii="宋体" w:hAnsi="宋体"/>
          <w:color w:val="auto"/>
          <w:highlight w:val="none"/>
        </w:rPr>
        <w:t>12）虚假竞标，或者出现其他情形而导致被磋商小组认定无效；</w:t>
      </w:r>
    </w:p>
    <w:p w14:paraId="379A9F59">
      <w:pPr>
        <w:spacing w:line="360" w:lineRule="auto"/>
        <w:ind w:firstLine="420" w:firstLineChars="200"/>
        <w:rPr>
          <w:rFonts w:ascii="宋体" w:hAnsi="宋体"/>
          <w:color w:val="auto"/>
          <w:highlight w:val="none"/>
        </w:rPr>
      </w:pPr>
      <w:r>
        <w:rPr>
          <w:rFonts w:hint="eastAsia" w:ascii="宋体" w:hAnsi="宋体"/>
          <w:color w:val="auto"/>
          <w:highlight w:val="none"/>
        </w:rPr>
        <w:t>13）</w:t>
      </w:r>
      <w:bookmarkStart w:id="44" w:name="_Hlk71704147"/>
      <w:r>
        <w:rPr>
          <w:rFonts w:hint="eastAsia" w:ascii="宋体" w:hAnsi="宋体"/>
          <w:color w:val="auto"/>
          <w:highlight w:val="none"/>
        </w:rPr>
        <w:t>磋商文件未载明允许提供备选（替代）竞标方案或明确不允许提供备选（替代）竞标方案时，供应商提供了备选（替代）竞标方案的；</w:t>
      </w:r>
      <w:bookmarkEnd w:id="44"/>
    </w:p>
    <w:p w14:paraId="76EAC257">
      <w:pPr>
        <w:spacing w:line="360" w:lineRule="auto"/>
        <w:ind w:firstLine="420" w:firstLineChars="200"/>
        <w:rPr>
          <w:rFonts w:ascii="宋体" w:hAnsi="宋体"/>
          <w:color w:val="auto"/>
          <w:highlight w:val="none"/>
        </w:rPr>
      </w:pPr>
      <w:r>
        <w:rPr>
          <w:rFonts w:hint="eastAsia" w:ascii="宋体" w:hAnsi="宋体"/>
          <w:color w:val="auto"/>
          <w:highlight w:val="none"/>
        </w:rPr>
        <w:t>14）响应文件标注的项目名称或者项目编号与磋商文件标注的项目名称或者项目编号不一致的；</w:t>
      </w:r>
    </w:p>
    <w:p w14:paraId="465DE502">
      <w:pPr>
        <w:spacing w:line="360" w:lineRule="auto"/>
        <w:ind w:firstLine="420" w:firstLineChars="200"/>
        <w:rPr>
          <w:rFonts w:ascii="宋体" w:hAnsi="宋体"/>
          <w:color w:val="auto"/>
          <w:highlight w:val="none"/>
        </w:rPr>
      </w:pPr>
      <w:r>
        <w:rPr>
          <w:rFonts w:hint="eastAsia" w:ascii="宋体" w:hAnsi="宋体"/>
          <w:color w:val="auto"/>
          <w:highlight w:val="none"/>
        </w:rPr>
        <w:t>15）竞争性磋商文件明确不允许分包，响应文件拟分包的；</w:t>
      </w:r>
    </w:p>
    <w:p w14:paraId="47CF438C">
      <w:pPr>
        <w:spacing w:line="360" w:lineRule="auto"/>
        <w:ind w:firstLine="420" w:firstLineChars="200"/>
        <w:rPr>
          <w:rFonts w:ascii="宋体" w:hAnsi="宋体"/>
          <w:color w:val="auto"/>
          <w:highlight w:val="none"/>
        </w:rPr>
      </w:pPr>
      <w:r>
        <w:rPr>
          <w:rFonts w:hint="eastAsia" w:ascii="宋体" w:hAnsi="宋体"/>
          <w:color w:val="auto"/>
          <w:highlight w:val="none"/>
        </w:rPr>
        <w:t>16）未响应磋商文件实质性要求；</w:t>
      </w:r>
    </w:p>
    <w:p w14:paraId="1BBAEF8E">
      <w:pPr>
        <w:spacing w:line="360" w:lineRule="auto"/>
        <w:ind w:firstLine="420" w:firstLineChars="200"/>
        <w:rPr>
          <w:rFonts w:ascii="宋体" w:hAnsi="宋体"/>
          <w:color w:val="auto"/>
          <w:highlight w:val="none"/>
        </w:rPr>
      </w:pPr>
      <w:r>
        <w:rPr>
          <w:rFonts w:hint="eastAsia" w:ascii="宋体" w:hAnsi="宋体"/>
          <w:color w:val="auto"/>
          <w:highlight w:val="none"/>
        </w:rPr>
        <w:t>17）法律、法规和磋商文件规定的其他无效情形。</w:t>
      </w:r>
    </w:p>
    <w:p w14:paraId="52349B05">
      <w:pPr>
        <w:spacing w:line="360" w:lineRule="auto"/>
        <w:ind w:firstLine="420" w:firstLineChars="200"/>
        <w:rPr>
          <w:rFonts w:ascii="宋体" w:hAnsi="宋体"/>
          <w:color w:val="auto"/>
          <w:highlight w:val="none"/>
        </w:rPr>
      </w:pPr>
      <w:r>
        <w:rPr>
          <w:rFonts w:hint="eastAsia" w:ascii="宋体" w:hAnsi="宋体"/>
          <w:color w:val="auto"/>
          <w:highlight w:val="none"/>
        </w:rPr>
        <w:t>（2）报价评审</w:t>
      </w:r>
    </w:p>
    <w:p w14:paraId="3DCB0A32">
      <w:pPr>
        <w:spacing w:line="360" w:lineRule="auto"/>
        <w:ind w:firstLine="420" w:firstLineChars="200"/>
        <w:rPr>
          <w:rFonts w:ascii="宋体" w:hAnsi="宋体"/>
          <w:color w:val="auto"/>
          <w:highlight w:val="none"/>
        </w:rPr>
      </w:pPr>
      <w:r>
        <w:rPr>
          <w:rFonts w:hint="eastAsia" w:ascii="宋体" w:hAnsi="宋体"/>
          <w:color w:val="auto"/>
          <w:highlight w:val="none"/>
        </w:rPr>
        <w:t>1） 响应文件未提供“供应商须知前附表” 报价商务技术文件中规定的“竞标报价表”；</w:t>
      </w:r>
    </w:p>
    <w:p w14:paraId="57DD9755">
      <w:pPr>
        <w:spacing w:line="360" w:lineRule="auto"/>
        <w:ind w:firstLine="420" w:firstLineChars="200"/>
        <w:rPr>
          <w:rFonts w:ascii="宋体" w:hAnsi="宋体"/>
          <w:color w:val="auto"/>
          <w:highlight w:val="none"/>
        </w:rPr>
      </w:pPr>
      <w:r>
        <w:rPr>
          <w:rFonts w:hint="eastAsia" w:ascii="宋体" w:hAnsi="宋体"/>
          <w:color w:val="auto"/>
          <w:highlight w:val="none"/>
        </w:rPr>
        <w:t>2）未采用人民币报价或者未按照磋商文件标明的币种报价；</w:t>
      </w:r>
    </w:p>
    <w:p w14:paraId="646DF7B2">
      <w:pPr>
        <w:spacing w:line="360" w:lineRule="auto"/>
        <w:ind w:firstLine="420" w:firstLineChars="200"/>
        <w:rPr>
          <w:rFonts w:ascii="宋体" w:hAnsi="宋体"/>
          <w:color w:val="auto"/>
          <w:highlight w:val="none"/>
        </w:rPr>
      </w:pPr>
      <w:r>
        <w:rPr>
          <w:rFonts w:hint="eastAsia" w:ascii="宋体" w:hAnsi="宋体"/>
          <w:color w:val="auto"/>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3C5589C">
      <w:pPr>
        <w:spacing w:line="360" w:lineRule="auto"/>
        <w:ind w:firstLine="420" w:firstLineChars="200"/>
        <w:rPr>
          <w:rFonts w:ascii="宋体" w:hAnsi="宋体"/>
          <w:color w:val="auto"/>
          <w:highlight w:val="none"/>
        </w:rPr>
      </w:pPr>
      <w:r>
        <w:rPr>
          <w:rFonts w:hint="eastAsia" w:ascii="宋体" w:hAnsi="宋体"/>
          <w:color w:val="auto"/>
          <w:highlight w:val="none"/>
        </w:rPr>
        <w:t>4）最后报价超过所竞标分标规定的采购预算金额或者最高限价的（如本项目公布最高限价）；</w:t>
      </w:r>
      <w:bookmarkStart w:id="45" w:name="_Hlk42596405"/>
      <w:r>
        <w:rPr>
          <w:rFonts w:hint="eastAsia" w:ascii="宋体" w:hAnsi="宋体"/>
          <w:color w:val="auto"/>
          <w:highlight w:val="none"/>
        </w:rPr>
        <w:t xml:space="preserve"> </w:t>
      </w:r>
      <w:bookmarkEnd w:id="45"/>
    </w:p>
    <w:p w14:paraId="3FFF0EE1">
      <w:pPr>
        <w:spacing w:line="360" w:lineRule="auto"/>
        <w:ind w:firstLine="420" w:firstLineChars="200"/>
        <w:rPr>
          <w:rFonts w:ascii="宋体" w:hAnsi="宋体"/>
          <w:color w:val="auto"/>
          <w:highlight w:val="none"/>
        </w:rPr>
      </w:pPr>
      <w:r>
        <w:rPr>
          <w:rFonts w:hint="eastAsia" w:ascii="宋体" w:hAnsi="宋体"/>
          <w:color w:val="auto"/>
          <w:highlight w:val="none"/>
        </w:rPr>
        <w:t>5）修正后的报价，供应商不确认的；或者经供应商确认修正后的最后报价超过所竞标分标规定的采购预算金额或者最高限价（如本项目公布最高限价）；</w:t>
      </w:r>
    </w:p>
    <w:p w14:paraId="01D813F4">
      <w:pPr>
        <w:spacing w:line="360" w:lineRule="auto"/>
        <w:ind w:firstLine="420" w:firstLineChars="200"/>
        <w:rPr>
          <w:rFonts w:ascii="宋体" w:hAnsi="宋体"/>
          <w:color w:val="auto"/>
          <w:highlight w:val="none"/>
        </w:rPr>
      </w:pPr>
      <w:r>
        <w:rPr>
          <w:rFonts w:hint="eastAsia" w:ascii="宋体" w:hAnsi="宋体"/>
          <w:color w:val="auto"/>
          <w:highlight w:val="none"/>
        </w:rPr>
        <w:t>6）响应文件响应的标的数量及单位与竞争性磋商采购文件要求实质性不一致的。</w:t>
      </w:r>
    </w:p>
    <w:p w14:paraId="6AE62319">
      <w:pPr>
        <w:spacing w:line="360" w:lineRule="auto"/>
        <w:ind w:firstLine="420" w:firstLineChars="200"/>
        <w:rPr>
          <w:rFonts w:ascii="宋体" w:hAnsi="宋体"/>
          <w:color w:val="auto"/>
          <w:highlight w:val="none"/>
        </w:rPr>
      </w:pPr>
      <w:r>
        <w:rPr>
          <w:rFonts w:hint="eastAsia" w:ascii="宋体" w:hAnsi="宋体"/>
          <w:color w:val="auto"/>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794906D6">
      <w:pPr>
        <w:spacing w:line="360" w:lineRule="auto"/>
        <w:ind w:firstLine="420" w:firstLineChars="200"/>
        <w:rPr>
          <w:rFonts w:ascii="宋体" w:hAnsi="宋体"/>
          <w:color w:val="auto"/>
          <w:highlight w:val="none"/>
        </w:rPr>
      </w:pPr>
      <w:r>
        <w:rPr>
          <w:rFonts w:hint="eastAsia" w:ascii="宋体" w:hAnsi="宋体"/>
          <w:color w:val="auto"/>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01CDDC9">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3.磋商程序</w:t>
      </w:r>
    </w:p>
    <w:p w14:paraId="09A3941D">
      <w:pPr>
        <w:spacing w:line="360" w:lineRule="auto"/>
        <w:ind w:firstLine="420" w:firstLineChars="200"/>
        <w:rPr>
          <w:rFonts w:ascii="宋体" w:hAnsi="宋体"/>
          <w:color w:val="auto"/>
          <w:highlight w:val="none"/>
        </w:rPr>
      </w:pPr>
      <w:r>
        <w:rPr>
          <w:rFonts w:hint="eastAsia" w:ascii="宋体" w:hAnsi="宋体"/>
          <w:color w:val="auto"/>
          <w:kern w:val="0"/>
          <w:highlight w:val="none"/>
        </w:rPr>
        <w:t>3.1磋商小组按照“供应商须知前附表”</w:t>
      </w:r>
      <w:r>
        <w:rPr>
          <w:rFonts w:hint="eastAsia" w:ascii="宋体" w:hAnsi="宋体"/>
          <w:color w:val="auto"/>
          <w:highlight w:val="none"/>
        </w:rPr>
        <w:t xml:space="preserve"> </w:t>
      </w:r>
      <w:r>
        <w:rPr>
          <w:rFonts w:hint="eastAsia" w:ascii="宋体" w:hAnsi="宋体"/>
          <w:color w:val="auto"/>
          <w:kern w:val="0"/>
          <w:highlight w:val="none"/>
        </w:rPr>
        <w:t>确定的</w:t>
      </w:r>
      <w:r>
        <w:rPr>
          <w:rFonts w:hint="eastAsia" w:ascii="宋体" w:hAnsi="宋体"/>
          <w:color w:val="auto"/>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E83EF2E">
      <w:pPr>
        <w:spacing w:line="360" w:lineRule="auto"/>
        <w:ind w:firstLine="420" w:firstLineChars="200"/>
        <w:rPr>
          <w:rFonts w:ascii="宋体" w:hAnsi="宋体"/>
          <w:color w:val="auto"/>
          <w:highlight w:val="none"/>
        </w:rPr>
      </w:pPr>
      <w:r>
        <w:rPr>
          <w:rFonts w:hint="eastAsia" w:ascii="宋体" w:hAnsi="宋体"/>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48FA38">
      <w:pPr>
        <w:spacing w:line="360" w:lineRule="auto"/>
        <w:ind w:firstLine="420" w:firstLineChars="200"/>
        <w:rPr>
          <w:rFonts w:ascii="宋体" w:hAnsi="宋体"/>
          <w:color w:val="auto"/>
          <w:highlight w:val="none"/>
        </w:rPr>
      </w:pPr>
      <w:r>
        <w:rPr>
          <w:rFonts w:hint="eastAsia" w:ascii="宋体" w:hAnsi="宋体"/>
          <w:color w:val="auto"/>
          <w:highlight w:val="none"/>
        </w:rPr>
        <w:t>3.3对磋商文件作出的实质性变动是磋商文件的有效组成部分，由磋商小组及时以电子磋商记录形式同时通知所有参加磋商的供应商。</w:t>
      </w:r>
    </w:p>
    <w:p w14:paraId="54770762">
      <w:pPr>
        <w:spacing w:line="360" w:lineRule="auto"/>
        <w:ind w:firstLine="420" w:firstLineChars="200"/>
        <w:rPr>
          <w:rFonts w:ascii="宋体" w:hAnsi="宋体"/>
          <w:color w:val="auto"/>
          <w:highlight w:val="none"/>
        </w:rPr>
      </w:pPr>
      <w:r>
        <w:rPr>
          <w:rFonts w:hint="eastAsia" w:ascii="宋体" w:hAnsi="宋体"/>
          <w:color w:val="auto"/>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D5E0E9E">
      <w:pPr>
        <w:spacing w:line="360" w:lineRule="auto"/>
        <w:ind w:firstLine="420" w:firstLineChars="200"/>
        <w:rPr>
          <w:rFonts w:ascii="宋体" w:hAnsi="宋体"/>
          <w:color w:val="auto"/>
          <w:highlight w:val="none"/>
        </w:rPr>
      </w:pPr>
      <w:r>
        <w:rPr>
          <w:rFonts w:hint="eastAsia" w:ascii="宋体" w:hAnsi="宋体"/>
          <w:color w:val="auto"/>
          <w:highlight w:val="none"/>
        </w:rPr>
        <w:t>3.5磋商中，</w:t>
      </w:r>
      <w:r>
        <w:rPr>
          <w:rFonts w:hint="eastAsia" w:ascii="宋体" w:hAnsi="宋体"/>
          <w:color w:val="auto"/>
          <w:spacing w:val="-6"/>
          <w:highlight w:val="none"/>
        </w:rPr>
        <w:t>磋商的任何一方不得透露与磋商有关的其他供应商的技术资料、价格和其他信息。</w:t>
      </w:r>
    </w:p>
    <w:p w14:paraId="413FA715">
      <w:pPr>
        <w:tabs>
          <w:tab w:val="left" w:pos="2835"/>
        </w:tabs>
        <w:spacing w:line="360" w:lineRule="auto"/>
        <w:ind w:firstLine="420" w:firstLineChars="200"/>
        <w:rPr>
          <w:rFonts w:ascii="宋体" w:hAnsi="宋体"/>
          <w:color w:val="auto"/>
          <w:highlight w:val="none"/>
        </w:rPr>
      </w:pPr>
      <w:r>
        <w:rPr>
          <w:rFonts w:hint="eastAsia" w:ascii="宋体" w:hAnsi="宋体"/>
          <w:color w:val="auto"/>
          <w:highlight w:val="none"/>
        </w:rPr>
        <w:t>3.6对磋商过程提交的响应文件进行有效性、完整性和响应程度审查，通过审查的合格供应商不足3家的，采购人或者采购代理机构应当重新开展采购活动。</w:t>
      </w:r>
    </w:p>
    <w:p w14:paraId="6FD956E4">
      <w:pPr>
        <w:widowControl/>
        <w:tabs>
          <w:tab w:val="left" w:pos="540"/>
        </w:tabs>
        <w:spacing w:line="360" w:lineRule="auto"/>
        <w:ind w:firstLine="420" w:firstLineChars="200"/>
        <w:jc w:val="left"/>
        <w:rPr>
          <w:rFonts w:ascii="宋体" w:hAnsi="宋体"/>
          <w:color w:val="auto"/>
          <w:highlight w:val="none"/>
        </w:rPr>
      </w:pPr>
      <w:r>
        <w:rPr>
          <w:rFonts w:hint="eastAsia" w:ascii="宋体" w:hAnsi="宋体"/>
          <w:color w:val="auto"/>
          <w:highlight w:val="none"/>
        </w:rPr>
        <w:t>3.7</w:t>
      </w:r>
      <w:r>
        <w:rPr>
          <w:rFonts w:ascii="宋体" w:hAnsi="宋体"/>
          <w:color w:val="auto"/>
          <w:highlight w:val="none"/>
        </w:rPr>
        <w:t>根据《财政部关于政府采购竞争性磋商采购方式管理暂行办法有关问题的补充通知》（财库〔</w:t>
      </w:r>
      <w:r>
        <w:rPr>
          <w:color w:val="auto"/>
          <w:highlight w:val="none"/>
        </w:rPr>
        <w:t>2015</w:t>
      </w:r>
      <w:r>
        <w:rPr>
          <w:rFonts w:ascii="宋体" w:hAnsi="宋体"/>
          <w:color w:val="auto"/>
          <w:highlight w:val="none"/>
        </w:rPr>
        <w:t>〕</w:t>
      </w:r>
      <w:r>
        <w:rPr>
          <w:color w:val="auto"/>
          <w:highlight w:val="none"/>
        </w:rPr>
        <w:t>124</w:t>
      </w:r>
      <w:r>
        <w:rPr>
          <w:rFonts w:ascii="宋体" w:hAnsi="宋体"/>
          <w:color w:val="auto"/>
          <w:highlight w:val="none"/>
        </w:rPr>
        <w:t>号）的规定，采用竞争性磋商采购方式采购的政府购买服务项目（含政府和社会资本合作项目），在采购过程中符合要求的供应商（社会资本）只有</w:t>
      </w:r>
      <w:r>
        <w:rPr>
          <w:color w:val="auto"/>
          <w:highlight w:val="none"/>
        </w:rPr>
        <w:t>2</w:t>
      </w:r>
      <w:r>
        <w:rPr>
          <w:rFonts w:ascii="宋体" w:hAnsi="宋体"/>
          <w:color w:val="auto"/>
          <w:highlight w:val="none"/>
        </w:rPr>
        <w:t>家的，竞争性磋商采购活动可以继续进行。采购过程中符合要求的供应商（社会资本）只有</w:t>
      </w:r>
      <w:r>
        <w:rPr>
          <w:color w:val="auto"/>
          <w:highlight w:val="none"/>
        </w:rPr>
        <w:t>1</w:t>
      </w:r>
      <w:r>
        <w:rPr>
          <w:rFonts w:ascii="宋体" w:hAnsi="宋体"/>
          <w:color w:val="auto"/>
          <w:highlight w:val="none"/>
        </w:rPr>
        <w:t>家的，采购人（项目实施机构）或者采购代理机构应当终止竞争性磋商采购活动，发布项目终止公告并说明原因，重新开展采购活动。</w:t>
      </w:r>
    </w:p>
    <w:p w14:paraId="0C0C7E09">
      <w:pPr>
        <w:spacing w:line="360" w:lineRule="auto"/>
        <w:ind w:firstLine="482" w:firstLineChars="200"/>
        <w:rPr>
          <w:rFonts w:ascii="宋体" w:hAnsi="宋体"/>
          <w:color w:val="auto"/>
          <w:highlight w:val="none"/>
        </w:rPr>
      </w:pPr>
      <w:r>
        <w:rPr>
          <w:rFonts w:hint="eastAsia" w:ascii="黑体" w:hAnsi="黑体" w:eastAsia="黑体" w:cs="宋体"/>
          <w:b/>
          <w:bCs/>
          <w:color w:val="auto"/>
          <w:sz w:val="24"/>
          <w:szCs w:val="24"/>
          <w:highlight w:val="none"/>
        </w:rPr>
        <w:t>4. 最后报价</w:t>
      </w:r>
    </w:p>
    <w:p w14:paraId="60D2F829">
      <w:pPr>
        <w:spacing w:line="360" w:lineRule="auto"/>
        <w:ind w:firstLine="420" w:firstLineChars="200"/>
        <w:rPr>
          <w:rFonts w:ascii="宋体" w:hAnsi="宋体"/>
          <w:color w:val="auto"/>
          <w:highlight w:val="none"/>
        </w:rPr>
      </w:pPr>
      <w:r>
        <w:rPr>
          <w:rFonts w:hint="eastAsia" w:ascii="宋体" w:hAnsi="宋体"/>
          <w:color w:val="auto"/>
          <w:highlight w:val="none"/>
        </w:rPr>
        <w:t>4.1磋商文件能够详细列明采购标的的技术、服务要求的，磋商结束后，由磋商小组要求所有继续参加磋商的供应商在规定时间内以电子文件形式提交最后报价，除本章第2.7、3.8、4.3条外，提交最后报价的供应商不得少于3家，否则必须重新采购。</w:t>
      </w:r>
    </w:p>
    <w:p w14:paraId="7884E822">
      <w:pPr>
        <w:spacing w:line="360" w:lineRule="auto"/>
        <w:ind w:firstLine="420" w:firstLineChars="200"/>
        <w:rPr>
          <w:rFonts w:ascii="宋体" w:hAnsi="宋体"/>
          <w:color w:val="auto"/>
          <w:highlight w:val="none"/>
        </w:rPr>
      </w:pPr>
      <w:r>
        <w:rPr>
          <w:rFonts w:hint="eastAsia" w:ascii="宋体" w:hAnsi="宋体"/>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5EFA8F90">
      <w:pPr>
        <w:spacing w:line="360" w:lineRule="auto"/>
        <w:ind w:firstLine="420" w:firstLineChars="200"/>
        <w:rPr>
          <w:rFonts w:ascii="宋体" w:hAnsi="宋体"/>
          <w:color w:val="auto"/>
          <w:highlight w:val="none"/>
        </w:rPr>
      </w:pPr>
      <w:r>
        <w:rPr>
          <w:rFonts w:hint="eastAsia" w:ascii="宋体" w:hAnsi="宋体"/>
          <w:color w:val="auto"/>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color w:val="auto"/>
          <w:highlight w:val="none"/>
        </w:rPr>
        <w:t>本章第</w:t>
      </w:r>
      <w:r>
        <w:rPr>
          <w:color w:val="auto"/>
          <w:highlight w:val="none"/>
        </w:rPr>
        <w:t>3.8</w:t>
      </w:r>
      <w:r>
        <w:rPr>
          <w:rFonts w:ascii="宋体" w:hAnsi="宋体"/>
          <w:color w:val="auto"/>
          <w:highlight w:val="none"/>
        </w:rPr>
        <w:t>条情形的，</w:t>
      </w:r>
      <w:r>
        <w:rPr>
          <w:rFonts w:hint="eastAsia" w:ascii="宋体" w:hAnsi="宋体"/>
          <w:color w:val="auto"/>
          <w:highlight w:val="none"/>
        </w:rPr>
        <w:t>提交最后报价的供应商可以为2家。</w:t>
      </w:r>
    </w:p>
    <w:p w14:paraId="0608CCF7">
      <w:pPr>
        <w:spacing w:line="360" w:lineRule="auto"/>
        <w:ind w:firstLine="420" w:firstLineChars="200"/>
        <w:rPr>
          <w:rFonts w:ascii="宋体" w:hAnsi="宋体"/>
          <w:color w:val="auto"/>
          <w:highlight w:val="none"/>
        </w:rPr>
      </w:pPr>
      <w:r>
        <w:rPr>
          <w:rFonts w:hint="eastAsia" w:ascii="宋体" w:hAnsi="宋体"/>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4C85900">
      <w:pPr>
        <w:spacing w:line="360" w:lineRule="auto"/>
        <w:ind w:firstLine="420" w:firstLineChars="200"/>
        <w:rPr>
          <w:rFonts w:ascii="宋体" w:hAnsi="宋体"/>
          <w:color w:val="auto"/>
          <w:highlight w:val="none"/>
        </w:rPr>
      </w:pPr>
      <w:r>
        <w:rPr>
          <w:rFonts w:hint="eastAsia" w:ascii="宋体" w:hAnsi="宋体"/>
          <w:color w:val="auto"/>
          <w:highlight w:val="none"/>
        </w:rPr>
        <w:t>4.5供应商未在规定时间内提交最后报价的，视同退出磋商。</w:t>
      </w:r>
    </w:p>
    <w:p w14:paraId="2C95CC54">
      <w:pPr>
        <w:spacing w:line="360" w:lineRule="auto"/>
        <w:ind w:firstLine="420" w:firstLineChars="200"/>
        <w:rPr>
          <w:rFonts w:ascii="宋体" w:hAnsi="宋体"/>
          <w:color w:val="auto"/>
          <w:highlight w:val="none"/>
        </w:rPr>
      </w:pPr>
      <w:r>
        <w:rPr>
          <w:rFonts w:hint="eastAsia" w:ascii="宋体" w:hAnsi="宋体"/>
          <w:color w:val="auto"/>
          <w:highlight w:val="none"/>
        </w:rPr>
        <w:t>4.6磋商小组收齐某一分标最后报价后或达到规定时间后统一开启，磋商小组对最后报价进行有效性、完整性和响应程度的审查。</w:t>
      </w:r>
    </w:p>
    <w:p w14:paraId="55778602">
      <w:pPr>
        <w:spacing w:line="360" w:lineRule="auto"/>
        <w:ind w:firstLine="420" w:firstLineChars="200"/>
        <w:rPr>
          <w:rFonts w:ascii="宋体" w:hAnsi="宋体"/>
          <w:color w:val="auto"/>
          <w:highlight w:val="none"/>
        </w:rPr>
      </w:pPr>
      <w:r>
        <w:rPr>
          <w:rFonts w:hint="eastAsia" w:ascii="宋体" w:hAnsi="宋体"/>
          <w:color w:val="auto"/>
          <w:highlight w:val="none"/>
        </w:rPr>
        <w:t xml:space="preserve">4.7响应文件最后报价出现前后不一致的，按照本章第2.4条的规定修正。 </w:t>
      </w:r>
    </w:p>
    <w:p w14:paraId="7F7E08EA">
      <w:pPr>
        <w:spacing w:line="360" w:lineRule="auto"/>
        <w:ind w:firstLine="420" w:firstLineChars="200"/>
        <w:rPr>
          <w:rFonts w:ascii="宋体" w:hAnsi="宋体"/>
          <w:color w:val="auto"/>
          <w:highlight w:val="none"/>
        </w:rPr>
      </w:pPr>
      <w:r>
        <w:rPr>
          <w:rFonts w:hint="eastAsia" w:ascii="宋体" w:hAnsi="宋体"/>
          <w:color w:val="auto"/>
          <w:highlight w:val="none"/>
        </w:rPr>
        <w:t>4.8经供应商确认修正后的最后报价作为评审及签订合同的依据。</w:t>
      </w:r>
    </w:p>
    <w:p w14:paraId="0F9D1A3D">
      <w:pPr>
        <w:spacing w:line="360" w:lineRule="auto"/>
        <w:ind w:firstLine="420" w:firstLineChars="200"/>
        <w:rPr>
          <w:rFonts w:ascii="宋体" w:hAnsi="宋体"/>
          <w:color w:val="auto"/>
          <w:highlight w:val="none"/>
        </w:rPr>
      </w:pPr>
      <w:r>
        <w:rPr>
          <w:rFonts w:hint="eastAsia" w:ascii="宋体" w:hAnsi="宋体"/>
          <w:color w:val="auto"/>
          <w:highlight w:val="none"/>
        </w:rPr>
        <w:t>4.9供应商出现最后报价按无效响应处理或者响应文件按无效响应处理时</w:t>
      </w:r>
      <w:r>
        <w:rPr>
          <w:rFonts w:hint="eastAsia" w:ascii="宋体" w:hAnsi="宋体"/>
          <w:color w:val="auto"/>
          <w:sz w:val="22"/>
          <w:szCs w:val="22"/>
          <w:highlight w:val="none"/>
        </w:rPr>
        <w:t>，磋商小组应当告知有关供应商</w:t>
      </w:r>
      <w:r>
        <w:rPr>
          <w:rFonts w:hint="eastAsia" w:ascii="宋体" w:hAnsi="宋体"/>
          <w:color w:val="auto"/>
          <w:highlight w:val="none"/>
        </w:rPr>
        <w:t>。</w:t>
      </w:r>
    </w:p>
    <w:p w14:paraId="5523C8F6">
      <w:pPr>
        <w:spacing w:line="360" w:lineRule="auto"/>
        <w:ind w:firstLine="420" w:firstLineChars="200"/>
        <w:rPr>
          <w:rFonts w:ascii="宋体" w:hAnsi="宋体"/>
          <w:color w:val="auto"/>
          <w:highlight w:val="none"/>
        </w:rPr>
      </w:pPr>
      <w:r>
        <w:rPr>
          <w:rFonts w:hint="eastAsia" w:ascii="宋体" w:hAnsi="宋体"/>
          <w:color w:val="auto"/>
          <w:highlight w:val="none"/>
        </w:rPr>
        <w:t>4.10最后报价结束后，磋商小组不得再与供应商进行任何形式的商谈。</w:t>
      </w:r>
    </w:p>
    <w:p w14:paraId="2EA27F0F">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5.比较与评价</w:t>
      </w:r>
    </w:p>
    <w:p w14:paraId="6B4ADB5E">
      <w:pPr>
        <w:spacing w:line="360" w:lineRule="auto"/>
        <w:ind w:firstLine="420" w:firstLineChars="200"/>
        <w:rPr>
          <w:rFonts w:ascii="宋体" w:hAnsi="宋体"/>
          <w:color w:val="auto"/>
          <w:highlight w:val="none"/>
        </w:rPr>
      </w:pPr>
      <w:r>
        <w:rPr>
          <w:rFonts w:hint="eastAsia" w:ascii="宋体" w:hAnsi="宋体"/>
          <w:color w:val="auto"/>
          <w:highlight w:val="none"/>
        </w:rPr>
        <w:t>5.1评审方法：综合评分法。</w:t>
      </w:r>
    </w:p>
    <w:p w14:paraId="53F264FF">
      <w:pPr>
        <w:spacing w:line="360" w:lineRule="auto"/>
        <w:ind w:firstLine="420" w:firstLineChars="200"/>
        <w:rPr>
          <w:rFonts w:ascii="宋体" w:hAnsi="宋体"/>
          <w:color w:val="auto"/>
          <w:highlight w:val="none"/>
        </w:rPr>
      </w:pPr>
      <w:r>
        <w:rPr>
          <w:rFonts w:hint="eastAsia" w:ascii="宋体" w:hAnsi="宋体"/>
          <w:color w:val="auto"/>
          <w:highlight w:val="none"/>
        </w:rPr>
        <w:t>5.2经磋商确定最终采购需求和提交最后报价的供应商后，由磋商小组采用综合评分法对提交最后报价的供应商的响应文件和最后报价进行综合评分。</w:t>
      </w:r>
    </w:p>
    <w:p w14:paraId="4971DF90">
      <w:pPr>
        <w:spacing w:line="360" w:lineRule="auto"/>
        <w:ind w:firstLine="420" w:firstLineChars="200"/>
        <w:rPr>
          <w:rFonts w:ascii="宋体" w:hAnsi="宋体"/>
          <w:color w:val="auto"/>
          <w:highlight w:val="none"/>
        </w:rPr>
      </w:pPr>
      <w:r>
        <w:rPr>
          <w:rFonts w:hint="eastAsia" w:ascii="宋体" w:hAnsi="宋体"/>
          <w:color w:val="auto"/>
          <w:highlight w:val="none"/>
        </w:rPr>
        <w:t>5.3评审时，磋商小组各成员应当独立对每个有效响应的文件进行评价、打分，然后汇总每个供应商每项评分因素的得分。</w:t>
      </w:r>
    </w:p>
    <w:p w14:paraId="26D7C606">
      <w:pPr>
        <w:spacing w:line="360" w:lineRule="auto"/>
        <w:ind w:firstLine="420" w:firstLineChars="200"/>
        <w:rPr>
          <w:rFonts w:ascii="宋体" w:hAnsi="宋体"/>
          <w:color w:val="auto"/>
          <w:highlight w:val="none"/>
        </w:rPr>
      </w:pPr>
      <w:r>
        <w:rPr>
          <w:rFonts w:hint="eastAsia" w:ascii="宋体" w:hAnsi="宋体"/>
          <w:color w:val="auto"/>
          <w:highlight w:val="none"/>
        </w:rPr>
        <w:t>（1）磋商小组按照磋商文件中规定的评审标准计算各供应商的报价得分。项目评审过程中，不得去掉最后报价中的最高报价和最低报价。</w:t>
      </w:r>
    </w:p>
    <w:p w14:paraId="3844A553">
      <w:pPr>
        <w:spacing w:line="360" w:lineRule="auto"/>
        <w:ind w:firstLine="420" w:firstLineChars="200"/>
        <w:rPr>
          <w:rFonts w:ascii="宋体" w:hAnsi="宋体"/>
          <w:color w:val="auto"/>
          <w:highlight w:val="none"/>
        </w:rPr>
      </w:pPr>
      <w:r>
        <w:rPr>
          <w:rFonts w:hint="eastAsia" w:ascii="宋体" w:hAnsi="宋体"/>
          <w:color w:val="auto"/>
          <w:highlight w:val="none"/>
        </w:rPr>
        <w:t>（2）各供应商的得分为磋商小组所有成员的有效评分的算术平均数。</w:t>
      </w:r>
    </w:p>
    <w:p w14:paraId="07BA3832">
      <w:pPr>
        <w:spacing w:line="360" w:lineRule="auto"/>
        <w:ind w:firstLine="420" w:firstLineChars="200"/>
        <w:rPr>
          <w:rFonts w:ascii="宋体" w:hAnsi="宋体"/>
          <w:color w:val="auto"/>
          <w:highlight w:val="none"/>
        </w:rPr>
      </w:pPr>
      <w:r>
        <w:rPr>
          <w:rFonts w:hint="eastAsia" w:ascii="宋体" w:hAnsi="宋体"/>
          <w:color w:val="auto"/>
          <w:highlight w:val="none"/>
        </w:rPr>
        <w:t>5.4评标价为供应商的最后报价进行政策性扣除后的价格，评标价只是作为评审时使用。最终成交供应商的成交金额等于最后报价（如有修正，以确认修正后的最后报价为准）。</w:t>
      </w:r>
    </w:p>
    <w:p w14:paraId="430E3250">
      <w:pPr>
        <w:spacing w:line="360" w:lineRule="auto"/>
        <w:ind w:firstLine="420" w:firstLineChars="200"/>
        <w:rPr>
          <w:rFonts w:ascii="宋体" w:hAnsi="宋体"/>
          <w:color w:val="auto"/>
          <w:kern w:val="0"/>
          <w:highlight w:val="none"/>
        </w:rPr>
      </w:pPr>
      <w:r>
        <w:rPr>
          <w:rFonts w:hint="eastAsia" w:ascii="宋体" w:hAnsi="宋体"/>
          <w:color w:val="auto"/>
          <w:highlight w:val="none"/>
        </w:rPr>
        <w:t>5.5由磋商小组根据综合评分情况，按照评审得分由高到低顺序推荐3名以上成交候选供应商，并编写评</w:t>
      </w:r>
      <w:r>
        <w:rPr>
          <w:rFonts w:hint="eastAsia" w:ascii="宋体" w:hAnsi="宋体"/>
          <w:color w:val="auto"/>
          <w:kern w:val="0"/>
          <w:highlight w:val="none"/>
        </w:rPr>
        <w:t>审报告。符合本章第</w:t>
      </w:r>
      <w:r>
        <w:rPr>
          <w:rFonts w:hint="eastAsia" w:ascii="宋体" w:hAnsi="宋体"/>
          <w:color w:val="auto"/>
          <w:highlight w:val="none"/>
        </w:rPr>
        <w:t>2.7、3.8、4.3</w:t>
      </w:r>
      <w:r>
        <w:rPr>
          <w:rFonts w:hint="eastAsia" w:ascii="宋体" w:hAnsi="宋体"/>
          <w:color w:val="auto"/>
          <w:kern w:val="0"/>
          <w:highlight w:val="none"/>
        </w:rPr>
        <w:t>条情形的，可以推荐2家成交候选供应商。评审得分相同的，按照最后报价由低到高的顺序推荐。评审得分且最后报价相同的，按照技术指标优劣顺序推荐。</w:t>
      </w:r>
    </w:p>
    <w:p w14:paraId="559FFF01">
      <w:pPr>
        <w:spacing w:line="360" w:lineRule="auto"/>
        <w:ind w:firstLine="420" w:firstLineChars="200"/>
        <w:rPr>
          <w:rFonts w:ascii="宋体" w:hAnsi="宋体"/>
          <w:color w:val="auto"/>
          <w:highlight w:val="none"/>
        </w:rPr>
      </w:pPr>
      <w:r>
        <w:rPr>
          <w:rFonts w:hint="eastAsia" w:ascii="宋体" w:hAnsi="宋体"/>
          <w:color w:val="auto"/>
          <w:ker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95A85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二、评审标准</w:t>
      </w:r>
    </w:p>
    <w:p w14:paraId="11A2E203">
      <w:pPr>
        <w:spacing w:line="360" w:lineRule="auto"/>
        <w:ind w:firstLine="420" w:firstLineChars="200"/>
        <w:rPr>
          <w:rFonts w:ascii="宋体" w:hAnsi="宋体"/>
          <w:bCs/>
          <w:color w:val="auto"/>
          <w:highlight w:val="none"/>
        </w:rPr>
      </w:pPr>
      <w:r>
        <w:rPr>
          <w:rFonts w:hint="eastAsia" w:ascii="宋体" w:hAnsi="宋体"/>
          <w:bCs/>
          <w:color w:val="auto"/>
          <w:highlight w:val="none"/>
        </w:rPr>
        <w:t>6.评审依据：磋商小组将以磋商响应文件为评审依据，对供应商的报价、技术、商务等方面内容按百分制打分。（计分方法按四舍五入取至百分位）</w:t>
      </w:r>
    </w:p>
    <w:p w14:paraId="375B5920">
      <w:pPr>
        <w:pStyle w:val="7"/>
        <w:spacing w:line="360" w:lineRule="exact"/>
        <w:rPr>
          <w:rFonts w:ascii="宋体" w:hAnsi="宋体"/>
          <w:b/>
          <w:color w:val="auto"/>
          <w:highlight w:val="none"/>
        </w:rPr>
      </w:pPr>
      <w:r>
        <w:rPr>
          <w:rFonts w:hint="eastAsia" w:ascii="宋体" w:hAnsi="宋体"/>
          <w:b/>
          <w:color w:val="auto"/>
          <w:highlight w:val="none"/>
        </w:rPr>
        <w:t>评审标准</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454"/>
        <w:gridCol w:w="5455"/>
      </w:tblGrid>
      <w:tr w14:paraId="1AB7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19C6B726">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序号</w:t>
            </w:r>
          </w:p>
        </w:tc>
        <w:tc>
          <w:tcPr>
            <w:tcW w:w="1280" w:type="dxa"/>
            <w:tcBorders>
              <w:top w:val="single" w:color="auto" w:sz="4" w:space="0"/>
              <w:left w:val="single" w:color="auto" w:sz="4" w:space="0"/>
              <w:bottom w:val="single" w:color="auto" w:sz="4" w:space="0"/>
              <w:right w:val="single" w:color="auto" w:sz="4" w:space="0"/>
            </w:tcBorders>
            <w:vAlign w:val="center"/>
          </w:tcPr>
          <w:p w14:paraId="71AECD8A">
            <w:pPr>
              <w:adjustRightInd w:val="0"/>
              <w:spacing w:line="360" w:lineRule="exact"/>
              <w:jc w:val="center"/>
              <w:textAlignment w:val="baseline"/>
              <w:rPr>
                <w:rFonts w:ascii="宋体" w:hAnsi="宋体"/>
                <w:color w:val="auto"/>
                <w:highlight w:val="none"/>
              </w:rPr>
            </w:pPr>
            <w:r>
              <w:rPr>
                <w:rFonts w:hint="eastAsia" w:ascii="宋体" w:hAnsi="宋体"/>
                <w:b/>
                <w:color w:val="auto"/>
                <w:highlight w:val="none"/>
              </w:rPr>
              <w:t>评审因素</w:t>
            </w:r>
          </w:p>
        </w:tc>
        <w:tc>
          <w:tcPr>
            <w:tcW w:w="709" w:type="dxa"/>
            <w:tcBorders>
              <w:top w:val="single" w:color="auto" w:sz="4" w:space="0"/>
              <w:left w:val="single" w:color="auto" w:sz="4" w:space="0"/>
              <w:bottom w:val="single" w:color="auto" w:sz="4" w:space="0"/>
              <w:right w:val="single" w:color="auto" w:sz="4" w:space="0"/>
            </w:tcBorders>
            <w:vAlign w:val="center"/>
          </w:tcPr>
          <w:p w14:paraId="08C64793">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分值</w:t>
            </w:r>
          </w:p>
        </w:tc>
        <w:tc>
          <w:tcPr>
            <w:tcW w:w="6909" w:type="dxa"/>
            <w:gridSpan w:val="2"/>
            <w:tcBorders>
              <w:top w:val="single" w:color="auto" w:sz="4" w:space="0"/>
              <w:left w:val="single" w:color="auto" w:sz="4" w:space="0"/>
              <w:bottom w:val="single" w:color="auto" w:sz="4" w:space="0"/>
              <w:right w:val="single" w:color="auto" w:sz="4" w:space="0"/>
            </w:tcBorders>
            <w:vAlign w:val="center"/>
          </w:tcPr>
          <w:p w14:paraId="4C171D06">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评标标准</w:t>
            </w:r>
          </w:p>
        </w:tc>
      </w:tr>
      <w:tr w14:paraId="4842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3415494">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1</w:t>
            </w:r>
          </w:p>
        </w:tc>
        <w:tc>
          <w:tcPr>
            <w:tcW w:w="1280" w:type="dxa"/>
            <w:tcBorders>
              <w:top w:val="single" w:color="auto" w:sz="4" w:space="0"/>
              <w:left w:val="single" w:color="auto" w:sz="4" w:space="0"/>
              <w:bottom w:val="single" w:color="auto" w:sz="4" w:space="0"/>
              <w:right w:val="single" w:color="auto" w:sz="4" w:space="0"/>
            </w:tcBorders>
            <w:vAlign w:val="center"/>
          </w:tcPr>
          <w:p w14:paraId="485C373F">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报价</w:t>
            </w:r>
          </w:p>
        </w:tc>
        <w:tc>
          <w:tcPr>
            <w:tcW w:w="709" w:type="dxa"/>
            <w:tcBorders>
              <w:top w:val="single" w:color="auto" w:sz="4" w:space="0"/>
              <w:left w:val="single" w:color="auto" w:sz="4" w:space="0"/>
              <w:bottom w:val="single" w:color="auto" w:sz="4" w:space="0"/>
              <w:right w:val="single" w:color="auto" w:sz="4" w:space="0"/>
            </w:tcBorders>
            <w:vAlign w:val="center"/>
          </w:tcPr>
          <w:p w14:paraId="4C89FF4B">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10分</w:t>
            </w:r>
          </w:p>
        </w:tc>
        <w:tc>
          <w:tcPr>
            <w:tcW w:w="6909" w:type="dxa"/>
            <w:gridSpan w:val="2"/>
            <w:tcBorders>
              <w:top w:val="single" w:color="auto" w:sz="4" w:space="0"/>
              <w:left w:val="single" w:color="auto" w:sz="4" w:space="0"/>
              <w:bottom w:val="single" w:color="auto" w:sz="4" w:space="0"/>
              <w:right w:val="single" w:color="auto" w:sz="4" w:space="0"/>
            </w:tcBorders>
            <w:vAlign w:val="center"/>
          </w:tcPr>
          <w:p w14:paraId="672956E6">
            <w:pPr>
              <w:pStyle w:val="10"/>
              <w:spacing w:line="360" w:lineRule="exact"/>
              <w:rPr>
                <w:rFonts w:hAnsi="宋体" w:cs="Times New Roman"/>
                <w:b/>
                <w:bCs/>
                <w:color w:val="auto"/>
                <w:kern w:val="2"/>
                <w:sz w:val="21"/>
                <w:szCs w:val="21"/>
                <w:highlight w:val="none"/>
              </w:rPr>
            </w:pPr>
            <w:r>
              <w:rPr>
                <w:rFonts w:hint="eastAsia" w:hAnsi="宋体" w:cs="Times New Roman"/>
                <w:b/>
                <w:bCs/>
                <w:color w:val="auto"/>
                <w:kern w:val="2"/>
                <w:sz w:val="21"/>
                <w:szCs w:val="21"/>
                <w:highlight w:val="none"/>
              </w:rPr>
              <w:t>一、政府采购政策扣除</w:t>
            </w:r>
          </w:p>
          <w:p w14:paraId="3661FBC3">
            <w:pPr>
              <w:pStyle w:val="10"/>
              <w:spacing w:line="360" w:lineRule="exact"/>
              <w:ind w:firstLine="420" w:firstLineChars="200"/>
              <w:rPr>
                <w:rFonts w:hAnsi="宋体" w:cs="Times New Roman"/>
                <w:bCs/>
                <w:color w:val="auto"/>
                <w:sz w:val="21"/>
                <w:szCs w:val="21"/>
                <w:highlight w:val="none"/>
              </w:rPr>
            </w:pPr>
            <w:r>
              <w:rPr>
                <w:rFonts w:hint="eastAsia" w:hAnsi="宋体" w:cs="Times New Roman"/>
                <w:bCs/>
                <w:color w:val="auto"/>
                <w:sz w:val="21"/>
                <w:szCs w:val="21"/>
                <w:highlight w:val="none"/>
              </w:rPr>
              <w:t>1、评审价为供应商的最后报价进行政策性扣除后的价格，评审价只是作为评审时使用。最终成交供应商的成交金额等于最后报价（如有修正，以确认修正后的最后报价为准）。</w:t>
            </w:r>
          </w:p>
          <w:p w14:paraId="3F5D7764">
            <w:pPr>
              <w:pStyle w:val="10"/>
              <w:spacing w:line="360" w:lineRule="exact"/>
              <w:ind w:firstLine="420" w:firstLineChars="200"/>
              <w:rPr>
                <w:rFonts w:hAnsi="宋体" w:cs="Times New Roman"/>
                <w:bCs/>
                <w:color w:val="auto"/>
                <w:sz w:val="21"/>
                <w:szCs w:val="21"/>
                <w:highlight w:val="none"/>
              </w:rPr>
            </w:pPr>
            <w:r>
              <w:rPr>
                <w:rFonts w:hint="eastAsia" w:hAnsi="宋体" w:cs="Times New Roman"/>
                <w:bCs/>
                <w:color w:val="auto"/>
                <w:sz w:val="21"/>
                <w:szCs w:val="21"/>
                <w:highlight w:val="none"/>
              </w:rPr>
              <w:t>2、政府采购政策性扣除计算方法</w:t>
            </w:r>
          </w:p>
          <w:p w14:paraId="763E61A2">
            <w:pPr>
              <w:pStyle w:val="10"/>
              <w:spacing w:line="360" w:lineRule="exact"/>
              <w:ind w:firstLine="420" w:firstLineChars="200"/>
              <w:rPr>
                <w:rFonts w:hAnsi="宋体" w:cs="Times New Roman"/>
                <w:bCs/>
                <w:color w:val="auto"/>
                <w:sz w:val="21"/>
                <w:szCs w:val="21"/>
                <w:highlight w:val="none"/>
              </w:rPr>
            </w:pPr>
            <w:r>
              <w:rPr>
                <w:rFonts w:hint="eastAsia" w:hAnsi="宋体" w:cs="Times New Roman"/>
                <w:bCs/>
                <w:color w:val="auto"/>
                <w:sz w:val="21"/>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-4 %）。除上述情况外，评审价=竞标报价。</w:t>
            </w:r>
          </w:p>
          <w:p w14:paraId="76C50485">
            <w:pPr>
              <w:pStyle w:val="10"/>
              <w:spacing w:line="360" w:lineRule="exact"/>
              <w:ind w:firstLine="420" w:firstLineChars="200"/>
              <w:rPr>
                <w:rFonts w:hAnsi="宋体" w:cs="Times New Roman"/>
                <w:bCs/>
                <w:color w:val="auto"/>
                <w:sz w:val="21"/>
                <w:szCs w:val="21"/>
                <w:highlight w:val="none"/>
              </w:rPr>
            </w:pPr>
            <w:r>
              <w:rPr>
                <w:rFonts w:hint="eastAsia" w:hAnsi="宋体" w:cs="Times New Roman"/>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056C6D1">
            <w:pPr>
              <w:pStyle w:val="10"/>
              <w:spacing w:line="360" w:lineRule="exact"/>
              <w:ind w:firstLine="420" w:firstLineChars="200"/>
              <w:rPr>
                <w:rFonts w:hAnsi="宋体" w:cs="Times New Roman"/>
                <w:color w:val="auto"/>
                <w:sz w:val="21"/>
                <w:szCs w:val="21"/>
                <w:highlight w:val="none"/>
              </w:rPr>
            </w:pPr>
            <w:r>
              <w:rPr>
                <w:rFonts w:hint="eastAsia" w:hAnsi="宋体" w:cs="Times New Roman"/>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CD77817">
            <w:pPr>
              <w:pStyle w:val="10"/>
              <w:tabs>
                <w:tab w:val="left" w:pos="4276"/>
              </w:tabs>
              <w:spacing w:line="360" w:lineRule="exact"/>
              <w:outlineLvl w:val="0"/>
              <w:rPr>
                <w:rFonts w:hAnsi="宋体" w:cs="Times New Roman"/>
                <w:b/>
                <w:color w:val="auto"/>
                <w:sz w:val="21"/>
                <w:szCs w:val="21"/>
                <w:highlight w:val="none"/>
              </w:rPr>
            </w:pPr>
            <w:bookmarkStart w:id="46" w:name="_Toc3475"/>
            <w:r>
              <w:rPr>
                <w:rFonts w:hint="eastAsia" w:hAnsi="宋体" w:cs="Times New Roman"/>
                <w:b/>
                <w:color w:val="auto"/>
                <w:sz w:val="21"/>
                <w:szCs w:val="21"/>
                <w:highlight w:val="none"/>
              </w:rPr>
              <w:t>二、报价分（满分10分）</w:t>
            </w:r>
            <w:bookmarkEnd w:id="46"/>
            <w:r>
              <w:rPr>
                <w:rFonts w:hint="eastAsia" w:hAnsi="宋体" w:cs="Times New Roman"/>
                <w:b/>
                <w:color w:val="auto"/>
                <w:sz w:val="21"/>
                <w:szCs w:val="21"/>
                <w:highlight w:val="none"/>
              </w:rPr>
              <w:tab/>
            </w:r>
          </w:p>
          <w:p w14:paraId="48C8B2BA">
            <w:pPr>
              <w:pStyle w:val="10"/>
              <w:spacing w:line="360" w:lineRule="exact"/>
              <w:ind w:firstLine="420" w:firstLineChars="200"/>
              <w:rPr>
                <w:rFonts w:hAnsi="宋体" w:cs="Times New Roman"/>
                <w:bCs/>
                <w:color w:val="auto"/>
                <w:sz w:val="21"/>
                <w:szCs w:val="21"/>
                <w:highlight w:val="none"/>
              </w:rPr>
            </w:pPr>
            <w:r>
              <w:rPr>
                <w:rFonts w:hint="eastAsia" w:hAnsi="宋体" w:cs="Times New Roman"/>
                <w:color w:val="auto"/>
                <w:sz w:val="21"/>
                <w:szCs w:val="21"/>
                <w:highlight w:val="none"/>
              </w:rPr>
              <w:t>1、</w:t>
            </w:r>
            <w:r>
              <w:rPr>
                <w:rFonts w:hint="eastAsia" w:hAnsi="宋体" w:cs="Times New Roman"/>
                <w:bCs/>
                <w:color w:val="auto"/>
                <w:sz w:val="21"/>
                <w:szCs w:val="21"/>
                <w:highlight w:val="none"/>
              </w:rPr>
              <w:t>报价分采用低价优先法计算，满足磋商文件要求且评标价最低的有效供应商的评标价为评标基准价，其报价分为满分。</w:t>
            </w:r>
          </w:p>
          <w:p w14:paraId="47579DA8">
            <w:pPr>
              <w:pStyle w:val="10"/>
              <w:spacing w:line="360" w:lineRule="exact"/>
              <w:ind w:firstLine="420" w:firstLineChars="200"/>
              <w:rPr>
                <w:rFonts w:hAnsi="宋体" w:cs="Times New Roman"/>
                <w:bCs/>
                <w:color w:val="auto"/>
                <w:sz w:val="21"/>
                <w:szCs w:val="21"/>
                <w:highlight w:val="none"/>
              </w:rPr>
            </w:pPr>
            <w:r>
              <w:rPr>
                <w:rFonts w:hint="eastAsia" w:hAnsi="宋体" w:cs="Times New Roman"/>
                <w:bCs/>
                <w:color w:val="auto"/>
                <w:sz w:val="21"/>
                <w:szCs w:val="21"/>
                <w:highlight w:val="none"/>
              </w:rPr>
              <w:t>2、其他供应商的价格分统一按照下列公式计算：</w:t>
            </w:r>
          </w:p>
          <w:p w14:paraId="7C657964">
            <w:pPr>
              <w:pStyle w:val="10"/>
              <w:spacing w:line="360" w:lineRule="exact"/>
              <w:rPr>
                <w:rFonts w:hAnsi="宋体" w:cs="Times New Roman"/>
                <w:bCs/>
                <w:color w:val="auto"/>
                <w:kern w:val="2"/>
                <w:sz w:val="21"/>
                <w:szCs w:val="21"/>
                <w:highlight w:val="none"/>
              </w:rPr>
            </w:pPr>
            <w:r>
              <w:rPr>
                <w:rFonts w:hint="eastAsia" w:hAnsi="宋体" w:cs="Times New Roman"/>
                <w:bCs/>
                <w:color w:val="auto"/>
                <w:sz w:val="21"/>
                <w:szCs w:val="21"/>
                <w:highlight w:val="none"/>
              </w:rPr>
              <w:t>某有效供应商的报价分=（评标基准价／某有效供应商评标价）× 10分</w:t>
            </w:r>
          </w:p>
        </w:tc>
      </w:tr>
      <w:tr w14:paraId="2291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tcBorders>
              <w:top w:val="nil"/>
              <w:left w:val="single" w:color="auto" w:sz="4" w:space="0"/>
              <w:bottom w:val="single" w:color="auto" w:sz="4" w:space="0"/>
              <w:right w:val="single" w:color="auto" w:sz="4" w:space="0"/>
            </w:tcBorders>
            <w:vAlign w:val="center"/>
          </w:tcPr>
          <w:p w14:paraId="4F58A2B1">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2</w:t>
            </w:r>
          </w:p>
        </w:tc>
        <w:tc>
          <w:tcPr>
            <w:tcW w:w="1280" w:type="dxa"/>
            <w:vMerge w:val="restart"/>
            <w:tcBorders>
              <w:top w:val="nil"/>
              <w:left w:val="single" w:color="auto" w:sz="4" w:space="0"/>
              <w:bottom w:val="single" w:color="auto" w:sz="4" w:space="0"/>
              <w:right w:val="single" w:color="auto" w:sz="4" w:space="0"/>
            </w:tcBorders>
            <w:vAlign w:val="center"/>
          </w:tcPr>
          <w:p w14:paraId="2E0680AE">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技术分</w:t>
            </w:r>
          </w:p>
        </w:tc>
        <w:tc>
          <w:tcPr>
            <w:tcW w:w="709" w:type="dxa"/>
            <w:vMerge w:val="restart"/>
            <w:tcBorders>
              <w:top w:val="nil"/>
              <w:left w:val="single" w:color="auto" w:sz="4" w:space="0"/>
              <w:bottom w:val="single" w:color="auto" w:sz="4" w:space="0"/>
              <w:right w:val="single" w:color="auto" w:sz="4" w:space="0"/>
            </w:tcBorders>
            <w:vAlign w:val="center"/>
          </w:tcPr>
          <w:p w14:paraId="18137513">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6</w:t>
            </w:r>
            <w:r>
              <w:rPr>
                <w:rFonts w:hint="eastAsia" w:ascii="宋体" w:hAnsi="宋体"/>
                <w:b/>
                <w:color w:val="auto"/>
                <w:highlight w:val="none"/>
                <w:lang w:val="en-US" w:eastAsia="zh-CN"/>
              </w:rPr>
              <w:t>4</w:t>
            </w:r>
            <w:r>
              <w:rPr>
                <w:rFonts w:hint="eastAsia" w:ascii="宋体" w:hAnsi="宋体"/>
                <w:b/>
                <w:color w:val="auto"/>
                <w:highlight w:val="none"/>
              </w:rPr>
              <w:t>分</w:t>
            </w:r>
          </w:p>
        </w:tc>
        <w:tc>
          <w:tcPr>
            <w:tcW w:w="1454" w:type="dxa"/>
            <w:tcBorders>
              <w:top w:val="single" w:color="auto" w:sz="4" w:space="0"/>
              <w:left w:val="single" w:color="auto" w:sz="4" w:space="0"/>
              <w:bottom w:val="single" w:color="auto" w:sz="4" w:space="0"/>
              <w:right w:val="single" w:color="auto" w:sz="4" w:space="0"/>
            </w:tcBorders>
            <w:vAlign w:val="center"/>
          </w:tcPr>
          <w:p w14:paraId="3AC279AB">
            <w:pPr>
              <w:adjustRightInd w:val="0"/>
              <w:spacing w:line="360" w:lineRule="exact"/>
              <w:jc w:val="center"/>
              <w:textAlignment w:val="baseline"/>
              <w:rPr>
                <w:rFonts w:ascii="宋体" w:hAnsi="宋体"/>
                <w:bCs/>
                <w:color w:val="auto"/>
                <w:highlight w:val="none"/>
              </w:rPr>
            </w:pPr>
            <w:r>
              <w:rPr>
                <w:rFonts w:hint="eastAsia" w:ascii="宋体" w:hAnsi="宋体"/>
                <w:color w:val="auto"/>
                <w:highlight w:val="none"/>
              </w:rPr>
              <w:t>需求分析</w:t>
            </w:r>
            <w:r>
              <w:rPr>
                <w:rFonts w:hint="eastAsia" w:ascii="宋体" w:hAnsi="宋体"/>
                <w:bCs/>
                <w:color w:val="auto"/>
                <w:kern w:val="0"/>
                <w:highlight w:val="none"/>
              </w:rPr>
              <w:t>（满分6分）</w:t>
            </w:r>
          </w:p>
        </w:tc>
        <w:tc>
          <w:tcPr>
            <w:tcW w:w="5455" w:type="dxa"/>
            <w:tcBorders>
              <w:top w:val="single" w:color="auto" w:sz="4" w:space="0"/>
              <w:left w:val="single" w:color="auto" w:sz="4" w:space="0"/>
              <w:bottom w:val="single" w:color="auto" w:sz="4" w:space="0"/>
              <w:right w:val="single" w:color="auto" w:sz="4" w:space="0"/>
            </w:tcBorders>
            <w:vAlign w:val="center"/>
          </w:tcPr>
          <w:p w14:paraId="7D446E5A">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供应商依据本项目采购需求提供需求分析方案。方案应包含两大核心内容：①现状分析及现存问题、②项目需求分析。未提供或不符合一档的得0分。</w:t>
            </w:r>
          </w:p>
          <w:p w14:paraId="4E221D66">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一档（2分）：分析内容基本符合采购要求，方案描述已覆盖核心内容，但方案描述较为简单。</w:t>
            </w:r>
          </w:p>
          <w:p w14:paraId="4411E2B8">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二档（4分）：在一档的基础上，方案描述相对完善。</w:t>
            </w:r>
          </w:p>
          <w:p w14:paraId="7D768E1F">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三档（6分）：在二档的基础上，内容详实，方案内容切合项目实际，具有针对性。</w:t>
            </w:r>
          </w:p>
        </w:tc>
      </w:tr>
      <w:tr w14:paraId="368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7178F020">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3C755D2A">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0CBEE27E">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731E8757">
            <w:pPr>
              <w:adjustRightInd w:val="0"/>
              <w:spacing w:line="360" w:lineRule="exact"/>
              <w:jc w:val="center"/>
              <w:textAlignment w:val="baseline"/>
              <w:rPr>
                <w:rFonts w:ascii="宋体" w:hAnsi="宋体"/>
                <w:color w:val="auto"/>
                <w:kern w:val="0"/>
                <w:highlight w:val="none"/>
              </w:rPr>
            </w:pPr>
            <w:r>
              <w:rPr>
                <w:rFonts w:hint="eastAsia" w:ascii="宋体" w:hAnsi="宋体"/>
                <w:color w:val="auto"/>
                <w:highlight w:val="none"/>
              </w:rPr>
              <w:t>总体架构和技术方案</w:t>
            </w:r>
            <w:r>
              <w:rPr>
                <w:rFonts w:hint="eastAsia" w:ascii="宋体" w:hAnsi="宋体"/>
                <w:bCs/>
                <w:color w:val="auto"/>
                <w:kern w:val="0"/>
                <w:highlight w:val="none"/>
              </w:rPr>
              <w:t>（满分</w:t>
            </w:r>
            <w:r>
              <w:rPr>
                <w:rFonts w:hint="eastAsia" w:ascii="宋体" w:hAnsi="宋体"/>
                <w:bCs/>
                <w:color w:val="auto"/>
                <w:kern w:val="0"/>
                <w:highlight w:val="none"/>
                <w:lang w:val="en-US" w:eastAsia="zh-CN"/>
              </w:rPr>
              <w:t>10</w:t>
            </w:r>
            <w:r>
              <w:rPr>
                <w:rFonts w:hint="eastAsia" w:ascii="宋体" w:hAnsi="宋体"/>
                <w:bCs/>
                <w:color w:val="auto"/>
                <w:kern w:val="0"/>
                <w:highlight w:val="none"/>
              </w:rPr>
              <w:t>分）</w:t>
            </w:r>
          </w:p>
        </w:tc>
        <w:tc>
          <w:tcPr>
            <w:tcW w:w="5455" w:type="dxa"/>
            <w:tcBorders>
              <w:top w:val="single" w:color="auto" w:sz="4" w:space="0"/>
              <w:left w:val="single" w:color="auto" w:sz="4" w:space="0"/>
              <w:bottom w:val="single" w:color="auto" w:sz="4" w:space="0"/>
              <w:right w:val="single" w:color="auto" w:sz="4" w:space="0"/>
            </w:tcBorders>
          </w:tcPr>
          <w:p w14:paraId="001B8DF4">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供应商根据采购文件要求提供总体架构设计和技术方案设计，内容应包含①总体架构设计②业务架构设计、③设计原则 ④壮美广西·发改云国产化适配改造、⑤壮美广西·发改云系统接口国产化适配改造等内容。未提供或不符合一档的得0分。</w:t>
            </w:r>
          </w:p>
          <w:p w14:paraId="4106A881">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一档（3分）：内容基本符合采购要求，但方案描述较为简单。</w:t>
            </w:r>
          </w:p>
          <w:p w14:paraId="3A311EC9">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二档（6分）：在一档的基础上，内容齐全，方案描述相对完善。</w:t>
            </w:r>
          </w:p>
          <w:p w14:paraId="774B7AEA">
            <w:pPr>
              <w:pStyle w:val="10"/>
              <w:spacing w:line="400" w:lineRule="exact"/>
              <w:ind w:firstLine="420" w:firstLineChars="200"/>
              <w:rPr>
                <w:rFonts w:hAnsi="宋体" w:cs="Times New Roman"/>
                <w:bCs/>
                <w:color w:val="auto"/>
                <w:kern w:val="2"/>
                <w:sz w:val="21"/>
                <w:szCs w:val="21"/>
                <w:highlight w:val="none"/>
              </w:rPr>
            </w:pPr>
            <w:r>
              <w:rPr>
                <w:rFonts w:hint="eastAsia" w:hAnsi="宋体" w:cs="Times New Roman"/>
                <w:color w:val="auto"/>
                <w:sz w:val="21"/>
                <w:szCs w:val="21"/>
                <w:highlight w:val="none"/>
              </w:rPr>
              <w:t>三档（</w:t>
            </w:r>
            <w:r>
              <w:rPr>
                <w:rFonts w:hint="eastAsia" w:hAnsi="宋体" w:cs="Times New Roman"/>
                <w:color w:val="auto"/>
                <w:sz w:val="21"/>
                <w:szCs w:val="21"/>
                <w:highlight w:val="none"/>
                <w:lang w:val="en-US" w:eastAsia="zh-CN"/>
              </w:rPr>
              <w:t>10</w:t>
            </w:r>
            <w:r>
              <w:rPr>
                <w:rFonts w:hint="eastAsia" w:hAnsi="宋体" w:cs="Times New Roman"/>
                <w:color w:val="auto"/>
                <w:sz w:val="21"/>
                <w:szCs w:val="21"/>
                <w:highlight w:val="none"/>
              </w:rPr>
              <w:t>分）：在二档的基础上，内容详实，总体架构合理，方案内容具有针对性。</w:t>
            </w:r>
          </w:p>
        </w:tc>
      </w:tr>
      <w:tr w14:paraId="1DA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04C94CA9">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149A9A15">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293CC641">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02A69B8E">
            <w:pPr>
              <w:adjustRightInd w:val="0"/>
              <w:snapToGrid w:val="0"/>
              <w:spacing w:line="360" w:lineRule="exact"/>
              <w:jc w:val="center"/>
              <w:rPr>
                <w:rFonts w:ascii="宋体" w:hAnsi="宋体"/>
                <w:bCs/>
                <w:color w:val="auto"/>
                <w:highlight w:val="none"/>
              </w:rPr>
            </w:pPr>
            <w:r>
              <w:rPr>
                <w:rFonts w:hint="eastAsia" w:ascii="宋体" w:hAnsi="宋体"/>
                <w:color w:val="auto"/>
                <w:highlight w:val="none"/>
              </w:rPr>
              <w:t>系统迁移及数据迁移</w:t>
            </w:r>
            <w:r>
              <w:rPr>
                <w:rFonts w:hint="eastAsia" w:ascii="宋体" w:hAnsi="宋体"/>
                <w:bCs/>
                <w:color w:val="auto"/>
                <w:highlight w:val="none"/>
              </w:rPr>
              <w:t>方案（满分12分）</w:t>
            </w:r>
          </w:p>
        </w:tc>
        <w:tc>
          <w:tcPr>
            <w:tcW w:w="5455" w:type="dxa"/>
            <w:tcBorders>
              <w:top w:val="single" w:color="auto" w:sz="4" w:space="0"/>
              <w:left w:val="single" w:color="auto" w:sz="4" w:space="0"/>
              <w:bottom w:val="single" w:color="auto" w:sz="4" w:space="0"/>
              <w:right w:val="single" w:color="auto" w:sz="4" w:space="0"/>
            </w:tcBorders>
            <w:vAlign w:val="center"/>
          </w:tcPr>
          <w:p w14:paraId="3BCB71D5">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供应商根据采购文件要求提供系统迁移及数据迁移方案设计，内容应包含①应用部署和数据迁移 ②适配测试和性能调优 ③适配验证以及预迁移、正式割接等内容。未提供或不符合一档的得0分。</w:t>
            </w:r>
          </w:p>
          <w:p w14:paraId="3D4BF140">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一档（4分）：内容基本符合采购要求，但方案描述较为简单。</w:t>
            </w:r>
          </w:p>
          <w:p w14:paraId="0446753A">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二档（8分）：在一档的基础上，内容齐全，方案描述相对完善。</w:t>
            </w:r>
          </w:p>
          <w:p w14:paraId="4FA09B4F">
            <w:pPr>
              <w:pStyle w:val="10"/>
              <w:spacing w:line="400" w:lineRule="exact"/>
              <w:ind w:firstLine="420" w:firstLineChars="200"/>
              <w:rPr>
                <w:rFonts w:hAnsi="宋体" w:cs="Times New Roman"/>
                <w:bCs/>
                <w:color w:val="auto"/>
                <w:kern w:val="2"/>
                <w:sz w:val="21"/>
                <w:szCs w:val="21"/>
                <w:highlight w:val="none"/>
              </w:rPr>
            </w:pPr>
            <w:r>
              <w:rPr>
                <w:rFonts w:hint="eastAsia" w:hAnsi="宋体" w:cs="Times New Roman"/>
                <w:color w:val="auto"/>
                <w:sz w:val="21"/>
                <w:szCs w:val="21"/>
                <w:highlight w:val="none"/>
              </w:rPr>
              <w:t>三档（12分）：在二档的基础上，迁移方案内容详实，割接方案合理，方案内容具有针对性。</w:t>
            </w:r>
          </w:p>
        </w:tc>
      </w:tr>
      <w:tr w14:paraId="2911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3FE70672">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0FC51F9E">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4A67A7D3">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46D6EF19">
            <w:pPr>
              <w:adjustRightInd w:val="0"/>
              <w:snapToGrid w:val="0"/>
              <w:spacing w:line="360" w:lineRule="exact"/>
              <w:jc w:val="center"/>
              <w:rPr>
                <w:rFonts w:ascii="宋体" w:hAnsi="宋体"/>
                <w:color w:val="auto"/>
                <w:highlight w:val="none"/>
              </w:rPr>
            </w:pPr>
            <w:r>
              <w:rPr>
                <w:rFonts w:hint="eastAsia" w:ascii="宋体" w:hAnsi="宋体"/>
                <w:color w:val="auto"/>
                <w:highlight w:val="none"/>
              </w:rPr>
              <w:t>项目实施方案</w:t>
            </w:r>
            <w:r>
              <w:rPr>
                <w:rFonts w:hint="eastAsia" w:ascii="宋体" w:hAnsi="宋体"/>
                <w:bCs/>
                <w:color w:val="auto"/>
                <w:highlight w:val="none"/>
              </w:rPr>
              <w:t>（满分</w:t>
            </w:r>
            <w:r>
              <w:rPr>
                <w:rFonts w:hint="eastAsia" w:ascii="宋体" w:hAnsi="宋体"/>
                <w:bCs/>
                <w:color w:val="auto"/>
                <w:highlight w:val="none"/>
                <w:lang w:val="en-US" w:eastAsia="zh-CN"/>
              </w:rPr>
              <w:t>10</w:t>
            </w:r>
            <w:r>
              <w:rPr>
                <w:rFonts w:hint="eastAsia" w:ascii="宋体" w:hAnsi="宋体"/>
                <w:bCs/>
                <w:color w:val="auto"/>
                <w:highlight w:val="none"/>
              </w:rPr>
              <w:t>分）</w:t>
            </w:r>
          </w:p>
        </w:tc>
        <w:tc>
          <w:tcPr>
            <w:tcW w:w="5455" w:type="dxa"/>
            <w:tcBorders>
              <w:top w:val="single" w:color="auto" w:sz="4" w:space="0"/>
              <w:left w:val="single" w:color="auto" w:sz="4" w:space="0"/>
              <w:bottom w:val="single" w:color="auto" w:sz="4" w:space="0"/>
              <w:right w:val="single" w:color="auto" w:sz="4" w:space="0"/>
            </w:tcBorders>
            <w:vAlign w:val="center"/>
          </w:tcPr>
          <w:p w14:paraId="62DFABCB">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供应商根据采购文件要求提供项目实施方案，内容应包含①项目组织管理体系 ②项目进度计划及保障措施 ③项目质量保证措施 ④风险管理等内容。未提供或不符合一档的得0分。</w:t>
            </w:r>
          </w:p>
          <w:p w14:paraId="7C360EA5">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一档（3分）：内容基本符合采购要求，但方案描述较为简单。</w:t>
            </w:r>
          </w:p>
          <w:p w14:paraId="7A92621D">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二档（6分）：在一档的基础上，内容齐全，方案描述相对完善。</w:t>
            </w:r>
          </w:p>
          <w:p w14:paraId="3EDACDCD">
            <w:pPr>
              <w:spacing w:line="360" w:lineRule="exact"/>
              <w:ind w:firstLine="422"/>
              <w:rPr>
                <w:rFonts w:ascii="宋体" w:hAnsi="宋体"/>
                <w:bCs/>
                <w:color w:val="auto"/>
                <w:highlight w:val="none"/>
              </w:rPr>
            </w:pPr>
            <w:r>
              <w:rPr>
                <w:rFonts w:hint="eastAsia" w:ascii="宋体" w:hAnsi="宋体"/>
                <w:color w:val="auto"/>
                <w:highlight w:val="none"/>
              </w:rPr>
              <w:t>三档（</w:t>
            </w:r>
            <w:r>
              <w:rPr>
                <w:rFonts w:hint="eastAsia" w:ascii="宋体" w:hAnsi="宋体"/>
                <w:color w:val="auto"/>
                <w:highlight w:val="none"/>
                <w:lang w:val="en-US" w:eastAsia="zh-CN"/>
              </w:rPr>
              <w:t>10</w:t>
            </w:r>
            <w:r>
              <w:rPr>
                <w:rFonts w:hint="eastAsia" w:ascii="宋体" w:hAnsi="宋体"/>
                <w:color w:val="auto"/>
                <w:highlight w:val="none"/>
              </w:rPr>
              <w:t>分）：在二档的基础上，保障措施等内容详实，风险管理方案合理，方案内容具有针对性。</w:t>
            </w:r>
          </w:p>
        </w:tc>
      </w:tr>
      <w:tr w14:paraId="32AF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386E027D">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02021597">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4BDEBBE0">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2877FA50">
            <w:pPr>
              <w:adjustRightInd w:val="0"/>
              <w:snapToGrid w:val="0"/>
              <w:spacing w:line="360" w:lineRule="exact"/>
              <w:jc w:val="center"/>
              <w:rPr>
                <w:rFonts w:ascii="宋体" w:hAnsi="宋体"/>
                <w:color w:val="auto"/>
                <w:highlight w:val="none"/>
              </w:rPr>
            </w:pPr>
            <w:r>
              <w:rPr>
                <w:rFonts w:hint="eastAsia" w:ascii="宋体" w:hAnsi="宋体"/>
                <w:color w:val="auto"/>
                <w:highlight w:val="none"/>
              </w:rPr>
              <w:t>售后服务和系统培训方案</w:t>
            </w:r>
            <w:r>
              <w:rPr>
                <w:rFonts w:hint="eastAsia" w:ascii="宋体" w:hAnsi="宋体"/>
                <w:bCs/>
                <w:color w:val="auto"/>
                <w:highlight w:val="none"/>
              </w:rPr>
              <w:t>（满分6分）</w:t>
            </w:r>
          </w:p>
        </w:tc>
        <w:tc>
          <w:tcPr>
            <w:tcW w:w="5455" w:type="dxa"/>
            <w:tcBorders>
              <w:top w:val="single" w:color="auto" w:sz="4" w:space="0"/>
              <w:left w:val="single" w:color="auto" w:sz="4" w:space="0"/>
              <w:bottom w:val="single" w:color="auto" w:sz="4" w:space="0"/>
              <w:right w:val="single" w:color="auto" w:sz="4" w:space="0"/>
            </w:tcBorders>
            <w:vAlign w:val="center"/>
          </w:tcPr>
          <w:p w14:paraId="2EDA7120">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供应商根据采购文件要求提供售后服务和系统培训方案，内容应包含①维护响应及组织体系 ②维护范围及保障措施 ③培训计划 ④培训内容等内容。未提供或不符合一档的得0分。</w:t>
            </w:r>
          </w:p>
          <w:p w14:paraId="28AFE41C">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一档（2分）：内容基本符合采购要求，但方案描述较为简单。</w:t>
            </w:r>
          </w:p>
          <w:p w14:paraId="1681158E">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二档（4分）：在一档的基础上，内容齐全，方案描述相对完善。</w:t>
            </w:r>
          </w:p>
          <w:p w14:paraId="54888290">
            <w:pPr>
              <w:spacing w:line="360" w:lineRule="exact"/>
              <w:ind w:firstLine="422"/>
              <w:rPr>
                <w:rFonts w:ascii="宋体" w:hAnsi="宋体"/>
                <w:bCs/>
                <w:color w:val="auto"/>
                <w:highlight w:val="none"/>
              </w:rPr>
            </w:pPr>
            <w:r>
              <w:rPr>
                <w:rFonts w:hint="eastAsia" w:ascii="宋体" w:hAnsi="宋体"/>
                <w:color w:val="auto"/>
                <w:highlight w:val="none"/>
              </w:rPr>
              <w:t>三档（6分）：在二档的基础上，售后服务内容详实，培训计划合理，方案内容具有针对性。</w:t>
            </w:r>
          </w:p>
        </w:tc>
      </w:tr>
      <w:tr w14:paraId="558C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09D907D4">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6E49DCE1">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1C8061D9">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0E0EA7DA">
            <w:pPr>
              <w:adjustRightInd w:val="0"/>
              <w:snapToGrid w:val="0"/>
              <w:spacing w:line="360" w:lineRule="exact"/>
              <w:jc w:val="center"/>
              <w:rPr>
                <w:rFonts w:ascii="宋体" w:hAnsi="宋体"/>
                <w:color w:val="auto"/>
                <w:highlight w:val="none"/>
              </w:rPr>
            </w:pPr>
            <w:r>
              <w:rPr>
                <w:rFonts w:hint="eastAsia" w:ascii="宋体" w:hAnsi="宋体"/>
                <w:color w:val="auto"/>
                <w:highlight w:val="none"/>
              </w:rPr>
              <w:t>安全保障和应急预案</w:t>
            </w:r>
            <w:r>
              <w:rPr>
                <w:rFonts w:hint="eastAsia" w:ascii="宋体" w:hAnsi="宋体"/>
                <w:bCs/>
                <w:color w:val="auto"/>
                <w:highlight w:val="none"/>
              </w:rPr>
              <w:t>（满分5分）</w:t>
            </w:r>
          </w:p>
        </w:tc>
        <w:tc>
          <w:tcPr>
            <w:tcW w:w="5455" w:type="dxa"/>
            <w:tcBorders>
              <w:top w:val="single" w:color="auto" w:sz="4" w:space="0"/>
              <w:left w:val="single" w:color="auto" w:sz="4" w:space="0"/>
              <w:bottom w:val="single" w:color="auto" w:sz="4" w:space="0"/>
              <w:right w:val="single" w:color="auto" w:sz="4" w:space="0"/>
            </w:tcBorders>
            <w:vAlign w:val="center"/>
          </w:tcPr>
          <w:p w14:paraId="1C0C898E">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供应商根据采购文件要求提供安全保障和应急预案，内容应包含①安全保障措施 ②安全事件处理流程 ③应急预案管理、④应急故障处理等内容。未提供或不符合一档的得0分。</w:t>
            </w:r>
          </w:p>
          <w:p w14:paraId="5436EC06">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一档（1分）：内容基本符合采购要求，但方案描述较为简单。</w:t>
            </w:r>
          </w:p>
          <w:p w14:paraId="34F26C0B">
            <w:pPr>
              <w:pStyle w:val="10"/>
              <w:spacing w:line="400" w:lineRule="exact"/>
              <w:ind w:firstLine="420" w:firstLineChars="200"/>
              <w:rPr>
                <w:rFonts w:hAnsi="宋体" w:cs="Times New Roman"/>
                <w:color w:val="auto"/>
                <w:sz w:val="21"/>
                <w:szCs w:val="21"/>
                <w:highlight w:val="none"/>
              </w:rPr>
            </w:pPr>
            <w:r>
              <w:rPr>
                <w:rFonts w:hint="eastAsia" w:hAnsi="宋体" w:cs="Times New Roman"/>
                <w:color w:val="auto"/>
                <w:sz w:val="21"/>
                <w:szCs w:val="21"/>
                <w:highlight w:val="none"/>
              </w:rPr>
              <w:t>二档（3分）：在一档的基础上，内容齐全，方案描述相对完善。</w:t>
            </w:r>
          </w:p>
          <w:p w14:paraId="280B9EA4">
            <w:pPr>
              <w:spacing w:line="360" w:lineRule="exact"/>
              <w:ind w:firstLine="422"/>
              <w:rPr>
                <w:rFonts w:ascii="宋体" w:hAnsi="宋体"/>
                <w:bCs/>
                <w:color w:val="auto"/>
                <w:highlight w:val="none"/>
              </w:rPr>
            </w:pPr>
            <w:r>
              <w:rPr>
                <w:rFonts w:hint="eastAsia" w:ascii="宋体" w:hAnsi="宋体"/>
                <w:color w:val="auto"/>
                <w:highlight w:val="none"/>
              </w:rPr>
              <w:t>三档（5分）：在二档的基础上，安全保障内容详实，应急预案合理，方案内容具有针对性。</w:t>
            </w:r>
          </w:p>
        </w:tc>
      </w:tr>
      <w:tr w14:paraId="4053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5DDE98C1">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3F1756D0">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0B337F74">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566CD03A">
            <w:pPr>
              <w:adjustRightInd w:val="0"/>
              <w:snapToGrid w:val="0"/>
              <w:spacing w:line="360" w:lineRule="exact"/>
              <w:jc w:val="center"/>
              <w:rPr>
                <w:rFonts w:ascii="宋体" w:hAnsi="宋体"/>
                <w:color w:val="auto"/>
                <w:highlight w:val="none"/>
              </w:rPr>
            </w:pPr>
            <w:r>
              <w:rPr>
                <w:rFonts w:hint="eastAsia" w:ascii="宋体" w:hAnsi="宋体"/>
                <w:color w:val="auto"/>
                <w:highlight w:val="none"/>
              </w:rPr>
              <w:t>系统演示</w:t>
            </w:r>
            <w:r>
              <w:rPr>
                <w:rFonts w:hint="eastAsia" w:ascii="宋体" w:hAnsi="宋体"/>
                <w:bCs/>
                <w:color w:val="auto"/>
                <w:highlight w:val="none"/>
              </w:rPr>
              <w:t>（满分15分）</w:t>
            </w:r>
          </w:p>
        </w:tc>
        <w:tc>
          <w:tcPr>
            <w:tcW w:w="5455" w:type="dxa"/>
            <w:tcBorders>
              <w:top w:val="single" w:color="auto" w:sz="4" w:space="0"/>
              <w:left w:val="single" w:color="auto" w:sz="4" w:space="0"/>
              <w:bottom w:val="single" w:color="auto" w:sz="4" w:space="0"/>
              <w:right w:val="single" w:color="auto" w:sz="4" w:space="0"/>
            </w:tcBorders>
            <w:vAlign w:val="center"/>
          </w:tcPr>
          <w:p w14:paraId="3AC9B084">
            <w:pPr>
              <w:spacing w:line="360" w:lineRule="exact"/>
              <w:ind w:firstLine="422"/>
              <w:rPr>
                <w:rFonts w:ascii="宋体" w:hAnsi="宋体"/>
                <w:color w:val="auto"/>
                <w:highlight w:val="none"/>
              </w:rPr>
            </w:pPr>
            <w:r>
              <w:rPr>
                <w:rFonts w:hint="eastAsia" w:ascii="宋体" w:hAnsi="宋体"/>
                <w:color w:val="auto"/>
                <w:highlight w:val="none"/>
              </w:rPr>
              <w:t>供应商应具备国产化适配改造能力且能够确保在壮美广西·发改云平台适配改造后功能延续性、有效性。供应商通过国产浏览器进行系统功能演示。</w:t>
            </w:r>
          </w:p>
          <w:p w14:paraId="36503370">
            <w:pPr>
              <w:spacing w:line="360" w:lineRule="exact"/>
              <w:ind w:firstLine="422"/>
              <w:rPr>
                <w:rFonts w:ascii="宋体" w:hAnsi="宋体"/>
                <w:color w:val="auto"/>
                <w:highlight w:val="none"/>
              </w:rPr>
            </w:pPr>
            <w:r>
              <w:rPr>
                <w:rFonts w:hint="eastAsia" w:ascii="宋体" w:hAnsi="宋体"/>
                <w:color w:val="auto"/>
                <w:highlight w:val="none"/>
              </w:rPr>
              <w:t>统一采用视频录制方式进行功能演示（视频画面须清晰），时间不超过15分钟。本项最高得15分。</w:t>
            </w:r>
          </w:p>
          <w:p w14:paraId="0517FA3C">
            <w:pPr>
              <w:spacing w:line="360" w:lineRule="exact"/>
              <w:ind w:firstLine="422"/>
              <w:rPr>
                <w:rFonts w:ascii="宋体" w:hAnsi="宋体"/>
                <w:b/>
                <w:bCs/>
                <w:color w:val="auto"/>
                <w:highlight w:val="none"/>
              </w:rPr>
            </w:pPr>
            <w:r>
              <w:rPr>
                <w:rFonts w:hint="eastAsia" w:ascii="宋体" w:hAnsi="宋体"/>
                <w:b/>
                <w:bCs/>
                <w:color w:val="auto"/>
                <w:highlight w:val="none"/>
              </w:rPr>
              <w:t>注：系统必须采用软件原型系统和国产浏览器进行演示。采用PPT、图片、静态HTML等其他方式或非国产化环境演示不得分。</w:t>
            </w:r>
          </w:p>
          <w:p w14:paraId="01DD494F">
            <w:pPr>
              <w:spacing w:line="360" w:lineRule="exact"/>
              <w:ind w:firstLine="422"/>
              <w:rPr>
                <w:rFonts w:ascii="宋体" w:hAnsi="宋体"/>
                <w:b/>
                <w:bCs/>
                <w:color w:val="auto"/>
                <w:highlight w:val="none"/>
              </w:rPr>
            </w:pPr>
            <w:r>
              <w:rPr>
                <w:rFonts w:hint="eastAsia" w:ascii="宋体" w:hAnsi="宋体"/>
                <w:b/>
                <w:bCs/>
                <w:color w:val="auto"/>
                <w:highlight w:val="none"/>
              </w:rPr>
              <w:t>评审依据：</w:t>
            </w:r>
          </w:p>
          <w:p w14:paraId="7A815CF8">
            <w:pPr>
              <w:spacing w:line="360" w:lineRule="exact"/>
              <w:ind w:firstLine="422"/>
              <w:rPr>
                <w:rFonts w:ascii="宋体" w:hAnsi="宋体"/>
                <w:color w:val="auto"/>
                <w:highlight w:val="none"/>
              </w:rPr>
            </w:pPr>
            <w:r>
              <w:rPr>
                <w:rFonts w:hint="eastAsia" w:ascii="宋体" w:hAnsi="宋体"/>
                <w:color w:val="auto"/>
                <w:highlight w:val="none"/>
              </w:rPr>
              <w:t>1.演示国产化环境，支持展示国产数据库、用户终端国产操作系统以及国产中间件信息。</w:t>
            </w:r>
          </w:p>
          <w:p w14:paraId="48A83FAC">
            <w:pPr>
              <w:spacing w:line="360" w:lineRule="exact"/>
              <w:ind w:firstLine="422"/>
              <w:rPr>
                <w:rFonts w:ascii="宋体" w:hAnsi="宋体"/>
                <w:color w:val="auto"/>
                <w:highlight w:val="none"/>
              </w:rPr>
            </w:pPr>
            <w:r>
              <w:rPr>
                <w:rFonts w:hint="eastAsia" w:ascii="宋体" w:hAnsi="宋体"/>
                <w:color w:val="auto"/>
                <w:highlight w:val="none"/>
              </w:rPr>
              <w:t>（全部演示得3分，缺项的不得分）；</w:t>
            </w:r>
          </w:p>
          <w:p w14:paraId="5D41B39F">
            <w:pPr>
              <w:spacing w:line="360" w:lineRule="exact"/>
              <w:ind w:firstLine="422"/>
              <w:rPr>
                <w:rFonts w:ascii="宋体" w:hAnsi="宋体"/>
                <w:color w:val="auto"/>
                <w:highlight w:val="none"/>
              </w:rPr>
            </w:pPr>
            <w:r>
              <w:rPr>
                <w:rFonts w:hint="eastAsia" w:ascii="宋体" w:hAnsi="宋体"/>
                <w:color w:val="auto"/>
                <w:highlight w:val="none"/>
              </w:rPr>
              <w:t>2.演示统一门户，支持单点登录，实现项目管理跳转、数据可视化跳转，能够展示项目公示数据、政策法规信息。</w:t>
            </w:r>
          </w:p>
          <w:p w14:paraId="71F81811">
            <w:pPr>
              <w:spacing w:line="360" w:lineRule="exact"/>
              <w:ind w:firstLine="422"/>
              <w:rPr>
                <w:rFonts w:ascii="宋体" w:hAnsi="宋体"/>
                <w:color w:val="auto"/>
                <w:highlight w:val="none"/>
              </w:rPr>
            </w:pPr>
            <w:r>
              <w:rPr>
                <w:rFonts w:hint="eastAsia" w:ascii="宋体" w:hAnsi="宋体"/>
                <w:color w:val="auto"/>
                <w:highlight w:val="none"/>
              </w:rPr>
              <w:t>（全部演示得3分，缺项的不得分）；</w:t>
            </w:r>
          </w:p>
          <w:p w14:paraId="03B4AA41">
            <w:pPr>
              <w:spacing w:line="360" w:lineRule="exact"/>
              <w:ind w:firstLine="422"/>
              <w:rPr>
                <w:rFonts w:ascii="宋体" w:hAnsi="宋体"/>
                <w:color w:val="auto"/>
                <w:highlight w:val="none"/>
              </w:rPr>
            </w:pPr>
            <w:r>
              <w:rPr>
                <w:rFonts w:hint="eastAsia" w:ascii="宋体" w:hAnsi="宋体"/>
                <w:color w:val="auto"/>
                <w:highlight w:val="none"/>
              </w:rPr>
              <w:t>3.演示项目管理系统，支持项目审核、项目调度以及投资计划。</w:t>
            </w:r>
          </w:p>
          <w:p w14:paraId="0CBE8339">
            <w:pPr>
              <w:spacing w:line="360" w:lineRule="exact"/>
              <w:ind w:firstLine="422"/>
              <w:rPr>
                <w:rFonts w:ascii="宋体" w:hAnsi="宋体"/>
                <w:color w:val="auto"/>
                <w:highlight w:val="none"/>
              </w:rPr>
            </w:pPr>
            <w:r>
              <w:rPr>
                <w:rFonts w:hint="eastAsia" w:ascii="宋体" w:hAnsi="宋体"/>
                <w:color w:val="auto"/>
                <w:highlight w:val="none"/>
              </w:rPr>
              <w:t>①项目审核应支持多条件查询项目信息，按照项目类型展现全区投资项目总体情况；</w:t>
            </w:r>
          </w:p>
          <w:p w14:paraId="5E33C74E">
            <w:pPr>
              <w:spacing w:line="360" w:lineRule="exact"/>
              <w:ind w:firstLine="422"/>
              <w:rPr>
                <w:rFonts w:ascii="宋体" w:hAnsi="宋体"/>
                <w:color w:val="auto"/>
                <w:highlight w:val="none"/>
              </w:rPr>
            </w:pPr>
            <w:r>
              <w:rPr>
                <w:rFonts w:hint="eastAsia" w:ascii="宋体" w:hAnsi="宋体"/>
                <w:color w:val="auto"/>
                <w:highlight w:val="none"/>
              </w:rPr>
              <w:t>②项目调度应支持展现全区统筹推进重大项目进度上报情况；</w:t>
            </w:r>
          </w:p>
          <w:p w14:paraId="0F996DA5">
            <w:pPr>
              <w:spacing w:line="360" w:lineRule="exact"/>
              <w:ind w:firstLine="422"/>
              <w:rPr>
                <w:rFonts w:ascii="宋体" w:hAnsi="宋体"/>
                <w:color w:val="auto"/>
                <w:highlight w:val="none"/>
              </w:rPr>
            </w:pPr>
            <w:r>
              <w:rPr>
                <w:rFonts w:hint="eastAsia" w:ascii="宋体" w:hAnsi="宋体"/>
                <w:color w:val="auto"/>
                <w:highlight w:val="none"/>
              </w:rPr>
              <w:t>③投资计划应支持展现全区统筹推进重大项目投资情况。</w:t>
            </w:r>
          </w:p>
          <w:p w14:paraId="08BA4904">
            <w:pPr>
              <w:spacing w:line="360" w:lineRule="exact"/>
              <w:ind w:firstLine="422"/>
              <w:rPr>
                <w:rFonts w:ascii="宋体" w:hAnsi="宋体"/>
                <w:color w:val="auto"/>
                <w:highlight w:val="none"/>
              </w:rPr>
            </w:pPr>
            <w:r>
              <w:rPr>
                <w:rFonts w:hint="eastAsia" w:ascii="宋体" w:hAnsi="宋体"/>
                <w:color w:val="auto"/>
                <w:highlight w:val="none"/>
              </w:rPr>
              <w:t>（全部演示得3分，缺项的不得分）；</w:t>
            </w:r>
          </w:p>
          <w:p w14:paraId="6C001099">
            <w:pPr>
              <w:spacing w:line="360" w:lineRule="exact"/>
              <w:ind w:firstLine="422"/>
              <w:rPr>
                <w:rFonts w:ascii="宋体" w:hAnsi="宋体"/>
                <w:color w:val="auto"/>
                <w:highlight w:val="none"/>
              </w:rPr>
            </w:pPr>
            <w:r>
              <w:rPr>
                <w:rFonts w:hint="eastAsia" w:ascii="宋体" w:hAnsi="宋体"/>
                <w:color w:val="auto"/>
                <w:highlight w:val="none"/>
              </w:rPr>
              <w:t>4.演示项目审批系统，支持展现审批事项、审批监督（办件监控）情况。</w:t>
            </w:r>
          </w:p>
          <w:p w14:paraId="0297F5AD">
            <w:pPr>
              <w:spacing w:line="360" w:lineRule="exact"/>
              <w:ind w:firstLine="422"/>
              <w:rPr>
                <w:rFonts w:ascii="宋体" w:hAnsi="宋体"/>
                <w:color w:val="auto"/>
                <w:highlight w:val="none"/>
              </w:rPr>
            </w:pPr>
            <w:r>
              <w:rPr>
                <w:rFonts w:hint="eastAsia" w:ascii="宋体" w:hAnsi="宋体"/>
                <w:color w:val="auto"/>
                <w:highlight w:val="none"/>
              </w:rPr>
              <w:t>（全部演示得3分，缺项的不得分）；</w:t>
            </w:r>
          </w:p>
          <w:p w14:paraId="0C518EDB">
            <w:pPr>
              <w:spacing w:line="360" w:lineRule="exact"/>
              <w:ind w:firstLine="422"/>
              <w:rPr>
                <w:rFonts w:ascii="宋体" w:hAnsi="宋体"/>
                <w:color w:val="auto"/>
                <w:highlight w:val="none"/>
              </w:rPr>
            </w:pPr>
            <w:r>
              <w:rPr>
                <w:rFonts w:hint="eastAsia" w:ascii="宋体" w:hAnsi="宋体"/>
                <w:color w:val="auto"/>
                <w:highlight w:val="none"/>
              </w:rPr>
              <w:t>5.演示可视化调度系统，展现储备库、开工库以及建设库项目情况。</w:t>
            </w:r>
          </w:p>
          <w:p w14:paraId="5B34988C">
            <w:pPr>
              <w:spacing w:line="360" w:lineRule="exact"/>
              <w:ind w:firstLine="422"/>
              <w:rPr>
                <w:rFonts w:ascii="宋体" w:hAnsi="宋体"/>
                <w:color w:val="auto"/>
                <w:highlight w:val="none"/>
              </w:rPr>
            </w:pPr>
            <w:r>
              <w:rPr>
                <w:rFonts w:hint="eastAsia" w:ascii="宋体" w:hAnsi="宋体"/>
                <w:color w:val="auto"/>
                <w:highlight w:val="none"/>
              </w:rPr>
              <w:t>①储备库应展示项目数量、投资金额情况，支持储备项目搜索及信息展示；</w:t>
            </w:r>
          </w:p>
          <w:p w14:paraId="028D38A7">
            <w:pPr>
              <w:spacing w:line="360" w:lineRule="exact"/>
              <w:ind w:firstLine="422"/>
              <w:rPr>
                <w:rFonts w:ascii="宋体" w:hAnsi="宋体"/>
                <w:color w:val="auto"/>
                <w:highlight w:val="none"/>
              </w:rPr>
            </w:pPr>
            <w:r>
              <w:rPr>
                <w:rFonts w:hint="eastAsia" w:ascii="宋体" w:hAnsi="宋体"/>
                <w:color w:val="auto"/>
                <w:highlight w:val="none"/>
              </w:rPr>
              <w:t>②开工库应展示项目数量、投资金额情况，支持开工项目搜索及信息展示；</w:t>
            </w:r>
          </w:p>
          <w:p w14:paraId="1ACEA77F">
            <w:pPr>
              <w:spacing w:line="360" w:lineRule="exact"/>
              <w:ind w:firstLine="422"/>
              <w:rPr>
                <w:rFonts w:ascii="宋体" w:hAnsi="宋体"/>
                <w:color w:val="auto"/>
                <w:highlight w:val="none"/>
              </w:rPr>
            </w:pPr>
            <w:r>
              <w:rPr>
                <w:rFonts w:hint="eastAsia" w:ascii="宋体" w:hAnsi="宋体"/>
                <w:color w:val="auto"/>
                <w:highlight w:val="none"/>
              </w:rPr>
              <w:t>③建设库应展示整体项目的建设进度与项目问题协调情况，同时能够了解具体某个项目的概况、建设进度以及项目现场情况。</w:t>
            </w:r>
          </w:p>
          <w:p w14:paraId="1D8D786D">
            <w:pPr>
              <w:spacing w:line="360" w:lineRule="exact"/>
              <w:ind w:firstLine="422"/>
              <w:rPr>
                <w:rFonts w:hint="eastAsia" w:ascii="宋体" w:hAnsi="宋体" w:eastAsia="宋体"/>
                <w:bCs/>
                <w:color w:val="auto"/>
                <w:highlight w:val="none"/>
                <w:lang w:eastAsia="zh-CN"/>
              </w:rPr>
            </w:pPr>
            <w:r>
              <w:rPr>
                <w:rFonts w:hint="eastAsia" w:ascii="宋体" w:hAnsi="宋体"/>
                <w:color w:val="auto"/>
                <w:highlight w:val="none"/>
              </w:rPr>
              <w:t>（全部演示得3分，缺项的不得分）</w:t>
            </w:r>
            <w:r>
              <w:rPr>
                <w:rFonts w:hint="eastAsia" w:ascii="宋体" w:hAnsi="宋体"/>
                <w:color w:val="auto"/>
                <w:highlight w:val="none"/>
                <w:lang w:eastAsia="zh-CN"/>
              </w:rPr>
              <w:t>。</w:t>
            </w:r>
          </w:p>
        </w:tc>
      </w:tr>
      <w:tr w14:paraId="2898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0" w:type="dxa"/>
            <w:vMerge w:val="restart"/>
            <w:tcBorders>
              <w:top w:val="nil"/>
              <w:left w:val="single" w:color="auto" w:sz="4" w:space="0"/>
              <w:bottom w:val="single" w:color="auto" w:sz="4" w:space="0"/>
              <w:right w:val="single" w:color="auto" w:sz="4" w:space="0"/>
            </w:tcBorders>
            <w:vAlign w:val="center"/>
          </w:tcPr>
          <w:p w14:paraId="4ED19DE6">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3</w:t>
            </w:r>
          </w:p>
        </w:tc>
        <w:tc>
          <w:tcPr>
            <w:tcW w:w="1280" w:type="dxa"/>
            <w:vMerge w:val="restart"/>
            <w:tcBorders>
              <w:top w:val="nil"/>
              <w:left w:val="single" w:color="auto" w:sz="4" w:space="0"/>
              <w:bottom w:val="single" w:color="auto" w:sz="4" w:space="0"/>
              <w:right w:val="single" w:color="auto" w:sz="4" w:space="0"/>
            </w:tcBorders>
            <w:vAlign w:val="center"/>
          </w:tcPr>
          <w:p w14:paraId="10052B0B">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商务分</w:t>
            </w:r>
          </w:p>
        </w:tc>
        <w:tc>
          <w:tcPr>
            <w:tcW w:w="709" w:type="dxa"/>
            <w:vMerge w:val="restart"/>
            <w:tcBorders>
              <w:top w:val="nil"/>
              <w:left w:val="single" w:color="auto" w:sz="4" w:space="0"/>
              <w:bottom w:val="single" w:color="auto" w:sz="4" w:space="0"/>
              <w:right w:val="single" w:color="auto" w:sz="4" w:space="0"/>
            </w:tcBorders>
            <w:vAlign w:val="center"/>
          </w:tcPr>
          <w:p w14:paraId="52F9C2F9">
            <w:pPr>
              <w:adjustRightInd w:val="0"/>
              <w:spacing w:line="360" w:lineRule="exact"/>
              <w:jc w:val="center"/>
              <w:textAlignment w:val="baseline"/>
              <w:rPr>
                <w:rFonts w:ascii="宋体" w:hAnsi="宋体"/>
                <w:b/>
                <w:color w:val="auto"/>
                <w:highlight w:val="none"/>
              </w:rPr>
            </w:pPr>
            <w:r>
              <w:rPr>
                <w:rFonts w:hint="eastAsia" w:ascii="宋体" w:hAnsi="宋体"/>
                <w:b/>
                <w:color w:val="auto"/>
                <w:highlight w:val="none"/>
              </w:rPr>
              <w:t>2</w:t>
            </w:r>
            <w:r>
              <w:rPr>
                <w:rFonts w:hint="eastAsia" w:ascii="宋体" w:hAnsi="宋体"/>
                <w:b/>
                <w:color w:val="auto"/>
                <w:highlight w:val="none"/>
                <w:lang w:val="en-US" w:eastAsia="zh-CN"/>
              </w:rPr>
              <w:t>6</w:t>
            </w:r>
            <w:r>
              <w:rPr>
                <w:rFonts w:hint="eastAsia" w:ascii="宋体" w:hAnsi="宋体"/>
                <w:b/>
                <w:color w:val="auto"/>
                <w:highlight w:val="none"/>
              </w:rPr>
              <w:t>分</w:t>
            </w:r>
          </w:p>
        </w:tc>
        <w:tc>
          <w:tcPr>
            <w:tcW w:w="1454" w:type="dxa"/>
            <w:tcBorders>
              <w:top w:val="single" w:color="auto" w:sz="4" w:space="0"/>
              <w:left w:val="single" w:color="auto" w:sz="4" w:space="0"/>
              <w:bottom w:val="single" w:color="auto" w:sz="4" w:space="0"/>
              <w:right w:val="single" w:color="auto" w:sz="4" w:space="0"/>
            </w:tcBorders>
            <w:vAlign w:val="center"/>
          </w:tcPr>
          <w:p w14:paraId="7A8417A2">
            <w:pPr>
              <w:spacing w:line="360" w:lineRule="exact"/>
              <w:jc w:val="center"/>
              <w:rPr>
                <w:rFonts w:ascii="宋体" w:hAnsi="宋体"/>
                <w:bCs/>
                <w:color w:val="auto"/>
                <w:highlight w:val="none"/>
              </w:rPr>
            </w:pPr>
            <w:r>
              <w:rPr>
                <w:rFonts w:hint="eastAsia" w:ascii="宋体" w:hAnsi="宋体"/>
                <w:b/>
                <w:bCs/>
                <w:color w:val="auto"/>
                <w:highlight w:val="none"/>
              </w:rPr>
              <w:t>企业实力（满分</w:t>
            </w:r>
            <w:r>
              <w:rPr>
                <w:rFonts w:hint="eastAsia" w:ascii="宋体" w:hAnsi="宋体"/>
                <w:b/>
                <w:bCs/>
                <w:color w:val="auto"/>
                <w:highlight w:val="none"/>
                <w:lang w:val="en-US" w:eastAsia="zh-CN"/>
              </w:rPr>
              <w:t>6</w:t>
            </w:r>
            <w:r>
              <w:rPr>
                <w:rFonts w:hint="eastAsia" w:ascii="宋体" w:hAnsi="宋体"/>
                <w:b/>
                <w:bCs/>
                <w:color w:val="auto"/>
                <w:highlight w:val="none"/>
              </w:rPr>
              <w:t>分）</w:t>
            </w:r>
          </w:p>
        </w:tc>
        <w:tc>
          <w:tcPr>
            <w:tcW w:w="5455" w:type="dxa"/>
            <w:tcBorders>
              <w:top w:val="single" w:color="auto" w:sz="4" w:space="0"/>
              <w:left w:val="single" w:color="auto" w:sz="4" w:space="0"/>
              <w:bottom w:val="single" w:color="auto" w:sz="4" w:space="0"/>
              <w:right w:val="single" w:color="auto" w:sz="4" w:space="0"/>
            </w:tcBorders>
          </w:tcPr>
          <w:p w14:paraId="19FC869E">
            <w:pPr>
              <w:rPr>
                <w:rFonts w:ascii="宋体" w:hAnsi="宋体"/>
                <w:bCs/>
                <w:color w:val="auto"/>
                <w:highlight w:val="none"/>
              </w:rPr>
            </w:pPr>
            <w:r>
              <w:rPr>
                <w:rFonts w:hint="eastAsia" w:ascii="宋体" w:hAnsi="宋体"/>
                <w:color w:val="auto"/>
                <w:highlight w:val="none"/>
              </w:rPr>
              <w:t>供应商提供有效期内的认证证书：①信息技术服务管理体系认证证书（ISO20000）；②信息安全管理体系认证证书（ISO27001）；③质量管理体系认证证书（ISO9001）。每提供1项有效证书得2分，满分6分；未提供或证书失效不得分。</w:t>
            </w:r>
          </w:p>
        </w:tc>
      </w:tr>
      <w:tr w14:paraId="7D96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464BB72E">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62566028">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7D705160">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690D25BB">
            <w:pPr>
              <w:spacing w:line="360" w:lineRule="exact"/>
              <w:jc w:val="center"/>
              <w:rPr>
                <w:rFonts w:ascii="宋体" w:hAnsi="宋体"/>
                <w:color w:val="auto"/>
                <w:highlight w:val="none"/>
              </w:rPr>
            </w:pPr>
            <w:r>
              <w:rPr>
                <w:rFonts w:hint="eastAsia" w:ascii="宋体" w:hAnsi="宋体"/>
                <w:b/>
                <w:bCs/>
                <w:color w:val="auto"/>
                <w:highlight w:val="none"/>
              </w:rPr>
              <w:t>实施团队（满分12分）</w:t>
            </w:r>
          </w:p>
        </w:tc>
        <w:tc>
          <w:tcPr>
            <w:tcW w:w="5455" w:type="dxa"/>
            <w:tcBorders>
              <w:top w:val="single" w:color="auto" w:sz="4" w:space="0"/>
              <w:left w:val="single" w:color="auto" w:sz="4" w:space="0"/>
              <w:bottom w:val="single" w:color="auto" w:sz="4" w:space="0"/>
              <w:right w:val="single" w:color="auto" w:sz="4" w:space="0"/>
            </w:tcBorders>
          </w:tcPr>
          <w:p w14:paraId="2A9B381B">
            <w:pPr>
              <w:rPr>
                <w:rFonts w:ascii="宋体" w:hAnsi="宋体"/>
                <w:color w:val="auto"/>
                <w:highlight w:val="none"/>
              </w:rPr>
            </w:pPr>
            <w:r>
              <w:rPr>
                <w:rFonts w:hint="eastAsia" w:ascii="宋体" w:hAnsi="宋体"/>
                <w:color w:val="auto"/>
                <w:highlight w:val="none"/>
              </w:rPr>
              <w:t>1.项目负责人资质（4分）：供应商拟配备的项目负责人持有《信创集成项目管理师（高级）》证书，提供有效证书复印件（或扫描件）得4分；未提供或证书失效不得分。</w:t>
            </w:r>
          </w:p>
          <w:p w14:paraId="0C5B8249">
            <w:pPr>
              <w:rPr>
                <w:rFonts w:ascii="宋体" w:hAnsi="宋体"/>
                <w:color w:val="auto"/>
                <w:highlight w:val="none"/>
              </w:rPr>
            </w:pPr>
            <w:r>
              <w:rPr>
                <w:rFonts w:hint="eastAsia" w:ascii="宋体" w:hAnsi="宋体"/>
                <w:color w:val="auto"/>
                <w:highlight w:val="none"/>
              </w:rPr>
              <w:t>2.核心成员专业配置（8分）：供应商拟配备的项目核心成员中，至少包含持有以下证书的专业人员：①《信创系统架构师》证书；②《信创信息安全工程师》证书；③《信创数据库工程师》证书。④《信创系统开发工程师》证书。每提供1类有效证书得2分，三类证书均满足得8分；未提供对应证书或证书失效的，对应分项不得分。</w:t>
            </w:r>
          </w:p>
          <w:p w14:paraId="1DB53194">
            <w:pPr>
              <w:rPr>
                <w:rFonts w:ascii="宋体" w:hAnsi="宋体"/>
                <w:b/>
                <w:bCs/>
                <w:color w:val="auto"/>
                <w:highlight w:val="none"/>
              </w:rPr>
            </w:pPr>
            <w:r>
              <w:rPr>
                <w:rFonts w:hint="eastAsia" w:ascii="宋体" w:hAnsi="宋体"/>
                <w:b/>
                <w:bCs/>
                <w:color w:val="auto"/>
                <w:highlight w:val="none"/>
              </w:rPr>
              <w:t>评审依据：</w:t>
            </w:r>
          </w:p>
          <w:p w14:paraId="40EEB57E">
            <w:pPr>
              <w:rPr>
                <w:rFonts w:ascii="宋体" w:hAnsi="宋体"/>
                <w:color w:val="auto"/>
                <w:highlight w:val="none"/>
              </w:rPr>
            </w:pPr>
            <w:r>
              <w:rPr>
                <w:rFonts w:hint="eastAsia" w:ascii="宋体" w:hAnsi="宋体"/>
                <w:color w:val="auto"/>
                <w:highlight w:val="none"/>
              </w:rPr>
              <w:t>供应商提供上述持证人员的有效证书复印件（或扫描件），未提供证书或信息不一致的不得分。</w:t>
            </w:r>
          </w:p>
        </w:tc>
      </w:tr>
      <w:tr w14:paraId="2BCB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28" w:type="dxa"/>
            <w:vMerge w:val="continue"/>
            <w:tcBorders>
              <w:top w:val="nil"/>
              <w:left w:val="single" w:color="auto" w:sz="4" w:space="0"/>
              <w:bottom w:val="single" w:color="auto" w:sz="4" w:space="0"/>
              <w:right w:val="single" w:color="auto" w:sz="4" w:space="0"/>
            </w:tcBorders>
            <w:vAlign w:val="center"/>
          </w:tcPr>
          <w:p w14:paraId="0153951B">
            <w:pPr>
              <w:widowControl/>
              <w:jc w:val="left"/>
              <w:rPr>
                <w:rFonts w:ascii="宋体" w:hAnsi="宋体"/>
                <w:b/>
                <w:color w:val="auto"/>
                <w:highlight w:val="none"/>
              </w:rPr>
            </w:pPr>
          </w:p>
        </w:tc>
        <w:tc>
          <w:tcPr>
            <w:tcW w:w="1280" w:type="dxa"/>
            <w:vMerge w:val="continue"/>
            <w:tcBorders>
              <w:top w:val="nil"/>
              <w:left w:val="single" w:color="auto" w:sz="4" w:space="0"/>
              <w:bottom w:val="single" w:color="auto" w:sz="4" w:space="0"/>
              <w:right w:val="single" w:color="auto" w:sz="4" w:space="0"/>
            </w:tcBorders>
            <w:vAlign w:val="center"/>
          </w:tcPr>
          <w:p w14:paraId="54942804">
            <w:pPr>
              <w:widowControl/>
              <w:jc w:val="left"/>
              <w:rPr>
                <w:rFonts w:ascii="宋体" w:hAnsi="宋体"/>
                <w:b/>
                <w:color w:val="auto"/>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6E8580ED">
            <w:pPr>
              <w:widowControl/>
              <w:jc w:val="left"/>
              <w:rPr>
                <w:rFonts w:ascii="宋体" w:hAnsi="宋体"/>
                <w:b/>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39D78A52">
            <w:pPr>
              <w:spacing w:line="360" w:lineRule="exact"/>
              <w:jc w:val="center"/>
              <w:rPr>
                <w:rFonts w:ascii="宋体" w:hAnsi="宋体"/>
                <w:color w:val="auto"/>
                <w:highlight w:val="none"/>
              </w:rPr>
            </w:pPr>
            <w:r>
              <w:rPr>
                <w:rFonts w:hint="eastAsia" w:ascii="宋体" w:hAnsi="宋体"/>
                <w:b/>
                <w:bCs/>
                <w:color w:val="auto"/>
                <w:highlight w:val="none"/>
              </w:rPr>
              <w:t>项目业绩（满分8分）</w:t>
            </w:r>
          </w:p>
        </w:tc>
        <w:tc>
          <w:tcPr>
            <w:tcW w:w="5455" w:type="dxa"/>
            <w:tcBorders>
              <w:top w:val="single" w:color="auto" w:sz="4" w:space="0"/>
              <w:left w:val="single" w:color="auto" w:sz="4" w:space="0"/>
              <w:bottom w:val="single" w:color="auto" w:sz="4" w:space="0"/>
              <w:right w:val="single" w:color="auto" w:sz="4" w:space="0"/>
            </w:tcBorders>
          </w:tcPr>
          <w:p w14:paraId="00B4BC74">
            <w:pPr>
              <w:rPr>
                <w:rFonts w:ascii="宋体" w:hAnsi="宋体"/>
                <w:color w:val="auto"/>
                <w:highlight w:val="none"/>
              </w:rPr>
            </w:pPr>
            <w:bookmarkStart w:id="72" w:name="_GoBack"/>
            <w:r>
              <w:rPr>
                <w:rFonts w:hint="eastAsia" w:ascii="宋体" w:hAnsi="宋体"/>
                <w:color w:val="auto"/>
                <w:highlight w:val="none"/>
              </w:rPr>
              <w:t>供应商提供近三年内（以项目合同签署日期为准）同类项目实施案例，每提供1项有效案例得2分，满分8分；未提供不得分。</w:t>
            </w:r>
          </w:p>
          <w:p w14:paraId="4E0C4336">
            <w:pPr>
              <w:rPr>
                <w:rFonts w:ascii="宋体" w:hAnsi="宋体"/>
                <w:b/>
                <w:bCs/>
                <w:color w:val="auto"/>
                <w:highlight w:val="none"/>
              </w:rPr>
            </w:pPr>
            <w:r>
              <w:rPr>
                <w:rFonts w:hint="eastAsia" w:ascii="宋体" w:hAnsi="宋体"/>
                <w:b/>
                <w:bCs/>
                <w:color w:val="auto"/>
                <w:highlight w:val="none"/>
              </w:rPr>
              <w:t>评审依据：</w:t>
            </w:r>
          </w:p>
          <w:p w14:paraId="474E7D15">
            <w:pPr>
              <w:rPr>
                <w:rFonts w:ascii="宋体" w:hAnsi="宋体"/>
                <w:color w:val="auto"/>
                <w:highlight w:val="none"/>
              </w:rPr>
            </w:pPr>
            <w:r>
              <w:rPr>
                <w:rFonts w:hint="eastAsia" w:ascii="宋体" w:hAnsi="宋体"/>
                <w:color w:val="auto"/>
                <w:highlight w:val="none"/>
              </w:rPr>
              <w:t>供应商需提供项目合同复印件（或扫描件），合同需清晰体现项目名称、服务内容（需包含软件国产化相关核心内容）、签署日期、甲乙双方盖章等关键信息；</w:t>
            </w:r>
          </w:p>
          <w:p w14:paraId="6AAFEA61">
            <w:pPr>
              <w:rPr>
                <w:rFonts w:ascii="宋体" w:hAnsi="宋体"/>
                <w:color w:val="auto"/>
                <w:highlight w:val="none"/>
              </w:rPr>
            </w:pPr>
            <w:r>
              <w:rPr>
                <w:rFonts w:hint="eastAsia" w:ascii="宋体" w:hAnsi="宋体"/>
                <w:color w:val="auto"/>
                <w:highlight w:val="none"/>
              </w:rPr>
              <w:t>若合同文件无法充分证明项目符合软件国产化要求，需额外提供中标通知书复印件及采购文件中体现项目核心需求的关键页复印件（或扫描件）；</w:t>
            </w:r>
          </w:p>
          <w:p w14:paraId="07C05A4A">
            <w:pPr>
              <w:rPr>
                <w:rFonts w:ascii="宋体" w:hAnsi="宋体"/>
                <w:color w:val="auto"/>
                <w:highlight w:val="none"/>
              </w:rPr>
            </w:pPr>
            <w:r>
              <w:rPr>
                <w:rFonts w:hint="eastAsia" w:ascii="宋体" w:hAnsi="宋体"/>
                <w:color w:val="auto"/>
                <w:highlight w:val="none"/>
              </w:rPr>
              <w:t>案例签署日期未在近三年内或信息不完整导致无法认定的，对应案例不计分，未提供任何有效案例的本评审项不得分。</w:t>
            </w:r>
            <w:bookmarkEnd w:id="72"/>
          </w:p>
        </w:tc>
      </w:tr>
      <w:tr w14:paraId="0889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tcBorders>
              <w:top w:val="single" w:color="auto" w:sz="4" w:space="0"/>
              <w:left w:val="single" w:color="auto" w:sz="4" w:space="0"/>
              <w:bottom w:val="single" w:color="auto" w:sz="4" w:space="0"/>
              <w:right w:val="single" w:color="auto" w:sz="4" w:space="0"/>
            </w:tcBorders>
            <w:vAlign w:val="center"/>
          </w:tcPr>
          <w:p w14:paraId="56625CB5">
            <w:pPr>
              <w:pStyle w:val="10"/>
              <w:spacing w:line="360" w:lineRule="exact"/>
              <w:rPr>
                <w:rFonts w:hAnsi="宋体" w:cs="Times New Roman"/>
                <w:bCs/>
                <w:color w:val="auto"/>
                <w:kern w:val="2"/>
                <w:sz w:val="21"/>
                <w:szCs w:val="21"/>
                <w:highlight w:val="none"/>
              </w:rPr>
            </w:pPr>
            <w:r>
              <w:rPr>
                <w:rFonts w:hint="eastAsia" w:hAnsi="宋体" w:cs="Times New Roman"/>
                <w:b/>
                <w:bCs/>
                <w:color w:val="auto"/>
                <w:kern w:val="2"/>
                <w:sz w:val="21"/>
                <w:szCs w:val="21"/>
                <w:highlight w:val="none"/>
              </w:rPr>
              <w:t>总得分=1+2+3</w:t>
            </w:r>
          </w:p>
        </w:tc>
      </w:tr>
    </w:tbl>
    <w:p w14:paraId="7D4E4F4D">
      <w:pPr>
        <w:spacing w:line="360" w:lineRule="exact"/>
        <w:ind w:firstLine="420" w:firstLineChars="200"/>
        <w:rPr>
          <w:rFonts w:ascii="宋体" w:hAnsi="宋体"/>
          <w:bCs/>
          <w:color w:val="auto"/>
          <w:highlight w:val="none"/>
        </w:rPr>
      </w:pPr>
      <w:r>
        <w:rPr>
          <w:rFonts w:hint="eastAsia" w:ascii="宋体" w:hAnsi="宋体"/>
          <w:bCs/>
          <w:color w:val="auto"/>
          <w:highlight w:val="none"/>
        </w:rPr>
        <w:t xml:space="preserve"> </w:t>
      </w:r>
    </w:p>
    <w:p w14:paraId="4475394E">
      <w:pPr>
        <w:spacing w:line="360" w:lineRule="auto"/>
        <w:ind w:firstLine="420" w:firstLineChars="200"/>
        <w:rPr>
          <w:rFonts w:ascii="宋体" w:hAnsi="宋体"/>
          <w:color w:val="auto"/>
          <w:kern w:val="0"/>
          <w:sz w:val="24"/>
          <w:szCs w:val="24"/>
          <w:highlight w:val="none"/>
        </w:rPr>
      </w:pPr>
      <w:r>
        <w:rPr>
          <w:rFonts w:hint="eastAsia" w:ascii="宋体" w:hAnsi="宋体"/>
          <w:bCs/>
          <w:color w:val="auto"/>
          <w:highlight w:val="none"/>
        </w:rPr>
        <w:t>7.由磋商小组根据综合评分情况，按照评审得分由高到低顺序推荐3名以上成交候选供应商，并编写评审报告。符合本章第</w:t>
      </w:r>
      <w:r>
        <w:rPr>
          <w:rFonts w:hint="eastAsia" w:ascii="宋体" w:hAnsi="宋体"/>
          <w:color w:val="auto"/>
          <w:highlight w:val="none"/>
        </w:rPr>
        <w:t>2.7、3.8、4.3</w:t>
      </w:r>
      <w:r>
        <w:rPr>
          <w:rFonts w:hint="eastAsia" w:ascii="宋体" w:hAnsi="宋体"/>
          <w:bCs/>
          <w:color w:val="auto"/>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olor w:val="auto"/>
          <w:highlight w:val="none"/>
        </w:rPr>
        <w:t>按综合评分中</w:t>
      </w:r>
      <w:r>
        <w:rPr>
          <w:rFonts w:hint="eastAsia" w:ascii="宋体" w:hAnsi="宋体" w:cs="仿宋"/>
          <w:color w:val="auto"/>
          <w:highlight w:val="none"/>
        </w:rPr>
        <w:t>项目实施方案、质量保障方案</w:t>
      </w:r>
      <w:r>
        <w:rPr>
          <w:rFonts w:hint="eastAsia" w:ascii="宋体" w:hAnsi="宋体"/>
          <w:color w:val="auto"/>
          <w:highlight w:val="none"/>
        </w:rPr>
        <w:t>得分高低依次确定</w:t>
      </w:r>
      <w:r>
        <w:rPr>
          <w:rFonts w:hint="eastAsia" w:ascii="宋体" w:hAnsi="宋体"/>
          <w:bCs/>
          <w:color w:val="auto"/>
          <w:highlight w:val="none"/>
        </w:rPr>
        <w:t>）。</w:t>
      </w:r>
    </w:p>
    <w:p w14:paraId="31B51E29">
      <w:pPr>
        <w:pStyle w:val="2"/>
        <w:jc w:val="center"/>
        <w:rPr>
          <w:rFonts w:ascii="宋体" w:hAnsi="宋体"/>
          <w:color w:val="auto"/>
          <w:highlight w:val="none"/>
        </w:rPr>
      </w:pPr>
      <w:r>
        <w:rPr>
          <w:color w:val="auto"/>
          <w:highlight w:val="none"/>
        </w:rPr>
        <w:br w:type="page"/>
      </w:r>
    </w:p>
    <w:p w14:paraId="7503CE6D">
      <w:pPr>
        <w:rPr>
          <w:rFonts w:ascii="宋体" w:hAnsi="宋体"/>
          <w:color w:val="auto"/>
          <w:highlight w:val="none"/>
        </w:rPr>
      </w:pPr>
      <w:r>
        <w:rPr>
          <w:rFonts w:hint="eastAsia" w:ascii="宋体" w:hAnsi="宋体"/>
          <w:color w:val="auto"/>
          <w:highlight w:val="none"/>
        </w:rPr>
        <w:t xml:space="preserve"> </w:t>
      </w:r>
    </w:p>
    <w:p w14:paraId="606ED4B6">
      <w:pPr>
        <w:rPr>
          <w:rFonts w:ascii="宋体" w:hAnsi="宋体"/>
          <w:color w:val="auto"/>
          <w:highlight w:val="none"/>
        </w:rPr>
      </w:pPr>
      <w:r>
        <w:rPr>
          <w:rFonts w:hint="eastAsia" w:ascii="宋体" w:hAnsi="宋体"/>
          <w:color w:val="auto"/>
          <w:highlight w:val="none"/>
        </w:rPr>
        <w:t xml:space="preserve"> </w:t>
      </w:r>
    </w:p>
    <w:p w14:paraId="3E99551A">
      <w:pPr>
        <w:rPr>
          <w:rFonts w:ascii="宋体" w:hAnsi="宋体"/>
          <w:color w:val="auto"/>
          <w:highlight w:val="none"/>
        </w:rPr>
      </w:pPr>
      <w:r>
        <w:rPr>
          <w:rFonts w:hint="eastAsia" w:ascii="宋体" w:hAnsi="宋体"/>
          <w:color w:val="auto"/>
          <w:highlight w:val="none"/>
        </w:rPr>
        <w:t xml:space="preserve"> </w:t>
      </w:r>
    </w:p>
    <w:p w14:paraId="25ED52E2">
      <w:pPr>
        <w:rPr>
          <w:rFonts w:ascii="宋体" w:hAnsi="宋体"/>
          <w:color w:val="auto"/>
          <w:highlight w:val="none"/>
        </w:rPr>
      </w:pPr>
      <w:r>
        <w:rPr>
          <w:rFonts w:hint="eastAsia" w:ascii="宋体" w:hAnsi="宋体"/>
          <w:color w:val="auto"/>
          <w:highlight w:val="none"/>
        </w:rPr>
        <w:t xml:space="preserve"> </w:t>
      </w:r>
    </w:p>
    <w:p w14:paraId="341E24A7">
      <w:pPr>
        <w:rPr>
          <w:rFonts w:ascii="宋体" w:hAnsi="宋体"/>
          <w:color w:val="auto"/>
          <w:highlight w:val="none"/>
        </w:rPr>
      </w:pPr>
      <w:r>
        <w:rPr>
          <w:rFonts w:hint="eastAsia" w:ascii="宋体" w:hAnsi="宋体"/>
          <w:color w:val="auto"/>
          <w:highlight w:val="none"/>
        </w:rPr>
        <w:t xml:space="preserve"> </w:t>
      </w:r>
    </w:p>
    <w:p w14:paraId="00D1EAC8">
      <w:pPr>
        <w:rPr>
          <w:rFonts w:ascii="宋体" w:hAnsi="宋体"/>
          <w:color w:val="auto"/>
          <w:highlight w:val="none"/>
        </w:rPr>
      </w:pPr>
      <w:r>
        <w:rPr>
          <w:rFonts w:hint="eastAsia" w:ascii="宋体" w:hAnsi="宋体"/>
          <w:color w:val="auto"/>
          <w:highlight w:val="none"/>
        </w:rPr>
        <w:t xml:space="preserve"> </w:t>
      </w:r>
    </w:p>
    <w:p w14:paraId="7EC2F70A">
      <w:pPr>
        <w:rPr>
          <w:rFonts w:ascii="宋体" w:hAnsi="宋体"/>
          <w:color w:val="auto"/>
          <w:highlight w:val="none"/>
        </w:rPr>
      </w:pPr>
      <w:r>
        <w:rPr>
          <w:rFonts w:hint="eastAsia" w:ascii="宋体" w:hAnsi="宋体"/>
          <w:color w:val="auto"/>
          <w:highlight w:val="none"/>
        </w:rPr>
        <w:t xml:space="preserve"> </w:t>
      </w:r>
    </w:p>
    <w:p w14:paraId="50940D89">
      <w:pPr>
        <w:rPr>
          <w:rFonts w:ascii="宋体" w:hAnsi="宋体"/>
          <w:color w:val="auto"/>
          <w:highlight w:val="none"/>
        </w:rPr>
      </w:pPr>
      <w:r>
        <w:rPr>
          <w:rFonts w:hint="eastAsia" w:ascii="宋体" w:hAnsi="宋体"/>
          <w:color w:val="auto"/>
          <w:highlight w:val="none"/>
        </w:rPr>
        <w:t xml:space="preserve"> </w:t>
      </w:r>
    </w:p>
    <w:p w14:paraId="3F86ADB2">
      <w:pPr>
        <w:rPr>
          <w:rFonts w:ascii="宋体" w:hAnsi="宋体"/>
          <w:color w:val="auto"/>
          <w:highlight w:val="none"/>
        </w:rPr>
      </w:pPr>
      <w:r>
        <w:rPr>
          <w:rFonts w:hint="eastAsia" w:ascii="宋体" w:hAnsi="宋体"/>
          <w:color w:val="auto"/>
          <w:highlight w:val="none"/>
        </w:rPr>
        <w:t xml:space="preserve"> </w:t>
      </w:r>
    </w:p>
    <w:p w14:paraId="6F2F2BB3">
      <w:pPr>
        <w:rPr>
          <w:rFonts w:ascii="宋体" w:hAnsi="宋体"/>
          <w:color w:val="auto"/>
          <w:highlight w:val="none"/>
        </w:rPr>
      </w:pPr>
      <w:r>
        <w:rPr>
          <w:rFonts w:hint="eastAsia" w:ascii="宋体" w:hAnsi="宋体"/>
          <w:color w:val="auto"/>
          <w:highlight w:val="none"/>
        </w:rPr>
        <w:t xml:space="preserve"> </w:t>
      </w:r>
    </w:p>
    <w:p w14:paraId="5984BEC4">
      <w:pPr>
        <w:rPr>
          <w:rFonts w:ascii="宋体" w:hAnsi="宋体"/>
          <w:color w:val="auto"/>
          <w:highlight w:val="none"/>
        </w:rPr>
      </w:pPr>
      <w:r>
        <w:rPr>
          <w:rFonts w:hint="eastAsia" w:ascii="宋体" w:hAnsi="宋体"/>
          <w:color w:val="auto"/>
          <w:highlight w:val="none"/>
        </w:rPr>
        <w:t xml:space="preserve"> </w:t>
      </w:r>
    </w:p>
    <w:p w14:paraId="08CCDEF3">
      <w:pPr>
        <w:rPr>
          <w:rFonts w:ascii="宋体" w:hAnsi="宋体"/>
          <w:color w:val="auto"/>
          <w:highlight w:val="none"/>
        </w:rPr>
      </w:pPr>
      <w:r>
        <w:rPr>
          <w:rFonts w:hint="eastAsia" w:ascii="宋体" w:hAnsi="宋体"/>
          <w:color w:val="auto"/>
          <w:highlight w:val="none"/>
        </w:rPr>
        <w:t xml:space="preserve"> </w:t>
      </w:r>
    </w:p>
    <w:p w14:paraId="24754571">
      <w:pPr>
        <w:rPr>
          <w:rFonts w:ascii="宋体" w:hAnsi="宋体"/>
          <w:color w:val="auto"/>
          <w:highlight w:val="none"/>
        </w:rPr>
      </w:pPr>
      <w:r>
        <w:rPr>
          <w:rFonts w:hint="eastAsia" w:ascii="宋体" w:hAnsi="宋体"/>
          <w:color w:val="auto"/>
          <w:highlight w:val="none"/>
        </w:rPr>
        <w:t xml:space="preserve"> </w:t>
      </w:r>
    </w:p>
    <w:p w14:paraId="62454180">
      <w:pPr>
        <w:pStyle w:val="2"/>
        <w:jc w:val="center"/>
        <w:rPr>
          <w:rFonts w:ascii="宋体" w:hAnsi="宋体"/>
          <w:color w:val="auto"/>
          <w:highlight w:val="none"/>
        </w:rPr>
      </w:pPr>
      <w:bookmarkStart w:id="47" w:name="_Toc74323460"/>
      <w:bookmarkEnd w:id="47"/>
      <w:bookmarkStart w:id="48" w:name="_Toc28554"/>
      <w:r>
        <w:rPr>
          <w:rFonts w:hint="eastAsia" w:ascii="宋体" w:hAnsi="宋体"/>
          <w:color w:val="auto"/>
          <w:highlight w:val="none"/>
        </w:rPr>
        <w:t>第五章 响应文件格式</w:t>
      </w:r>
      <w:bookmarkEnd w:id="48"/>
    </w:p>
    <w:p w14:paraId="41F87F7A">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17704CA6">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349FD2B9">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0301BFDD">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177F97A1">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48749699">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2B838996">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224D25E9">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005C967B">
      <w:pPr>
        <w:spacing w:line="240" w:lineRule="atLeast"/>
        <w:rPr>
          <w:rFonts w:ascii="宋体" w:hAnsi="宋体"/>
          <w:b/>
          <w:color w:val="auto"/>
          <w:sz w:val="32"/>
          <w:szCs w:val="32"/>
          <w:highlight w:val="none"/>
        </w:rPr>
      </w:pPr>
      <w:r>
        <w:rPr>
          <w:rFonts w:hint="eastAsia" w:ascii="宋体" w:hAnsi="宋体"/>
          <w:b/>
          <w:color w:val="auto"/>
          <w:sz w:val="32"/>
          <w:szCs w:val="32"/>
          <w:highlight w:val="none"/>
        </w:rPr>
        <w:t xml:space="preserve"> </w:t>
      </w:r>
    </w:p>
    <w:p w14:paraId="5100019D">
      <w:pPr>
        <w:spacing w:line="240" w:lineRule="atLeast"/>
        <w:rPr>
          <w:rFonts w:hint="eastAsia" w:ascii="仿宋_GB2312" w:hAnsi="仿宋_GB2312"/>
          <w:bCs/>
          <w:color w:val="auto"/>
          <w:sz w:val="32"/>
          <w:szCs w:val="32"/>
          <w:highlight w:val="none"/>
        </w:rPr>
      </w:pPr>
      <w:r>
        <w:rPr>
          <w:rFonts w:ascii="仿宋_GB2312" w:hAnsi="仿宋_GB2312"/>
          <w:bCs/>
          <w:color w:val="auto"/>
          <w:sz w:val="32"/>
          <w:szCs w:val="32"/>
          <w:highlight w:val="none"/>
        </w:rPr>
        <w:t xml:space="preserve"> </w:t>
      </w:r>
    </w:p>
    <w:p w14:paraId="082B716F">
      <w:pPr>
        <w:rPr>
          <w:rFonts w:ascii="宋体" w:hAnsi="宋体"/>
          <w:b/>
          <w:color w:val="auto"/>
          <w:sz w:val="32"/>
          <w:szCs w:val="32"/>
          <w:highlight w:val="none"/>
        </w:rPr>
      </w:pPr>
      <w:bookmarkStart w:id="49" w:name="_Toc31723070"/>
      <w:bookmarkEnd w:id="49"/>
      <w:bookmarkStart w:id="50" w:name="_Toc31728084"/>
      <w:bookmarkEnd w:id="50"/>
      <w:bookmarkStart w:id="51" w:name="_Toc35611516"/>
      <w:bookmarkEnd w:id="51"/>
      <w:bookmarkStart w:id="52" w:name="_Toc44229899"/>
      <w:bookmarkEnd w:id="52"/>
      <w:bookmarkStart w:id="53" w:name="_Toc71365925"/>
      <w:bookmarkEnd w:id="53"/>
      <w:bookmarkStart w:id="54" w:name="_Toc35611438"/>
      <w:r>
        <w:rPr>
          <w:b/>
          <w:color w:val="auto"/>
          <w:sz w:val="32"/>
          <w:szCs w:val="32"/>
          <w:highlight w:val="none"/>
        </w:rPr>
        <w:br w:type="page"/>
      </w:r>
      <w:bookmarkEnd w:id="54"/>
      <w:r>
        <w:rPr>
          <w:rFonts w:hint="eastAsia" w:ascii="宋体" w:hAnsi="宋体"/>
          <w:b/>
          <w:color w:val="auto"/>
          <w:sz w:val="32"/>
          <w:szCs w:val="32"/>
          <w:highlight w:val="none"/>
        </w:rPr>
        <w:t>一、资格证明文件格式</w:t>
      </w:r>
    </w:p>
    <w:p w14:paraId="655F4EBF">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szCs w:val="24"/>
          <w:highlight w:val="none"/>
        </w:rPr>
        <w:t xml:space="preserve"> </w:t>
      </w:r>
    </w:p>
    <w:p w14:paraId="4FA3615A">
      <w:pPr>
        <w:snapToGrid w:val="0"/>
        <w:spacing w:before="156" w:beforeLines="50" w:after="50"/>
        <w:rPr>
          <w:rFonts w:ascii="宋体" w:hAnsi="宋体"/>
          <w:bCs/>
          <w:color w:val="auto"/>
          <w:sz w:val="32"/>
          <w:szCs w:val="32"/>
          <w:highlight w:val="none"/>
        </w:rPr>
      </w:pPr>
      <w:r>
        <w:rPr>
          <w:rFonts w:hint="eastAsia" w:ascii="宋体" w:hAnsi="宋体"/>
          <w:color w:val="auto"/>
          <w:sz w:val="24"/>
          <w:szCs w:val="24"/>
          <w:highlight w:val="none"/>
        </w:rPr>
        <w:t xml:space="preserve">                                                    </w:t>
      </w:r>
    </w:p>
    <w:p w14:paraId="05BED65C">
      <w:pPr>
        <w:snapToGrid w:val="0"/>
        <w:spacing w:before="156" w:beforeLines="50" w:after="50"/>
        <w:rPr>
          <w:rFonts w:ascii="宋体" w:hAnsi="宋体"/>
          <w:color w:val="auto"/>
          <w:sz w:val="24"/>
          <w:szCs w:val="24"/>
          <w:highlight w:val="none"/>
        </w:rPr>
      </w:pPr>
      <w:r>
        <w:rPr>
          <w:rFonts w:hint="eastAsia" w:ascii="宋体" w:hAnsi="宋体"/>
          <w:color w:val="auto"/>
          <w:sz w:val="24"/>
          <w:szCs w:val="24"/>
          <w:highlight w:val="none"/>
        </w:rPr>
        <w:t xml:space="preserve"> </w:t>
      </w:r>
    </w:p>
    <w:p w14:paraId="6505EA28">
      <w:pPr>
        <w:snapToGrid w:val="0"/>
        <w:spacing w:before="156" w:beforeLines="50" w:after="50"/>
        <w:jc w:val="center"/>
        <w:rPr>
          <w:rFonts w:hint="eastAsia" w:ascii="方正小标宋简体" w:hAnsi="方正小标宋简体"/>
          <w:bCs/>
          <w:color w:val="auto"/>
          <w:sz w:val="84"/>
          <w:szCs w:val="84"/>
          <w:highlight w:val="none"/>
        </w:rPr>
      </w:pPr>
      <w:r>
        <w:rPr>
          <w:rFonts w:ascii="方正小标宋简体" w:hAnsi="方正小标宋简体"/>
          <w:bCs/>
          <w:color w:val="auto"/>
          <w:sz w:val="84"/>
          <w:szCs w:val="84"/>
          <w:highlight w:val="none"/>
        </w:rPr>
        <w:t>响  应  文  件</w:t>
      </w:r>
    </w:p>
    <w:p w14:paraId="7D750885">
      <w:pPr>
        <w:snapToGrid w:val="0"/>
        <w:spacing w:before="156" w:beforeLines="50" w:after="50"/>
        <w:jc w:val="center"/>
        <w:rPr>
          <w:rFonts w:hint="eastAsia" w:ascii="方正小标宋简体" w:hAnsi="方正小标宋简体"/>
          <w:bCs/>
          <w:color w:val="auto"/>
          <w:sz w:val="44"/>
          <w:szCs w:val="44"/>
          <w:highlight w:val="none"/>
        </w:rPr>
      </w:pPr>
      <w:r>
        <w:rPr>
          <w:rFonts w:ascii="方正小标宋简体" w:hAnsi="方正小标宋简体"/>
          <w:bCs/>
          <w:color w:val="auto"/>
          <w:sz w:val="44"/>
          <w:szCs w:val="44"/>
          <w:highlight w:val="none"/>
        </w:rPr>
        <w:t xml:space="preserve"> </w:t>
      </w:r>
    </w:p>
    <w:p w14:paraId="40FDC55C">
      <w:pPr>
        <w:snapToGrid w:val="0"/>
        <w:spacing w:before="156" w:beforeLines="50" w:after="50"/>
        <w:jc w:val="center"/>
        <w:rPr>
          <w:rFonts w:hint="eastAsia" w:ascii="方正小标宋简体" w:hAnsi="方正小标宋简体"/>
          <w:bCs/>
          <w:color w:val="auto"/>
          <w:sz w:val="32"/>
          <w:szCs w:val="32"/>
          <w:highlight w:val="none"/>
        </w:rPr>
      </w:pPr>
      <w:r>
        <w:rPr>
          <w:rFonts w:ascii="方正小标宋简体" w:hAnsi="方正小标宋简体"/>
          <w:bCs/>
          <w:color w:val="auto"/>
          <w:sz w:val="32"/>
          <w:szCs w:val="32"/>
          <w:highlight w:val="none"/>
        </w:rPr>
        <w:t>资  格  证  明  文  件</w:t>
      </w:r>
    </w:p>
    <w:p w14:paraId="2789A163">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21BD2069">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10209D06">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739D701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D3B024">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6ED2438">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CC5F3B">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5321399">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6E40DFE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F79234D">
      <w:pPr>
        <w:pStyle w:val="4"/>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F0AAFB0">
      <w:pPr>
        <w:pStyle w:val="4"/>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CD1744C">
      <w:pPr>
        <w:pStyle w:val="4"/>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459FE3F">
      <w:pPr>
        <w:pStyle w:val="4"/>
        <w:snapToGrid w:val="0"/>
        <w:spacing w:before="50" w:after="50"/>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10D12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A21AE26">
      <w:pPr>
        <w:snapToGrid w:val="0"/>
        <w:spacing w:before="156" w:beforeLines="50" w:after="50" w:line="360" w:lineRule="auto"/>
        <w:ind w:left="142"/>
        <w:jc w:val="left"/>
        <w:rPr>
          <w:rFonts w:ascii="宋体" w:hAnsi="宋体"/>
          <w:b/>
          <w:bCs/>
          <w:color w:val="auto"/>
          <w:sz w:val="32"/>
          <w:szCs w:val="32"/>
          <w:highlight w:val="none"/>
        </w:rPr>
      </w:pPr>
      <w:r>
        <w:rPr>
          <w:rFonts w:hint="eastAsia" w:ascii="宋体" w:hAnsi="宋体"/>
          <w:color w:val="auto"/>
          <w:sz w:val="24"/>
          <w:szCs w:val="24"/>
          <w:highlight w:val="none"/>
        </w:rPr>
        <w:br w:type="page"/>
      </w:r>
      <w:r>
        <w:rPr>
          <w:rFonts w:hint="eastAsia" w:ascii="宋体" w:hAnsi="宋体"/>
          <w:b/>
          <w:bCs/>
          <w:color w:val="auto"/>
          <w:sz w:val="32"/>
          <w:szCs w:val="32"/>
          <w:highlight w:val="none"/>
        </w:rPr>
        <w:t>2.资格证明文件目录</w:t>
      </w:r>
    </w:p>
    <w:p w14:paraId="655B73D2">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5348A73">
      <w:pPr>
        <w:snapToGrid w:val="0"/>
        <w:spacing w:before="156" w:beforeLines="50" w:after="50"/>
        <w:rPr>
          <w:rFonts w:ascii="宋体" w:hAnsi="宋体"/>
          <w:color w:val="auto"/>
          <w:sz w:val="24"/>
          <w:szCs w:val="24"/>
          <w:highlight w:val="none"/>
        </w:rPr>
      </w:pPr>
      <w:r>
        <w:rPr>
          <w:rFonts w:hint="eastAsia" w:ascii="宋体" w:hAnsi="宋体"/>
          <w:color w:val="auto"/>
          <w:sz w:val="24"/>
          <w:szCs w:val="24"/>
          <w:highlight w:val="none"/>
        </w:rPr>
        <w:t xml:space="preserve"> </w:t>
      </w:r>
    </w:p>
    <w:p w14:paraId="7AD68B0E">
      <w:pPr>
        <w:spacing w:line="300" w:lineRule="auto"/>
        <w:rPr>
          <w:rFonts w:ascii="宋体" w:hAnsi="宋体"/>
          <w:color w:val="auto"/>
          <w:highlight w:val="none"/>
        </w:rPr>
      </w:pPr>
      <w:r>
        <w:rPr>
          <w:rFonts w:hint="eastAsia" w:ascii="宋体" w:hAnsi="宋体"/>
          <w:color w:val="auto"/>
          <w:highlight w:val="none"/>
        </w:rPr>
        <w:t xml:space="preserve"> </w:t>
      </w:r>
    </w:p>
    <w:p w14:paraId="3635C6C5">
      <w:pPr>
        <w:spacing w:line="300" w:lineRule="auto"/>
        <w:rPr>
          <w:rFonts w:ascii="宋体" w:hAnsi="宋体"/>
          <w:color w:val="auto"/>
          <w:highlight w:val="none"/>
        </w:rPr>
      </w:pPr>
      <w:r>
        <w:rPr>
          <w:rFonts w:hint="eastAsia" w:ascii="宋体" w:hAnsi="宋体"/>
          <w:color w:val="auto"/>
          <w:highlight w:val="none"/>
        </w:rPr>
        <w:t xml:space="preserve"> </w:t>
      </w:r>
    </w:p>
    <w:p w14:paraId="30CC2742">
      <w:pPr>
        <w:spacing w:line="300" w:lineRule="auto"/>
        <w:rPr>
          <w:rFonts w:ascii="宋体" w:hAnsi="宋体"/>
          <w:color w:val="auto"/>
          <w:highlight w:val="none"/>
        </w:rPr>
      </w:pPr>
      <w:r>
        <w:rPr>
          <w:rFonts w:hint="eastAsia" w:ascii="宋体" w:hAnsi="宋体"/>
          <w:color w:val="auto"/>
          <w:highlight w:val="none"/>
        </w:rPr>
        <w:t xml:space="preserve"> </w:t>
      </w:r>
    </w:p>
    <w:p w14:paraId="3211C241">
      <w:pPr>
        <w:spacing w:line="300" w:lineRule="auto"/>
        <w:rPr>
          <w:rFonts w:ascii="宋体" w:hAnsi="宋体"/>
          <w:color w:val="auto"/>
          <w:highlight w:val="none"/>
        </w:rPr>
      </w:pPr>
      <w:r>
        <w:rPr>
          <w:rFonts w:hint="eastAsia" w:ascii="宋体" w:hAnsi="宋体"/>
          <w:color w:val="auto"/>
          <w:highlight w:val="none"/>
        </w:rPr>
        <w:t xml:space="preserve"> </w:t>
      </w:r>
    </w:p>
    <w:p w14:paraId="7D66F5B5">
      <w:pPr>
        <w:spacing w:line="300" w:lineRule="auto"/>
        <w:rPr>
          <w:rFonts w:ascii="宋体" w:hAnsi="宋体"/>
          <w:color w:val="auto"/>
          <w:highlight w:val="none"/>
        </w:rPr>
      </w:pPr>
      <w:r>
        <w:rPr>
          <w:rFonts w:hint="eastAsia" w:ascii="宋体" w:hAnsi="宋体"/>
          <w:color w:val="auto"/>
          <w:highlight w:val="none"/>
        </w:rPr>
        <w:t xml:space="preserve"> </w:t>
      </w:r>
    </w:p>
    <w:p w14:paraId="094CE921">
      <w:pPr>
        <w:spacing w:line="300" w:lineRule="auto"/>
        <w:rPr>
          <w:rFonts w:ascii="宋体" w:hAnsi="宋体"/>
          <w:color w:val="auto"/>
          <w:highlight w:val="none"/>
        </w:rPr>
      </w:pPr>
      <w:r>
        <w:rPr>
          <w:rFonts w:hint="eastAsia" w:ascii="宋体" w:hAnsi="宋体"/>
          <w:color w:val="auto"/>
          <w:highlight w:val="none"/>
        </w:rPr>
        <w:t xml:space="preserve"> </w:t>
      </w:r>
    </w:p>
    <w:p w14:paraId="4EC11FA7">
      <w:pPr>
        <w:spacing w:line="300" w:lineRule="auto"/>
        <w:rPr>
          <w:rFonts w:ascii="宋体" w:hAnsi="宋体"/>
          <w:color w:val="auto"/>
          <w:highlight w:val="none"/>
        </w:rPr>
      </w:pPr>
      <w:r>
        <w:rPr>
          <w:rFonts w:hint="eastAsia" w:ascii="宋体" w:hAnsi="宋体"/>
          <w:color w:val="auto"/>
          <w:highlight w:val="none"/>
        </w:rPr>
        <w:t xml:space="preserve"> </w:t>
      </w:r>
    </w:p>
    <w:p w14:paraId="3D37B3EA">
      <w:pPr>
        <w:spacing w:line="300" w:lineRule="auto"/>
        <w:rPr>
          <w:rFonts w:ascii="宋体" w:hAnsi="宋体"/>
          <w:color w:val="auto"/>
          <w:highlight w:val="none"/>
        </w:rPr>
      </w:pPr>
      <w:r>
        <w:rPr>
          <w:rFonts w:hint="eastAsia" w:ascii="宋体" w:hAnsi="宋体"/>
          <w:color w:val="auto"/>
          <w:highlight w:val="none"/>
        </w:rPr>
        <w:t xml:space="preserve"> </w:t>
      </w:r>
    </w:p>
    <w:p w14:paraId="7EC3C5FF">
      <w:pPr>
        <w:spacing w:line="300" w:lineRule="auto"/>
        <w:rPr>
          <w:rFonts w:ascii="宋体" w:hAnsi="宋体"/>
          <w:color w:val="auto"/>
          <w:highlight w:val="none"/>
        </w:rPr>
      </w:pPr>
      <w:r>
        <w:rPr>
          <w:rFonts w:hint="eastAsia" w:ascii="宋体" w:hAnsi="宋体"/>
          <w:color w:val="auto"/>
          <w:highlight w:val="none"/>
        </w:rPr>
        <w:t xml:space="preserve"> </w:t>
      </w:r>
    </w:p>
    <w:p w14:paraId="211258B3">
      <w:pPr>
        <w:spacing w:line="300" w:lineRule="auto"/>
        <w:rPr>
          <w:rFonts w:ascii="宋体" w:hAnsi="宋体"/>
          <w:color w:val="auto"/>
          <w:highlight w:val="none"/>
        </w:rPr>
      </w:pPr>
      <w:r>
        <w:rPr>
          <w:rFonts w:hint="eastAsia" w:ascii="宋体" w:hAnsi="宋体"/>
          <w:color w:val="auto"/>
          <w:highlight w:val="none"/>
        </w:rPr>
        <w:t xml:space="preserve"> </w:t>
      </w:r>
    </w:p>
    <w:p w14:paraId="4343632C">
      <w:pPr>
        <w:spacing w:line="300" w:lineRule="auto"/>
        <w:rPr>
          <w:rFonts w:ascii="宋体" w:hAnsi="宋体"/>
          <w:color w:val="auto"/>
          <w:highlight w:val="none"/>
        </w:rPr>
      </w:pPr>
      <w:r>
        <w:rPr>
          <w:rFonts w:hint="eastAsia" w:ascii="宋体" w:hAnsi="宋体"/>
          <w:color w:val="auto"/>
          <w:highlight w:val="none"/>
        </w:rPr>
        <w:t xml:space="preserve"> </w:t>
      </w:r>
    </w:p>
    <w:p w14:paraId="49980B6A">
      <w:pPr>
        <w:spacing w:line="300" w:lineRule="auto"/>
        <w:rPr>
          <w:rFonts w:ascii="宋体" w:hAnsi="宋体"/>
          <w:color w:val="auto"/>
          <w:highlight w:val="none"/>
        </w:rPr>
      </w:pPr>
      <w:r>
        <w:rPr>
          <w:rFonts w:hint="eastAsia" w:ascii="宋体" w:hAnsi="宋体"/>
          <w:color w:val="auto"/>
          <w:highlight w:val="none"/>
        </w:rPr>
        <w:t xml:space="preserve"> </w:t>
      </w:r>
    </w:p>
    <w:p w14:paraId="1D50B3F0">
      <w:pPr>
        <w:spacing w:line="300" w:lineRule="auto"/>
        <w:rPr>
          <w:rFonts w:ascii="宋体" w:hAnsi="宋体"/>
          <w:color w:val="auto"/>
          <w:highlight w:val="none"/>
        </w:rPr>
      </w:pPr>
      <w:r>
        <w:rPr>
          <w:rFonts w:hint="eastAsia" w:ascii="宋体" w:hAnsi="宋体"/>
          <w:color w:val="auto"/>
          <w:highlight w:val="none"/>
        </w:rPr>
        <w:t xml:space="preserve"> </w:t>
      </w:r>
    </w:p>
    <w:p w14:paraId="695A1D3E">
      <w:pPr>
        <w:spacing w:line="300" w:lineRule="auto"/>
        <w:rPr>
          <w:rFonts w:ascii="宋体" w:hAnsi="宋体"/>
          <w:color w:val="auto"/>
          <w:highlight w:val="none"/>
        </w:rPr>
      </w:pPr>
      <w:r>
        <w:rPr>
          <w:rFonts w:hint="eastAsia" w:ascii="宋体" w:hAnsi="宋体"/>
          <w:color w:val="auto"/>
          <w:highlight w:val="none"/>
        </w:rPr>
        <w:t xml:space="preserve"> </w:t>
      </w:r>
    </w:p>
    <w:p w14:paraId="1CB9E467">
      <w:pPr>
        <w:spacing w:line="300" w:lineRule="auto"/>
        <w:rPr>
          <w:rFonts w:ascii="宋体" w:hAnsi="宋体"/>
          <w:color w:val="auto"/>
          <w:highlight w:val="none"/>
        </w:rPr>
      </w:pPr>
      <w:r>
        <w:rPr>
          <w:rFonts w:hint="eastAsia" w:ascii="宋体" w:hAnsi="宋体"/>
          <w:color w:val="auto"/>
          <w:highlight w:val="none"/>
        </w:rPr>
        <w:t xml:space="preserve"> </w:t>
      </w:r>
    </w:p>
    <w:p w14:paraId="0058153A">
      <w:pPr>
        <w:spacing w:line="320" w:lineRule="exact"/>
        <w:jc w:val="left"/>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 xml:space="preserve"> </w:t>
      </w:r>
    </w:p>
    <w:p w14:paraId="02B36E42">
      <w:pPr>
        <w:wordWrap w:val="0"/>
        <w:spacing w:before="156" w:beforeLines="50" w:after="50" w:line="320" w:lineRule="exact"/>
        <w:ind w:right="482" w:firstLine="210" w:firstLineChars="100"/>
        <w:contextualSpacing/>
        <w:jc w:val="center"/>
        <w:rPr>
          <w:rFonts w:ascii="宋体" w:hAnsi="宋体"/>
          <w:color w:val="auto"/>
          <w:highlight w:val="none"/>
        </w:rPr>
      </w:pPr>
      <w:r>
        <w:rPr>
          <w:rFonts w:hint="eastAsia" w:ascii="宋体" w:hAnsi="宋体"/>
          <w:color w:val="auto"/>
          <w:highlight w:val="none"/>
        </w:rPr>
        <w:t xml:space="preserve"> </w:t>
      </w:r>
    </w:p>
    <w:p w14:paraId="02AF2E83">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276E0CEA">
      <w:pPr>
        <w:snapToGrid w:val="0"/>
        <w:spacing w:before="156" w:beforeLines="50" w:after="50" w:line="360" w:lineRule="auto"/>
        <w:jc w:val="center"/>
        <w:rPr>
          <w:rFonts w:ascii="宋体" w:hAnsi="宋体"/>
          <w:b/>
          <w:color w:val="auto"/>
          <w:sz w:val="24"/>
          <w:szCs w:val="24"/>
          <w:highlight w:val="none"/>
        </w:rPr>
      </w:pPr>
      <w:r>
        <w:rPr>
          <w:rFonts w:hint="eastAsia" w:ascii="宋体" w:hAnsi="宋体"/>
          <w:b/>
          <w:color w:val="auto"/>
          <w:sz w:val="24"/>
          <w:szCs w:val="24"/>
          <w:highlight w:val="none"/>
        </w:rPr>
        <w:t xml:space="preserve"> </w:t>
      </w:r>
    </w:p>
    <w:p w14:paraId="76FAC73B">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4055564">
      <w:pPr>
        <w:spacing w:line="360" w:lineRule="auto"/>
        <w:contextualSpacing/>
        <w:jc w:val="center"/>
        <w:rPr>
          <w:rFonts w:ascii="宋体" w:hAnsi="宋体"/>
          <w:b/>
          <w:color w:val="auto"/>
          <w:sz w:val="24"/>
          <w:szCs w:val="24"/>
          <w:highlight w:val="none"/>
        </w:rPr>
      </w:pPr>
      <w:r>
        <w:rPr>
          <w:rFonts w:hint="eastAsia" w:ascii="宋体" w:hAnsi="宋体"/>
          <w:b/>
          <w:color w:val="auto"/>
          <w:sz w:val="24"/>
          <w:szCs w:val="24"/>
          <w:highlight w:val="none"/>
        </w:rPr>
        <w:t xml:space="preserve"> </w:t>
      </w:r>
    </w:p>
    <w:tbl>
      <w:tblPr>
        <w:tblStyle w:val="15"/>
        <w:tblW w:w="0" w:type="auto"/>
        <w:jc w:val="center"/>
        <w:tblLayout w:type="fixed"/>
        <w:tblCellMar>
          <w:top w:w="0" w:type="dxa"/>
          <w:left w:w="0" w:type="dxa"/>
          <w:bottom w:w="0" w:type="dxa"/>
          <w:right w:w="0" w:type="dxa"/>
        </w:tblCellMar>
      </w:tblPr>
      <w:tblGrid>
        <w:gridCol w:w="880"/>
        <w:gridCol w:w="2655"/>
        <w:gridCol w:w="1455"/>
        <w:gridCol w:w="4287"/>
        <w:gridCol w:w="870"/>
      </w:tblGrid>
      <w:tr w14:paraId="63C95BB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7218E5">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序号</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704228E0">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直接控股股东名称</w:t>
            </w: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8151557">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出资比例</w:t>
            </w: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4724EFE8">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身份证号码或者统一社会信用代码</w:t>
            </w: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00503FBC">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备注</w:t>
            </w:r>
          </w:p>
        </w:tc>
      </w:tr>
      <w:tr w14:paraId="5F326B1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A7D3AE">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0F5F7ED7">
            <w:pPr>
              <w:widowControl/>
              <w:spacing w:line="360" w:lineRule="auto"/>
              <w:contextualSpacing/>
              <w:jc w:val="center"/>
              <w:rPr>
                <w:rFonts w:ascii="宋体" w:hAnsi="宋体"/>
                <w:color w:val="auto"/>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8B0149D">
            <w:pPr>
              <w:widowControl/>
              <w:spacing w:line="360" w:lineRule="auto"/>
              <w:contextualSpacing/>
              <w:jc w:val="center"/>
              <w:rPr>
                <w:rFonts w:ascii="宋体" w:hAnsi="宋体"/>
                <w:color w:val="auto"/>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471E062">
            <w:pPr>
              <w:widowControl/>
              <w:spacing w:line="360" w:lineRule="auto"/>
              <w:contextualSpacing/>
              <w:jc w:val="center"/>
              <w:rPr>
                <w:rFonts w:ascii="宋体" w:hAnsi="宋体"/>
                <w:color w:val="auto"/>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09E4EDEC">
            <w:pPr>
              <w:widowControl/>
              <w:spacing w:line="360" w:lineRule="auto"/>
              <w:contextualSpacing/>
              <w:jc w:val="center"/>
              <w:rPr>
                <w:rFonts w:ascii="宋体" w:hAnsi="宋体"/>
                <w:color w:val="auto"/>
                <w:kern w:val="0"/>
                <w:sz w:val="24"/>
                <w:szCs w:val="24"/>
                <w:highlight w:val="none"/>
              </w:rPr>
            </w:pPr>
          </w:p>
        </w:tc>
      </w:tr>
      <w:tr w14:paraId="0A948A4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EEADED">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07E675C0">
            <w:pPr>
              <w:widowControl/>
              <w:spacing w:line="360" w:lineRule="auto"/>
              <w:contextualSpacing/>
              <w:jc w:val="center"/>
              <w:rPr>
                <w:rFonts w:ascii="宋体" w:hAnsi="宋体"/>
                <w:color w:val="auto"/>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551F8C09">
            <w:pPr>
              <w:widowControl/>
              <w:spacing w:line="360" w:lineRule="auto"/>
              <w:contextualSpacing/>
              <w:jc w:val="center"/>
              <w:rPr>
                <w:rFonts w:ascii="宋体" w:hAnsi="宋体"/>
                <w:color w:val="auto"/>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6A538049">
            <w:pPr>
              <w:widowControl/>
              <w:spacing w:line="360" w:lineRule="auto"/>
              <w:contextualSpacing/>
              <w:jc w:val="center"/>
              <w:rPr>
                <w:rFonts w:ascii="宋体" w:hAnsi="宋体"/>
                <w:color w:val="auto"/>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23FA7D5B">
            <w:pPr>
              <w:widowControl/>
              <w:spacing w:line="360" w:lineRule="auto"/>
              <w:contextualSpacing/>
              <w:jc w:val="center"/>
              <w:rPr>
                <w:rFonts w:ascii="宋体" w:hAnsi="宋体"/>
                <w:color w:val="auto"/>
                <w:kern w:val="0"/>
                <w:sz w:val="24"/>
                <w:szCs w:val="24"/>
                <w:highlight w:val="none"/>
              </w:rPr>
            </w:pPr>
          </w:p>
        </w:tc>
      </w:tr>
      <w:tr w14:paraId="2F0034B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95E90D">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3</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DFF2349">
            <w:pPr>
              <w:widowControl/>
              <w:spacing w:line="360" w:lineRule="auto"/>
              <w:contextualSpacing/>
              <w:jc w:val="center"/>
              <w:rPr>
                <w:rFonts w:ascii="宋体" w:hAnsi="宋体"/>
                <w:color w:val="auto"/>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E3B9C9A">
            <w:pPr>
              <w:widowControl/>
              <w:spacing w:line="360" w:lineRule="auto"/>
              <w:contextualSpacing/>
              <w:jc w:val="center"/>
              <w:rPr>
                <w:rFonts w:ascii="宋体" w:hAnsi="宋体"/>
                <w:color w:val="auto"/>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2EFA273C">
            <w:pPr>
              <w:widowControl/>
              <w:spacing w:line="360" w:lineRule="auto"/>
              <w:contextualSpacing/>
              <w:jc w:val="center"/>
              <w:rPr>
                <w:rFonts w:ascii="宋体" w:hAnsi="宋体"/>
                <w:color w:val="auto"/>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3EE6664">
            <w:pPr>
              <w:widowControl/>
              <w:spacing w:line="360" w:lineRule="auto"/>
              <w:contextualSpacing/>
              <w:jc w:val="center"/>
              <w:rPr>
                <w:rFonts w:ascii="宋体" w:hAnsi="宋体"/>
                <w:color w:val="auto"/>
                <w:kern w:val="0"/>
                <w:sz w:val="24"/>
                <w:szCs w:val="24"/>
                <w:highlight w:val="none"/>
              </w:rPr>
            </w:pPr>
          </w:p>
        </w:tc>
      </w:tr>
      <w:tr w14:paraId="367CAE0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B20D76">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w:t>
            </w:r>
          </w:p>
        </w:tc>
        <w:tc>
          <w:tcPr>
            <w:tcW w:w="26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487C4DD">
            <w:pPr>
              <w:widowControl/>
              <w:spacing w:line="360" w:lineRule="auto"/>
              <w:contextualSpacing/>
              <w:jc w:val="center"/>
              <w:rPr>
                <w:rFonts w:ascii="宋体" w:hAnsi="宋体"/>
                <w:color w:val="auto"/>
                <w:kern w:val="0"/>
                <w:sz w:val="24"/>
                <w:szCs w:val="24"/>
                <w:highlight w:val="none"/>
              </w:rPr>
            </w:pPr>
          </w:p>
        </w:tc>
        <w:tc>
          <w:tcPr>
            <w:tcW w:w="14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FF0BCB2">
            <w:pPr>
              <w:widowControl/>
              <w:spacing w:line="360" w:lineRule="auto"/>
              <w:contextualSpacing/>
              <w:jc w:val="center"/>
              <w:rPr>
                <w:rFonts w:ascii="宋体" w:hAnsi="宋体"/>
                <w:color w:val="auto"/>
                <w:kern w:val="0"/>
                <w:sz w:val="24"/>
                <w:szCs w:val="24"/>
                <w:highlight w:val="none"/>
              </w:rPr>
            </w:pPr>
          </w:p>
        </w:tc>
        <w:tc>
          <w:tcPr>
            <w:tcW w:w="428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2FFBCEFF">
            <w:pPr>
              <w:widowControl/>
              <w:spacing w:line="360" w:lineRule="auto"/>
              <w:contextualSpacing/>
              <w:jc w:val="center"/>
              <w:rPr>
                <w:rFonts w:ascii="宋体" w:hAnsi="宋体"/>
                <w:color w:val="auto"/>
                <w:kern w:val="0"/>
                <w:sz w:val="24"/>
                <w:szCs w:val="24"/>
                <w:highlight w:val="none"/>
              </w:rPr>
            </w:pPr>
          </w:p>
        </w:tc>
        <w:tc>
          <w:tcPr>
            <w:tcW w:w="87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BF80626">
            <w:pPr>
              <w:widowControl/>
              <w:spacing w:line="360" w:lineRule="auto"/>
              <w:contextualSpacing/>
              <w:jc w:val="center"/>
              <w:rPr>
                <w:rFonts w:ascii="宋体" w:hAnsi="宋体"/>
                <w:color w:val="auto"/>
                <w:kern w:val="0"/>
                <w:sz w:val="24"/>
                <w:szCs w:val="24"/>
                <w:highlight w:val="none"/>
              </w:rPr>
            </w:pPr>
          </w:p>
        </w:tc>
      </w:tr>
    </w:tbl>
    <w:p w14:paraId="2A582D3C">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注：</w:t>
      </w:r>
    </w:p>
    <w:p w14:paraId="7C7D850F">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DBE5B2">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2.本表所指的控股关系仅限于直接控股关系，不包括间接的控股关系。公司实际控制人与公司之间的关系不属于本表所指的直接控股关系。</w:t>
      </w:r>
    </w:p>
    <w:p w14:paraId="6AF68718">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3.供应商不存在直接控股股东的，则填“无”。</w:t>
      </w:r>
    </w:p>
    <w:p w14:paraId="1D367FBC">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08AF86D9">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1AC9ACBA">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28DCE5CE">
      <w:pPr>
        <w:snapToGrid w:val="0"/>
        <w:spacing w:before="156" w:beforeLines="50" w:line="360" w:lineRule="auto"/>
        <w:ind w:right="480" w:firstLine="3480" w:firstLineChars="1450"/>
        <w:rPr>
          <w:rFonts w:ascii="宋体" w:hAnsi="宋体"/>
          <w:color w:val="auto"/>
          <w:sz w:val="24"/>
          <w:szCs w:val="24"/>
          <w:highlight w:val="none"/>
          <w:u w:val="single"/>
        </w:rPr>
      </w:pPr>
      <w:r>
        <w:rPr>
          <w:rFonts w:hint="eastAsia" w:ascii="宋体" w:hAnsi="宋体"/>
          <w:color w:val="auto"/>
          <w:sz w:val="24"/>
          <w:szCs w:val="24"/>
          <w:highlight w:val="none"/>
        </w:rPr>
        <w:t>法定代表人或者委托代理人签字：</w:t>
      </w:r>
      <w:r>
        <w:rPr>
          <w:rFonts w:hint="eastAsia" w:ascii="宋体" w:hAnsi="宋体"/>
          <w:color w:val="auto"/>
          <w:sz w:val="24"/>
          <w:szCs w:val="24"/>
          <w:highlight w:val="none"/>
          <w:u w:val="single"/>
        </w:rPr>
        <w:t xml:space="preserve">                </w:t>
      </w:r>
    </w:p>
    <w:p w14:paraId="2D819D7C">
      <w:pPr>
        <w:snapToGrid w:val="0"/>
        <w:spacing w:before="156" w:beforeLines="50" w:after="50" w:line="360" w:lineRule="auto"/>
        <w:ind w:right="480" w:firstLine="3480" w:firstLineChars="1450"/>
        <w:rPr>
          <w:rFonts w:ascii="宋体" w:hAnsi="宋体"/>
          <w:color w:val="auto"/>
          <w:sz w:val="24"/>
          <w:szCs w:val="24"/>
          <w:highlight w:val="none"/>
          <w:u w:val="single"/>
        </w:rPr>
      </w:pPr>
      <w:r>
        <w:rPr>
          <w:rFonts w:hint="eastAsia" w:ascii="宋体" w:hAnsi="宋体"/>
          <w:color w:val="auto"/>
          <w:sz w:val="24"/>
          <w:szCs w:val="24"/>
          <w:highlight w:val="none"/>
        </w:rPr>
        <w:t>供应商（盖公章 ）：</w:t>
      </w:r>
      <w:r>
        <w:rPr>
          <w:rFonts w:hint="eastAsia" w:ascii="宋体" w:hAnsi="宋体"/>
          <w:color w:val="auto"/>
          <w:sz w:val="24"/>
          <w:szCs w:val="24"/>
          <w:highlight w:val="none"/>
          <w:u w:val="single"/>
        </w:rPr>
        <w:t xml:space="preserve">                           </w:t>
      </w:r>
    </w:p>
    <w:p w14:paraId="478DB177">
      <w:pPr>
        <w:snapToGrid w:val="0"/>
        <w:spacing w:before="156" w:beforeLines="50" w:after="50" w:line="360" w:lineRule="auto"/>
        <w:ind w:right="480" w:firstLine="5280" w:firstLineChars="2200"/>
        <w:rPr>
          <w:rFonts w:ascii="宋体" w:hAnsi="宋体"/>
          <w:color w:val="auto"/>
          <w:sz w:val="28"/>
          <w:szCs w:val="28"/>
          <w:highlight w:val="none"/>
        </w:rPr>
      </w:pPr>
      <w:r>
        <w:rPr>
          <w:rFonts w:hint="eastAsia" w:ascii="宋体" w:hAnsi="宋体"/>
          <w:color w:val="auto"/>
          <w:sz w:val="24"/>
          <w:szCs w:val="24"/>
          <w:highlight w:val="none"/>
        </w:rPr>
        <w:t>年    月    日</w:t>
      </w:r>
    </w:p>
    <w:p w14:paraId="15B8F250">
      <w:pPr>
        <w:snapToGrid w:val="0"/>
        <w:jc w:val="center"/>
        <w:rPr>
          <w:rFonts w:ascii="宋体" w:hAnsi="宋体"/>
          <w:b/>
          <w:color w:val="auto"/>
          <w:sz w:val="28"/>
          <w:szCs w:val="28"/>
          <w:highlight w:val="none"/>
        </w:rPr>
      </w:pPr>
      <w:r>
        <w:rPr>
          <w:rFonts w:hint="eastAsia" w:ascii="宋体" w:hAnsi="宋体"/>
          <w:b/>
          <w:color w:val="auto"/>
          <w:sz w:val="28"/>
          <w:szCs w:val="28"/>
          <w:highlight w:val="none"/>
        </w:rPr>
        <w:br w:type="page"/>
      </w:r>
    </w:p>
    <w:p w14:paraId="46FE8A99">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3B11A4E">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 xml:space="preserve"> </w:t>
      </w:r>
    </w:p>
    <w:tbl>
      <w:tblPr>
        <w:tblStyle w:val="15"/>
        <w:tblW w:w="0" w:type="auto"/>
        <w:jc w:val="center"/>
        <w:tblLayout w:type="fixed"/>
        <w:tblCellMar>
          <w:top w:w="0" w:type="dxa"/>
          <w:left w:w="0" w:type="dxa"/>
          <w:bottom w:w="0" w:type="dxa"/>
          <w:right w:w="0" w:type="dxa"/>
        </w:tblCellMar>
      </w:tblPr>
      <w:tblGrid>
        <w:gridCol w:w="808"/>
        <w:gridCol w:w="3600"/>
        <w:gridCol w:w="3555"/>
        <w:gridCol w:w="1689"/>
      </w:tblGrid>
      <w:tr w14:paraId="752B2D6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E8C9E1">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序号</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0DAF238C">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直接管理关系单位名称</w:t>
            </w: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0E4704B2">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统一社会信用代码</w:t>
            </w: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D86D0DC">
            <w:pPr>
              <w:widowControl/>
              <w:spacing w:line="360" w:lineRule="auto"/>
              <w:contextualSpacing/>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备注</w:t>
            </w:r>
          </w:p>
        </w:tc>
      </w:tr>
      <w:tr w14:paraId="522836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A9BE39">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6168D186">
            <w:pPr>
              <w:widowControl/>
              <w:spacing w:line="360" w:lineRule="auto"/>
              <w:contextualSpacing/>
              <w:jc w:val="center"/>
              <w:rPr>
                <w:rFonts w:ascii="宋体" w:hAnsi="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1834C05">
            <w:pPr>
              <w:widowControl/>
              <w:spacing w:line="360" w:lineRule="auto"/>
              <w:contextualSpacing/>
              <w:jc w:val="center"/>
              <w:rPr>
                <w:rFonts w:ascii="宋体" w:hAnsi="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7129D9B8">
            <w:pPr>
              <w:widowControl/>
              <w:spacing w:line="360" w:lineRule="auto"/>
              <w:contextualSpacing/>
              <w:jc w:val="center"/>
              <w:rPr>
                <w:rFonts w:ascii="宋体" w:hAnsi="宋体"/>
                <w:color w:val="auto"/>
                <w:kern w:val="0"/>
                <w:sz w:val="24"/>
                <w:szCs w:val="24"/>
                <w:highlight w:val="none"/>
              </w:rPr>
            </w:pPr>
          </w:p>
        </w:tc>
      </w:tr>
      <w:tr w14:paraId="7292153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C04903">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01B3CCFE">
            <w:pPr>
              <w:widowControl/>
              <w:spacing w:line="360" w:lineRule="auto"/>
              <w:contextualSpacing/>
              <w:jc w:val="center"/>
              <w:rPr>
                <w:rFonts w:ascii="宋体" w:hAnsi="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7F7BD81C">
            <w:pPr>
              <w:widowControl/>
              <w:spacing w:line="360" w:lineRule="auto"/>
              <w:contextualSpacing/>
              <w:jc w:val="center"/>
              <w:rPr>
                <w:rFonts w:ascii="宋体" w:hAnsi="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790FFBB1">
            <w:pPr>
              <w:widowControl/>
              <w:spacing w:line="360" w:lineRule="auto"/>
              <w:contextualSpacing/>
              <w:jc w:val="center"/>
              <w:rPr>
                <w:rFonts w:ascii="宋体" w:hAnsi="宋体"/>
                <w:color w:val="auto"/>
                <w:kern w:val="0"/>
                <w:sz w:val="24"/>
                <w:szCs w:val="24"/>
                <w:highlight w:val="none"/>
              </w:rPr>
            </w:pPr>
          </w:p>
        </w:tc>
      </w:tr>
      <w:tr w14:paraId="1D9B845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1F75D0">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3</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4EB209A0">
            <w:pPr>
              <w:widowControl/>
              <w:spacing w:line="360" w:lineRule="auto"/>
              <w:contextualSpacing/>
              <w:jc w:val="center"/>
              <w:rPr>
                <w:rFonts w:ascii="宋体" w:hAnsi="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53EA419E">
            <w:pPr>
              <w:widowControl/>
              <w:spacing w:line="360" w:lineRule="auto"/>
              <w:contextualSpacing/>
              <w:jc w:val="center"/>
              <w:rPr>
                <w:rFonts w:ascii="宋体" w:hAnsi="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3A01604">
            <w:pPr>
              <w:widowControl/>
              <w:spacing w:line="360" w:lineRule="auto"/>
              <w:contextualSpacing/>
              <w:jc w:val="center"/>
              <w:rPr>
                <w:rFonts w:ascii="宋体" w:hAnsi="宋体"/>
                <w:color w:val="auto"/>
                <w:kern w:val="0"/>
                <w:sz w:val="24"/>
                <w:szCs w:val="24"/>
                <w:highlight w:val="none"/>
              </w:rPr>
            </w:pPr>
          </w:p>
        </w:tc>
      </w:tr>
      <w:tr w14:paraId="2106F9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152113">
            <w:pPr>
              <w:widowControl/>
              <w:spacing w:line="360" w:lineRule="auto"/>
              <w:contextualSpacing/>
              <w:jc w:val="center"/>
              <w:rPr>
                <w:rFonts w:ascii="宋体" w:hAnsi="宋体"/>
                <w:color w:val="auto"/>
                <w:kern w:val="0"/>
                <w:sz w:val="24"/>
                <w:szCs w:val="24"/>
                <w:highlight w:val="none"/>
              </w:rPr>
            </w:pPr>
            <w:r>
              <w:rPr>
                <w:rFonts w:hint="eastAsia" w:ascii="宋体" w:hAnsi="宋体"/>
                <w:color w:val="auto"/>
                <w:kern w:val="0"/>
                <w:sz w:val="24"/>
                <w:szCs w:val="24"/>
                <w:highlight w:val="none"/>
              </w:rPr>
              <w:t>……</w:t>
            </w:r>
          </w:p>
        </w:tc>
        <w:tc>
          <w:tcPr>
            <w:tcW w:w="360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6E932442">
            <w:pPr>
              <w:widowControl/>
              <w:spacing w:line="360" w:lineRule="auto"/>
              <w:contextualSpacing/>
              <w:jc w:val="center"/>
              <w:rPr>
                <w:rFonts w:ascii="宋体" w:hAnsi="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5C424CD">
            <w:pPr>
              <w:widowControl/>
              <w:spacing w:line="360" w:lineRule="auto"/>
              <w:contextualSpacing/>
              <w:jc w:val="center"/>
              <w:rPr>
                <w:rFonts w:ascii="宋体" w:hAnsi="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7FB951D5">
            <w:pPr>
              <w:widowControl/>
              <w:spacing w:line="360" w:lineRule="auto"/>
              <w:contextualSpacing/>
              <w:jc w:val="center"/>
              <w:rPr>
                <w:rFonts w:ascii="宋体" w:hAnsi="宋体"/>
                <w:color w:val="auto"/>
                <w:kern w:val="0"/>
                <w:sz w:val="24"/>
                <w:szCs w:val="24"/>
                <w:highlight w:val="none"/>
              </w:rPr>
            </w:pPr>
          </w:p>
        </w:tc>
      </w:tr>
    </w:tbl>
    <w:p w14:paraId="340BF790">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注：</w:t>
      </w:r>
    </w:p>
    <w:p w14:paraId="228706AE">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1.管理关系：是指不具有出资持股关系的其他单位之间存在的管理与被管理关系，如一些上下级关系的事业单位和团体组织。</w:t>
      </w:r>
    </w:p>
    <w:p w14:paraId="48C1AA01">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pacing w:val="-6"/>
          <w:sz w:val="24"/>
          <w:szCs w:val="24"/>
          <w:highlight w:val="none"/>
        </w:rPr>
        <w:t>本表所指的管理关系仅限于直接管理关系，不包括间接的管理关系。</w:t>
      </w:r>
    </w:p>
    <w:p w14:paraId="68304D7C">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3.供应商不存在直接管理关系的，则填“无”。</w:t>
      </w:r>
    </w:p>
    <w:p w14:paraId="06555865">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32C968EB">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39D37544">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6BDD9BB2">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10345522">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1E6C09D7">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091D0C5E">
      <w:pPr>
        <w:spacing w:line="360" w:lineRule="auto"/>
        <w:ind w:right="480" w:firstLine="3360" w:firstLineChars="1400"/>
        <w:contextualSpacing/>
        <w:rPr>
          <w:rFonts w:ascii="宋体" w:hAnsi="宋体"/>
          <w:color w:val="auto"/>
          <w:sz w:val="24"/>
          <w:szCs w:val="24"/>
          <w:highlight w:val="none"/>
          <w:u w:val="single"/>
        </w:rPr>
      </w:pPr>
      <w:r>
        <w:rPr>
          <w:rFonts w:hint="eastAsia" w:ascii="宋体" w:hAnsi="宋体"/>
          <w:color w:val="auto"/>
          <w:sz w:val="24"/>
          <w:szCs w:val="24"/>
          <w:highlight w:val="none"/>
        </w:rPr>
        <w:t>法定代表人或者委托代理人签字：</w:t>
      </w:r>
      <w:r>
        <w:rPr>
          <w:rFonts w:hint="eastAsia" w:ascii="宋体" w:hAnsi="宋体"/>
          <w:color w:val="auto"/>
          <w:sz w:val="24"/>
          <w:szCs w:val="24"/>
          <w:highlight w:val="none"/>
          <w:u w:val="single"/>
        </w:rPr>
        <w:t xml:space="preserve">               </w:t>
      </w:r>
    </w:p>
    <w:p w14:paraId="4918B528">
      <w:pPr>
        <w:spacing w:line="360" w:lineRule="auto"/>
        <w:ind w:right="480" w:firstLine="3360" w:firstLineChars="1400"/>
        <w:contextualSpacing/>
        <w:rPr>
          <w:rFonts w:ascii="宋体" w:hAnsi="宋体"/>
          <w:color w:val="auto"/>
          <w:sz w:val="24"/>
          <w:szCs w:val="24"/>
          <w:highlight w:val="none"/>
        </w:rPr>
      </w:pPr>
      <w:r>
        <w:rPr>
          <w:rFonts w:hint="eastAsia" w:ascii="宋体" w:hAnsi="宋体"/>
          <w:color w:val="auto"/>
          <w:sz w:val="24"/>
          <w:szCs w:val="24"/>
          <w:highlight w:val="none"/>
        </w:rPr>
        <w:t>供应商（盖公章）：</w:t>
      </w:r>
      <w:r>
        <w:rPr>
          <w:rFonts w:hint="eastAsia" w:ascii="宋体" w:hAnsi="宋体"/>
          <w:color w:val="auto"/>
          <w:sz w:val="24"/>
          <w:szCs w:val="24"/>
          <w:highlight w:val="none"/>
          <w:u w:val="single"/>
        </w:rPr>
        <w:t xml:space="preserve">                </w:t>
      </w:r>
    </w:p>
    <w:p w14:paraId="4BCA58CB">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szCs w:val="24"/>
          <w:highlight w:val="none"/>
        </w:rPr>
        <w:t xml:space="preserve">                                        年    月    日</w:t>
      </w:r>
    </w:p>
    <w:p w14:paraId="3BDCFA4B">
      <w:pPr>
        <w:spacing w:line="320" w:lineRule="exact"/>
        <w:jc w:val="center"/>
        <w:rPr>
          <w:rFonts w:ascii="宋体" w:hAnsi="宋体"/>
          <w:b/>
          <w:color w:val="auto"/>
          <w:sz w:val="32"/>
          <w:szCs w:val="32"/>
          <w:highlight w:val="none"/>
        </w:rPr>
      </w:pPr>
      <w:r>
        <w:rPr>
          <w:rFonts w:hint="eastAsia" w:ascii="宋体" w:hAnsi="宋体"/>
          <w:color w:val="auto"/>
          <w:sz w:val="28"/>
          <w:szCs w:val="28"/>
          <w:highlight w:val="none"/>
        </w:rPr>
        <w:br w:type="page"/>
      </w:r>
      <w:r>
        <w:rPr>
          <w:rFonts w:hint="eastAsia" w:ascii="宋体" w:hAnsi="宋体"/>
          <w:b/>
          <w:color w:val="auto"/>
          <w:sz w:val="32"/>
          <w:szCs w:val="32"/>
          <w:highlight w:val="none"/>
        </w:rPr>
        <w:t>竞标声明</w:t>
      </w:r>
    </w:p>
    <w:p w14:paraId="7E5E8904">
      <w:pPr>
        <w:spacing w:line="3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w:t>
      </w:r>
    </w:p>
    <w:p w14:paraId="0B51E922">
      <w:pPr>
        <w:spacing w:line="360" w:lineRule="auto"/>
        <w:contextualSpacing/>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（采购人名称）</w:t>
      </w:r>
      <w:r>
        <w:rPr>
          <w:rFonts w:hint="eastAsia" w:ascii="宋体" w:hAnsi="宋体"/>
          <w:color w:val="auto"/>
          <w:sz w:val="24"/>
          <w:szCs w:val="24"/>
          <w:highlight w:val="none"/>
        </w:rPr>
        <w:t>：</w:t>
      </w:r>
    </w:p>
    <w:p w14:paraId="25C11292">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u w:val="single"/>
        </w:rPr>
        <w:t>（供应商名称）</w:t>
      </w:r>
      <w:r>
        <w:rPr>
          <w:rFonts w:hint="eastAsia" w:ascii="宋体" w:hAnsi="宋体"/>
          <w:color w:val="auto"/>
          <w:sz w:val="24"/>
          <w:szCs w:val="24"/>
          <w:highlight w:val="none"/>
        </w:rPr>
        <w:t>系中华人民共和国合法供应商，经营地址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0011C6C">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我方愿意参加贵方组织的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项目的竞标，为便于贵方公正、择优地确定成交供应商及其竞标产品和服务，我方就本次竞标有关事项郑重声明如下：</w:t>
      </w:r>
    </w:p>
    <w:p w14:paraId="5AD628E4">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1.我方向贵方提交的所有响应文件、资料都是准确的和真实的。</w:t>
      </w:r>
    </w:p>
    <w:p w14:paraId="319D1327">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2.我方不是为本次采购项目提供整体设计、规范编制或者项目管理、监理、检测等服务的供应商。</w:t>
      </w:r>
    </w:p>
    <w:p w14:paraId="1CDC87C6">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3.在此，我方宣布同意如下：</w:t>
      </w:r>
    </w:p>
    <w:p w14:paraId="1D1FA41D">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（1）将按磋商文件的约定履行合同责任和义务；</w:t>
      </w:r>
    </w:p>
    <w:p w14:paraId="4BDC3E9E">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（2）已详细审查全部磋商文件，包括澄清或者更正公告（如有）；</w:t>
      </w:r>
    </w:p>
    <w:p w14:paraId="05D5F92B">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（3）同意提供按照贵方可能要求的与磋商有关的一切数据或者资料；</w:t>
      </w:r>
    </w:p>
    <w:p w14:paraId="4D7207CB">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（4）响应磋商文件规定的竞标有效期。</w:t>
      </w:r>
    </w:p>
    <w:p w14:paraId="4A4DCAE7">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4.我方承诺符合《中华人民共和国政府采购法》第二十二条规定：</w:t>
      </w:r>
    </w:p>
    <w:p w14:paraId="68D4F763">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7DBA8065">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128BDF69">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0FA59105">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28E5155F">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w:t>
      </w:r>
    </w:p>
    <w:p w14:paraId="1FD4873C">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333D37EE">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0612F3">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19A1BC8">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□我方本次响应文件</w:t>
      </w:r>
      <w:r>
        <w:rPr>
          <w:rFonts w:hint="eastAsia" w:ascii="宋体" w:hAnsi="宋体"/>
          <w:color w:val="auto"/>
          <w:kern w:val="0"/>
          <w:sz w:val="24"/>
          <w:szCs w:val="24"/>
          <w:highlight w:val="none"/>
        </w:rPr>
        <w:t>内容中</w:t>
      </w:r>
      <w:r>
        <w:rPr>
          <w:rFonts w:hint="eastAsia" w:ascii="宋体" w:hAnsi="宋体"/>
          <w:color w:val="auto"/>
          <w:sz w:val="24"/>
          <w:szCs w:val="24"/>
          <w:highlight w:val="none"/>
        </w:rPr>
        <w:t>未</w:t>
      </w:r>
      <w:r>
        <w:rPr>
          <w:rFonts w:hint="eastAsia" w:ascii="宋体" w:hAnsi="宋体"/>
          <w:color w:val="auto"/>
          <w:kern w:val="0"/>
          <w:sz w:val="24"/>
          <w:szCs w:val="24"/>
          <w:highlight w:val="none"/>
        </w:rPr>
        <w:t>涉及商业秘密；</w:t>
      </w:r>
    </w:p>
    <w:p w14:paraId="162540B6">
      <w:pPr>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□我方本次响应文件</w:t>
      </w:r>
      <w:r>
        <w:rPr>
          <w:rFonts w:hint="eastAsia" w:ascii="宋体" w:hAnsi="宋体"/>
          <w:color w:val="auto"/>
          <w:kern w:val="0"/>
          <w:sz w:val="24"/>
          <w:szCs w:val="24"/>
          <w:highlight w:val="none"/>
        </w:rPr>
        <w:t>涉及商业秘密的内容有：</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p>
    <w:p w14:paraId="5FC48847">
      <w:pPr>
        <w:pStyle w:val="10"/>
        <w:spacing w:line="360" w:lineRule="auto"/>
        <w:ind w:firstLine="480" w:firstLineChars="200"/>
        <w:contextualSpacing/>
        <w:rPr>
          <w:rFonts w:hAnsi="宋体"/>
          <w:color w:val="auto"/>
          <w:sz w:val="24"/>
          <w:szCs w:val="24"/>
          <w:highlight w:val="none"/>
          <w:u w:val="single"/>
        </w:rPr>
      </w:pPr>
      <w:r>
        <w:rPr>
          <w:rFonts w:hint="eastAsia" w:hAnsi="宋体"/>
          <w:color w:val="auto"/>
          <w:sz w:val="24"/>
          <w:szCs w:val="24"/>
          <w:highlight w:val="none"/>
        </w:rPr>
        <w:t>7.与本磋商有关的一切正式往来信函请寄：</w:t>
      </w:r>
      <w:r>
        <w:rPr>
          <w:rFonts w:hint="eastAsia" w:hAnsi="宋体"/>
          <w:color w:val="auto"/>
          <w:sz w:val="24"/>
          <w:szCs w:val="24"/>
          <w:highlight w:val="none"/>
          <w:u w:val="single"/>
        </w:rPr>
        <w:t xml:space="preserve">                  </w:t>
      </w:r>
      <w:r>
        <w:rPr>
          <w:rFonts w:hint="eastAsia" w:hAnsi="宋体"/>
          <w:color w:val="auto"/>
          <w:sz w:val="24"/>
          <w:szCs w:val="24"/>
          <w:highlight w:val="none"/>
        </w:rPr>
        <w:t>邮政编号：</w:t>
      </w:r>
      <w:r>
        <w:rPr>
          <w:rFonts w:hint="eastAsia" w:hAnsi="宋体"/>
          <w:color w:val="auto"/>
          <w:sz w:val="24"/>
          <w:szCs w:val="24"/>
          <w:highlight w:val="none"/>
          <w:u w:val="single"/>
        </w:rPr>
        <w:t xml:space="preserve">        </w:t>
      </w:r>
    </w:p>
    <w:p w14:paraId="79F1551A">
      <w:pPr>
        <w:pStyle w:val="10"/>
        <w:spacing w:line="360" w:lineRule="auto"/>
        <w:ind w:firstLine="480" w:firstLineChars="200"/>
        <w:contextualSpacing/>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61D123C4">
      <w:pPr>
        <w:pStyle w:val="9"/>
        <w:tabs>
          <w:tab w:val="left" w:pos="939"/>
        </w:tabs>
        <w:spacing w:line="360" w:lineRule="auto"/>
        <w:ind w:left="141" w:leftChars="67" w:firstLine="360" w:firstLineChars="150"/>
        <w:rPr>
          <w:rFonts w:ascii="宋体" w:hAnsi="宋体"/>
          <w:color w:val="auto"/>
          <w:sz w:val="24"/>
          <w:szCs w:val="24"/>
          <w:highlight w:val="none"/>
        </w:rPr>
      </w:pP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帐号：</w:t>
      </w:r>
      <w:r>
        <w:rPr>
          <w:rFonts w:hint="eastAsia" w:ascii="宋体" w:hAnsi="宋体"/>
          <w:color w:val="auto"/>
          <w:sz w:val="24"/>
          <w:szCs w:val="24"/>
          <w:highlight w:val="none"/>
          <w:u w:val="single"/>
        </w:rPr>
        <w:t xml:space="preserve">                               </w:t>
      </w:r>
    </w:p>
    <w:p w14:paraId="3B9845D2">
      <w:pPr>
        <w:pStyle w:val="9"/>
        <w:tabs>
          <w:tab w:val="left" w:pos="939"/>
        </w:tabs>
        <w:spacing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8.以上事项如有虚假或者隐瞒，我方愿意承担一切后果，并不再寻求任何旨在减轻或者免除法律责任的辩解。</w:t>
      </w:r>
    </w:p>
    <w:p w14:paraId="5CDD558A">
      <w:pPr>
        <w:pStyle w:val="9"/>
        <w:tabs>
          <w:tab w:val="left" w:pos="939"/>
        </w:tabs>
        <w:spacing w:line="360" w:lineRule="auto"/>
        <w:ind w:left="141" w:leftChars="67" w:firstLine="360" w:firstLineChars="150"/>
        <w:rPr>
          <w:rFonts w:ascii="宋体" w:hAnsi="宋体"/>
          <w:color w:val="auto"/>
          <w:sz w:val="24"/>
          <w:szCs w:val="24"/>
          <w:highlight w:val="none"/>
        </w:rPr>
      </w:pPr>
      <w:r>
        <w:rPr>
          <w:rFonts w:hint="eastAsia" w:ascii="宋体" w:hAnsi="宋体"/>
          <w:color w:val="auto"/>
          <w:sz w:val="24"/>
          <w:szCs w:val="24"/>
          <w:highlight w:val="none"/>
        </w:rPr>
        <w:t>特此承诺。</w:t>
      </w:r>
    </w:p>
    <w:p w14:paraId="09B7CA49">
      <w:pPr>
        <w:pStyle w:val="9"/>
        <w:tabs>
          <w:tab w:val="left" w:pos="939"/>
        </w:tabs>
        <w:spacing w:line="360" w:lineRule="auto"/>
        <w:ind w:left="0" w:leftChars="0" w:firstLine="482" w:firstLineChars="200"/>
        <w:rPr>
          <w:rFonts w:ascii="宋体" w:hAnsi="宋体"/>
          <w:b/>
          <w:color w:val="auto"/>
          <w:sz w:val="24"/>
          <w:szCs w:val="24"/>
          <w:highlight w:val="none"/>
        </w:rPr>
      </w:pPr>
      <w:r>
        <w:rPr>
          <w:rFonts w:hint="eastAsia" w:ascii="宋体" w:hAnsi="宋体"/>
          <w:b/>
          <w:color w:val="auto"/>
          <w:sz w:val="24"/>
          <w:szCs w:val="24"/>
          <w:highlight w:val="none"/>
        </w:rPr>
        <w:t>注：如为联合体竞标，盖章处须加盖联合体各方公章并由联合体各方法定代表人签署，否则其响应文件按无效响应处理。</w:t>
      </w:r>
    </w:p>
    <w:p w14:paraId="446C482E">
      <w:pPr>
        <w:pStyle w:val="9"/>
        <w:tabs>
          <w:tab w:val="left" w:pos="939"/>
        </w:tabs>
        <w:spacing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14:paraId="545F1BAA">
      <w:pPr>
        <w:spacing w:line="360" w:lineRule="auto"/>
        <w:ind w:firstLine="4320" w:firstLineChars="1800"/>
        <w:contextualSpacing/>
        <w:rPr>
          <w:rFonts w:ascii="宋体" w:hAnsi="宋体"/>
          <w:color w:val="auto"/>
          <w:sz w:val="24"/>
          <w:szCs w:val="24"/>
          <w:highlight w:val="none"/>
        </w:rPr>
      </w:pPr>
      <w:r>
        <w:rPr>
          <w:rFonts w:hint="eastAsia" w:ascii="宋体" w:hAnsi="宋体"/>
          <w:color w:val="auto"/>
          <w:sz w:val="24"/>
          <w:szCs w:val="24"/>
          <w:highlight w:val="none"/>
        </w:rPr>
        <w:t>法定代表人（签字或者盖章）：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4A12EC5D">
      <w:pPr>
        <w:spacing w:line="360" w:lineRule="auto"/>
        <w:ind w:firstLine="4320" w:firstLineChars="1800"/>
        <w:contextualSpacing/>
        <w:rPr>
          <w:rFonts w:ascii="宋体" w:hAnsi="宋体"/>
          <w:color w:val="auto"/>
          <w:sz w:val="24"/>
          <w:szCs w:val="24"/>
          <w:highlight w:val="none"/>
          <w:u w:val="single"/>
        </w:rPr>
      </w:pPr>
      <w:r>
        <w:rPr>
          <w:rFonts w:hint="eastAsia" w:ascii="宋体" w:hAnsi="宋体"/>
          <w:color w:val="auto"/>
          <w:sz w:val="24"/>
          <w:szCs w:val="24"/>
          <w:highlight w:val="none"/>
        </w:rPr>
        <w:t>供应商（盖公章）：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3432CFCE">
      <w:pPr>
        <w:spacing w:line="360" w:lineRule="auto"/>
        <w:ind w:right="480" w:firstLine="240" w:firstLineChars="100"/>
        <w:contextualSpacing/>
        <w:jc w:val="center"/>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473DF120">
      <w:pPr>
        <w:pStyle w:val="4"/>
        <w:overflowPunct w:val="0"/>
        <w:spacing w:line="520" w:lineRule="exact"/>
        <w:ind w:firstLine="0"/>
        <w:jc w:val="center"/>
        <w:rPr>
          <w:rFonts w:hint="eastAsia" w:ascii="方正小标宋简体" w:hAnsi="方正小标宋简体"/>
          <w:color w:val="auto"/>
          <w:sz w:val="44"/>
          <w:szCs w:val="44"/>
          <w:highlight w:val="none"/>
        </w:rPr>
      </w:pPr>
      <w:r>
        <w:rPr>
          <w:rFonts w:hint="eastAsia" w:ascii="宋体" w:hAnsi="宋体"/>
          <w:color w:val="auto"/>
          <w:sz w:val="24"/>
          <w:szCs w:val="24"/>
          <w:highlight w:val="none"/>
        </w:rPr>
        <w:br w:type="page"/>
      </w:r>
      <w:r>
        <w:rPr>
          <w:rFonts w:ascii="方正小标宋简体" w:hAnsi="方正小标宋简体"/>
          <w:color w:val="auto"/>
          <w:sz w:val="44"/>
          <w:szCs w:val="44"/>
          <w:highlight w:val="none"/>
        </w:rPr>
        <w:t>联合体竞标协议书</w:t>
      </w:r>
    </w:p>
    <w:p w14:paraId="0CFEDB7A">
      <w:pPr>
        <w:pStyle w:val="4"/>
        <w:overflowPunct w:val="0"/>
        <w:spacing w:line="360" w:lineRule="auto"/>
        <w:ind w:firstLine="0"/>
        <w:rPr>
          <w:rFonts w:ascii="宋体" w:hAnsi="宋体"/>
          <w:color w:val="auto"/>
          <w:sz w:val="24"/>
          <w:szCs w:val="24"/>
          <w:highlight w:val="none"/>
        </w:rPr>
      </w:pPr>
      <w:r>
        <w:rPr>
          <w:rFonts w:hint="eastAsia" w:ascii="宋体" w:hAnsi="宋体"/>
          <w:color w:val="auto"/>
          <w:sz w:val="24"/>
          <w:szCs w:val="24"/>
          <w:highlight w:val="none"/>
        </w:rPr>
        <w:t xml:space="preserve"> </w:t>
      </w:r>
    </w:p>
    <w:p w14:paraId="24649B91">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242DDCBD">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264449DF">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078F993">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29343ABD">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0C746538">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440DEEB7">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19AD8E62">
      <w:pPr>
        <w:pStyle w:val="4"/>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注：本协议书由法定代表人（单位负责人）签字的，应附法定代表人（单位负责人）身份证明书；由委托代理人签字的，应附联合体协议签订授权委托书（格式自拟）。</w:t>
      </w:r>
    </w:p>
    <w:p w14:paraId="285AC455">
      <w:pPr>
        <w:pStyle w:val="4"/>
        <w:overflowPunct w:val="0"/>
        <w:spacing w:line="360" w:lineRule="auto"/>
        <w:ind w:firstLineChars="175"/>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42EB7842">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联合体牵头人名称（盖公章）：</w:t>
      </w:r>
    </w:p>
    <w:p w14:paraId="6CF43E66">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法定代表人（单位负责人）或者其委托代理人（签字）：</w:t>
      </w:r>
    </w:p>
    <w:p w14:paraId="3E8D8E49">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1A30ECDE">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w:t>
      </w:r>
    </w:p>
    <w:p w14:paraId="06C46140">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法定代表人（单位负责人）或者其委托代理人（签字）：</w:t>
      </w:r>
    </w:p>
    <w:p w14:paraId="46BE6017">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3681ED09">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w:t>
      </w:r>
    </w:p>
    <w:p w14:paraId="34A07914">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法定代表人（单位负责人）或者其委托代理人（签字）：</w:t>
      </w:r>
    </w:p>
    <w:p w14:paraId="3216A83A">
      <w:pPr>
        <w:pStyle w:val="4"/>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76130036">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szCs w:val="24"/>
          <w:highlight w:val="none"/>
        </w:rPr>
        <w:t xml:space="preserve">                                                年  </w:t>
      </w:r>
      <w:r>
        <w:rPr>
          <w:rFonts w:hint="eastAsia" w:ascii="宋体" w:hAnsi="宋体" w:cs="仿宋_GB2312"/>
          <w:color w:val="auto"/>
          <w:sz w:val="24"/>
          <w:szCs w:val="24"/>
          <w:highlight w:val="none"/>
        </w:rPr>
        <w:tab/>
      </w:r>
      <w:r>
        <w:rPr>
          <w:rFonts w:hint="eastAsia" w:ascii="宋体" w:hAnsi="宋体" w:cs="仿宋_GB2312"/>
          <w:color w:val="auto"/>
          <w:sz w:val="24"/>
          <w:szCs w:val="24"/>
          <w:highlight w:val="none"/>
        </w:rPr>
        <w:t xml:space="preserve">月  </w:t>
      </w:r>
      <w:r>
        <w:rPr>
          <w:rFonts w:hint="eastAsia" w:ascii="宋体" w:hAnsi="宋体" w:cs="仿宋_GB2312"/>
          <w:color w:val="auto"/>
          <w:sz w:val="24"/>
          <w:szCs w:val="24"/>
          <w:highlight w:val="none"/>
        </w:rPr>
        <w:tab/>
      </w:r>
      <w:r>
        <w:rPr>
          <w:rFonts w:hint="eastAsia" w:ascii="宋体" w:hAnsi="宋体" w:cs="仿宋_GB2312"/>
          <w:color w:val="auto"/>
          <w:sz w:val="24"/>
          <w:szCs w:val="24"/>
          <w:highlight w:val="none"/>
        </w:rPr>
        <w:t>日</w:t>
      </w:r>
    </w:p>
    <w:p w14:paraId="2AD6F341">
      <w:pPr>
        <w:snapToGrid w:val="0"/>
        <w:spacing w:before="156" w:beforeLines="50" w:after="50" w:line="360" w:lineRule="auto"/>
        <w:ind w:right="480"/>
        <w:rPr>
          <w:rFonts w:ascii="宋体" w:hAnsi="宋体"/>
          <w:b/>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报价商务技术文件格式</w:t>
      </w:r>
    </w:p>
    <w:p w14:paraId="6B39E868">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0E8792D7">
      <w:pPr>
        <w:snapToGrid w:val="0"/>
        <w:spacing w:before="156" w:beforeLines="50" w:after="50"/>
        <w:rPr>
          <w:rFonts w:ascii="宋体" w:hAnsi="宋体"/>
          <w:bCs/>
          <w:color w:val="auto"/>
          <w:sz w:val="32"/>
          <w:szCs w:val="32"/>
          <w:highlight w:val="none"/>
        </w:rPr>
      </w:pPr>
      <w:r>
        <w:rPr>
          <w:rFonts w:hint="eastAsia" w:ascii="宋体" w:hAnsi="宋体"/>
          <w:color w:val="auto"/>
          <w:sz w:val="24"/>
          <w:szCs w:val="24"/>
          <w:highlight w:val="none"/>
        </w:rPr>
        <w:t xml:space="preserve">                                                   </w:t>
      </w:r>
    </w:p>
    <w:p w14:paraId="3944E651">
      <w:pPr>
        <w:snapToGrid w:val="0"/>
        <w:spacing w:before="156" w:beforeLines="50" w:after="50"/>
        <w:rPr>
          <w:rFonts w:ascii="宋体" w:hAnsi="宋体"/>
          <w:color w:val="auto"/>
          <w:sz w:val="24"/>
          <w:szCs w:val="24"/>
          <w:highlight w:val="none"/>
        </w:rPr>
      </w:pPr>
      <w:r>
        <w:rPr>
          <w:rFonts w:hint="eastAsia" w:ascii="宋体" w:hAnsi="宋体"/>
          <w:color w:val="auto"/>
          <w:sz w:val="24"/>
          <w:szCs w:val="24"/>
          <w:highlight w:val="none"/>
        </w:rPr>
        <w:t xml:space="preserve"> </w:t>
      </w:r>
    </w:p>
    <w:p w14:paraId="48FA3B0A">
      <w:pPr>
        <w:snapToGrid w:val="0"/>
        <w:spacing w:before="156" w:beforeLines="50" w:after="50"/>
        <w:jc w:val="center"/>
        <w:rPr>
          <w:rFonts w:hint="eastAsia" w:ascii="方正小标宋简体" w:hAnsi="方正小标宋简体"/>
          <w:bCs/>
          <w:color w:val="auto"/>
          <w:sz w:val="84"/>
          <w:szCs w:val="84"/>
          <w:highlight w:val="none"/>
        </w:rPr>
      </w:pPr>
      <w:r>
        <w:rPr>
          <w:rFonts w:ascii="方正小标宋简体" w:hAnsi="方正小标宋简体"/>
          <w:bCs/>
          <w:color w:val="auto"/>
          <w:sz w:val="84"/>
          <w:szCs w:val="84"/>
          <w:highlight w:val="none"/>
        </w:rPr>
        <w:t>响  应  文  件</w:t>
      </w:r>
    </w:p>
    <w:p w14:paraId="6BD57AAB">
      <w:pPr>
        <w:snapToGrid w:val="0"/>
        <w:spacing w:before="156" w:beforeLines="50" w:after="50"/>
        <w:jc w:val="center"/>
        <w:rPr>
          <w:rFonts w:hint="eastAsia" w:ascii="方正小标宋简体" w:hAnsi="方正小标宋简体"/>
          <w:bCs/>
          <w:color w:val="auto"/>
          <w:sz w:val="32"/>
          <w:szCs w:val="32"/>
          <w:highlight w:val="none"/>
        </w:rPr>
      </w:pPr>
      <w:r>
        <w:rPr>
          <w:rFonts w:ascii="方正小标宋简体" w:hAnsi="方正小标宋简体"/>
          <w:bCs/>
          <w:color w:val="auto"/>
          <w:sz w:val="32"/>
          <w:szCs w:val="32"/>
          <w:highlight w:val="none"/>
        </w:rPr>
        <w:t>报  价  商  务  技  术  文  件</w:t>
      </w:r>
    </w:p>
    <w:p w14:paraId="654D0F18">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1712DA88">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30EC5A70">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177B1E1E">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22AE21BE">
      <w:pPr>
        <w:snapToGrid w:val="0"/>
        <w:spacing w:before="156" w:beforeLines="50" w:after="50"/>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3BD76D36">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7EEDA68">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89C5FE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64B5CE4">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A872C1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428DC883">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67A87B0">
      <w:pPr>
        <w:pStyle w:val="4"/>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0D80F41">
      <w:pPr>
        <w:pStyle w:val="4"/>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F135663">
      <w:pPr>
        <w:pStyle w:val="4"/>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1E0B55B">
      <w:pPr>
        <w:pStyle w:val="4"/>
        <w:snapToGrid w:val="0"/>
        <w:spacing w:before="50" w:after="50"/>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9EC7558">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61B0AFA">
      <w:pPr>
        <w:snapToGrid w:val="0"/>
        <w:spacing w:before="156" w:beforeLines="50" w:after="50" w:line="360" w:lineRule="auto"/>
        <w:ind w:left="142"/>
        <w:jc w:val="left"/>
        <w:rPr>
          <w:rFonts w:ascii="宋体" w:hAnsi="宋体"/>
          <w:b/>
          <w:bCs/>
          <w:color w:val="auto"/>
          <w:sz w:val="24"/>
          <w:szCs w:val="24"/>
          <w:highlight w:val="none"/>
        </w:rPr>
      </w:pPr>
      <w:r>
        <w:rPr>
          <w:rFonts w:hint="eastAsia" w:ascii="宋体" w:hAnsi="宋体"/>
          <w:color w:val="auto"/>
          <w:sz w:val="24"/>
          <w:szCs w:val="24"/>
          <w:highlight w:val="none"/>
        </w:rPr>
        <w:br w:type="page"/>
      </w:r>
      <w:r>
        <w:rPr>
          <w:rFonts w:hint="eastAsia" w:ascii="宋体" w:hAnsi="宋体"/>
          <w:b/>
          <w:bCs/>
          <w:color w:val="auto"/>
          <w:sz w:val="32"/>
          <w:szCs w:val="32"/>
          <w:highlight w:val="none"/>
        </w:rPr>
        <w:t>2.报价商务技术文件目录</w:t>
      </w:r>
    </w:p>
    <w:p w14:paraId="46139C8B">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3E247F5">
      <w:pPr>
        <w:spacing w:line="400" w:lineRule="exact"/>
        <w:rPr>
          <w:rFonts w:hint="eastAsia" w:ascii="仿宋_GB2312" w:hAnsi="仿宋_GB2312"/>
          <w:color w:val="auto"/>
          <w:sz w:val="32"/>
          <w:szCs w:val="32"/>
          <w:highlight w:val="none"/>
        </w:rPr>
      </w:pPr>
      <w:r>
        <w:rPr>
          <w:rFonts w:ascii="仿宋_GB2312" w:hAnsi="仿宋_GB2312"/>
          <w:color w:val="auto"/>
          <w:sz w:val="32"/>
          <w:szCs w:val="32"/>
          <w:highlight w:val="none"/>
        </w:rPr>
        <w:t xml:space="preserve"> </w:t>
      </w:r>
    </w:p>
    <w:p w14:paraId="56C7AF22">
      <w:pPr>
        <w:spacing w:line="520" w:lineRule="exact"/>
        <w:jc w:val="center"/>
        <w:rPr>
          <w:rFonts w:hint="eastAsia" w:ascii="仿宋_GB2312" w:hAnsi="仿宋_GB2312"/>
          <w:color w:val="auto"/>
          <w:sz w:val="32"/>
          <w:szCs w:val="32"/>
          <w:highlight w:val="none"/>
        </w:rPr>
      </w:pPr>
      <w:r>
        <w:rPr>
          <w:rFonts w:ascii="方正小标宋简体" w:hAnsi="方正小标宋简体"/>
          <w:color w:val="auto"/>
          <w:sz w:val="44"/>
          <w:szCs w:val="44"/>
          <w:highlight w:val="none"/>
        </w:rPr>
        <w:br w:type="page"/>
      </w:r>
      <w:r>
        <w:rPr>
          <w:rFonts w:ascii="方正小标宋简体" w:hAnsi="方正小标宋简体"/>
          <w:color w:val="auto"/>
          <w:sz w:val="44"/>
          <w:szCs w:val="44"/>
          <w:highlight w:val="none"/>
        </w:rPr>
        <w:t>无串通竞标行为的承诺函</w:t>
      </w:r>
    </w:p>
    <w:p w14:paraId="5C025CE7">
      <w:pPr>
        <w:spacing w:line="360" w:lineRule="auto"/>
        <w:ind w:firstLine="640" w:firstLineChars="200"/>
        <w:contextualSpacing/>
        <w:rPr>
          <w:rFonts w:hint="eastAsia" w:ascii="仿宋_GB2312" w:hAnsi="仿宋_GB2312"/>
          <w:color w:val="auto"/>
          <w:sz w:val="32"/>
          <w:szCs w:val="32"/>
          <w:highlight w:val="none"/>
        </w:rPr>
      </w:pPr>
      <w:r>
        <w:rPr>
          <w:rFonts w:ascii="仿宋_GB2312" w:hAnsi="仿宋_GB2312"/>
          <w:color w:val="auto"/>
          <w:sz w:val="32"/>
          <w:szCs w:val="32"/>
          <w:highlight w:val="none"/>
        </w:rPr>
        <w:t xml:space="preserve"> </w:t>
      </w:r>
    </w:p>
    <w:p w14:paraId="34D1CB5C">
      <w:pPr>
        <w:spacing w:line="360" w:lineRule="auto"/>
        <w:ind w:firstLine="482" w:firstLineChars="200"/>
        <w:contextualSpacing/>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一、我方承诺无下列相互串通竞标的情形：</w:t>
      </w:r>
    </w:p>
    <w:p w14:paraId="01FD54DF">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1.不同供应商的响应文件由同一单位或者个人编制； </w:t>
      </w:r>
    </w:p>
    <w:p w14:paraId="655D4965">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2.不同供应商委托同一单位或者个人办理竞标事宜；</w:t>
      </w:r>
    </w:p>
    <w:p w14:paraId="667CC4D6">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3.不同供应商的响应文件载明的项目管理员为同一个人；</w:t>
      </w:r>
    </w:p>
    <w:p w14:paraId="24D3A8AE">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4.不</w:t>
      </w:r>
      <w:r>
        <w:rPr>
          <w:rFonts w:hint="eastAsia" w:ascii="宋体" w:hAnsi="宋体" w:cs="仿宋_GB2312"/>
          <w:color w:val="auto"/>
          <w:spacing w:val="-6"/>
          <w:sz w:val="24"/>
          <w:szCs w:val="24"/>
          <w:highlight w:val="none"/>
        </w:rPr>
        <w:t>同供应商的响应文件异常一致或者竞标报价呈规律性差异；</w:t>
      </w:r>
    </w:p>
    <w:p w14:paraId="264E398D">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5.不同供应商的响应文件相互混装；</w:t>
      </w:r>
    </w:p>
    <w:p w14:paraId="1A3DBC58">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6.不同供应商的磋商保证金从同一单位或者个人账户转出。</w:t>
      </w:r>
    </w:p>
    <w:p w14:paraId="3654008C">
      <w:pPr>
        <w:spacing w:line="360" w:lineRule="auto"/>
        <w:ind w:firstLine="482" w:firstLineChars="200"/>
        <w:contextualSpacing/>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二、我方承诺无下列恶意串通的情形：</w:t>
      </w:r>
    </w:p>
    <w:p w14:paraId="5B0EC939">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1.供应商直接或者间接从采购人或者采购代理机构处获得其他供应商的相关信息并修改其响应文件；</w:t>
      </w:r>
    </w:p>
    <w:p w14:paraId="40FF7B51">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2.供应商按照采购人或者采购代理机构的授意撤换、修改响应文件；</w:t>
      </w:r>
    </w:p>
    <w:p w14:paraId="6B65DAC4">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3.供</w:t>
      </w:r>
      <w:r>
        <w:rPr>
          <w:rFonts w:hint="eastAsia" w:ascii="宋体" w:hAnsi="宋体" w:cs="仿宋_GB2312"/>
          <w:color w:val="auto"/>
          <w:spacing w:val="-6"/>
          <w:sz w:val="24"/>
          <w:szCs w:val="24"/>
          <w:highlight w:val="none"/>
        </w:rPr>
        <w:t>应商之间协商报价、技术方案等响应文件的实质性内容；</w:t>
      </w:r>
    </w:p>
    <w:p w14:paraId="4E26AB5D">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4.属于同一集团、协会、商会等组织成员的供应商按照该组织要求协同参加政府采购活动；</w:t>
      </w:r>
    </w:p>
    <w:p w14:paraId="4DF6CD9E">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5.供应商之间事先约定一致抬高或者压低竞标报价，或者在竞争性磋商项目中事先约定轮流以高价位或者低价位成交，或者事先约定由某一特定供应商成交，然后再参加竞标；</w:t>
      </w:r>
    </w:p>
    <w:p w14:paraId="6262E208">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6.供应商之间商定部分供应商放弃参加政府采购活动或者放弃成交；</w:t>
      </w:r>
    </w:p>
    <w:p w14:paraId="0F7FB3D2">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7.供应商与采购人或者采购代理机构之间、供应商相互之间，为</w:t>
      </w:r>
      <w:r>
        <w:rPr>
          <w:rFonts w:hint="eastAsia" w:ascii="宋体" w:hAnsi="宋体" w:cs="仿宋_GB2312"/>
          <w:color w:val="auto"/>
          <w:spacing w:val="-6"/>
          <w:sz w:val="24"/>
          <w:szCs w:val="24"/>
          <w:highlight w:val="none"/>
        </w:rPr>
        <w:t>谋求特定供应商成交或者排斥其他供应商的其他串通行为。</w:t>
      </w:r>
    </w:p>
    <w:p w14:paraId="797B6B1E">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40E6C62F">
      <w:pPr>
        <w:spacing w:line="360" w:lineRule="auto"/>
        <w:ind w:firstLine="482" w:firstLineChars="200"/>
        <w:contextualSpacing/>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以上情形一经核查属实，我方愿意承担一切后果，并不再寻求任何旨在减轻或者免除法律责任的辩解。</w:t>
      </w:r>
    </w:p>
    <w:p w14:paraId="3C1C5CAE">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1439FA87">
      <w:pPr>
        <w:spacing w:line="360" w:lineRule="auto"/>
        <w:ind w:firstLine="3600" w:firstLineChars="15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供应商（盖公章）：</w:t>
      </w:r>
    </w:p>
    <w:p w14:paraId="316896A1">
      <w:pPr>
        <w:spacing w:line="360" w:lineRule="auto"/>
        <w:ind w:firstLine="480" w:firstLineChars="200"/>
        <w:contextualSpacing/>
        <w:jc w:val="center"/>
        <w:rPr>
          <w:rFonts w:hint="eastAsia" w:ascii="仿宋_GB2312" w:hAnsi="仿宋_GB2312"/>
          <w:color w:val="auto"/>
          <w:sz w:val="32"/>
          <w:szCs w:val="32"/>
          <w:highlight w:val="none"/>
        </w:rPr>
      </w:pPr>
      <w:r>
        <w:rPr>
          <w:rFonts w:hint="eastAsia" w:ascii="宋体" w:hAnsi="宋体" w:cs="仿宋_GB2312"/>
          <w:color w:val="auto"/>
          <w:sz w:val="24"/>
          <w:szCs w:val="24"/>
          <w:highlight w:val="none"/>
        </w:rPr>
        <w:t xml:space="preserve">                               年   月   日</w:t>
      </w:r>
    </w:p>
    <w:p w14:paraId="4DCE8C82">
      <w:pPr>
        <w:spacing w:line="520" w:lineRule="exact"/>
        <w:jc w:val="center"/>
        <w:rPr>
          <w:rFonts w:hint="eastAsia" w:ascii="方正小标宋简体" w:hAnsi="方正小标宋简体"/>
          <w:bCs/>
          <w:color w:val="auto"/>
          <w:sz w:val="32"/>
          <w:szCs w:val="32"/>
          <w:highlight w:val="none"/>
        </w:rPr>
      </w:pPr>
      <w:r>
        <w:rPr>
          <w:rFonts w:ascii="方正小标宋简体" w:hAnsi="方正小标宋简体"/>
          <w:bCs/>
          <w:color w:val="auto"/>
          <w:sz w:val="44"/>
          <w:szCs w:val="44"/>
          <w:highlight w:val="none"/>
        </w:rPr>
        <w:br w:type="page"/>
      </w:r>
      <w:r>
        <w:rPr>
          <w:rFonts w:ascii="方正小标宋简体" w:hAnsi="方正小标宋简体"/>
          <w:bCs/>
          <w:color w:val="auto"/>
          <w:sz w:val="44"/>
          <w:szCs w:val="44"/>
          <w:highlight w:val="none"/>
        </w:rPr>
        <w:t>竞  标  报  价  表</w:t>
      </w:r>
    </w:p>
    <w:p w14:paraId="206980E7">
      <w:pPr>
        <w:spacing w:line="440" w:lineRule="exact"/>
        <w:jc w:val="center"/>
        <w:rPr>
          <w:rFonts w:hint="eastAsia" w:ascii="方正小标宋简体" w:hAnsi="方正小标宋简体"/>
          <w:bCs/>
          <w:color w:val="auto"/>
          <w:sz w:val="32"/>
          <w:szCs w:val="32"/>
          <w:highlight w:val="none"/>
        </w:rPr>
      </w:pPr>
      <w:r>
        <w:rPr>
          <w:rFonts w:ascii="方正小标宋简体" w:hAnsi="方正小标宋简体"/>
          <w:bCs/>
          <w:color w:val="auto"/>
          <w:sz w:val="32"/>
          <w:szCs w:val="32"/>
          <w:highlight w:val="none"/>
        </w:rPr>
        <w:t xml:space="preserve"> </w:t>
      </w:r>
    </w:p>
    <w:p w14:paraId="50D71632">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项目名称：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项目编号：</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1C385DA8">
      <w:pPr>
        <w:spacing w:line="360" w:lineRule="auto"/>
        <w:contextualSpacing/>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分标（如有）：</w:t>
      </w:r>
      <w:r>
        <w:rPr>
          <w:rFonts w:hint="eastAsia" w:ascii="宋体" w:hAnsi="宋体" w:cs="仿宋_GB2312"/>
          <w:color w:val="auto"/>
          <w:sz w:val="24"/>
          <w:szCs w:val="24"/>
          <w:highlight w:val="none"/>
          <w:u w:val="single"/>
        </w:rPr>
        <w:t xml:space="preserve">                                         </w:t>
      </w:r>
    </w:p>
    <w:p w14:paraId="5942D961">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686FCA15">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单位：元</w:t>
      </w:r>
    </w:p>
    <w:tbl>
      <w:tblPr>
        <w:tblStyle w:val="1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00"/>
        <w:gridCol w:w="950"/>
        <w:gridCol w:w="967"/>
        <w:gridCol w:w="1172"/>
        <w:gridCol w:w="1551"/>
        <w:gridCol w:w="1184"/>
        <w:gridCol w:w="1184"/>
      </w:tblGrid>
      <w:tr w14:paraId="20EB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E79F87">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1500" w:type="dxa"/>
            <w:tcBorders>
              <w:top w:val="single" w:color="auto" w:sz="4" w:space="0"/>
              <w:left w:val="nil"/>
              <w:bottom w:val="single" w:color="auto" w:sz="4" w:space="0"/>
              <w:right w:val="single" w:color="auto" w:sz="4" w:space="0"/>
            </w:tcBorders>
            <w:vAlign w:val="center"/>
          </w:tcPr>
          <w:p w14:paraId="5B48F7C0">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标的名称</w:t>
            </w:r>
          </w:p>
        </w:tc>
        <w:tc>
          <w:tcPr>
            <w:tcW w:w="950" w:type="dxa"/>
            <w:tcBorders>
              <w:top w:val="single" w:color="auto" w:sz="4" w:space="0"/>
              <w:left w:val="nil"/>
              <w:bottom w:val="single" w:color="auto" w:sz="4" w:space="0"/>
              <w:right w:val="single" w:color="auto" w:sz="4" w:space="0"/>
            </w:tcBorders>
            <w:vAlign w:val="center"/>
          </w:tcPr>
          <w:p w14:paraId="22701C41">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数量</w:t>
            </w:r>
          </w:p>
        </w:tc>
        <w:tc>
          <w:tcPr>
            <w:tcW w:w="967" w:type="dxa"/>
            <w:tcBorders>
              <w:top w:val="single" w:color="auto" w:sz="4" w:space="0"/>
              <w:left w:val="nil"/>
              <w:bottom w:val="single" w:color="auto" w:sz="4" w:space="0"/>
              <w:right w:val="single" w:color="auto" w:sz="4" w:space="0"/>
            </w:tcBorders>
            <w:vAlign w:val="center"/>
          </w:tcPr>
          <w:p w14:paraId="56E87032">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单位</w:t>
            </w:r>
          </w:p>
        </w:tc>
        <w:tc>
          <w:tcPr>
            <w:tcW w:w="1172" w:type="dxa"/>
            <w:tcBorders>
              <w:top w:val="single" w:color="auto" w:sz="4" w:space="0"/>
              <w:left w:val="nil"/>
              <w:bottom w:val="single" w:color="auto" w:sz="4" w:space="0"/>
              <w:right w:val="single" w:color="auto" w:sz="4" w:space="0"/>
            </w:tcBorders>
            <w:vAlign w:val="center"/>
          </w:tcPr>
          <w:p w14:paraId="7093755F">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品牌、规格型号</w:t>
            </w:r>
          </w:p>
        </w:tc>
        <w:tc>
          <w:tcPr>
            <w:tcW w:w="1551" w:type="dxa"/>
            <w:tcBorders>
              <w:top w:val="single" w:color="auto" w:sz="4" w:space="0"/>
              <w:left w:val="nil"/>
              <w:bottom w:val="single" w:color="auto" w:sz="4" w:space="0"/>
              <w:right w:val="single" w:color="auto" w:sz="4" w:space="0"/>
            </w:tcBorders>
            <w:vAlign w:val="center"/>
          </w:tcPr>
          <w:p w14:paraId="6623E327">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单价</w:t>
            </w:r>
          </w:p>
        </w:tc>
        <w:tc>
          <w:tcPr>
            <w:tcW w:w="1184" w:type="dxa"/>
            <w:tcBorders>
              <w:top w:val="single" w:color="auto" w:sz="4" w:space="0"/>
              <w:left w:val="nil"/>
              <w:bottom w:val="single" w:color="auto" w:sz="4" w:space="0"/>
              <w:right w:val="single" w:color="auto" w:sz="4" w:space="0"/>
            </w:tcBorders>
            <w:vAlign w:val="center"/>
          </w:tcPr>
          <w:p w14:paraId="6598FE3B">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总价</w:t>
            </w:r>
          </w:p>
        </w:tc>
        <w:tc>
          <w:tcPr>
            <w:tcW w:w="1184" w:type="dxa"/>
            <w:tcBorders>
              <w:top w:val="single" w:color="auto" w:sz="4" w:space="0"/>
              <w:left w:val="nil"/>
              <w:bottom w:val="single" w:color="auto" w:sz="4" w:space="0"/>
              <w:right w:val="single" w:color="auto" w:sz="4" w:space="0"/>
            </w:tcBorders>
            <w:vAlign w:val="center"/>
          </w:tcPr>
          <w:p w14:paraId="78179620">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备注</w:t>
            </w:r>
          </w:p>
        </w:tc>
      </w:tr>
      <w:tr w14:paraId="5FD8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A7C3D6A">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1500" w:type="dxa"/>
            <w:tcBorders>
              <w:top w:val="single" w:color="auto" w:sz="4" w:space="0"/>
              <w:left w:val="nil"/>
              <w:bottom w:val="single" w:color="auto" w:sz="4" w:space="0"/>
              <w:right w:val="single" w:color="auto" w:sz="4" w:space="0"/>
            </w:tcBorders>
            <w:vAlign w:val="center"/>
          </w:tcPr>
          <w:p w14:paraId="7FD790C3">
            <w:pPr>
              <w:spacing w:line="360" w:lineRule="auto"/>
              <w:contextualSpacing/>
              <w:jc w:val="center"/>
              <w:rPr>
                <w:rFonts w:ascii="宋体" w:hAnsi="宋体" w:cs="仿宋_GB2312"/>
                <w:color w:val="auto"/>
                <w:sz w:val="24"/>
                <w:szCs w:val="24"/>
                <w:highlight w:val="none"/>
              </w:rPr>
            </w:pPr>
          </w:p>
        </w:tc>
        <w:tc>
          <w:tcPr>
            <w:tcW w:w="950" w:type="dxa"/>
            <w:tcBorders>
              <w:top w:val="single" w:color="auto" w:sz="4" w:space="0"/>
              <w:left w:val="nil"/>
              <w:bottom w:val="single" w:color="auto" w:sz="4" w:space="0"/>
              <w:right w:val="single" w:color="auto" w:sz="4" w:space="0"/>
            </w:tcBorders>
            <w:vAlign w:val="center"/>
          </w:tcPr>
          <w:p w14:paraId="60854192">
            <w:pPr>
              <w:spacing w:line="360" w:lineRule="auto"/>
              <w:contextualSpacing/>
              <w:jc w:val="center"/>
              <w:rPr>
                <w:rFonts w:ascii="宋体" w:hAnsi="宋体" w:cs="仿宋_GB2312"/>
                <w:color w:val="auto"/>
                <w:sz w:val="24"/>
                <w:szCs w:val="24"/>
                <w:highlight w:val="none"/>
              </w:rPr>
            </w:pPr>
          </w:p>
        </w:tc>
        <w:tc>
          <w:tcPr>
            <w:tcW w:w="967" w:type="dxa"/>
            <w:tcBorders>
              <w:top w:val="single" w:color="auto" w:sz="4" w:space="0"/>
              <w:left w:val="nil"/>
              <w:bottom w:val="single" w:color="auto" w:sz="4" w:space="0"/>
              <w:right w:val="single" w:color="auto" w:sz="4" w:space="0"/>
            </w:tcBorders>
          </w:tcPr>
          <w:p w14:paraId="36087F1A">
            <w:pPr>
              <w:spacing w:line="360" w:lineRule="auto"/>
              <w:contextualSpacing/>
              <w:rPr>
                <w:rFonts w:ascii="宋体" w:hAnsi="宋体" w:cs="仿宋_GB2312"/>
                <w:color w:val="auto"/>
                <w:sz w:val="24"/>
                <w:szCs w:val="24"/>
                <w:highlight w:val="none"/>
              </w:rPr>
            </w:pPr>
          </w:p>
        </w:tc>
        <w:tc>
          <w:tcPr>
            <w:tcW w:w="1172" w:type="dxa"/>
            <w:tcBorders>
              <w:top w:val="single" w:color="auto" w:sz="4" w:space="0"/>
              <w:left w:val="nil"/>
              <w:bottom w:val="single" w:color="auto" w:sz="4" w:space="0"/>
              <w:right w:val="single" w:color="auto" w:sz="4" w:space="0"/>
            </w:tcBorders>
          </w:tcPr>
          <w:p w14:paraId="51180326">
            <w:pPr>
              <w:spacing w:line="360" w:lineRule="auto"/>
              <w:contextualSpacing/>
              <w:rPr>
                <w:rFonts w:ascii="宋体" w:hAnsi="宋体" w:cs="仿宋_GB2312"/>
                <w:color w:val="auto"/>
                <w:sz w:val="24"/>
                <w:szCs w:val="24"/>
                <w:highlight w:val="none"/>
              </w:rPr>
            </w:pPr>
          </w:p>
        </w:tc>
        <w:tc>
          <w:tcPr>
            <w:tcW w:w="1551" w:type="dxa"/>
            <w:tcBorders>
              <w:top w:val="single" w:color="auto" w:sz="4" w:space="0"/>
              <w:left w:val="nil"/>
              <w:bottom w:val="single" w:color="auto" w:sz="4" w:space="0"/>
              <w:right w:val="single" w:color="auto" w:sz="4" w:space="0"/>
            </w:tcBorders>
          </w:tcPr>
          <w:p w14:paraId="28816B16">
            <w:pPr>
              <w:spacing w:line="360" w:lineRule="auto"/>
              <w:contextualSpacing/>
              <w:rPr>
                <w:rFonts w:ascii="宋体" w:hAnsi="宋体" w:cs="仿宋_GB2312"/>
                <w:color w:val="auto"/>
                <w:sz w:val="24"/>
                <w:szCs w:val="24"/>
                <w:highlight w:val="none"/>
              </w:rPr>
            </w:pPr>
          </w:p>
        </w:tc>
        <w:tc>
          <w:tcPr>
            <w:tcW w:w="1184" w:type="dxa"/>
            <w:tcBorders>
              <w:top w:val="single" w:color="auto" w:sz="4" w:space="0"/>
              <w:left w:val="nil"/>
              <w:bottom w:val="single" w:color="auto" w:sz="4" w:space="0"/>
              <w:right w:val="single" w:color="auto" w:sz="4" w:space="0"/>
            </w:tcBorders>
          </w:tcPr>
          <w:p w14:paraId="5AD06BC4">
            <w:pPr>
              <w:spacing w:line="360" w:lineRule="auto"/>
              <w:contextualSpacing/>
              <w:rPr>
                <w:rFonts w:ascii="宋体" w:hAnsi="宋体" w:cs="仿宋_GB2312"/>
                <w:color w:val="auto"/>
                <w:sz w:val="24"/>
                <w:szCs w:val="24"/>
                <w:highlight w:val="none"/>
              </w:rPr>
            </w:pPr>
          </w:p>
        </w:tc>
        <w:tc>
          <w:tcPr>
            <w:tcW w:w="1184" w:type="dxa"/>
            <w:tcBorders>
              <w:top w:val="single" w:color="auto" w:sz="4" w:space="0"/>
              <w:left w:val="nil"/>
              <w:bottom w:val="single" w:color="auto" w:sz="4" w:space="0"/>
              <w:right w:val="single" w:color="auto" w:sz="4" w:space="0"/>
            </w:tcBorders>
            <w:vAlign w:val="center"/>
          </w:tcPr>
          <w:p w14:paraId="7D3583CA">
            <w:pPr>
              <w:spacing w:line="360" w:lineRule="auto"/>
              <w:contextualSpacing/>
              <w:rPr>
                <w:rFonts w:ascii="宋体" w:hAnsi="宋体" w:cs="仿宋_GB2312"/>
                <w:color w:val="auto"/>
                <w:sz w:val="24"/>
                <w:szCs w:val="24"/>
                <w:highlight w:val="none"/>
              </w:rPr>
            </w:pPr>
          </w:p>
        </w:tc>
      </w:tr>
      <w:tr w14:paraId="0C0E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8"/>
            <w:tcBorders>
              <w:top w:val="single" w:color="auto" w:sz="4" w:space="0"/>
              <w:left w:val="single" w:color="auto" w:sz="4" w:space="0"/>
              <w:bottom w:val="single" w:color="auto" w:sz="4" w:space="0"/>
              <w:right w:val="single" w:color="auto" w:sz="4" w:space="0"/>
            </w:tcBorders>
            <w:vAlign w:val="center"/>
          </w:tcPr>
          <w:p w14:paraId="680349AC">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合计金额大写：人民币</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tc>
      </w:tr>
    </w:tbl>
    <w:p w14:paraId="47C6C767">
      <w:pPr>
        <w:spacing w:line="360" w:lineRule="auto"/>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71538328">
      <w:pPr>
        <w:spacing w:line="360" w:lineRule="auto"/>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注: </w:t>
      </w:r>
    </w:p>
    <w:p w14:paraId="1A5603A6">
      <w:pPr>
        <w:spacing w:line="360" w:lineRule="auto"/>
        <w:ind w:firstLine="480" w:firstLineChars="200"/>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1.供应商的报价表必须加盖供应商公章并由法定代表人或者委托代理人签字，</w:t>
      </w:r>
      <w:r>
        <w:rPr>
          <w:rFonts w:hint="eastAsia" w:ascii="宋体" w:hAnsi="宋体" w:cs="仿宋_GB2312"/>
          <w:b/>
          <w:color w:val="auto"/>
          <w:sz w:val="24"/>
          <w:szCs w:val="24"/>
          <w:highlight w:val="none"/>
        </w:rPr>
        <w:t>否则其响应文件按无效响应处理</w:t>
      </w:r>
      <w:r>
        <w:rPr>
          <w:rFonts w:hint="eastAsia" w:ascii="宋体" w:hAnsi="宋体" w:cs="仿宋_GB2312"/>
          <w:color w:val="auto"/>
          <w:sz w:val="24"/>
          <w:szCs w:val="24"/>
          <w:highlight w:val="none"/>
        </w:rPr>
        <w:t>。</w:t>
      </w:r>
    </w:p>
    <w:p w14:paraId="3D7E37E3">
      <w:pPr>
        <w:spacing w:line="360" w:lineRule="auto"/>
        <w:ind w:firstLine="480" w:firstLineChars="200"/>
        <w:contextualSpacing/>
        <w:jc w:val="left"/>
        <w:rPr>
          <w:rFonts w:ascii="宋体" w:hAnsi="宋体" w:cs="仿宋_GB2312"/>
          <w:b/>
          <w:color w:val="auto"/>
          <w:sz w:val="24"/>
          <w:szCs w:val="24"/>
          <w:highlight w:val="none"/>
        </w:rPr>
      </w:pPr>
      <w:r>
        <w:rPr>
          <w:rFonts w:hint="eastAsia" w:ascii="宋体" w:hAnsi="宋体" w:cs="仿宋_GB2312"/>
          <w:bCs/>
          <w:color w:val="auto"/>
          <w:sz w:val="24"/>
          <w:szCs w:val="24"/>
          <w:highlight w:val="none"/>
        </w:rPr>
        <w:t>2.</w:t>
      </w:r>
      <w:r>
        <w:rPr>
          <w:rFonts w:hint="eastAsia" w:ascii="宋体" w:hAnsi="宋体" w:cs="仿宋_GB2312"/>
          <w:color w:val="auto"/>
          <w:sz w:val="24"/>
          <w:szCs w:val="24"/>
          <w:highlight w:val="none"/>
        </w:rPr>
        <w:t>报价一经涂改，应在涂改处加盖供应商公章或者由法定代表人或者委托代理人签字或者盖章</w:t>
      </w:r>
      <w:r>
        <w:rPr>
          <w:rFonts w:hint="eastAsia" w:ascii="宋体" w:hAnsi="宋体" w:cs="仿宋_GB2312"/>
          <w:b/>
          <w:color w:val="auto"/>
          <w:sz w:val="24"/>
          <w:szCs w:val="24"/>
          <w:highlight w:val="none"/>
        </w:rPr>
        <w:t>，否则其响应文件按无效响应处理。</w:t>
      </w:r>
    </w:p>
    <w:p w14:paraId="0D80D684">
      <w:pPr>
        <w:spacing w:line="360" w:lineRule="auto"/>
        <w:ind w:firstLine="480" w:firstLineChars="200"/>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3.如为联合体竞标，“供应商名称”处必须列明联合体各方名称，标注联合体牵头人名称，</w:t>
      </w:r>
      <w:r>
        <w:rPr>
          <w:rFonts w:hint="eastAsia" w:ascii="宋体" w:hAnsi="宋体" w:cs="仿宋_GB2312"/>
          <w:b/>
          <w:color w:val="auto"/>
          <w:sz w:val="24"/>
          <w:szCs w:val="24"/>
          <w:highlight w:val="none"/>
        </w:rPr>
        <w:t>否则其响应文件按无效响应处理。（采购人可根据项目情况自行修改是否需要联合体各方签字盖章）。</w:t>
      </w:r>
    </w:p>
    <w:p w14:paraId="7F513D91">
      <w:pPr>
        <w:spacing w:line="360" w:lineRule="auto"/>
        <w:ind w:firstLine="480" w:firstLineChars="200"/>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4.如为联合体竞标，盖章处须加盖联合体各方公章，</w:t>
      </w:r>
      <w:bookmarkStart w:id="55" w:name="_Hlk65851776"/>
      <w:bookmarkEnd w:id="55"/>
      <w:r>
        <w:rPr>
          <w:rFonts w:hint="eastAsia" w:ascii="宋体" w:hAnsi="宋体" w:cs="仿宋_GB2312"/>
          <w:b/>
          <w:color w:val="auto"/>
          <w:sz w:val="24"/>
          <w:szCs w:val="24"/>
          <w:highlight w:val="none"/>
        </w:rPr>
        <w:t>否则其响应文件按无效响应处理。（采购人可根据项目情况自行修改是否需要联合体各方签字盖章）。</w:t>
      </w:r>
    </w:p>
    <w:p w14:paraId="5BBA4841">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w:t>
      </w:r>
      <w:r>
        <w:rPr>
          <w:rFonts w:hint="eastAsia" w:ascii="宋体" w:hAnsi="宋体" w:cs="仿宋_GB2312"/>
          <w:color w:val="auto"/>
          <w:spacing w:val="-6"/>
          <w:sz w:val="24"/>
          <w:szCs w:val="24"/>
          <w:highlight w:val="none"/>
        </w:rPr>
        <w:t>如有多分标，分别列明各分标的报价表，</w:t>
      </w:r>
      <w:r>
        <w:rPr>
          <w:rFonts w:hint="eastAsia" w:ascii="宋体" w:hAnsi="宋体" w:cs="仿宋_GB2312"/>
          <w:b/>
          <w:color w:val="auto"/>
          <w:spacing w:val="-6"/>
          <w:sz w:val="24"/>
          <w:szCs w:val="24"/>
          <w:highlight w:val="none"/>
        </w:rPr>
        <w:t>否则其响应文件按无效响应处理。</w:t>
      </w:r>
    </w:p>
    <w:p w14:paraId="7921882A">
      <w:pPr>
        <w:spacing w:line="360" w:lineRule="auto"/>
        <w:ind w:right="-817" w:rightChars="-389"/>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2E5A64E5">
      <w:pPr>
        <w:spacing w:line="360" w:lineRule="auto"/>
        <w:ind w:right="-817" w:rightChars="-389" w:firstLine="2640" w:firstLineChars="11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法定代表人或者委托代理人（签字）：                    </w:t>
      </w:r>
    </w:p>
    <w:p w14:paraId="77F821F7">
      <w:pPr>
        <w:spacing w:line="360" w:lineRule="auto"/>
        <w:ind w:right="-817" w:rightChars="-389" w:firstLine="2640" w:firstLineChars="11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供应商（盖公章）：      </w:t>
      </w:r>
    </w:p>
    <w:p w14:paraId="41C79554">
      <w:pPr>
        <w:spacing w:line="360" w:lineRule="auto"/>
        <w:ind w:right="-817" w:rightChars="-389" w:firstLine="4080" w:firstLineChars="1700"/>
        <w:contextualSpacing/>
        <w:rPr>
          <w:rFonts w:ascii="宋体" w:hAnsi="宋体" w:cs="仿宋_GB2312"/>
          <w:b/>
          <w:color w:val="auto"/>
          <w:sz w:val="24"/>
          <w:szCs w:val="24"/>
          <w:highlight w:val="none"/>
        </w:rPr>
      </w:pPr>
      <w:r>
        <w:rPr>
          <w:rFonts w:hint="eastAsia" w:ascii="宋体" w:hAnsi="宋体" w:cs="仿宋_GB2312"/>
          <w:color w:val="auto"/>
          <w:sz w:val="24"/>
          <w:szCs w:val="24"/>
          <w:highlight w:val="none"/>
        </w:rPr>
        <w:t>日期：   年   月   日</w:t>
      </w:r>
    </w:p>
    <w:p w14:paraId="408029E0">
      <w:pPr>
        <w:spacing w:before="312" w:beforeLines="100" w:after="156" w:afterLines="50" w:line="520" w:lineRule="exact"/>
        <w:ind w:left="540"/>
        <w:jc w:val="center"/>
        <w:rPr>
          <w:rFonts w:hint="eastAsia" w:ascii="仿宋_GB2312" w:hAnsi="仿宋_GB2312"/>
          <w:color w:val="auto"/>
          <w:sz w:val="32"/>
          <w:szCs w:val="32"/>
          <w:highlight w:val="none"/>
        </w:rPr>
      </w:pPr>
      <w:r>
        <w:rPr>
          <w:rFonts w:hint="eastAsia" w:ascii="宋体" w:hAnsi="Courier New"/>
          <w:b/>
          <w:color w:val="auto"/>
          <w:sz w:val="32"/>
          <w:szCs w:val="32"/>
          <w:highlight w:val="none"/>
        </w:rPr>
        <w:br w:type="page"/>
      </w:r>
      <w:r>
        <w:rPr>
          <w:rFonts w:ascii="方正小标宋简体" w:hAnsi="方正小标宋简体"/>
          <w:bCs/>
          <w:color w:val="auto"/>
          <w:sz w:val="44"/>
          <w:szCs w:val="44"/>
          <w:highlight w:val="none"/>
        </w:rPr>
        <w:t>法定代表人身份证明</w:t>
      </w:r>
    </w:p>
    <w:p w14:paraId="0B6993AE">
      <w:pPr>
        <w:spacing w:line="360" w:lineRule="auto"/>
        <w:ind w:left="540"/>
        <w:contextualSpacing/>
        <w:rPr>
          <w:rFonts w:hint="eastAsia" w:ascii="仿宋_GB2312" w:hAnsi="仿宋_GB2312"/>
          <w:color w:val="auto"/>
          <w:sz w:val="32"/>
          <w:szCs w:val="32"/>
          <w:highlight w:val="none"/>
        </w:rPr>
      </w:pPr>
      <w:r>
        <w:rPr>
          <w:rFonts w:ascii="仿宋_GB2312" w:hAnsi="仿宋_GB2312"/>
          <w:color w:val="auto"/>
          <w:sz w:val="32"/>
          <w:szCs w:val="32"/>
          <w:highlight w:val="none"/>
        </w:rPr>
        <w:t xml:space="preserve"> </w:t>
      </w:r>
    </w:p>
    <w:p w14:paraId="7E8F2BEF">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p>
    <w:p w14:paraId="46FB3F69">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地    址：</w:t>
      </w:r>
      <w:r>
        <w:rPr>
          <w:rFonts w:hint="eastAsia" w:ascii="宋体" w:hAnsi="宋体" w:cs="仿宋_GB2312"/>
          <w:color w:val="auto"/>
          <w:sz w:val="24"/>
          <w:szCs w:val="24"/>
          <w:highlight w:val="none"/>
          <w:u w:val="single"/>
        </w:rPr>
        <w:t xml:space="preserve">                                                        </w:t>
      </w:r>
    </w:p>
    <w:p w14:paraId="6AA363DC">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姓    名：</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性     别：</w:t>
      </w:r>
      <w:r>
        <w:rPr>
          <w:rFonts w:hint="eastAsia" w:ascii="宋体" w:hAnsi="宋体" w:cs="仿宋_GB2312"/>
          <w:color w:val="auto"/>
          <w:sz w:val="24"/>
          <w:szCs w:val="24"/>
          <w:highlight w:val="none"/>
          <w:u w:val="single"/>
        </w:rPr>
        <w:t xml:space="preserve">                </w:t>
      </w:r>
    </w:p>
    <w:p w14:paraId="2B62DFC3">
      <w:pPr>
        <w:spacing w:line="360" w:lineRule="auto"/>
        <w:ind w:left="540"/>
        <w:contextualSpacing/>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年    龄：</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职     务：</w:t>
      </w:r>
      <w:r>
        <w:rPr>
          <w:rFonts w:hint="eastAsia" w:ascii="宋体" w:hAnsi="宋体" w:cs="仿宋_GB2312"/>
          <w:color w:val="auto"/>
          <w:sz w:val="24"/>
          <w:szCs w:val="24"/>
          <w:highlight w:val="none"/>
          <w:u w:val="single"/>
        </w:rPr>
        <w:t xml:space="preserve">                </w:t>
      </w:r>
    </w:p>
    <w:p w14:paraId="54FE3BD5">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身份证号码：</w:t>
      </w:r>
      <w:r>
        <w:rPr>
          <w:rFonts w:hint="eastAsia" w:ascii="宋体" w:hAnsi="宋体" w:cs="仿宋_GB2312"/>
          <w:color w:val="auto"/>
          <w:sz w:val="24"/>
          <w:szCs w:val="24"/>
          <w:highlight w:val="none"/>
          <w:u w:val="single"/>
        </w:rPr>
        <w:t xml:space="preserve">                                        </w:t>
      </w:r>
    </w:p>
    <w:p w14:paraId="0241B7BD">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系</w:t>
      </w:r>
      <w:r>
        <w:rPr>
          <w:rFonts w:hint="eastAsia" w:ascii="宋体" w:hAnsi="宋体" w:cs="仿宋_GB2312"/>
          <w:color w:val="auto"/>
          <w:sz w:val="24"/>
          <w:szCs w:val="24"/>
          <w:highlight w:val="none"/>
          <w:u w:val="single"/>
        </w:rPr>
        <w:t>（供应商名称）</w:t>
      </w:r>
      <w:r>
        <w:rPr>
          <w:rFonts w:hint="eastAsia" w:ascii="宋体" w:hAnsi="宋体" w:cs="仿宋_GB2312"/>
          <w:color w:val="auto"/>
          <w:sz w:val="24"/>
          <w:szCs w:val="24"/>
          <w:highlight w:val="none"/>
        </w:rPr>
        <w:t>的法定代表人。</w:t>
      </w:r>
    </w:p>
    <w:p w14:paraId="5E43193B">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0A1A6352">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17EFF1AA">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0D67DBA1">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25F96508">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附件：法定代表人有效身份证正反面复印件</w:t>
      </w:r>
    </w:p>
    <w:p w14:paraId="561C7270">
      <w:pPr>
        <w:spacing w:line="360" w:lineRule="auto"/>
        <w:ind w:left="54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6755525B">
      <w:pPr>
        <w:spacing w:line="360" w:lineRule="auto"/>
        <w:ind w:left="540"/>
        <w:contextualSpacing/>
        <w:jc w:val="right"/>
        <w:rPr>
          <w:rFonts w:ascii="宋体" w:hAnsi="宋体" w:cs="仿宋_GB2312"/>
          <w:color w:val="auto"/>
          <w:sz w:val="24"/>
          <w:szCs w:val="24"/>
          <w:highlight w:val="none"/>
        </w:rPr>
      </w:pPr>
      <w:r>
        <w:rPr>
          <w:rFonts w:hint="eastAsia" w:ascii="宋体" w:hAnsi="宋体" w:cs="仿宋_GB2312"/>
          <w:color w:val="auto"/>
          <w:sz w:val="24"/>
          <w:szCs w:val="24"/>
          <w:highlight w:val="none"/>
        </w:rPr>
        <w:t>供应商（盖公章）：</w:t>
      </w:r>
      <w:r>
        <w:rPr>
          <w:rFonts w:hint="eastAsia" w:ascii="宋体" w:hAnsi="宋体" w:cs="仿宋_GB2312"/>
          <w:color w:val="auto"/>
          <w:sz w:val="24"/>
          <w:szCs w:val="24"/>
          <w:highlight w:val="none"/>
          <w:u w:val="single"/>
        </w:rPr>
        <w:t xml:space="preserve">               </w:t>
      </w:r>
    </w:p>
    <w:p w14:paraId="1A73E990">
      <w:pPr>
        <w:spacing w:line="360" w:lineRule="auto"/>
        <w:ind w:firstLine="4080" w:firstLineChars="17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月</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日</w:t>
      </w:r>
    </w:p>
    <w:p w14:paraId="356889DC">
      <w:pPr>
        <w:spacing w:line="360" w:lineRule="auto"/>
        <w:contextualSpacing/>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 xml:space="preserve"> </w:t>
      </w:r>
    </w:p>
    <w:p w14:paraId="7A42FAD1">
      <w:pPr>
        <w:spacing w:line="360" w:lineRule="auto"/>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1F560650">
      <w:pPr>
        <w:spacing w:line="360" w:lineRule="auto"/>
        <w:contextualSpacing/>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注：自然人竞标的无需提供，联合体竞标的只需牵头人出具。</w:t>
      </w:r>
    </w:p>
    <w:p w14:paraId="49FE683B">
      <w:pPr>
        <w:adjustRightInd w:val="0"/>
        <w:snapToGrid w:val="0"/>
        <w:spacing w:line="300" w:lineRule="auto"/>
        <w:jc w:val="left"/>
        <w:rPr>
          <w:rFonts w:ascii="宋体" w:hAnsi="宋体"/>
          <w:b/>
          <w:color w:val="auto"/>
          <w:highlight w:val="none"/>
        </w:rPr>
      </w:pPr>
      <w:r>
        <w:rPr>
          <w:rFonts w:hint="eastAsia" w:ascii="宋体" w:hAnsi="宋体"/>
          <w:b/>
          <w:color w:val="auto"/>
          <w:highlight w:val="none"/>
        </w:rPr>
        <w:t xml:space="preserve"> </w:t>
      </w:r>
    </w:p>
    <w:p w14:paraId="445747AC">
      <w:pPr>
        <w:spacing w:line="500" w:lineRule="exact"/>
        <w:jc w:val="center"/>
        <w:rPr>
          <w:rFonts w:hint="eastAsia" w:ascii="方正小标宋简体" w:hAnsi="方正小标宋简体"/>
          <w:color w:val="auto"/>
          <w:sz w:val="44"/>
          <w:szCs w:val="44"/>
          <w:highlight w:val="none"/>
        </w:rPr>
      </w:pPr>
      <w:r>
        <w:rPr>
          <w:rFonts w:ascii="方正小标宋简体" w:hAnsi="方正小标宋简体"/>
          <w:color w:val="auto"/>
          <w:sz w:val="44"/>
          <w:szCs w:val="44"/>
          <w:highlight w:val="none"/>
        </w:rPr>
        <w:br w:type="page"/>
      </w:r>
      <w:r>
        <w:rPr>
          <w:rFonts w:ascii="方正小标宋简体" w:hAnsi="方正小标宋简体"/>
          <w:color w:val="auto"/>
          <w:sz w:val="44"/>
          <w:szCs w:val="44"/>
          <w:highlight w:val="none"/>
        </w:rPr>
        <w:t xml:space="preserve"> </w:t>
      </w:r>
    </w:p>
    <w:p w14:paraId="753D86EE">
      <w:pPr>
        <w:spacing w:line="520" w:lineRule="exact"/>
        <w:jc w:val="center"/>
        <w:rPr>
          <w:rFonts w:hint="eastAsia" w:ascii="方正小标宋简体" w:hAnsi="方正小标宋简体"/>
          <w:color w:val="auto"/>
          <w:sz w:val="44"/>
          <w:szCs w:val="44"/>
          <w:highlight w:val="none"/>
        </w:rPr>
      </w:pPr>
      <w:bookmarkStart w:id="56" w:name="_Hlk65853643"/>
      <w:bookmarkEnd w:id="56"/>
      <w:r>
        <w:rPr>
          <w:rFonts w:ascii="方正小标宋简体" w:hAnsi="方正小标宋简体"/>
          <w:color w:val="auto"/>
          <w:sz w:val="44"/>
          <w:szCs w:val="44"/>
          <w:highlight w:val="none"/>
        </w:rPr>
        <w:t>授权委托书</w:t>
      </w:r>
    </w:p>
    <w:p w14:paraId="152FC2EB">
      <w:pPr>
        <w:spacing w:line="520" w:lineRule="exact"/>
        <w:jc w:val="center"/>
        <w:rPr>
          <w:rFonts w:hint="eastAsia" w:ascii="方正小标宋简体" w:hAnsi="方正小标宋简体"/>
          <w:color w:val="auto"/>
          <w:sz w:val="32"/>
          <w:szCs w:val="32"/>
          <w:highlight w:val="none"/>
        </w:rPr>
      </w:pPr>
      <w:r>
        <w:rPr>
          <w:rFonts w:ascii="方正小标宋简体" w:hAnsi="方正小标宋简体"/>
          <w:color w:val="auto"/>
          <w:sz w:val="32"/>
          <w:szCs w:val="32"/>
          <w:highlight w:val="none"/>
        </w:rPr>
        <w:t>（非联合体竞标格式）</w:t>
      </w:r>
    </w:p>
    <w:p w14:paraId="549D243F">
      <w:pPr>
        <w:spacing w:line="520" w:lineRule="exact"/>
        <w:jc w:val="center"/>
        <w:rPr>
          <w:rFonts w:hint="eastAsia" w:ascii="方正小标宋简体" w:hAnsi="方正小标宋简体"/>
          <w:color w:val="auto"/>
          <w:sz w:val="44"/>
          <w:szCs w:val="44"/>
          <w:highlight w:val="none"/>
        </w:rPr>
      </w:pPr>
      <w:r>
        <w:rPr>
          <w:rFonts w:ascii="方正小标宋简体" w:hAnsi="方正小标宋简体"/>
          <w:color w:val="auto"/>
          <w:sz w:val="32"/>
          <w:szCs w:val="32"/>
          <w:highlight w:val="none"/>
        </w:rPr>
        <w:t>（如有委托时）</w:t>
      </w:r>
    </w:p>
    <w:p w14:paraId="3F2E1249">
      <w:pPr>
        <w:spacing w:line="520" w:lineRule="exact"/>
        <w:rPr>
          <w:rFonts w:hint="eastAsia" w:ascii="仿宋_GB2312" w:hAnsi="仿宋_GB2312"/>
          <w:color w:val="auto"/>
          <w:sz w:val="32"/>
          <w:szCs w:val="32"/>
          <w:highlight w:val="none"/>
        </w:rPr>
      </w:pPr>
      <w:r>
        <w:rPr>
          <w:rFonts w:ascii="仿宋_GB2312" w:hAnsi="仿宋_GB2312"/>
          <w:color w:val="auto"/>
          <w:sz w:val="32"/>
          <w:szCs w:val="32"/>
          <w:highlight w:val="none"/>
        </w:rPr>
        <w:t xml:space="preserve"> </w:t>
      </w:r>
    </w:p>
    <w:p w14:paraId="151ACF19">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致：</w:t>
      </w:r>
      <w:r>
        <w:rPr>
          <w:rFonts w:hint="eastAsia" w:ascii="宋体" w:hAnsi="宋体" w:cs="仿宋_GB2312"/>
          <w:color w:val="auto"/>
          <w:sz w:val="24"/>
          <w:szCs w:val="24"/>
          <w:highlight w:val="none"/>
          <w:u w:val="single"/>
        </w:rPr>
        <w:t>（采购人名称）</w:t>
      </w:r>
      <w:r>
        <w:rPr>
          <w:rFonts w:hint="eastAsia" w:ascii="宋体" w:hAnsi="宋体" w:cs="仿宋_GB2312"/>
          <w:color w:val="auto"/>
          <w:sz w:val="24"/>
          <w:szCs w:val="24"/>
          <w:highlight w:val="none"/>
        </w:rPr>
        <w:t>：</w:t>
      </w:r>
    </w:p>
    <w:p w14:paraId="48C7DCDB">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我</w:t>
      </w:r>
      <w:r>
        <w:rPr>
          <w:rFonts w:hint="eastAsia" w:ascii="宋体" w:hAnsi="宋体" w:cs="仿宋_GB2312"/>
          <w:color w:val="auto"/>
          <w:sz w:val="24"/>
          <w:szCs w:val="24"/>
          <w:highlight w:val="none"/>
          <w:u w:val="single"/>
        </w:rPr>
        <w:t xml:space="preserve">  （姓名）  </w:t>
      </w:r>
      <w:r>
        <w:rPr>
          <w:rFonts w:hint="eastAsia" w:ascii="宋体" w:hAnsi="宋体" w:cs="仿宋_GB2312"/>
          <w:color w:val="auto"/>
          <w:sz w:val="24"/>
          <w:szCs w:val="24"/>
          <w:highlight w:val="none"/>
        </w:rPr>
        <w:t>系</w:t>
      </w:r>
      <w:r>
        <w:rPr>
          <w:rFonts w:hint="eastAsia" w:ascii="宋体" w:hAnsi="宋体" w:cs="仿宋_GB2312"/>
          <w:color w:val="auto"/>
          <w:sz w:val="24"/>
          <w:szCs w:val="24"/>
          <w:highlight w:val="none"/>
          <w:u w:val="single"/>
        </w:rPr>
        <w:t xml:space="preserve">  （供应商名称）  </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u w:val="single"/>
        </w:rPr>
        <w:t>法定代表人/负责人/自然人本人</w:t>
      </w:r>
      <w:r>
        <w:rPr>
          <w:rFonts w:hint="eastAsia" w:ascii="宋体" w:hAnsi="宋体" w:cs="仿宋_GB2312"/>
          <w:color w:val="auto"/>
          <w:sz w:val="24"/>
          <w:szCs w:val="24"/>
          <w:highlight w:val="none"/>
        </w:rPr>
        <w:t>），现授权</w:t>
      </w:r>
      <w:r>
        <w:rPr>
          <w:rFonts w:hint="eastAsia" w:ascii="宋体" w:hAnsi="宋体" w:cs="仿宋_GB2312"/>
          <w:color w:val="auto"/>
          <w:sz w:val="24"/>
          <w:szCs w:val="24"/>
          <w:highlight w:val="none"/>
          <w:u w:val="single"/>
        </w:rPr>
        <w:t xml:space="preserve"> （姓名） </w:t>
      </w:r>
      <w:r>
        <w:rPr>
          <w:rFonts w:hint="eastAsia" w:ascii="宋体" w:hAnsi="宋体" w:cs="仿宋_GB2312"/>
          <w:color w:val="auto"/>
          <w:sz w:val="24"/>
          <w:szCs w:val="24"/>
          <w:highlight w:val="none"/>
        </w:rPr>
        <w:t>以我方的名义参加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项目的竞标活动，并代表我方全权办理针对上述项目的所有采购程序和环节的具体事务和签署相关文件。</w:t>
      </w:r>
    </w:p>
    <w:p w14:paraId="7D8C08B2">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我方对委托代理人的签字事项负全部责任。</w:t>
      </w:r>
    </w:p>
    <w:p w14:paraId="620DC42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14:paraId="7651A544">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委托代理人无转委托权，特此委托。</w:t>
      </w:r>
    </w:p>
    <w:p w14:paraId="649CCA4C">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附：法定代表人身份证明及委托代理人有效身份证正反面复印件</w:t>
      </w:r>
    </w:p>
    <w:p w14:paraId="10480766">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6DC8E268">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委托代理人（签字）：         法定代表人（签字或者盖章）：                    </w:t>
      </w:r>
    </w:p>
    <w:p w14:paraId="708BEDCB">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委托代理人身份证号码：                              </w:t>
      </w:r>
    </w:p>
    <w:p w14:paraId="25016714">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5B782DAE">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供应商（盖公章）：                      </w:t>
      </w:r>
    </w:p>
    <w:p w14:paraId="4C65EED7">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年    月    日</w:t>
      </w:r>
    </w:p>
    <w:p w14:paraId="183CDCE5">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2252D2D0">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注：1. 法定代表人必须在授权委托书上亲笔签字或者盖章，委托代理人必须在授权委托书上亲笔签字，</w:t>
      </w:r>
      <w:r>
        <w:rPr>
          <w:rFonts w:hint="eastAsia" w:ascii="宋体" w:hAnsi="宋体" w:cs="仿宋_GB2312"/>
          <w:b/>
          <w:color w:val="auto"/>
          <w:sz w:val="24"/>
          <w:szCs w:val="24"/>
          <w:highlight w:val="none"/>
        </w:rPr>
        <w:t>否则其响应文件按无效响应处理。</w:t>
      </w:r>
    </w:p>
    <w:p w14:paraId="607467B2">
      <w:pPr>
        <w:spacing w:line="360" w:lineRule="auto"/>
        <w:ind w:firstLine="480" w:firstLineChars="20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2.</w:t>
      </w:r>
      <w:bookmarkStart w:id="57" w:name="_Hlk65853109"/>
      <w:bookmarkEnd w:id="57"/>
      <w:bookmarkStart w:id="58" w:name="_Hlk65853542"/>
      <w:r>
        <w:rPr>
          <w:rFonts w:hint="eastAsia" w:ascii="宋体" w:hAnsi="宋体" w:cs="仿宋_GB2312"/>
          <w:color w:val="auto"/>
          <w:sz w:val="24"/>
          <w:szCs w:val="24"/>
          <w:highlight w:val="none"/>
        </w:rPr>
        <w:t>法人、其他组织竞标时“我方”是指“我单位”，自然人竞标时“我方”是指“本人”。</w:t>
      </w:r>
      <w:bookmarkEnd w:id="58"/>
    </w:p>
    <w:p w14:paraId="79AE3998">
      <w:pPr>
        <w:spacing w:line="360" w:lineRule="auto"/>
        <w:ind w:firstLine="420" w:firstLineChars="200"/>
        <w:jc w:val="left"/>
        <w:rPr>
          <w:rFonts w:hint="eastAsia" w:ascii="仿宋_GB2312" w:hAnsi="仿宋_GB2312"/>
          <w:color w:val="auto"/>
          <w:highlight w:val="none"/>
        </w:rPr>
      </w:pPr>
      <w:r>
        <w:rPr>
          <w:rFonts w:ascii="仿宋_GB2312" w:hAnsi="仿宋_GB2312"/>
          <w:color w:val="auto"/>
          <w:highlight w:val="none"/>
        </w:rPr>
        <w:t xml:space="preserve"> </w:t>
      </w:r>
    </w:p>
    <w:p w14:paraId="6186F72D">
      <w:pPr>
        <w:spacing w:line="500" w:lineRule="exact"/>
        <w:jc w:val="center"/>
        <w:rPr>
          <w:rFonts w:hint="eastAsia" w:ascii="方正小标宋简体" w:hAnsi="方正小标宋简体"/>
          <w:color w:val="auto"/>
          <w:sz w:val="44"/>
          <w:szCs w:val="44"/>
          <w:highlight w:val="none"/>
        </w:rPr>
      </w:pPr>
      <w:r>
        <w:rPr>
          <w:rFonts w:ascii="仿宋_GB2312" w:hAnsi="仿宋_GB2312"/>
          <w:color w:val="auto"/>
          <w:highlight w:val="none"/>
        </w:rPr>
        <w:br w:type="page"/>
      </w:r>
      <w:r>
        <w:rPr>
          <w:rFonts w:ascii="方正小标宋简体" w:hAnsi="方正小标宋简体"/>
          <w:color w:val="auto"/>
          <w:sz w:val="44"/>
          <w:szCs w:val="44"/>
          <w:highlight w:val="none"/>
        </w:rPr>
        <w:t>授权委托书</w:t>
      </w:r>
    </w:p>
    <w:p w14:paraId="095C10D1">
      <w:pPr>
        <w:spacing w:line="500" w:lineRule="exact"/>
        <w:jc w:val="center"/>
        <w:rPr>
          <w:rFonts w:hint="eastAsia" w:ascii="方正小标宋简体" w:hAnsi="方正小标宋简体"/>
          <w:color w:val="auto"/>
          <w:sz w:val="32"/>
          <w:szCs w:val="32"/>
          <w:highlight w:val="none"/>
        </w:rPr>
      </w:pPr>
      <w:r>
        <w:rPr>
          <w:rFonts w:ascii="方正小标宋简体" w:hAnsi="方正小标宋简体"/>
          <w:color w:val="auto"/>
          <w:sz w:val="32"/>
          <w:szCs w:val="32"/>
          <w:highlight w:val="none"/>
        </w:rPr>
        <w:t>（联合体竞标格式）</w:t>
      </w:r>
    </w:p>
    <w:p w14:paraId="484E7FCD">
      <w:pPr>
        <w:spacing w:line="500" w:lineRule="exact"/>
        <w:jc w:val="center"/>
        <w:rPr>
          <w:rFonts w:hint="eastAsia" w:ascii="方正小标宋简体" w:hAnsi="方正小标宋简体"/>
          <w:color w:val="auto"/>
          <w:sz w:val="44"/>
          <w:szCs w:val="44"/>
          <w:highlight w:val="none"/>
        </w:rPr>
      </w:pPr>
      <w:r>
        <w:rPr>
          <w:rFonts w:ascii="方正小标宋简体" w:hAnsi="方正小标宋简体"/>
          <w:color w:val="auto"/>
          <w:sz w:val="32"/>
          <w:szCs w:val="32"/>
          <w:highlight w:val="none"/>
        </w:rPr>
        <w:t>（如有委托时）</w:t>
      </w:r>
    </w:p>
    <w:p w14:paraId="65740B3D">
      <w:pPr>
        <w:spacing w:line="500" w:lineRule="exact"/>
        <w:jc w:val="center"/>
        <w:rPr>
          <w:rFonts w:hint="eastAsia" w:ascii="方正小标宋简体" w:hAnsi="方正小标宋简体"/>
          <w:color w:val="auto"/>
          <w:sz w:val="44"/>
          <w:szCs w:val="44"/>
          <w:highlight w:val="none"/>
        </w:rPr>
      </w:pPr>
      <w:r>
        <w:rPr>
          <w:rFonts w:ascii="方正小标宋简体" w:hAnsi="方正小标宋简体"/>
          <w:color w:val="auto"/>
          <w:sz w:val="44"/>
          <w:szCs w:val="44"/>
          <w:highlight w:val="none"/>
        </w:rPr>
        <w:t xml:space="preserve"> </w:t>
      </w:r>
    </w:p>
    <w:p w14:paraId="2D3D1984">
      <w:pPr>
        <w:spacing w:line="500" w:lineRule="exact"/>
        <w:jc w:val="center"/>
        <w:rPr>
          <w:rFonts w:hint="eastAsia" w:ascii="仿宋_GB2312" w:hAnsi="仿宋_GB2312"/>
          <w:color w:val="auto"/>
          <w:sz w:val="32"/>
          <w:szCs w:val="32"/>
          <w:highlight w:val="none"/>
        </w:rPr>
      </w:pPr>
      <w:r>
        <w:rPr>
          <w:rFonts w:ascii="仿宋_GB2312" w:hAnsi="仿宋_GB2312"/>
          <w:color w:val="auto"/>
          <w:sz w:val="32"/>
          <w:szCs w:val="32"/>
          <w:highlight w:val="none"/>
        </w:rPr>
        <w:t xml:space="preserve"> </w:t>
      </w:r>
    </w:p>
    <w:p w14:paraId="7BC7D1FC">
      <w:pPr>
        <w:spacing w:line="360" w:lineRule="auto"/>
        <w:ind w:firstLine="480" w:firstLineChars="20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本授权委托书声明：根据</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（牵头人名称）与</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（联合体其他成员名称）签订的《联合体竞标协议书》的内容，</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（牵头人名称）的法定代表人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（姓名）现授权</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（姓名）为联合委托代理人，并代表我方全权办理针对上述项目的所有采购程序和环节的具体事务和签署相关文件。</w:t>
      </w:r>
    </w:p>
    <w:p w14:paraId="6193EABB">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我方对委托代理人的签字事项负全部责任。</w:t>
      </w:r>
    </w:p>
    <w:p w14:paraId="1813968D">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14:paraId="0DF2739A">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委托代理人无转委托权，特此委托。</w:t>
      </w:r>
    </w:p>
    <w:p w14:paraId="6BF84FE7">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附：法定代表人身份证明及委托代理人有效身份证正反面复印件</w:t>
      </w:r>
    </w:p>
    <w:p w14:paraId="1777A41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牵头人法定代表人（签字或者盖章）：</w:t>
      </w:r>
    </w:p>
    <w:p w14:paraId="032E36BA">
      <w:pPr>
        <w:spacing w:line="360" w:lineRule="auto"/>
        <w:ind w:firstLine="3120" w:firstLineChars="1300"/>
        <w:rPr>
          <w:rFonts w:ascii="宋体" w:hAnsi="宋体" w:cs="仿宋_GB2312"/>
          <w:color w:val="auto"/>
          <w:sz w:val="24"/>
          <w:szCs w:val="24"/>
          <w:highlight w:val="none"/>
        </w:rPr>
      </w:pPr>
      <w:r>
        <w:rPr>
          <w:rFonts w:hint="eastAsia" w:ascii="宋体" w:hAnsi="宋体" w:cs="仿宋_GB2312"/>
          <w:color w:val="auto"/>
          <w:sz w:val="24"/>
          <w:szCs w:val="24"/>
          <w:highlight w:val="none"/>
        </w:rPr>
        <w:t>牵头人（盖公章）：</w:t>
      </w:r>
    </w:p>
    <w:p w14:paraId="1D15DB9C">
      <w:pPr>
        <w:spacing w:line="360" w:lineRule="auto"/>
        <w:ind w:firstLine="3840" w:firstLineChars="1600"/>
        <w:rPr>
          <w:rFonts w:ascii="宋体" w:hAnsi="宋体" w:cs="仿宋_GB2312"/>
          <w:color w:val="auto"/>
          <w:sz w:val="24"/>
          <w:szCs w:val="24"/>
          <w:highlight w:val="none"/>
        </w:rPr>
      </w:pPr>
      <w:r>
        <w:rPr>
          <w:rFonts w:hint="eastAsia" w:ascii="宋体" w:hAnsi="宋体" w:cs="仿宋_GB2312"/>
          <w:color w:val="auto"/>
          <w:sz w:val="24"/>
          <w:szCs w:val="24"/>
          <w:highlight w:val="none"/>
        </w:rPr>
        <w:t>日期：    年   月   日</w:t>
      </w:r>
    </w:p>
    <w:p w14:paraId="51062090">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770714FD">
      <w:pPr>
        <w:spacing w:line="360" w:lineRule="auto"/>
        <w:ind w:firstLine="3120" w:firstLineChars="1300"/>
        <w:rPr>
          <w:rFonts w:ascii="宋体" w:hAnsi="宋体" w:cs="仿宋_GB2312"/>
          <w:color w:val="auto"/>
          <w:sz w:val="24"/>
          <w:szCs w:val="24"/>
          <w:highlight w:val="none"/>
        </w:rPr>
      </w:pPr>
      <w:r>
        <w:rPr>
          <w:rFonts w:hint="eastAsia" w:ascii="宋体" w:hAnsi="宋体" w:cs="仿宋_GB2312"/>
          <w:color w:val="auto"/>
          <w:sz w:val="24"/>
          <w:szCs w:val="24"/>
          <w:highlight w:val="none"/>
        </w:rPr>
        <w:t>被授权人（签字）：</w:t>
      </w:r>
    </w:p>
    <w:p w14:paraId="6CF3EF88">
      <w:pPr>
        <w:spacing w:line="360" w:lineRule="auto"/>
        <w:ind w:firstLine="3840" w:firstLineChars="1600"/>
        <w:rPr>
          <w:rFonts w:ascii="宋体" w:hAnsi="宋体" w:cs="仿宋_GB2312"/>
          <w:color w:val="auto"/>
          <w:sz w:val="24"/>
          <w:szCs w:val="24"/>
          <w:highlight w:val="none"/>
        </w:rPr>
      </w:pPr>
      <w:r>
        <w:rPr>
          <w:rFonts w:hint="eastAsia" w:ascii="宋体" w:hAnsi="宋体" w:cs="仿宋_GB2312"/>
          <w:color w:val="auto"/>
          <w:sz w:val="24"/>
          <w:szCs w:val="24"/>
          <w:highlight w:val="none"/>
        </w:rPr>
        <w:t>日期：    年   月   日</w:t>
      </w:r>
    </w:p>
    <w:p w14:paraId="45AF225F">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4220E1B5">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注：1. 法定代表人必须在授权委托书上亲笔签字或者盖章，委托代理人必须在授权委托书上亲笔签字，</w:t>
      </w:r>
      <w:r>
        <w:rPr>
          <w:rFonts w:hint="eastAsia" w:ascii="宋体" w:hAnsi="宋体" w:cs="仿宋_GB2312"/>
          <w:b/>
          <w:color w:val="auto"/>
          <w:sz w:val="24"/>
          <w:szCs w:val="24"/>
          <w:highlight w:val="none"/>
        </w:rPr>
        <w:t>否则其响应文件按无效响应处理。</w:t>
      </w:r>
    </w:p>
    <w:p w14:paraId="1404CBC7">
      <w:pPr>
        <w:spacing w:line="360" w:lineRule="auto"/>
        <w:ind w:firstLine="480" w:firstLineChars="20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2.本授权委托书应由联合体牵头人的法定代表人按上述规定签署。</w:t>
      </w:r>
    </w:p>
    <w:p w14:paraId="71041E67">
      <w:pPr>
        <w:spacing w:line="360" w:lineRule="auto"/>
        <w:ind w:firstLine="480" w:firstLineChars="200"/>
        <w:jc w:val="left"/>
        <w:rPr>
          <w:rFonts w:ascii="宋体" w:hAnsi="宋体" w:cs="仿宋_GB2312"/>
          <w:color w:val="auto"/>
          <w:spacing w:val="-11"/>
          <w:sz w:val="24"/>
          <w:szCs w:val="24"/>
          <w:highlight w:val="none"/>
        </w:rPr>
      </w:pPr>
      <w:r>
        <w:rPr>
          <w:rFonts w:hint="eastAsia" w:ascii="宋体" w:hAnsi="宋体" w:cs="仿宋_GB2312"/>
          <w:color w:val="auto"/>
          <w:sz w:val="24"/>
          <w:szCs w:val="24"/>
          <w:highlight w:val="none"/>
        </w:rPr>
        <w:t>3.</w:t>
      </w:r>
      <w:r>
        <w:rPr>
          <w:rFonts w:hint="eastAsia" w:ascii="宋体" w:hAnsi="宋体" w:cs="仿宋_GB2312"/>
          <w:color w:val="auto"/>
          <w:spacing w:val="-11"/>
          <w:sz w:val="24"/>
          <w:szCs w:val="24"/>
          <w:highlight w:val="none"/>
        </w:rPr>
        <w:t>法人、其他组织竞标时“我方”是指“我单位”，自然人竞标时“我方”是指“本人”。</w:t>
      </w:r>
    </w:p>
    <w:p w14:paraId="00E96CE2">
      <w:pPr>
        <w:spacing w:line="500" w:lineRule="exact"/>
        <w:jc w:val="center"/>
        <w:rPr>
          <w:rFonts w:hint="eastAsia" w:ascii="方正小标宋简体" w:hAnsi="方正小标宋简体"/>
          <w:bCs/>
          <w:color w:val="auto"/>
          <w:sz w:val="44"/>
          <w:szCs w:val="44"/>
          <w:highlight w:val="none"/>
        </w:rPr>
      </w:pPr>
      <w:r>
        <w:rPr>
          <w:rFonts w:ascii="仿宋_GB2312" w:hAnsi="仿宋_GB2312"/>
          <w:color w:val="auto"/>
          <w:sz w:val="32"/>
          <w:szCs w:val="32"/>
          <w:highlight w:val="none"/>
        </w:rPr>
        <w:br w:type="page"/>
      </w:r>
      <w:r>
        <w:rPr>
          <w:rFonts w:ascii="方正小标宋简体" w:hAnsi="方正小标宋简体"/>
          <w:bCs/>
          <w:color w:val="auto"/>
          <w:sz w:val="44"/>
          <w:szCs w:val="44"/>
          <w:highlight w:val="none"/>
        </w:rPr>
        <w:t>商务要求偏离表</w:t>
      </w:r>
      <w:r>
        <w:rPr>
          <w:rFonts w:ascii="方正小标宋简体" w:hAnsi="方正小标宋简体"/>
          <w:bCs/>
          <w:color w:val="auto"/>
          <w:sz w:val="28"/>
          <w:szCs w:val="28"/>
          <w:highlight w:val="none"/>
        </w:rPr>
        <w:t>（格式）</w:t>
      </w:r>
    </w:p>
    <w:p w14:paraId="0A19228A">
      <w:pPr>
        <w:spacing w:line="500" w:lineRule="exact"/>
        <w:jc w:val="center"/>
        <w:rPr>
          <w:rFonts w:ascii="宋体" w:hAnsi="宋体"/>
          <w:b/>
          <w:color w:val="auto"/>
          <w:sz w:val="32"/>
          <w:szCs w:val="32"/>
          <w:highlight w:val="none"/>
        </w:rPr>
      </w:pPr>
      <w:r>
        <w:rPr>
          <w:rFonts w:ascii="方正小标宋简体" w:hAnsi="方正小标宋简体"/>
          <w:bCs/>
          <w:color w:val="auto"/>
          <w:sz w:val="32"/>
          <w:szCs w:val="32"/>
          <w:highlight w:val="none"/>
        </w:rPr>
        <w:t>（注：按采购需求具体条款修改）</w:t>
      </w:r>
    </w:p>
    <w:p w14:paraId="566379DA">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7A1123A2">
      <w:pPr>
        <w:pStyle w:val="10"/>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分标（如有）：</w:t>
      </w:r>
      <w:r>
        <w:rPr>
          <w:rFonts w:hint="eastAsia" w:hAnsi="宋体" w:cs="仿宋_GB2312"/>
          <w:color w:val="auto"/>
          <w:sz w:val="24"/>
          <w:szCs w:val="24"/>
          <w:highlight w:val="none"/>
          <w:u w:val="single"/>
        </w:rPr>
        <w:t xml:space="preserve">              </w:t>
      </w:r>
    </w:p>
    <w:p w14:paraId="36E04E66">
      <w:pPr>
        <w:spacing w:line="360" w:lineRule="auto"/>
        <w:contextualSpacing/>
        <w:jc w:val="left"/>
        <w:rPr>
          <w:rFonts w:ascii="宋体" w:hAnsi="宋体" w:cs="仿宋_GB2312"/>
          <w:color w:val="auto"/>
          <w:sz w:val="24"/>
          <w:szCs w:val="24"/>
          <w:highlight w:val="none"/>
          <w:u w:val="single"/>
        </w:rPr>
      </w:pPr>
      <w:r>
        <w:rPr>
          <w:rFonts w:hint="eastAsia" w:ascii="宋体" w:hAnsi="宋体" w:cs="仿宋_GB2312"/>
          <w:color w:val="auto"/>
          <w:sz w:val="24"/>
          <w:szCs w:val="24"/>
          <w:highlight w:val="none"/>
          <w:u w:val="single"/>
        </w:rPr>
        <w:t xml:space="preserve"> </w:t>
      </w:r>
    </w:p>
    <w:tbl>
      <w:tblPr>
        <w:tblStyle w:val="15"/>
        <w:tblW w:w="9308" w:type="dxa"/>
        <w:tblInd w:w="1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9C85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E798A99">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项目</w:t>
            </w:r>
          </w:p>
        </w:tc>
        <w:tc>
          <w:tcPr>
            <w:tcW w:w="2668" w:type="dxa"/>
            <w:tcBorders>
              <w:top w:val="single" w:color="auto" w:sz="4" w:space="0"/>
              <w:left w:val="nil"/>
              <w:bottom w:val="single" w:color="auto" w:sz="4" w:space="0"/>
              <w:right w:val="single" w:color="auto" w:sz="4" w:space="0"/>
            </w:tcBorders>
            <w:vAlign w:val="center"/>
          </w:tcPr>
          <w:p w14:paraId="020A6A2B">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磋商文件商务要求</w:t>
            </w:r>
          </w:p>
        </w:tc>
        <w:tc>
          <w:tcPr>
            <w:tcW w:w="2350" w:type="dxa"/>
            <w:tcBorders>
              <w:top w:val="single" w:color="auto" w:sz="4" w:space="0"/>
              <w:left w:val="nil"/>
              <w:bottom w:val="single" w:color="auto" w:sz="4" w:space="0"/>
              <w:right w:val="single" w:color="auto" w:sz="4" w:space="0"/>
            </w:tcBorders>
            <w:vAlign w:val="center"/>
          </w:tcPr>
          <w:p w14:paraId="5BC707A4">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供应商的响应</w:t>
            </w:r>
          </w:p>
        </w:tc>
        <w:tc>
          <w:tcPr>
            <w:tcW w:w="2112" w:type="dxa"/>
            <w:tcBorders>
              <w:top w:val="single" w:color="auto" w:sz="4" w:space="0"/>
              <w:left w:val="nil"/>
              <w:bottom w:val="single" w:color="auto" w:sz="4" w:space="0"/>
              <w:right w:val="single" w:color="auto" w:sz="4" w:space="0"/>
            </w:tcBorders>
            <w:vAlign w:val="center"/>
          </w:tcPr>
          <w:p w14:paraId="13BC950E">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r>
      <w:tr w14:paraId="197A4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7BD60978">
            <w:pPr>
              <w:jc w:val="center"/>
              <w:rPr>
                <w:rFonts w:ascii="宋体" w:hAnsi="宋体"/>
                <w:color w:val="auto"/>
                <w:sz w:val="24"/>
                <w:szCs w:val="24"/>
                <w:highlight w:val="none"/>
              </w:rPr>
            </w:pPr>
          </w:p>
        </w:tc>
        <w:tc>
          <w:tcPr>
            <w:tcW w:w="2668" w:type="dxa"/>
            <w:tcBorders>
              <w:top w:val="single" w:color="auto" w:sz="4" w:space="0"/>
              <w:left w:val="nil"/>
              <w:bottom w:val="single" w:color="auto" w:sz="4" w:space="0"/>
              <w:right w:val="single" w:color="auto" w:sz="4" w:space="0"/>
            </w:tcBorders>
            <w:vAlign w:val="center"/>
          </w:tcPr>
          <w:p w14:paraId="75208F6B">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nil"/>
              <w:bottom w:val="single" w:color="auto" w:sz="4" w:space="0"/>
              <w:right w:val="single" w:color="auto" w:sz="4" w:space="0"/>
            </w:tcBorders>
            <w:vAlign w:val="center"/>
          </w:tcPr>
          <w:p w14:paraId="0EE4FA73">
            <w:pPr>
              <w:spacing w:line="360" w:lineRule="auto"/>
              <w:contextualSpacing/>
              <w:jc w:val="center"/>
              <w:rPr>
                <w:rFonts w:ascii="宋体" w:hAnsi="宋体" w:cs="仿宋_GB2312"/>
                <w:color w:val="auto"/>
                <w:sz w:val="24"/>
                <w:szCs w:val="24"/>
                <w:highlight w:val="none"/>
              </w:rPr>
            </w:pPr>
          </w:p>
        </w:tc>
        <w:tc>
          <w:tcPr>
            <w:tcW w:w="2112" w:type="dxa"/>
            <w:tcBorders>
              <w:top w:val="single" w:color="auto" w:sz="4" w:space="0"/>
              <w:left w:val="nil"/>
              <w:bottom w:val="single" w:color="auto" w:sz="4" w:space="0"/>
              <w:right w:val="single" w:color="auto" w:sz="4" w:space="0"/>
            </w:tcBorders>
            <w:vAlign w:val="center"/>
          </w:tcPr>
          <w:p w14:paraId="3C3463D9">
            <w:pPr>
              <w:spacing w:line="360" w:lineRule="auto"/>
              <w:contextualSpacing/>
              <w:jc w:val="center"/>
              <w:rPr>
                <w:rFonts w:ascii="宋体" w:hAnsi="宋体" w:cs="仿宋_GB2312"/>
                <w:color w:val="auto"/>
                <w:sz w:val="24"/>
                <w:szCs w:val="24"/>
                <w:highlight w:val="none"/>
              </w:rPr>
            </w:pPr>
          </w:p>
        </w:tc>
      </w:tr>
      <w:tr w14:paraId="0EAC4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98EBF0B">
            <w:pPr>
              <w:jc w:val="center"/>
              <w:rPr>
                <w:rFonts w:ascii="宋体" w:hAnsi="宋体"/>
                <w:color w:val="auto"/>
                <w:sz w:val="24"/>
                <w:szCs w:val="24"/>
                <w:highlight w:val="none"/>
              </w:rPr>
            </w:pPr>
          </w:p>
        </w:tc>
        <w:tc>
          <w:tcPr>
            <w:tcW w:w="2668" w:type="dxa"/>
            <w:tcBorders>
              <w:top w:val="single" w:color="auto" w:sz="4" w:space="0"/>
              <w:left w:val="nil"/>
              <w:bottom w:val="single" w:color="auto" w:sz="4" w:space="0"/>
              <w:right w:val="single" w:color="auto" w:sz="4" w:space="0"/>
            </w:tcBorders>
            <w:vAlign w:val="center"/>
          </w:tcPr>
          <w:p w14:paraId="43A5DFF7">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nil"/>
              <w:bottom w:val="single" w:color="auto" w:sz="4" w:space="0"/>
              <w:right w:val="single" w:color="auto" w:sz="4" w:space="0"/>
            </w:tcBorders>
            <w:vAlign w:val="center"/>
          </w:tcPr>
          <w:p w14:paraId="0ACA0DE1">
            <w:pPr>
              <w:spacing w:line="360" w:lineRule="auto"/>
              <w:ind w:left="43"/>
              <w:contextualSpacing/>
              <w:jc w:val="center"/>
              <w:rPr>
                <w:rFonts w:ascii="宋体" w:hAnsi="宋体" w:cs="仿宋_GB2312"/>
                <w:color w:val="auto"/>
                <w:sz w:val="24"/>
                <w:szCs w:val="24"/>
                <w:highlight w:val="none"/>
              </w:rPr>
            </w:pPr>
          </w:p>
        </w:tc>
        <w:tc>
          <w:tcPr>
            <w:tcW w:w="2112" w:type="dxa"/>
            <w:tcBorders>
              <w:top w:val="single" w:color="auto" w:sz="4" w:space="0"/>
              <w:left w:val="nil"/>
              <w:bottom w:val="single" w:color="auto" w:sz="4" w:space="0"/>
              <w:right w:val="single" w:color="auto" w:sz="4" w:space="0"/>
            </w:tcBorders>
            <w:vAlign w:val="center"/>
          </w:tcPr>
          <w:p w14:paraId="016C24FC">
            <w:pPr>
              <w:spacing w:line="360" w:lineRule="auto"/>
              <w:ind w:left="43"/>
              <w:contextualSpacing/>
              <w:jc w:val="center"/>
              <w:rPr>
                <w:rFonts w:ascii="宋体" w:hAnsi="宋体" w:cs="仿宋_GB2312"/>
                <w:color w:val="auto"/>
                <w:sz w:val="24"/>
                <w:szCs w:val="24"/>
                <w:highlight w:val="none"/>
              </w:rPr>
            </w:pPr>
          </w:p>
        </w:tc>
      </w:tr>
      <w:tr w14:paraId="0C40E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DE1FD9C">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668" w:type="dxa"/>
            <w:tcBorders>
              <w:top w:val="single" w:color="auto" w:sz="4" w:space="0"/>
              <w:left w:val="nil"/>
              <w:bottom w:val="single" w:color="auto" w:sz="4" w:space="0"/>
              <w:right w:val="single" w:color="auto" w:sz="4" w:space="0"/>
            </w:tcBorders>
            <w:vAlign w:val="center"/>
          </w:tcPr>
          <w:p w14:paraId="71D0A9FF">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nil"/>
              <w:bottom w:val="single" w:color="auto" w:sz="4" w:space="0"/>
              <w:right w:val="single" w:color="auto" w:sz="4" w:space="0"/>
            </w:tcBorders>
            <w:vAlign w:val="center"/>
          </w:tcPr>
          <w:p w14:paraId="1A465FFC">
            <w:pPr>
              <w:spacing w:line="360" w:lineRule="auto"/>
              <w:contextualSpacing/>
              <w:jc w:val="center"/>
              <w:rPr>
                <w:rFonts w:ascii="宋体" w:hAnsi="宋体" w:cs="仿宋_GB2312"/>
                <w:color w:val="auto"/>
                <w:sz w:val="24"/>
                <w:szCs w:val="24"/>
                <w:highlight w:val="none"/>
              </w:rPr>
            </w:pPr>
          </w:p>
        </w:tc>
        <w:tc>
          <w:tcPr>
            <w:tcW w:w="2112" w:type="dxa"/>
            <w:tcBorders>
              <w:top w:val="single" w:color="auto" w:sz="4" w:space="0"/>
              <w:left w:val="nil"/>
              <w:bottom w:val="single" w:color="auto" w:sz="4" w:space="0"/>
              <w:right w:val="single" w:color="auto" w:sz="4" w:space="0"/>
            </w:tcBorders>
            <w:vAlign w:val="center"/>
          </w:tcPr>
          <w:p w14:paraId="0AE7E4BF">
            <w:pPr>
              <w:spacing w:line="360" w:lineRule="auto"/>
              <w:contextualSpacing/>
              <w:jc w:val="center"/>
              <w:rPr>
                <w:rFonts w:ascii="宋体" w:hAnsi="宋体" w:cs="仿宋_GB2312"/>
                <w:color w:val="auto"/>
                <w:sz w:val="24"/>
                <w:szCs w:val="24"/>
                <w:highlight w:val="none"/>
              </w:rPr>
            </w:pPr>
          </w:p>
        </w:tc>
      </w:tr>
    </w:tbl>
    <w:p w14:paraId="23C48731">
      <w:pPr>
        <w:pStyle w:val="6"/>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52E291E4">
      <w:pPr>
        <w:pStyle w:val="6"/>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799ACA75">
      <w:pPr>
        <w:spacing w:line="360" w:lineRule="auto"/>
        <w:contextualSpacing/>
        <w:jc w:val="left"/>
        <w:rPr>
          <w:rFonts w:ascii="宋体" w:hAnsi="宋体" w:cs="仿宋_GB2312"/>
          <w:color w:val="auto"/>
          <w:sz w:val="24"/>
          <w:szCs w:val="24"/>
          <w:highlight w:val="none"/>
          <w:u w:val="single"/>
        </w:rPr>
      </w:pPr>
      <w:r>
        <w:rPr>
          <w:rFonts w:hint="eastAsia" w:ascii="宋体" w:hAnsi="宋体"/>
          <w:color w:val="auto"/>
          <w:kern w:val="0"/>
          <w:sz w:val="24"/>
          <w:szCs w:val="24"/>
          <w:highlight w:val="none"/>
        </w:rPr>
        <w:t>2.供应商应根据自身的承诺，对照磋商文件要求在“偏离说明”中注明“正偏离”、“负偏离”或者“无偏离”。既不属于“正偏离”也不属于“负偏离”即为“无偏离”。</w:t>
      </w:r>
    </w:p>
    <w:p w14:paraId="52AF4EA9">
      <w:pPr>
        <w:spacing w:line="360" w:lineRule="auto"/>
        <w:ind w:right="-817" w:rightChars="-389"/>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3C47A44A">
      <w:pPr>
        <w:spacing w:line="360" w:lineRule="auto"/>
        <w:ind w:right="-817" w:rightChars="-389" w:firstLine="960" w:firstLineChars="4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法定代表人或者委托代理人（签字）：                    </w:t>
      </w:r>
    </w:p>
    <w:p w14:paraId="6A6C6B3A">
      <w:pPr>
        <w:spacing w:line="360" w:lineRule="auto"/>
        <w:ind w:right="-817" w:rightChars="-389" w:firstLine="2640" w:firstLineChars="11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供应商（盖公章）：      </w:t>
      </w:r>
    </w:p>
    <w:p w14:paraId="47C2407F">
      <w:pPr>
        <w:spacing w:line="360" w:lineRule="auto"/>
        <w:ind w:right="-817" w:rightChars="-389" w:firstLine="4080" w:firstLineChars="1700"/>
        <w:contextualSpacing/>
        <w:rPr>
          <w:rFonts w:hint="eastAsia" w:ascii="仿宋_GB2312" w:hAnsi="仿宋_GB2312"/>
          <w:b/>
          <w:color w:val="auto"/>
          <w:sz w:val="32"/>
          <w:szCs w:val="32"/>
          <w:highlight w:val="none"/>
        </w:rPr>
      </w:pPr>
      <w:r>
        <w:rPr>
          <w:rFonts w:hint="eastAsia" w:ascii="宋体" w:hAnsi="宋体" w:cs="仿宋_GB2312"/>
          <w:color w:val="auto"/>
          <w:sz w:val="24"/>
          <w:szCs w:val="24"/>
          <w:highlight w:val="none"/>
        </w:rPr>
        <w:t>日期：   年   月   日</w:t>
      </w:r>
    </w:p>
    <w:p w14:paraId="4C7CD307">
      <w:pPr>
        <w:adjustRightInd w:val="0"/>
        <w:snapToGrid w:val="0"/>
        <w:spacing w:line="520" w:lineRule="exact"/>
        <w:ind w:firstLine="7040" w:firstLineChars="1600"/>
        <w:jc w:val="center"/>
        <w:rPr>
          <w:rFonts w:hint="eastAsia" w:ascii="方正小标宋简体" w:hAnsi="方正小标宋简体"/>
          <w:bCs/>
          <w:color w:val="auto"/>
          <w:sz w:val="44"/>
          <w:szCs w:val="44"/>
          <w:highlight w:val="none"/>
        </w:rPr>
      </w:pPr>
      <w:r>
        <w:rPr>
          <w:rFonts w:ascii="方正小标宋简体" w:hAnsi="方正小标宋简体"/>
          <w:bCs/>
          <w:color w:val="auto"/>
          <w:sz w:val="44"/>
          <w:szCs w:val="44"/>
          <w:highlight w:val="none"/>
        </w:rPr>
        <w:t xml:space="preserve"> </w:t>
      </w:r>
    </w:p>
    <w:p w14:paraId="0178889B">
      <w:pPr>
        <w:adjustRightInd w:val="0"/>
        <w:snapToGrid w:val="0"/>
        <w:spacing w:line="520" w:lineRule="exact"/>
        <w:ind w:firstLine="7040" w:firstLineChars="1600"/>
        <w:jc w:val="center"/>
        <w:rPr>
          <w:rFonts w:hint="eastAsia" w:ascii="方正小标宋简体" w:hAnsi="方正小标宋简体"/>
          <w:bCs/>
          <w:color w:val="auto"/>
          <w:sz w:val="44"/>
          <w:szCs w:val="44"/>
          <w:highlight w:val="none"/>
        </w:rPr>
      </w:pPr>
      <w:r>
        <w:rPr>
          <w:rFonts w:ascii="方正小标宋简体" w:hAnsi="方正小标宋简体"/>
          <w:bCs/>
          <w:color w:val="auto"/>
          <w:sz w:val="44"/>
          <w:szCs w:val="44"/>
          <w:highlight w:val="none"/>
        </w:rPr>
        <w:t xml:space="preserve"> </w:t>
      </w:r>
    </w:p>
    <w:p w14:paraId="57C725DD">
      <w:pPr>
        <w:adjustRightInd w:val="0"/>
        <w:snapToGrid w:val="0"/>
        <w:spacing w:line="520" w:lineRule="exact"/>
        <w:ind w:firstLine="7040" w:firstLineChars="1600"/>
        <w:jc w:val="center"/>
        <w:rPr>
          <w:rFonts w:hint="eastAsia" w:ascii="方正小标宋简体" w:hAnsi="方正小标宋简体"/>
          <w:bCs/>
          <w:color w:val="auto"/>
          <w:sz w:val="44"/>
          <w:szCs w:val="44"/>
          <w:highlight w:val="none"/>
        </w:rPr>
      </w:pPr>
      <w:r>
        <w:rPr>
          <w:rFonts w:ascii="方正小标宋简体" w:hAnsi="方正小标宋简体"/>
          <w:bCs/>
          <w:color w:val="auto"/>
          <w:sz w:val="44"/>
          <w:szCs w:val="44"/>
          <w:highlight w:val="none"/>
        </w:rPr>
        <w:t xml:space="preserve"> </w:t>
      </w:r>
    </w:p>
    <w:p w14:paraId="3ADB8E83">
      <w:pPr>
        <w:adjustRightInd w:val="0"/>
        <w:snapToGrid w:val="0"/>
        <w:spacing w:line="520" w:lineRule="exact"/>
        <w:ind w:firstLine="7040" w:firstLineChars="1600"/>
        <w:jc w:val="center"/>
        <w:rPr>
          <w:rFonts w:hint="eastAsia" w:ascii="方正小标宋简体" w:hAnsi="方正小标宋简体"/>
          <w:bCs/>
          <w:color w:val="auto"/>
          <w:sz w:val="44"/>
          <w:szCs w:val="44"/>
          <w:highlight w:val="none"/>
        </w:rPr>
      </w:pPr>
      <w:r>
        <w:rPr>
          <w:rFonts w:ascii="方正小标宋简体" w:hAnsi="方正小标宋简体"/>
          <w:bCs/>
          <w:color w:val="auto"/>
          <w:sz w:val="44"/>
          <w:szCs w:val="44"/>
          <w:highlight w:val="none"/>
        </w:rPr>
        <w:t xml:space="preserve"> </w:t>
      </w:r>
    </w:p>
    <w:p w14:paraId="7FE7CB8B">
      <w:pPr>
        <w:adjustRightInd w:val="0"/>
        <w:snapToGrid w:val="0"/>
        <w:spacing w:line="520" w:lineRule="exact"/>
        <w:rPr>
          <w:rFonts w:ascii="宋体" w:hAnsi="宋体"/>
          <w:color w:val="auto"/>
          <w:highlight w:val="none"/>
          <w:u w:val="single"/>
        </w:rPr>
      </w:pPr>
      <w:r>
        <w:rPr>
          <w:rFonts w:hint="eastAsia" w:ascii="宋体" w:hAnsi="宋体"/>
          <w:color w:val="auto"/>
          <w:highlight w:val="none"/>
          <w:u w:val="single"/>
        </w:rPr>
        <w:t xml:space="preserve"> </w:t>
      </w:r>
    </w:p>
    <w:p w14:paraId="544E316A">
      <w:pPr>
        <w:adjustRightInd w:val="0"/>
        <w:snapToGrid w:val="0"/>
        <w:spacing w:line="300" w:lineRule="auto"/>
        <w:jc w:val="center"/>
        <w:rPr>
          <w:rFonts w:hint="eastAsia" w:ascii="方正小标宋简体" w:hAnsi="方正小标宋简体"/>
          <w:bCs/>
          <w:color w:val="auto"/>
          <w:sz w:val="44"/>
          <w:szCs w:val="44"/>
          <w:highlight w:val="none"/>
        </w:rPr>
      </w:pPr>
      <w:r>
        <w:rPr>
          <w:rFonts w:ascii="方正小标宋简体" w:hAnsi="方正小标宋简体"/>
          <w:bCs/>
          <w:color w:val="auto"/>
          <w:sz w:val="44"/>
          <w:szCs w:val="44"/>
          <w:highlight w:val="none"/>
        </w:rPr>
        <w:br w:type="page"/>
      </w:r>
      <w:r>
        <w:rPr>
          <w:rFonts w:ascii="方正小标宋简体" w:hAnsi="方正小标宋简体"/>
          <w:bCs/>
          <w:color w:val="auto"/>
          <w:sz w:val="44"/>
          <w:szCs w:val="44"/>
          <w:highlight w:val="none"/>
        </w:rPr>
        <w:t>技术要求偏离表</w:t>
      </w:r>
    </w:p>
    <w:p w14:paraId="5A12DDD1">
      <w:pPr>
        <w:spacing w:line="520" w:lineRule="exact"/>
        <w:rPr>
          <w:rFonts w:hint="eastAsia" w:ascii="仿宋_GB2312" w:hAnsi="仿宋_GB2312"/>
          <w:color w:val="auto"/>
          <w:sz w:val="32"/>
          <w:szCs w:val="32"/>
          <w:highlight w:val="none"/>
        </w:rPr>
      </w:pPr>
      <w:r>
        <w:rPr>
          <w:rFonts w:ascii="仿宋_GB2312" w:hAnsi="仿宋_GB2312"/>
          <w:color w:val="auto"/>
          <w:sz w:val="32"/>
          <w:szCs w:val="32"/>
          <w:highlight w:val="none"/>
        </w:rPr>
        <w:t xml:space="preserve"> </w:t>
      </w:r>
    </w:p>
    <w:p w14:paraId="6F2BC78F">
      <w:pPr>
        <w:spacing w:line="360" w:lineRule="auto"/>
        <w:contextualSpacing/>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采购项目编号：</w:t>
      </w:r>
      <w:r>
        <w:rPr>
          <w:rFonts w:hint="eastAsia" w:ascii="宋体" w:hAnsi="宋体" w:cs="仿宋_GB2312"/>
          <w:color w:val="auto"/>
          <w:sz w:val="24"/>
          <w:szCs w:val="24"/>
          <w:highlight w:val="none"/>
          <w:u w:val="single"/>
        </w:rPr>
        <w:t xml:space="preserve">                 </w:t>
      </w:r>
    </w:p>
    <w:p w14:paraId="3E0ABE6E">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采购项目名称：</w:t>
      </w:r>
      <w:r>
        <w:rPr>
          <w:rFonts w:hint="eastAsia" w:ascii="宋体" w:hAnsi="宋体" w:cs="仿宋_GB2312"/>
          <w:color w:val="auto"/>
          <w:sz w:val="24"/>
          <w:szCs w:val="24"/>
          <w:highlight w:val="none"/>
          <w:u w:val="single"/>
        </w:rPr>
        <w:t xml:space="preserve">                 </w:t>
      </w:r>
    </w:p>
    <w:p w14:paraId="718B1590">
      <w:pPr>
        <w:spacing w:line="360" w:lineRule="auto"/>
        <w:contextualSpacing/>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分标（如有）：</w:t>
      </w:r>
      <w:r>
        <w:rPr>
          <w:rFonts w:hint="eastAsia" w:ascii="宋体" w:hAnsi="宋体" w:cs="仿宋_GB2312"/>
          <w:color w:val="auto"/>
          <w:sz w:val="24"/>
          <w:szCs w:val="24"/>
          <w:highlight w:val="none"/>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093"/>
        <w:gridCol w:w="2780"/>
        <w:gridCol w:w="2565"/>
        <w:gridCol w:w="1397"/>
      </w:tblGrid>
      <w:tr w14:paraId="3CDF3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3" w:type="pct"/>
            <w:tcBorders>
              <w:top w:val="single" w:color="auto" w:sz="4" w:space="0"/>
              <w:left w:val="single" w:color="auto" w:sz="4" w:space="0"/>
              <w:bottom w:val="single" w:color="auto" w:sz="6" w:space="0"/>
              <w:right w:val="single" w:color="auto" w:sz="6" w:space="0"/>
            </w:tcBorders>
            <w:vAlign w:val="center"/>
          </w:tcPr>
          <w:p w14:paraId="4D539B7F">
            <w:pPr>
              <w:pStyle w:val="8"/>
              <w:spacing w:line="360" w:lineRule="auto"/>
              <w:ind w:firstLine="0" w:firstLineChars="0"/>
              <w:contextualSpacing/>
              <w:jc w:val="center"/>
              <w:rPr>
                <w:rFonts w:ascii="宋体" w:hAnsi="宋体" w:cs="仿宋_GB2312"/>
                <w:color w:val="auto"/>
                <w:kern w:val="2"/>
                <w:sz w:val="24"/>
                <w:szCs w:val="24"/>
                <w:highlight w:val="none"/>
              </w:rPr>
            </w:pPr>
            <w:bookmarkStart w:id="59" w:name="_Toc254970729"/>
            <w:r>
              <w:rPr>
                <w:rFonts w:hint="eastAsia" w:ascii="宋体" w:hAnsi="宋体" w:cs="仿宋_GB2312"/>
                <w:color w:val="auto"/>
                <w:kern w:val="2"/>
                <w:sz w:val="24"/>
                <w:szCs w:val="24"/>
                <w:highlight w:val="none"/>
              </w:rPr>
              <w:t>序号</w:t>
            </w:r>
            <w:bookmarkEnd w:id="59"/>
          </w:p>
        </w:tc>
        <w:tc>
          <w:tcPr>
            <w:tcW w:w="641" w:type="pct"/>
            <w:tcBorders>
              <w:top w:val="single" w:color="auto" w:sz="4" w:space="0"/>
              <w:left w:val="single" w:color="auto" w:sz="6" w:space="0"/>
              <w:bottom w:val="single" w:color="auto" w:sz="6" w:space="0"/>
              <w:right w:val="single" w:color="auto" w:sz="4" w:space="0"/>
            </w:tcBorders>
            <w:vAlign w:val="center"/>
          </w:tcPr>
          <w:p w14:paraId="2275787D">
            <w:pPr>
              <w:pStyle w:val="8"/>
              <w:spacing w:line="360" w:lineRule="auto"/>
              <w:ind w:firstLine="0" w:firstLineChars="0"/>
              <w:contextualSpacing/>
              <w:jc w:val="center"/>
              <w:rPr>
                <w:rFonts w:ascii="宋体" w:hAnsi="宋体" w:cs="仿宋_GB2312"/>
                <w:color w:val="auto"/>
                <w:kern w:val="2"/>
                <w:sz w:val="24"/>
                <w:szCs w:val="24"/>
                <w:highlight w:val="none"/>
              </w:rPr>
            </w:pPr>
            <w:r>
              <w:rPr>
                <w:rFonts w:hint="eastAsia" w:ascii="宋体" w:hAnsi="宋体" w:cs="仿宋_GB2312"/>
                <w:color w:val="auto"/>
                <w:kern w:val="2"/>
                <w:sz w:val="24"/>
                <w:szCs w:val="24"/>
                <w:highlight w:val="none"/>
              </w:rPr>
              <w:t>标的名称</w:t>
            </w:r>
          </w:p>
        </w:tc>
        <w:tc>
          <w:tcPr>
            <w:tcW w:w="1630" w:type="pct"/>
            <w:tcBorders>
              <w:top w:val="single" w:color="auto" w:sz="4" w:space="0"/>
              <w:left w:val="nil"/>
              <w:bottom w:val="single" w:color="auto" w:sz="6" w:space="0"/>
              <w:right w:val="single" w:color="auto" w:sz="6" w:space="0"/>
            </w:tcBorders>
            <w:vAlign w:val="center"/>
          </w:tcPr>
          <w:p w14:paraId="757B50A4">
            <w:pPr>
              <w:pStyle w:val="8"/>
              <w:spacing w:line="360" w:lineRule="auto"/>
              <w:ind w:firstLine="0" w:firstLineChars="0"/>
              <w:contextualSpacing/>
              <w:jc w:val="center"/>
              <w:rPr>
                <w:rFonts w:ascii="宋体" w:hAnsi="宋体" w:cs="仿宋_GB2312"/>
                <w:color w:val="auto"/>
                <w:kern w:val="2"/>
                <w:sz w:val="24"/>
                <w:szCs w:val="24"/>
                <w:highlight w:val="none"/>
              </w:rPr>
            </w:pPr>
            <w:r>
              <w:rPr>
                <w:rFonts w:hint="eastAsia" w:ascii="宋体" w:hAnsi="宋体" w:cs="仿宋_GB2312"/>
                <w:color w:val="auto"/>
                <w:kern w:val="2"/>
                <w:sz w:val="24"/>
                <w:szCs w:val="24"/>
                <w:highlight w:val="none"/>
              </w:rPr>
              <w:t>磋商文件技术要求</w:t>
            </w:r>
          </w:p>
        </w:tc>
        <w:tc>
          <w:tcPr>
            <w:tcW w:w="1504" w:type="pct"/>
            <w:tcBorders>
              <w:top w:val="single" w:color="auto" w:sz="4" w:space="0"/>
              <w:left w:val="single" w:color="auto" w:sz="6" w:space="0"/>
              <w:bottom w:val="single" w:color="auto" w:sz="6" w:space="0"/>
              <w:right w:val="single" w:color="auto" w:sz="6" w:space="0"/>
            </w:tcBorders>
            <w:vAlign w:val="center"/>
          </w:tcPr>
          <w:p w14:paraId="48341AC5">
            <w:pPr>
              <w:pStyle w:val="8"/>
              <w:spacing w:line="360" w:lineRule="auto"/>
              <w:ind w:firstLine="0" w:firstLineChars="0"/>
              <w:contextualSpacing/>
              <w:jc w:val="center"/>
              <w:rPr>
                <w:rFonts w:ascii="宋体" w:hAnsi="宋体" w:cs="仿宋_GB2312"/>
                <w:color w:val="auto"/>
                <w:kern w:val="2"/>
                <w:sz w:val="24"/>
                <w:szCs w:val="24"/>
                <w:highlight w:val="none"/>
              </w:rPr>
            </w:pPr>
            <w:bookmarkStart w:id="60" w:name="_Toc301781613"/>
            <w:r>
              <w:rPr>
                <w:rFonts w:hint="eastAsia" w:ascii="宋体" w:hAnsi="宋体" w:cs="仿宋_GB2312"/>
                <w:color w:val="auto"/>
                <w:kern w:val="2"/>
                <w:sz w:val="24"/>
                <w:szCs w:val="24"/>
                <w:highlight w:val="none"/>
              </w:rPr>
              <w:t>磋商响应</w:t>
            </w:r>
            <w:bookmarkEnd w:id="60"/>
          </w:p>
        </w:tc>
        <w:tc>
          <w:tcPr>
            <w:tcW w:w="819" w:type="pct"/>
            <w:tcBorders>
              <w:top w:val="single" w:color="auto" w:sz="4" w:space="0"/>
              <w:left w:val="single" w:color="auto" w:sz="6" w:space="0"/>
              <w:bottom w:val="single" w:color="auto" w:sz="6" w:space="0"/>
              <w:right w:val="single" w:color="auto" w:sz="4" w:space="0"/>
            </w:tcBorders>
            <w:vAlign w:val="center"/>
          </w:tcPr>
          <w:p w14:paraId="19B6F937">
            <w:pPr>
              <w:pStyle w:val="8"/>
              <w:spacing w:line="360" w:lineRule="auto"/>
              <w:ind w:firstLine="0" w:firstLineChars="0"/>
              <w:contextualSpacing/>
              <w:jc w:val="center"/>
              <w:rPr>
                <w:rFonts w:ascii="宋体" w:hAnsi="宋体" w:cs="仿宋_GB2312"/>
                <w:color w:val="auto"/>
                <w:kern w:val="2"/>
                <w:sz w:val="24"/>
                <w:szCs w:val="24"/>
                <w:highlight w:val="none"/>
              </w:rPr>
            </w:pPr>
            <w:bookmarkStart w:id="61" w:name="_Toc254970591"/>
            <w:r>
              <w:rPr>
                <w:rFonts w:hint="eastAsia" w:ascii="宋体" w:hAnsi="宋体" w:cs="仿宋_GB2312"/>
                <w:color w:val="auto"/>
                <w:kern w:val="2"/>
                <w:sz w:val="24"/>
                <w:szCs w:val="24"/>
                <w:highlight w:val="none"/>
              </w:rPr>
              <w:t>偏离</w:t>
            </w:r>
            <w:bookmarkEnd w:id="61"/>
            <w:bookmarkStart w:id="62" w:name="_Toc254970592"/>
            <w:bookmarkEnd w:id="62"/>
            <w:r>
              <w:rPr>
                <w:rFonts w:hint="eastAsia" w:ascii="宋体" w:hAnsi="宋体" w:cs="仿宋_GB2312"/>
                <w:color w:val="auto"/>
                <w:kern w:val="2"/>
                <w:sz w:val="24"/>
                <w:szCs w:val="24"/>
                <w:highlight w:val="none"/>
              </w:rPr>
              <w:t>说明</w:t>
            </w:r>
          </w:p>
        </w:tc>
      </w:tr>
      <w:tr w14:paraId="01E70F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3" w:type="pct"/>
            <w:tcBorders>
              <w:top w:val="single" w:color="auto" w:sz="6" w:space="0"/>
              <w:left w:val="single" w:color="auto" w:sz="4" w:space="0"/>
              <w:bottom w:val="single" w:color="auto" w:sz="6" w:space="0"/>
              <w:right w:val="single" w:color="auto" w:sz="6" w:space="0"/>
            </w:tcBorders>
            <w:vAlign w:val="center"/>
          </w:tcPr>
          <w:p w14:paraId="246CC654">
            <w:pPr>
              <w:pStyle w:val="8"/>
              <w:spacing w:line="360" w:lineRule="auto"/>
              <w:ind w:firstLine="0" w:firstLineChars="0"/>
              <w:contextualSpacing/>
              <w:jc w:val="center"/>
              <w:rPr>
                <w:rFonts w:ascii="宋体" w:hAnsi="宋体" w:cs="仿宋_GB2312"/>
                <w:color w:val="auto"/>
                <w:kern w:val="2"/>
                <w:sz w:val="24"/>
                <w:szCs w:val="24"/>
                <w:highlight w:val="none"/>
              </w:rPr>
            </w:pPr>
            <w:bookmarkStart w:id="63" w:name="_Toc173211905"/>
            <w:r>
              <w:rPr>
                <w:rFonts w:hint="eastAsia" w:ascii="宋体" w:hAnsi="宋体" w:cs="仿宋_GB2312"/>
                <w:color w:val="auto"/>
                <w:kern w:val="2"/>
                <w:sz w:val="24"/>
                <w:szCs w:val="24"/>
                <w:highlight w:val="none"/>
              </w:rPr>
              <w:t>1</w:t>
            </w:r>
            <w:bookmarkEnd w:id="63"/>
          </w:p>
        </w:tc>
        <w:tc>
          <w:tcPr>
            <w:tcW w:w="641" w:type="pct"/>
            <w:tcBorders>
              <w:top w:val="single" w:color="auto" w:sz="6" w:space="0"/>
              <w:left w:val="single" w:color="auto" w:sz="6" w:space="0"/>
              <w:bottom w:val="single" w:color="auto" w:sz="6" w:space="0"/>
              <w:right w:val="single" w:color="auto" w:sz="4" w:space="0"/>
            </w:tcBorders>
            <w:vAlign w:val="center"/>
          </w:tcPr>
          <w:p w14:paraId="46D77E09">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630" w:type="pct"/>
            <w:tcBorders>
              <w:top w:val="single" w:color="auto" w:sz="6" w:space="0"/>
              <w:left w:val="nil"/>
              <w:bottom w:val="single" w:color="auto" w:sz="6" w:space="0"/>
              <w:right w:val="single" w:color="auto" w:sz="6" w:space="0"/>
            </w:tcBorders>
            <w:vAlign w:val="center"/>
          </w:tcPr>
          <w:p w14:paraId="3C8164C2">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504" w:type="pct"/>
            <w:tcBorders>
              <w:top w:val="single" w:color="auto" w:sz="6" w:space="0"/>
              <w:left w:val="single" w:color="auto" w:sz="6" w:space="0"/>
              <w:bottom w:val="single" w:color="auto" w:sz="6" w:space="0"/>
              <w:right w:val="single" w:color="auto" w:sz="6" w:space="0"/>
            </w:tcBorders>
            <w:vAlign w:val="center"/>
          </w:tcPr>
          <w:p w14:paraId="57045D48">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819" w:type="pct"/>
            <w:tcBorders>
              <w:top w:val="single" w:color="auto" w:sz="6" w:space="0"/>
              <w:left w:val="single" w:color="auto" w:sz="6" w:space="0"/>
              <w:bottom w:val="single" w:color="auto" w:sz="6" w:space="0"/>
              <w:right w:val="single" w:color="auto" w:sz="4" w:space="0"/>
            </w:tcBorders>
            <w:vAlign w:val="center"/>
          </w:tcPr>
          <w:p w14:paraId="4BD240A3">
            <w:pPr>
              <w:pStyle w:val="8"/>
              <w:spacing w:line="360" w:lineRule="auto"/>
              <w:ind w:firstLine="0" w:firstLineChars="0"/>
              <w:contextualSpacing/>
              <w:jc w:val="center"/>
              <w:rPr>
                <w:rFonts w:ascii="宋体" w:hAnsi="宋体" w:cs="仿宋_GB2312"/>
                <w:color w:val="auto"/>
                <w:kern w:val="2"/>
                <w:sz w:val="24"/>
                <w:szCs w:val="24"/>
                <w:highlight w:val="none"/>
              </w:rPr>
            </w:pPr>
          </w:p>
        </w:tc>
      </w:tr>
      <w:tr w14:paraId="229D8B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3" w:type="pct"/>
            <w:tcBorders>
              <w:top w:val="single" w:color="auto" w:sz="6" w:space="0"/>
              <w:left w:val="single" w:color="auto" w:sz="4" w:space="0"/>
              <w:bottom w:val="single" w:color="auto" w:sz="6" w:space="0"/>
              <w:right w:val="single" w:color="auto" w:sz="6" w:space="0"/>
            </w:tcBorders>
            <w:vAlign w:val="center"/>
          </w:tcPr>
          <w:p w14:paraId="1CEA8EA7">
            <w:pPr>
              <w:pStyle w:val="8"/>
              <w:spacing w:line="360" w:lineRule="auto"/>
              <w:ind w:firstLine="0" w:firstLineChars="0"/>
              <w:contextualSpacing/>
              <w:jc w:val="center"/>
              <w:rPr>
                <w:rFonts w:ascii="宋体" w:hAnsi="宋体" w:cs="仿宋_GB2312"/>
                <w:color w:val="auto"/>
                <w:kern w:val="2"/>
                <w:sz w:val="24"/>
                <w:szCs w:val="24"/>
                <w:highlight w:val="none"/>
              </w:rPr>
            </w:pPr>
            <w:bookmarkStart w:id="64" w:name="_Toc173066407"/>
            <w:r>
              <w:rPr>
                <w:rFonts w:hint="eastAsia" w:ascii="宋体" w:hAnsi="宋体" w:cs="仿宋_GB2312"/>
                <w:color w:val="auto"/>
                <w:kern w:val="2"/>
                <w:sz w:val="24"/>
                <w:szCs w:val="24"/>
                <w:highlight w:val="none"/>
              </w:rPr>
              <w:t>2</w:t>
            </w:r>
            <w:bookmarkEnd w:id="64"/>
          </w:p>
        </w:tc>
        <w:tc>
          <w:tcPr>
            <w:tcW w:w="641" w:type="pct"/>
            <w:tcBorders>
              <w:top w:val="single" w:color="auto" w:sz="6" w:space="0"/>
              <w:left w:val="single" w:color="auto" w:sz="6" w:space="0"/>
              <w:bottom w:val="single" w:color="auto" w:sz="6" w:space="0"/>
              <w:right w:val="single" w:color="auto" w:sz="4" w:space="0"/>
            </w:tcBorders>
            <w:vAlign w:val="center"/>
          </w:tcPr>
          <w:p w14:paraId="476A9852">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630" w:type="pct"/>
            <w:tcBorders>
              <w:top w:val="single" w:color="auto" w:sz="6" w:space="0"/>
              <w:left w:val="nil"/>
              <w:bottom w:val="single" w:color="auto" w:sz="6" w:space="0"/>
              <w:right w:val="single" w:color="auto" w:sz="6" w:space="0"/>
            </w:tcBorders>
            <w:vAlign w:val="center"/>
          </w:tcPr>
          <w:p w14:paraId="7C0F8C49">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504" w:type="pct"/>
            <w:tcBorders>
              <w:top w:val="single" w:color="auto" w:sz="6" w:space="0"/>
              <w:left w:val="single" w:color="auto" w:sz="6" w:space="0"/>
              <w:bottom w:val="single" w:color="auto" w:sz="6" w:space="0"/>
              <w:right w:val="single" w:color="auto" w:sz="6" w:space="0"/>
            </w:tcBorders>
            <w:vAlign w:val="center"/>
          </w:tcPr>
          <w:p w14:paraId="25736E64">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819" w:type="pct"/>
            <w:tcBorders>
              <w:top w:val="single" w:color="auto" w:sz="6" w:space="0"/>
              <w:left w:val="single" w:color="auto" w:sz="6" w:space="0"/>
              <w:bottom w:val="single" w:color="auto" w:sz="6" w:space="0"/>
              <w:right w:val="single" w:color="auto" w:sz="4" w:space="0"/>
            </w:tcBorders>
            <w:vAlign w:val="center"/>
          </w:tcPr>
          <w:p w14:paraId="69D81EE8">
            <w:pPr>
              <w:pStyle w:val="8"/>
              <w:spacing w:line="360" w:lineRule="auto"/>
              <w:ind w:firstLine="0" w:firstLineChars="0"/>
              <w:contextualSpacing/>
              <w:jc w:val="center"/>
              <w:rPr>
                <w:rFonts w:ascii="宋体" w:hAnsi="宋体" w:cs="仿宋_GB2312"/>
                <w:color w:val="auto"/>
                <w:kern w:val="2"/>
                <w:sz w:val="24"/>
                <w:szCs w:val="24"/>
                <w:highlight w:val="none"/>
              </w:rPr>
            </w:pPr>
          </w:p>
        </w:tc>
      </w:tr>
      <w:tr w14:paraId="1A82C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3" w:type="pct"/>
            <w:tcBorders>
              <w:top w:val="single" w:color="auto" w:sz="6" w:space="0"/>
              <w:left w:val="single" w:color="auto" w:sz="4" w:space="0"/>
              <w:bottom w:val="single" w:color="auto" w:sz="6" w:space="0"/>
              <w:right w:val="single" w:color="auto" w:sz="6" w:space="0"/>
            </w:tcBorders>
            <w:vAlign w:val="center"/>
          </w:tcPr>
          <w:p w14:paraId="222BC238">
            <w:pPr>
              <w:pStyle w:val="8"/>
              <w:spacing w:line="360" w:lineRule="auto"/>
              <w:ind w:firstLine="0" w:firstLineChars="0"/>
              <w:contextualSpacing/>
              <w:jc w:val="center"/>
              <w:rPr>
                <w:rFonts w:ascii="宋体" w:hAnsi="宋体" w:cs="仿宋_GB2312"/>
                <w:color w:val="auto"/>
                <w:kern w:val="2"/>
                <w:sz w:val="24"/>
                <w:szCs w:val="24"/>
                <w:highlight w:val="none"/>
              </w:rPr>
            </w:pPr>
            <w:bookmarkStart w:id="65" w:name="_Toc173066408"/>
            <w:r>
              <w:rPr>
                <w:rFonts w:hint="eastAsia" w:ascii="宋体" w:hAnsi="宋体" w:cs="仿宋_GB2312"/>
                <w:color w:val="auto"/>
                <w:kern w:val="2"/>
                <w:sz w:val="24"/>
                <w:szCs w:val="24"/>
                <w:highlight w:val="none"/>
              </w:rPr>
              <w:t>3</w:t>
            </w:r>
            <w:bookmarkEnd w:id="65"/>
          </w:p>
        </w:tc>
        <w:tc>
          <w:tcPr>
            <w:tcW w:w="641" w:type="pct"/>
            <w:tcBorders>
              <w:top w:val="single" w:color="auto" w:sz="6" w:space="0"/>
              <w:left w:val="single" w:color="auto" w:sz="6" w:space="0"/>
              <w:bottom w:val="single" w:color="auto" w:sz="6" w:space="0"/>
              <w:right w:val="single" w:color="auto" w:sz="4" w:space="0"/>
            </w:tcBorders>
            <w:vAlign w:val="center"/>
          </w:tcPr>
          <w:p w14:paraId="69D34BC4">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630" w:type="pct"/>
            <w:tcBorders>
              <w:top w:val="single" w:color="auto" w:sz="6" w:space="0"/>
              <w:left w:val="nil"/>
              <w:bottom w:val="single" w:color="auto" w:sz="6" w:space="0"/>
              <w:right w:val="single" w:color="auto" w:sz="6" w:space="0"/>
            </w:tcBorders>
            <w:vAlign w:val="center"/>
          </w:tcPr>
          <w:p w14:paraId="3ACF7025">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504" w:type="pct"/>
            <w:tcBorders>
              <w:top w:val="single" w:color="auto" w:sz="6" w:space="0"/>
              <w:left w:val="single" w:color="auto" w:sz="6" w:space="0"/>
              <w:bottom w:val="single" w:color="auto" w:sz="6" w:space="0"/>
              <w:right w:val="single" w:color="auto" w:sz="6" w:space="0"/>
            </w:tcBorders>
            <w:vAlign w:val="center"/>
          </w:tcPr>
          <w:p w14:paraId="270C7126">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819" w:type="pct"/>
            <w:tcBorders>
              <w:top w:val="single" w:color="auto" w:sz="6" w:space="0"/>
              <w:left w:val="single" w:color="auto" w:sz="6" w:space="0"/>
              <w:bottom w:val="single" w:color="auto" w:sz="6" w:space="0"/>
              <w:right w:val="single" w:color="auto" w:sz="4" w:space="0"/>
            </w:tcBorders>
            <w:vAlign w:val="center"/>
          </w:tcPr>
          <w:p w14:paraId="70F3573C">
            <w:pPr>
              <w:pStyle w:val="8"/>
              <w:spacing w:line="360" w:lineRule="auto"/>
              <w:ind w:firstLine="0" w:firstLineChars="0"/>
              <w:contextualSpacing/>
              <w:jc w:val="center"/>
              <w:rPr>
                <w:rFonts w:ascii="宋体" w:hAnsi="宋体" w:cs="仿宋_GB2312"/>
                <w:color w:val="auto"/>
                <w:kern w:val="2"/>
                <w:sz w:val="24"/>
                <w:szCs w:val="24"/>
                <w:highlight w:val="none"/>
              </w:rPr>
            </w:pPr>
          </w:p>
        </w:tc>
      </w:tr>
      <w:tr w14:paraId="63402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3" w:type="pct"/>
            <w:tcBorders>
              <w:top w:val="single" w:color="auto" w:sz="6" w:space="0"/>
              <w:left w:val="single" w:color="auto" w:sz="4" w:space="0"/>
              <w:bottom w:val="single" w:color="auto" w:sz="6" w:space="0"/>
              <w:right w:val="single" w:color="auto" w:sz="6" w:space="0"/>
            </w:tcBorders>
            <w:vAlign w:val="center"/>
          </w:tcPr>
          <w:p w14:paraId="7E6EBB7E">
            <w:pPr>
              <w:pStyle w:val="8"/>
              <w:spacing w:line="360" w:lineRule="auto"/>
              <w:ind w:firstLine="0" w:firstLineChars="0"/>
              <w:contextualSpacing/>
              <w:jc w:val="center"/>
              <w:rPr>
                <w:rFonts w:ascii="宋体" w:hAnsi="宋体" w:cs="仿宋_GB2312"/>
                <w:color w:val="auto"/>
                <w:kern w:val="2"/>
                <w:sz w:val="24"/>
                <w:szCs w:val="24"/>
                <w:highlight w:val="none"/>
              </w:rPr>
            </w:pPr>
            <w:bookmarkStart w:id="66" w:name="_Toc297193193"/>
            <w:r>
              <w:rPr>
                <w:rFonts w:hint="eastAsia" w:ascii="宋体" w:hAnsi="宋体" w:cs="仿宋_GB2312"/>
                <w:color w:val="auto"/>
                <w:kern w:val="2"/>
                <w:sz w:val="24"/>
                <w:szCs w:val="24"/>
                <w:highlight w:val="none"/>
              </w:rPr>
              <w:t>4</w:t>
            </w:r>
            <w:bookmarkEnd w:id="66"/>
          </w:p>
        </w:tc>
        <w:tc>
          <w:tcPr>
            <w:tcW w:w="641" w:type="pct"/>
            <w:tcBorders>
              <w:top w:val="single" w:color="auto" w:sz="6" w:space="0"/>
              <w:left w:val="single" w:color="auto" w:sz="6" w:space="0"/>
              <w:bottom w:val="single" w:color="auto" w:sz="6" w:space="0"/>
              <w:right w:val="single" w:color="auto" w:sz="4" w:space="0"/>
            </w:tcBorders>
            <w:vAlign w:val="center"/>
          </w:tcPr>
          <w:p w14:paraId="4E1F2C5F">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630" w:type="pct"/>
            <w:tcBorders>
              <w:top w:val="single" w:color="auto" w:sz="6" w:space="0"/>
              <w:left w:val="nil"/>
              <w:bottom w:val="single" w:color="auto" w:sz="6" w:space="0"/>
              <w:right w:val="single" w:color="auto" w:sz="6" w:space="0"/>
            </w:tcBorders>
            <w:vAlign w:val="center"/>
          </w:tcPr>
          <w:p w14:paraId="4A4557EA">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504" w:type="pct"/>
            <w:tcBorders>
              <w:top w:val="single" w:color="auto" w:sz="6" w:space="0"/>
              <w:left w:val="single" w:color="auto" w:sz="6" w:space="0"/>
              <w:bottom w:val="single" w:color="auto" w:sz="6" w:space="0"/>
              <w:right w:val="single" w:color="auto" w:sz="6" w:space="0"/>
            </w:tcBorders>
            <w:vAlign w:val="center"/>
          </w:tcPr>
          <w:p w14:paraId="374663C0">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819" w:type="pct"/>
            <w:tcBorders>
              <w:top w:val="single" w:color="auto" w:sz="6" w:space="0"/>
              <w:left w:val="single" w:color="auto" w:sz="6" w:space="0"/>
              <w:bottom w:val="single" w:color="auto" w:sz="6" w:space="0"/>
              <w:right w:val="single" w:color="auto" w:sz="4" w:space="0"/>
            </w:tcBorders>
            <w:vAlign w:val="center"/>
          </w:tcPr>
          <w:p w14:paraId="3B91F9EB">
            <w:pPr>
              <w:pStyle w:val="8"/>
              <w:spacing w:line="360" w:lineRule="auto"/>
              <w:ind w:firstLine="0" w:firstLineChars="0"/>
              <w:contextualSpacing/>
              <w:jc w:val="center"/>
              <w:rPr>
                <w:rFonts w:ascii="宋体" w:hAnsi="宋体" w:cs="仿宋_GB2312"/>
                <w:color w:val="auto"/>
                <w:kern w:val="2"/>
                <w:sz w:val="24"/>
                <w:szCs w:val="24"/>
                <w:highlight w:val="none"/>
              </w:rPr>
            </w:pPr>
          </w:p>
        </w:tc>
      </w:tr>
      <w:tr w14:paraId="1879A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3" w:type="pct"/>
            <w:tcBorders>
              <w:top w:val="single" w:color="auto" w:sz="6" w:space="0"/>
              <w:left w:val="single" w:color="auto" w:sz="4" w:space="0"/>
              <w:bottom w:val="single" w:color="auto" w:sz="6" w:space="0"/>
              <w:right w:val="single" w:color="auto" w:sz="6" w:space="0"/>
            </w:tcBorders>
            <w:vAlign w:val="center"/>
          </w:tcPr>
          <w:p w14:paraId="6DBE95FA">
            <w:pPr>
              <w:pStyle w:val="8"/>
              <w:spacing w:line="360" w:lineRule="auto"/>
              <w:ind w:firstLine="0" w:firstLineChars="0"/>
              <w:contextualSpacing/>
              <w:jc w:val="center"/>
              <w:rPr>
                <w:rFonts w:ascii="宋体" w:hAnsi="宋体" w:cs="仿宋_GB2312"/>
                <w:color w:val="auto"/>
                <w:kern w:val="2"/>
                <w:sz w:val="24"/>
                <w:szCs w:val="24"/>
                <w:highlight w:val="none"/>
              </w:rPr>
            </w:pPr>
            <w:bookmarkStart w:id="67" w:name="_Toc297193194"/>
            <w:r>
              <w:rPr>
                <w:rFonts w:hint="eastAsia" w:ascii="宋体" w:hAnsi="宋体" w:cs="仿宋_GB2312"/>
                <w:color w:val="auto"/>
                <w:kern w:val="2"/>
                <w:sz w:val="24"/>
                <w:szCs w:val="24"/>
                <w:highlight w:val="none"/>
              </w:rPr>
              <w:t>5</w:t>
            </w:r>
            <w:bookmarkEnd w:id="67"/>
          </w:p>
        </w:tc>
        <w:tc>
          <w:tcPr>
            <w:tcW w:w="641" w:type="pct"/>
            <w:tcBorders>
              <w:top w:val="single" w:color="auto" w:sz="6" w:space="0"/>
              <w:left w:val="single" w:color="auto" w:sz="6" w:space="0"/>
              <w:bottom w:val="single" w:color="auto" w:sz="6" w:space="0"/>
              <w:right w:val="single" w:color="auto" w:sz="4" w:space="0"/>
            </w:tcBorders>
            <w:vAlign w:val="center"/>
          </w:tcPr>
          <w:p w14:paraId="565CC69C">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630" w:type="pct"/>
            <w:tcBorders>
              <w:top w:val="single" w:color="auto" w:sz="6" w:space="0"/>
              <w:left w:val="nil"/>
              <w:bottom w:val="single" w:color="auto" w:sz="6" w:space="0"/>
              <w:right w:val="single" w:color="auto" w:sz="6" w:space="0"/>
            </w:tcBorders>
            <w:vAlign w:val="center"/>
          </w:tcPr>
          <w:p w14:paraId="20EF6D2F">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504" w:type="pct"/>
            <w:tcBorders>
              <w:top w:val="single" w:color="auto" w:sz="6" w:space="0"/>
              <w:left w:val="single" w:color="auto" w:sz="6" w:space="0"/>
              <w:bottom w:val="single" w:color="auto" w:sz="6" w:space="0"/>
              <w:right w:val="single" w:color="auto" w:sz="6" w:space="0"/>
            </w:tcBorders>
            <w:vAlign w:val="center"/>
          </w:tcPr>
          <w:p w14:paraId="47B1BD05">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819" w:type="pct"/>
            <w:tcBorders>
              <w:top w:val="single" w:color="auto" w:sz="6" w:space="0"/>
              <w:left w:val="single" w:color="auto" w:sz="6" w:space="0"/>
              <w:bottom w:val="single" w:color="auto" w:sz="6" w:space="0"/>
              <w:right w:val="single" w:color="auto" w:sz="4" w:space="0"/>
            </w:tcBorders>
            <w:vAlign w:val="center"/>
          </w:tcPr>
          <w:p w14:paraId="464C7546">
            <w:pPr>
              <w:pStyle w:val="8"/>
              <w:spacing w:line="360" w:lineRule="auto"/>
              <w:ind w:firstLine="0" w:firstLineChars="0"/>
              <w:contextualSpacing/>
              <w:jc w:val="center"/>
              <w:rPr>
                <w:rFonts w:ascii="宋体" w:hAnsi="宋体" w:cs="仿宋_GB2312"/>
                <w:color w:val="auto"/>
                <w:kern w:val="2"/>
                <w:sz w:val="24"/>
                <w:szCs w:val="24"/>
                <w:highlight w:val="none"/>
              </w:rPr>
            </w:pPr>
          </w:p>
        </w:tc>
      </w:tr>
      <w:tr w14:paraId="2113D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03" w:type="pct"/>
            <w:tcBorders>
              <w:top w:val="single" w:color="auto" w:sz="6" w:space="0"/>
              <w:left w:val="single" w:color="auto" w:sz="4" w:space="0"/>
              <w:bottom w:val="single" w:color="auto" w:sz="4" w:space="0"/>
              <w:right w:val="single" w:color="auto" w:sz="6" w:space="0"/>
            </w:tcBorders>
            <w:vAlign w:val="center"/>
          </w:tcPr>
          <w:p w14:paraId="5DA5307C">
            <w:pPr>
              <w:pStyle w:val="8"/>
              <w:spacing w:line="360" w:lineRule="auto"/>
              <w:ind w:firstLine="0" w:firstLineChars="0"/>
              <w:contextualSpacing/>
              <w:jc w:val="center"/>
              <w:rPr>
                <w:rFonts w:ascii="宋体" w:hAnsi="宋体" w:cs="仿宋_GB2312"/>
                <w:color w:val="auto"/>
                <w:kern w:val="2"/>
                <w:sz w:val="24"/>
                <w:szCs w:val="24"/>
                <w:highlight w:val="none"/>
              </w:rPr>
            </w:pPr>
            <w:bookmarkStart w:id="68" w:name="_Toc373333699"/>
            <w:r>
              <w:rPr>
                <w:rFonts w:hint="eastAsia" w:ascii="宋体" w:hAnsi="宋体" w:cs="仿宋_GB2312"/>
                <w:color w:val="auto"/>
                <w:kern w:val="2"/>
                <w:sz w:val="24"/>
                <w:szCs w:val="24"/>
                <w:highlight w:val="none"/>
              </w:rPr>
              <w:t>…</w:t>
            </w:r>
            <w:bookmarkEnd w:id="68"/>
          </w:p>
        </w:tc>
        <w:tc>
          <w:tcPr>
            <w:tcW w:w="641" w:type="pct"/>
            <w:tcBorders>
              <w:top w:val="single" w:color="auto" w:sz="6" w:space="0"/>
              <w:left w:val="single" w:color="auto" w:sz="6" w:space="0"/>
              <w:bottom w:val="single" w:color="auto" w:sz="4" w:space="0"/>
              <w:right w:val="single" w:color="auto" w:sz="4" w:space="0"/>
            </w:tcBorders>
            <w:vAlign w:val="center"/>
          </w:tcPr>
          <w:p w14:paraId="146AAABD">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630" w:type="pct"/>
            <w:tcBorders>
              <w:top w:val="single" w:color="auto" w:sz="6" w:space="0"/>
              <w:left w:val="nil"/>
              <w:bottom w:val="single" w:color="auto" w:sz="4" w:space="0"/>
              <w:right w:val="single" w:color="auto" w:sz="6" w:space="0"/>
            </w:tcBorders>
            <w:vAlign w:val="center"/>
          </w:tcPr>
          <w:p w14:paraId="5441DD3A">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1504" w:type="pct"/>
            <w:tcBorders>
              <w:top w:val="single" w:color="auto" w:sz="6" w:space="0"/>
              <w:left w:val="single" w:color="auto" w:sz="6" w:space="0"/>
              <w:bottom w:val="single" w:color="auto" w:sz="4" w:space="0"/>
              <w:right w:val="single" w:color="auto" w:sz="6" w:space="0"/>
            </w:tcBorders>
            <w:vAlign w:val="center"/>
          </w:tcPr>
          <w:p w14:paraId="236FEC5F">
            <w:pPr>
              <w:pStyle w:val="8"/>
              <w:spacing w:line="360" w:lineRule="auto"/>
              <w:ind w:firstLine="0" w:firstLineChars="0"/>
              <w:contextualSpacing/>
              <w:jc w:val="center"/>
              <w:rPr>
                <w:rFonts w:ascii="宋体" w:hAnsi="宋体" w:cs="仿宋_GB2312"/>
                <w:color w:val="auto"/>
                <w:kern w:val="2"/>
                <w:sz w:val="24"/>
                <w:szCs w:val="24"/>
                <w:highlight w:val="none"/>
              </w:rPr>
            </w:pPr>
          </w:p>
        </w:tc>
        <w:tc>
          <w:tcPr>
            <w:tcW w:w="819" w:type="pct"/>
            <w:tcBorders>
              <w:top w:val="single" w:color="auto" w:sz="6" w:space="0"/>
              <w:left w:val="single" w:color="auto" w:sz="6" w:space="0"/>
              <w:bottom w:val="single" w:color="auto" w:sz="4" w:space="0"/>
              <w:right w:val="single" w:color="auto" w:sz="4" w:space="0"/>
            </w:tcBorders>
            <w:vAlign w:val="center"/>
          </w:tcPr>
          <w:p w14:paraId="3692C9DD">
            <w:pPr>
              <w:pStyle w:val="8"/>
              <w:spacing w:line="360" w:lineRule="auto"/>
              <w:ind w:firstLine="0" w:firstLineChars="0"/>
              <w:contextualSpacing/>
              <w:jc w:val="center"/>
              <w:rPr>
                <w:rFonts w:ascii="宋体" w:hAnsi="宋体" w:cs="仿宋_GB2312"/>
                <w:color w:val="auto"/>
                <w:kern w:val="2"/>
                <w:sz w:val="24"/>
                <w:szCs w:val="24"/>
                <w:highlight w:val="none"/>
              </w:rPr>
            </w:pPr>
          </w:p>
        </w:tc>
      </w:tr>
    </w:tbl>
    <w:p w14:paraId="78A4B4B5">
      <w:pPr>
        <w:adjustRightInd w:val="0"/>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68BA7F90">
      <w:pPr>
        <w:pStyle w:val="8"/>
        <w:spacing w:line="360" w:lineRule="auto"/>
        <w:ind w:firstLine="0" w:firstLineChars="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w:t>
      </w:r>
    </w:p>
    <w:p w14:paraId="54413E2A">
      <w:pPr>
        <w:pStyle w:val="8"/>
        <w:spacing w:line="360" w:lineRule="auto"/>
        <w:ind w:firstLine="0" w:firstLineChars="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 说明：应对照磋商文件“第三章 采购需求”中的技术要求逐条作出明确响应，并作出偏离说明。</w:t>
      </w:r>
    </w:p>
    <w:p w14:paraId="61B58B97">
      <w:pPr>
        <w:pStyle w:val="8"/>
        <w:spacing w:line="360" w:lineRule="auto"/>
        <w:ind w:firstLine="0" w:firstLineChars="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2AF0BCB4">
      <w:pPr>
        <w:spacing w:line="360" w:lineRule="auto"/>
        <w:ind w:right="-817" w:rightChars="-389"/>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42F6F52F">
      <w:pPr>
        <w:spacing w:line="360" w:lineRule="auto"/>
        <w:ind w:right="-817" w:rightChars="-389" w:firstLine="960" w:firstLineChars="4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法定代表人或者委托代理人（签字）：                    </w:t>
      </w:r>
    </w:p>
    <w:p w14:paraId="6CFA51D0">
      <w:pPr>
        <w:spacing w:line="360" w:lineRule="auto"/>
        <w:ind w:right="-817" w:rightChars="-389" w:firstLine="2640" w:firstLineChars="11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供应商（盖公章）：      </w:t>
      </w:r>
    </w:p>
    <w:p w14:paraId="659BE5CC">
      <w:pPr>
        <w:spacing w:line="360" w:lineRule="auto"/>
        <w:ind w:right="-817" w:rightChars="-389" w:firstLine="4080" w:firstLineChars="17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日期：   年   月   日</w:t>
      </w:r>
    </w:p>
    <w:p w14:paraId="17200FFD">
      <w:pPr>
        <w:snapToGrid w:val="0"/>
        <w:spacing w:before="156" w:beforeLines="50" w:after="50"/>
        <w:ind w:left="142"/>
        <w:jc w:val="left"/>
        <w:rPr>
          <w:rFonts w:ascii="宋体" w:hAnsi="宋体"/>
          <w:b/>
          <w:color w:val="auto"/>
          <w:sz w:val="24"/>
          <w:szCs w:val="24"/>
          <w:highlight w:val="none"/>
        </w:rPr>
      </w:pPr>
      <w:r>
        <w:rPr>
          <w:rFonts w:hint="eastAsia" w:ascii="宋体" w:hAnsi="宋体" w:cs="仿宋_GB2312"/>
          <w:color w:val="auto"/>
          <w:sz w:val="24"/>
          <w:szCs w:val="24"/>
          <w:highlight w:val="none"/>
        </w:rPr>
        <w:br w:type="page"/>
      </w:r>
      <w:r>
        <w:rPr>
          <w:rFonts w:hint="eastAsia" w:ascii="宋体" w:hAnsi="宋体"/>
          <w:b/>
          <w:color w:val="auto"/>
          <w:sz w:val="24"/>
          <w:szCs w:val="24"/>
          <w:highlight w:val="none"/>
        </w:rPr>
        <w:t>项目实施人员一览表格式</w:t>
      </w:r>
    </w:p>
    <w:p w14:paraId="040BE9E4">
      <w:pPr>
        <w:snapToGrid w:val="0"/>
        <w:spacing w:before="156" w:beforeLines="50" w:after="50"/>
        <w:ind w:left="142"/>
        <w:jc w:val="left"/>
        <w:rPr>
          <w:rFonts w:ascii="宋体" w:hAnsi="宋体"/>
          <w:b/>
          <w:color w:val="auto"/>
          <w:sz w:val="24"/>
          <w:szCs w:val="24"/>
          <w:highlight w:val="none"/>
        </w:rPr>
      </w:pPr>
      <w:r>
        <w:rPr>
          <w:rFonts w:hint="eastAsia" w:ascii="宋体" w:hAnsi="宋体"/>
          <w:b/>
          <w:color w:val="auto"/>
          <w:sz w:val="24"/>
          <w:szCs w:val="24"/>
          <w:highlight w:val="none"/>
        </w:rPr>
        <w:t xml:space="preserve"> </w:t>
      </w:r>
    </w:p>
    <w:p w14:paraId="06EDFA31">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202CF9D8">
      <w:pPr>
        <w:pStyle w:val="10"/>
        <w:spacing w:line="360" w:lineRule="auto"/>
        <w:contextualSpacing/>
        <w:rPr>
          <w:color w:val="auto"/>
          <w:sz w:val="24"/>
          <w:szCs w:val="24"/>
          <w:highlight w:val="none"/>
        </w:rPr>
      </w:pPr>
      <w:r>
        <w:rPr>
          <w:rFonts w:hint="eastAsia" w:hAnsi="宋体"/>
          <w:color w:val="auto"/>
          <w:sz w:val="24"/>
          <w:szCs w:val="24"/>
          <w:highlight w:val="none"/>
        </w:rPr>
        <w:t>分标（如有）：</w:t>
      </w:r>
      <w:r>
        <w:rPr>
          <w:rFonts w:hint="eastAsia"/>
          <w:color w:val="auto"/>
          <w:sz w:val="24"/>
          <w:szCs w:val="24"/>
          <w:highlight w:val="none"/>
          <w:u w:val="singl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99"/>
        <w:gridCol w:w="1420"/>
        <w:gridCol w:w="1698"/>
        <w:gridCol w:w="1843"/>
      </w:tblGrid>
      <w:tr w14:paraId="2DE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7339CC8">
            <w:pPr>
              <w:spacing w:line="360" w:lineRule="auto"/>
              <w:contextualSpacing/>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1E6418FD">
            <w:pPr>
              <w:spacing w:line="360" w:lineRule="auto"/>
              <w:contextualSpacing/>
              <w:jc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2799" w:type="dxa"/>
            <w:tcBorders>
              <w:top w:val="single" w:color="auto" w:sz="4" w:space="0"/>
              <w:left w:val="single" w:color="auto" w:sz="4" w:space="0"/>
              <w:bottom w:val="single" w:color="auto" w:sz="4" w:space="0"/>
              <w:right w:val="single" w:color="auto" w:sz="4" w:space="0"/>
            </w:tcBorders>
            <w:vAlign w:val="center"/>
          </w:tcPr>
          <w:p w14:paraId="79D18FA7">
            <w:pPr>
              <w:spacing w:line="360" w:lineRule="auto"/>
              <w:contextualSpacing/>
              <w:jc w:val="center"/>
              <w:rPr>
                <w:rFonts w:ascii="宋体" w:hAnsi="宋体"/>
                <w:color w:val="auto"/>
                <w:sz w:val="24"/>
                <w:szCs w:val="24"/>
                <w:highlight w:val="none"/>
              </w:rPr>
            </w:pPr>
            <w:r>
              <w:rPr>
                <w:rFonts w:hint="eastAsia" w:ascii="宋体" w:hAnsi="宋体"/>
                <w:color w:val="auto"/>
                <w:sz w:val="24"/>
                <w:szCs w:val="24"/>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1F2F81BC">
            <w:pPr>
              <w:spacing w:line="360" w:lineRule="auto"/>
              <w:contextualSpacing/>
              <w:jc w:val="center"/>
              <w:rPr>
                <w:rFonts w:ascii="宋体" w:hAnsi="宋体"/>
                <w:color w:val="auto"/>
                <w:sz w:val="24"/>
                <w:szCs w:val="24"/>
                <w:highlight w:val="none"/>
              </w:rPr>
            </w:pPr>
            <w:r>
              <w:rPr>
                <w:rFonts w:hint="eastAsia" w:ascii="宋体" w:hAnsi="宋体"/>
                <w:color w:val="auto"/>
                <w:sz w:val="24"/>
                <w:szCs w:val="24"/>
                <w:highlight w:val="none"/>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61A6F4FA">
            <w:pPr>
              <w:spacing w:line="360" w:lineRule="auto"/>
              <w:contextualSpacing/>
              <w:jc w:val="center"/>
              <w:rPr>
                <w:rFonts w:ascii="宋体" w:hAnsi="宋体"/>
                <w:color w:val="auto"/>
                <w:sz w:val="24"/>
                <w:szCs w:val="24"/>
                <w:highlight w:val="none"/>
              </w:rPr>
            </w:pPr>
            <w:r>
              <w:rPr>
                <w:rFonts w:hint="eastAsia" w:ascii="宋体" w:hAnsi="宋体"/>
                <w:color w:val="auto"/>
                <w:sz w:val="24"/>
                <w:szCs w:val="24"/>
                <w:highlight w:val="none"/>
              </w:rPr>
              <w:t>参加本单位</w:t>
            </w:r>
          </w:p>
          <w:p w14:paraId="49BAF727">
            <w:pPr>
              <w:spacing w:line="360" w:lineRule="auto"/>
              <w:contextualSpacing/>
              <w:jc w:val="center"/>
              <w:rPr>
                <w:rFonts w:ascii="宋体" w:hAnsi="宋体"/>
                <w:color w:val="auto"/>
                <w:sz w:val="24"/>
                <w:szCs w:val="24"/>
                <w:highlight w:val="none"/>
              </w:rPr>
            </w:pPr>
            <w:r>
              <w:rPr>
                <w:rFonts w:hint="eastAsia" w:ascii="宋体" w:hAnsi="宋体"/>
                <w:color w:val="auto"/>
                <w:sz w:val="24"/>
                <w:szCs w:val="24"/>
                <w:highlight w:val="none"/>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5F4947A9">
            <w:pPr>
              <w:spacing w:line="360" w:lineRule="auto"/>
              <w:contextualSpacing/>
              <w:jc w:val="center"/>
              <w:rPr>
                <w:rFonts w:ascii="宋体" w:hAnsi="宋体"/>
                <w:color w:val="auto"/>
                <w:sz w:val="24"/>
                <w:szCs w:val="24"/>
                <w:highlight w:val="none"/>
              </w:rPr>
            </w:pPr>
            <w:r>
              <w:rPr>
                <w:rFonts w:hint="eastAsia" w:ascii="宋体" w:hAnsi="宋体"/>
                <w:color w:val="auto"/>
                <w:sz w:val="24"/>
                <w:szCs w:val="24"/>
                <w:highlight w:val="none"/>
              </w:rPr>
              <w:t>劳动合同编号</w:t>
            </w:r>
          </w:p>
        </w:tc>
      </w:tr>
      <w:tr w14:paraId="097D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3C017F2">
            <w:pPr>
              <w:spacing w:line="360" w:lineRule="auto"/>
              <w:contextualSpacing/>
              <w:jc w:val="center"/>
              <w:rPr>
                <w:rFonts w:ascii="宋体" w:hAnsi="宋体"/>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84FD45C">
            <w:pPr>
              <w:spacing w:line="360" w:lineRule="auto"/>
              <w:contextualSpacing/>
              <w:jc w:val="center"/>
              <w:rPr>
                <w:rFonts w:ascii="宋体" w:hAnsi="宋体"/>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14:paraId="7A59097D">
            <w:pPr>
              <w:spacing w:line="360" w:lineRule="auto"/>
              <w:contextualSpacing/>
              <w:jc w:val="center"/>
              <w:rPr>
                <w:rFonts w:ascii="宋体" w:hAnsi="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E5F0913">
            <w:pPr>
              <w:spacing w:line="360" w:lineRule="auto"/>
              <w:contextualSpacing/>
              <w:jc w:val="center"/>
              <w:rPr>
                <w:rFonts w:ascii="宋体" w:hAnsi="宋体"/>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399E9FD9">
            <w:pPr>
              <w:spacing w:line="360" w:lineRule="auto"/>
              <w:contextualSpacing/>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707BD6F">
            <w:pPr>
              <w:spacing w:line="360" w:lineRule="auto"/>
              <w:contextualSpacing/>
              <w:jc w:val="center"/>
              <w:rPr>
                <w:rFonts w:ascii="宋体" w:hAnsi="宋体"/>
                <w:color w:val="auto"/>
                <w:sz w:val="24"/>
                <w:szCs w:val="24"/>
                <w:highlight w:val="none"/>
              </w:rPr>
            </w:pPr>
          </w:p>
        </w:tc>
      </w:tr>
      <w:tr w14:paraId="741C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6C8A6AB">
            <w:pPr>
              <w:spacing w:line="360" w:lineRule="auto"/>
              <w:contextualSpacing/>
              <w:jc w:val="center"/>
              <w:rPr>
                <w:rFonts w:ascii="宋体" w:hAnsi="宋体"/>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84A18B2">
            <w:pPr>
              <w:spacing w:line="360" w:lineRule="auto"/>
              <w:contextualSpacing/>
              <w:jc w:val="center"/>
              <w:rPr>
                <w:rFonts w:ascii="宋体" w:hAnsi="宋体"/>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14:paraId="6CD62241">
            <w:pPr>
              <w:spacing w:line="360" w:lineRule="auto"/>
              <w:contextualSpacing/>
              <w:jc w:val="center"/>
              <w:rPr>
                <w:rFonts w:ascii="宋体" w:hAnsi="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71A1F8BE">
            <w:pPr>
              <w:spacing w:line="360" w:lineRule="auto"/>
              <w:contextualSpacing/>
              <w:jc w:val="center"/>
              <w:rPr>
                <w:rFonts w:ascii="宋体" w:hAnsi="宋体"/>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FFEB414">
            <w:pPr>
              <w:spacing w:line="360" w:lineRule="auto"/>
              <w:contextualSpacing/>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0ABCF05">
            <w:pPr>
              <w:spacing w:line="360" w:lineRule="auto"/>
              <w:contextualSpacing/>
              <w:jc w:val="center"/>
              <w:rPr>
                <w:rFonts w:ascii="宋体" w:hAnsi="宋体"/>
                <w:color w:val="auto"/>
                <w:sz w:val="24"/>
                <w:szCs w:val="24"/>
                <w:highlight w:val="none"/>
              </w:rPr>
            </w:pPr>
          </w:p>
        </w:tc>
      </w:tr>
      <w:tr w14:paraId="1126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A91AD3E">
            <w:pPr>
              <w:spacing w:line="360" w:lineRule="auto"/>
              <w:contextualSpacing/>
              <w:jc w:val="center"/>
              <w:rPr>
                <w:rFonts w:ascii="宋体" w:hAnsi="宋体"/>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B71E993">
            <w:pPr>
              <w:spacing w:line="360" w:lineRule="auto"/>
              <w:contextualSpacing/>
              <w:jc w:val="center"/>
              <w:rPr>
                <w:rFonts w:ascii="宋体" w:hAnsi="宋体"/>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14:paraId="3C028B07">
            <w:pPr>
              <w:spacing w:line="360" w:lineRule="auto"/>
              <w:contextualSpacing/>
              <w:jc w:val="center"/>
              <w:rPr>
                <w:rFonts w:ascii="宋体" w:hAnsi="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23E2F8C4">
            <w:pPr>
              <w:spacing w:line="360" w:lineRule="auto"/>
              <w:contextualSpacing/>
              <w:jc w:val="center"/>
              <w:rPr>
                <w:rFonts w:ascii="宋体" w:hAnsi="宋体"/>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23DC6D0B">
            <w:pPr>
              <w:spacing w:line="360" w:lineRule="auto"/>
              <w:contextualSpacing/>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1657432">
            <w:pPr>
              <w:spacing w:line="360" w:lineRule="auto"/>
              <w:contextualSpacing/>
              <w:jc w:val="center"/>
              <w:rPr>
                <w:rFonts w:ascii="宋体" w:hAnsi="宋体"/>
                <w:color w:val="auto"/>
                <w:sz w:val="24"/>
                <w:szCs w:val="24"/>
                <w:highlight w:val="none"/>
              </w:rPr>
            </w:pPr>
          </w:p>
        </w:tc>
      </w:tr>
    </w:tbl>
    <w:p w14:paraId="3E2CE66E">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注：</w:t>
      </w:r>
    </w:p>
    <w:p w14:paraId="05E1F3D4">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1.在填写时，如本表格不适合供应商的实际情况，可根据本表格式自行制表填写。</w:t>
      </w:r>
    </w:p>
    <w:p w14:paraId="67A0D3E9">
      <w:pPr>
        <w:spacing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2.供应商应当附本表所列证书的复印件并加盖供应商公章。</w:t>
      </w:r>
    </w:p>
    <w:p w14:paraId="5DB2D601">
      <w:pPr>
        <w:spacing w:line="360" w:lineRule="auto"/>
        <w:contextualSpacing/>
        <w:rPr>
          <w:rFonts w:ascii="宋体" w:hAnsi="宋体"/>
          <w:color w:val="auto"/>
          <w:spacing w:val="20"/>
          <w:sz w:val="24"/>
          <w:szCs w:val="24"/>
          <w:highlight w:val="none"/>
          <w:u w:val="single"/>
        </w:rPr>
      </w:pPr>
      <w:r>
        <w:rPr>
          <w:rFonts w:hint="eastAsia" w:ascii="宋体" w:hAnsi="宋体"/>
          <w:color w:val="auto"/>
          <w:sz w:val="24"/>
          <w:szCs w:val="24"/>
          <w:highlight w:val="none"/>
        </w:rPr>
        <w:t>法定代表人或者委托代理人</w:t>
      </w:r>
      <w:r>
        <w:rPr>
          <w:rFonts w:hint="eastAsia" w:ascii="宋体" w:hAnsi="宋体"/>
          <w:color w:val="auto"/>
          <w:spacing w:val="20"/>
          <w:sz w:val="24"/>
          <w:szCs w:val="24"/>
          <w:highlight w:val="none"/>
        </w:rPr>
        <w:t>签字：</w:t>
      </w:r>
      <w:r>
        <w:rPr>
          <w:rFonts w:hint="eastAsia" w:ascii="宋体" w:hAnsi="宋体"/>
          <w:color w:val="auto"/>
          <w:spacing w:val="20"/>
          <w:sz w:val="24"/>
          <w:szCs w:val="24"/>
          <w:highlight w:val="none"/>
          <w:u w:val="single"/>
        </w:rPr>
        <w:t xml:space="preserve">        </w:t>
      </w:r>
    </w:p>
    <w:p w14:paraId="1EEB5EA1">
      <w:pPr>
        <w:spacing w:line="360" w:lineRule="auto"/>
        <w:contextualSpacing/>
        <w:jc w:val="left"/>
        <w:rPr>
          <w:rFonts w:ascii="宋体" w:hAnsi="宋体"/>
          <w:color w:val="auto"/>
          <w:sz w:val="24"/>
          <w:szCs w:val="24"/>
          <w:highlight w:val="none"/>
        </w:rPr>
      </w:pPr>
      <w:r>
        <w:rPr>
          <w:rFonts w:hint="eastAsia" w:ascii="宋体" w:hAnsi="宋体"/>
          <w:color w:val="auto"/>
          <w:spacing w:val="20"/>
          <w:sz w:val="24"/>
          <w:szCs w:val="24"/>
          <w:highlight w:val="none"/>
        </w:rPr>
        <w:t>供应商（盖公章）：</w:t>
      </w:r>
      <w:r>
        <w:rPr>
          <w:rFonts w:hint="eastAsia"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 xml:space="preserve">              日 期：</w:t>
      </w:r>
      <w:r>
        <w:rPr>
          <w:rFonts w:hint="eastAsia" w:ascii="宋体" w:hAnsi="宋体"/>
          <w:color w:val="auto"/>
          <w:spacing w:val="20"/>
          <w:sz w:val="24"/>
          <w:szCs w:val="24"/>
          <w:highlight w:val="none"/>
          <w:u w:val="single"/>
        </w:rPr>
        <w:t xml:space="preserve">         </w:t>
      </w:r>
    </w:p>
    <w:p w14:paraId="27CF5E67">
      <w:pPr>
        <w:snapToGrid w:val="0"/>
        <w:spacing w:before="50" w:after="156" w:afterLines="50"/>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06EF4941">
      <w:pPr>
        <w:snapToGrid w:val="0"/>
        <w:spacing w:before="50" w:after="50" w:line="360" w:lineRule="auto"/>
        <w:ind w:right="-817" w:rightChars="-389" w:firstLine="5461" w:firstLineChars="1700"/>
        <w:rPr>
          <w:rFonts w:hint="eastAsia" w:ascii="仿宋_GB2312" w:hAnsi="仿宋_GB2312"/>
          <w:b/>
          <w:color w:val="auto"/>
          <w:sz w:val="32"/>
          <w:szCs w:val="32"/>
          <w:highlight w:val="none"/>
        </w:rPr>
      </w:pPr>
      <w:r>
        <w:rPr>
          <w:rFonts w:ascii="仿宋_GB2312" w:hAnsi="仿宋_GB2312"/>
          <w:b/>
          <w:color w:val="auto"/>
          <w:sz w:val="32"/>
          <w:szCs w:val="32"/>
          <w:highlight w:val="none"/>
        </w:rPr>
        <w:t xml:space="preserve"> </w:t>
      </w:r>
    </w:p>
    <w:p w14:paraId="1F16542C">
      <w:pPr>
        <w:spacing w:line="300" w:lineRule="auto"/>
        <w:rPr>
          <w:rFonts w:ascii="宋体" w:hAnsi="宋体"/>
          <w:color w:val="auto"/>
          <w:highlight w:val="none"/>
        </w:rPr>
      </w:pPr>
      <w:r>
        <w:rPr>
          <w:rFonts w:hint="eastAsia" w:ascii="宋体" w:hAnsi="宋体"/>
          <w:b/>
          <w:bCs/>
          <w:color w:val="auto"/>
          <w:sz w:val="24"/>
          <w:szCs w:val="24"/>
          <w:highlight w:val="none"/>
        </w:rPr>
        <w:br w:type="page"/>
      </w:r>
      <w:r>
        <w:rPr>
          <w:rFonts w:hint="eastAsia" w:ascii="宋体" w:hAnsi="宋体"/>
          <w:b/>
          <w:bCs/>
          <w:color w:val="auto"/>
          <w:sz w:val="24"/>
          <w:szCs w:val="24"/>
          <w:highlight w:val="none"/>
        </w:rPr>
        <w:t>其他文书、文件格式</w:t>
      </w:r>
    </w:p>
    <w:p w14:paraId="1EF9176E">
      <w:pPr>
        <w:jc w:val="center"/>
        <w:rPr>
          <w:rFonts w:hint="eastAsia" w:ascii="方正小标宋简体" w:hAnsi="方正小标宋简体"/>
          <w:color w:val="auto"/>
          <w:sz w:val="44"/>
          <w:szCs w:val="44"/>
          <w:highlight w:val="none"/>
        </w:rPr>
      </w:pPr>
      <w:bookmarkStart w:id="69" w:name="_Toc71365926"/>
      <w:bookmarkEnd w:id="69"/>
      <w:r>
        <w:rPr>
          <w:rFonts w:ascii="方正小标宋简体" w:hAnsi="方正小标宋简体"/>
          <w:color w:val="auto"/>
          <w:sz w:val="44"/>
          <w:szCs w:val="44"/>
          <w:highlight w:val="none"/>
        </w:rPr>
        <w:t>中小企业声明函（服务）</w:t>
      </w:r>
    </w:p>
    <w:p w14:paraId="7C712432">
      <w:pPr>
        <w:spacing w:before="2" w:line="500" w:lineRule="exact"/>
        <w:ind w:firstLine="708" w:firstLineChars="294"/>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14:paraId="7CCEFC72">
      <w:pPr>
        <w:pStyle w:val="7"/>
        <w:spacing w:line="500" w:lineRule="exact"/>
        <w:ind w:right="142" w:firstLine="705" w:firstLineChars="294"/>
        <w:rPr>
          <w:rFonts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采购活动，服务全部由符合政策要求的中小企业承接。相关企业（含联合体中的中小企业、签订分包意向协议的中小企业）的具体情况如下：</w:t>
      </w:r>
    </w:p>
    <w:p w14:paraId="01347DCC">
      <w:pPr>
        <w:tabs>
          <w:tab w:val="left" w:pos="1384"/>
          <w:tab w:val="left" w:pos="4562"/>
          <w:tab w:val="left" w:pos="6803"/>
        </w:tabs>
        <w:spacing w:before="13" w:line="500" w:lineRule="exact"/>
        <w:ind w:right="142" w:firstLine="772" w:firstLineChars="322"/>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single"/>
        </w:rPr>
        <w:t>（标的名称）</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4C2E28D3">
      <w:pPr>
        <w:tabs>
          <w:tab w:val="left" w:pos="1065"/>
          <w:tab w:val="left" w:pos="4262"/>
          <w:tab w:val="left" w:pos="6477"/>
        </w:tabs>
        <w:spacing w:before="20" w:line="500" w:lineRule="exact"/>
        <w:ind w:right="84" w:firstLine="772" w:firstLineChars="322"/>
        <w:rPr>
          <w:rFonts w:ascii="宋体" w:hAnsi="宋体"/>
          <w:color w:val="auto"/>
          <w:sz w:val="24"/>
          <w:szCs w:val="24"/>
          <w:highlight w:val="none"/>
          <w:u w:val="single"/>
        </w:rPr>
      </w:pPr>
      <w:r>
        <w:rPr>
          <w:rFonts w:hint="eastAsia" w:ascii="宋体" w:hAnsi="宋体"/>
          <w:color w:val="auto"/>
          <w:sz w:val="24"/>
          <w:szCs w:val="24"/>
          <w:highlight w:val="none"/>
        </w:rPr>
        <w:t>2.</w:t>
      </w:r>
      <w:r>
        <w:rPr>
          <w:rFonts w:hint="eastAsia" w:ascii="宋体" w:hAnsi="宋体"/>
          <w:color w:val="auto"/>
          <w:sz w:val="24"/>
          <w:szCs w:val="24"/>
          <w:highlight w:val="none"/>
          <w:u w:val="single"/>
        </w:rPr>
        <w:t>（标的名称）</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608A1423">
      <w:pPr>
        <w:pStyle w:val="7"/>
        <w:spacing w:before="34" w:beforeAutospacing="0" w:line="500" w:lineRule="exact"/>
        <w:ind w:right="142" w:firstLine="705" w:firstLineChars="294"/>
        <w:rPr>
          <w:rFonts w:ascii="宋体" w:hAnsi="宋体"/>
          <w:color w:val="auto"/>
          <w:sz w:val="24"/>
          <w:szCs w:val="24"/>
          <w:highlight w:val="none"/>
        </w:rPr>
      </w:pPr>
      <w:r>
        <w:rPr>
          <w:rFonts w:hint="eastAsia" w:ascii="宋体" w:hAnsi="宋体"/>
          <w:color w:val="auto"/>
          <w:sz w:val="24"/>
          <w:szCs w:val="24"/>
          <w:highlight w:val="none"/>
        </w:rPr>
        <w:t xml:space="preserve">…… </w:t>
      </w:r>
    </w:p>
    <w:p w14:paraId="45AD1619">
      <w:pPr>
        <w:pStyle w:val="7"/>
        <w:spacing w:before="34" w:beforeAutospacing="0" w:line="500" w:lineRule="exact"/>
        <w:ind w:right="142" w:firstLine="705" w:firstLineChars="294"/>
        <w:rPr>
          <w:rFonts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14:paraId="3CBD8586">
      <w:pPr>
        <w:pStyle w:val="7"/>
        <w:spacing w:before="25" w:beforeAutospacing="0" w:line="500" w:lineRule="exact"/>
        <w:ind w:right="142" w:firstLine="705" w:firstLineChars="294"/>
        <w:rPr>
          <w:rFonts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7AFB1BFE">
      <w:pPr>
        <w:pStyle w:val="7"/>
        <w:spacing w:before="56" w:beforeAutospacing="0" w:line="500" w:lineRule="exact"/>
        <w:ind w:right="1808" w:firstLine="705" w:firstLineChars="294"/>
        <w:rPr>
          <w:rFonts w:ascii="宋体" w:hAnsi="宋体"/>
          <w:color w:val="auto"/>
          <w:sz w:val="24"/>
          <w:szCs w:val="24"/>
          <w:highlight w:val="none"/>
        </w:rPr>
      </w:pPr>
      <w:r>
        <w:rPr>
          <w:rFonts w:hint="eastAsia" w:ascii="宋体" w:hAnsi="宋体"/>
          <w:color w:val="auto"/>
          <w:sz w:val="24"/>
          <w:szCs w:val="24"/>
          <w:highlight w:val="none"/>
        </w:rPr>
        <w:t xml:space="preserve"> </w:t>
      </w:r>
    </w:p>
    <w:p w14:paraId="6905D904">
      <w:pPr>
        <w:pStyle w:val="7"/>
        <w:spacing w:before="56" w:beforeAutospacing="0" w:line="500" w:lineRule="exact"/>
        <w:ind w:right="650" w:firstLine="5625" w:firstLineChars="2344"/>
        <w:rPr>
          <w:rFonts w:ascii="宋体" w:hAnsi="宋体"/>
          <w:color w:val="auto"/>
          <w:sz w:val="24"/>
          <w:szCs w:val="24"/>
          <w:highlight w:val="none"/>
        </w:rPr>
      </w:pPr>
      <w:r>
        <w:rPr>
          <w:rFonts w:hint="eastAsia" w:ascii="宋体" w:hAnsi="宋体"/>
          <w:color w:val="auto"/>
          <w:sz w:val="24"/>
          <w:szCs w:val="24"/>
          <w:highlight w:val="none"/>
        </w:rPr>
        <w:t xml:space="preserve">企业名称（章）： </w:t>
      </w:r>
    </w:p>
    <w:p w14:paraId="15974A50">
      <w:pPr>
        <w:pStyle w:val="7"/>
        <w:spacing w:before="56" w:beforeAutospacing="0" w:line="500" w:lineRule="exact"/>
        <w:ind w:right="1808" w:firstLine="5625" w:firstLineChars="2344"/>
        <w:rPr>
          <w:rFonts w:ascii="宋体" w:hAnsi="宋体"/>
          <w:color w:val="auto"/>
          <w:sz w:val="24"/>
          <w:szCs w:val="24"/>
          <w:highlight w:val="none"/>
        </w:rPr>
      </w:pPr>
      <w:r>
        <w:rPr>
          <w:rFonts w:hint="eastAsia" w:ascii="宋体" w:hAnsi="宋体"/>
          <w:color w:val="auto"/>
          <w:sz w:val="24"/>
          <w:szCs w:val="24"/>
          <w:highlight w:val="none"/>
        </w:rPr>
        <w:t>日 期：</w:t>
      </w:r>
    </w:p>
    <w:p w14:paraId="4AB6303B">
      <w:pPr>
        <w:spacing w:line="520" w:lineRule="exact"/>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88F2522">
      <w:pPr>
        <w:spacing w:line="5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w:t>
      </w:r>
    </w:p>
    <w:p w14:paraId="3C51CB05">
      <w:pPr>
        <w:pStyle w:val="10"/>
        <w:jc w:val="left"/>
        <w:rPr>
          <w:rFonts w:ascii="Arial Unicode MS" w:hAnsi="Arial Unicode MS"/>
          <w:color w:val="auto"/>
          <w:sz w:val="32"/>
          <w:szCs w:val="32"/>
          <w:highlight w:val="none"/>
        </w:rPr>
      </w:pPr>
      <w:r>
        <w:rPr>
          <w:rFonts w:hint="eastAsia" w:hAnsi="宋体"/>
          <w:color w:val="auto"/>
          <w:sz w:val="24"/>
          <w:szCs w:val="24"/>
          <w:highlight w:val="none"/>
        </w:rPr>
        <w:br w:type="page"/>
      </w:r>
      <w:r>
        <w:rPr>
          <w:rFonts w:ascii="Arial Unicode MS" w:hAnsi="Arial Unicode MS"/>
          <w:color w:val="auto"/>
          <w:sz w:val="32"/>
          <w:szCs w:val="32"/>
          <w:highlight w:val="none"/>
        </w:rPr>
        <w:t>附：</w:t>
      </w:r>
    </w:p>
    <w:p w14:paraId="6693BB0B">
      <w:pPr>
        <w:jc w:val="center"/>
        <w:rPr>
          <w:rFonts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159430BB">
      <w:pPr>
        <w:ind w:left="1871"/>
        <w:rPr>
          <w:rFonts w:ascii="宋体" w:hAnsi="宋体" w:cs="Arial Unicode MS"/>
          <w:color w:val="auto"/>
          <w:highlight w:val="none"/>
        </w:rPr>
      </w:pPr>
      <w:r>
        <w:rPr>
          <w:rFonts w:hint="eastAsia" w:ascii="宋体" w:hAnsi="宋体" w:cs="Arial Unicode MS"/>
          <w:color w:val="auto"/>
          <w:highlight w:val="none"/>
        </w:rPr>
        <w:t xml:space="preserve"> </w:t>
      </w:r>
    </w:p>
    <w:tbl>
      <w:tblPr>
        <w:tblStyle w:val="15"/>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7E47179E">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9E3FD3C">
            <w:pPr>
              <w:widowControl/>
              <w:jc w:val="left"/>
              <w:rPr>
                <w:rFonts w:ascii="仿宋_GB2312" w:hAnsi="仿宋" w:cs="宋体"/>
                <w:b/>
                <w:color w:val="auto"/>
                <w:kern w:val="0"/>
                <w:sz w:val="24"/>
                <w:szCs w:val="24"/>
                <w:highlight w:val="none"/>
              </w:rPr>
            </w:pPr>
            <w:r>
              <w:rPr>
                <w:rFonts w:ascii="仿宋_GB2312" w:hAnsi="仿宋_GB2312" w:cs="宋体"/>
                <w:b/>
                <w:color w:val="auto"/>
                <w:kern w:val="0"/>
                <w:sz w:val="24"/>
                <w:szCs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4D3E329">
            <w:pPr>
              <w:widowControl/>
              <w:jc w:val="left"/>
              <w:rPr>
                <w:rFonts w:ascii="仿宋_GB2312" w:hAnsi="仿宋" w:cs="宋体"/>
                <w:b/>
                <w:color w:val="auto"/>
                <w:kern w:val="0"/>
                <w:sz w:val="24"/>
                <w:szCs w:val="24"/>
                <w:highlight w:val="none"/>
              </w:rPr>
            </w:pPr>
            <w:r>
              <w:rPr>
                <w:rFonts w:ascii="仿宋_GB2312" w:hAnsi="仿宋_GB2312" w:cs="宋体"/>
                <w:b/>
                <w:color w:val="auto"/>
                <w:kern w:val="0"/>
                <w:sz w:val="24"/>
                <w:szCs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E4D962A">
            <w:pPr>
              <w:widowControl/>
              <w:jc w:val="left"/>
              <w:rPr>
                <w:rFonts w:ascii="仿宋_GB2312" w:hAnsi="仿宋" w:cs="宋体"/>
                <w:b/>
                <w:color w:val="auto"/>
                <w:kern w:val="0"/>
                <w:sz w:val="24"/>
                <w:szCs w:val="24"/>
                <w:highlight w:val="none"/>
              </w:rPr>
            </w:pPr>
            <w:r>
              <w:rPr>
                <w:rFonts w:ascii="仿宋_GB2312" w:hAnsi="仿宋_GB2312" w:cs="宋体"/>
                <w:b/>
                <w:color w:val="auto"/>
                <w:kern w:val="0"/>
                <w:sz w:val="24"/>
                <w:szCs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4075584">
            <w:pPr>
              <w:widowControl/>
              <w:jc w:val="left"/>
              <w:rPr>
                <w:rFonts w:ascii="仿宋_GB2312" w:hAnsi="仿宋" w:cs="宋体"/>
                <w:b/>
                <w:color w:val="auto"/>
                <w:kern w:val="0"/>
                <w:sz w:val="24"/>
                <w:szCs w:val="24"/>
                <w:highlight w:val="none"/>
              </w:rPr>
            </w:pPr>
            <w:r>
              <w:rPr>
                <w:rFonts w:ascii="仿宋_GB2312" w:hAnsi="仿宋_GB2312" w:cs="宋体"/>
                <w:b/>
                <w:color w:val="auto"/>
                <w:kern w:val="0"/>
                <w:sz w:val="24"/>
                <w:szCs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53E71956">
            <w:pPr>
              <w:widowControl/>
              <w:jc w:val="left"/>
              <w:rPr>
                <w:rFonts w:ascii="仿宋_GB2312" w:hAnsi="仿宋" w:cs="宋体"/>
                <w:b/>
                <w:color w:val="auto"/>
                <w:kern w:val="0"/>
                <w:sz w:val="24"/>
                <w:szCs w:val="24"/>
                <w:highlight w:val="none"/>
              </w:rPr>
            </w:pPr>
            <w:r>
              <w:rPr>
                <w:rFonts w:ascii="仿宋_GB2312" w:hAnsi="仿宋_GB2312" w:cs="宋体"/>
                <w:b/>
                <w:color w:val="auto"/>
                <w:kern w:val="0"/>
                <w:sz w:val="24"/>
                <w:szCs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781CF05C">
            <w:pPr>
              <w:widowControl/>
              <w:jc w:val="left"/>
              <w:rPr>
                <w:rFonts w:ascii="仿宋_GB2312" w:hAnsi="仿宋" w:cs="宋体"/>
                <w:b/>
                <w:color w:val="auto"/>
                <w:kern w:val="0"/>
                <w:sz w:val="24"/>
                <w:szCs w:val="24"/>
                <w:highlight w:val="none"/>
              </w:rPr>
            </w:pPr>
            <w:r>
              <w:rPr>
                <w:rFonts w:ascii="仿宋_GB2312" w:hAnsi="仿宋_GB2312" w:cs="宋体"/>
                <w:b/>
                <w:color w:val="auto"/>
                <w:kern w:val="0"/>
                <w:sz w:val="24"/>
                <w:szCs w:val="24"/>
                <w:highlight w:val="none"/>
              </w:rPr>
              <w:t>微型</w:t>
            </w:r>
          </w:p>
        </w:tc>
      </w:tr>
      <w:tr w14:paraId="1386E24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67FEE53F">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636AB7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8624C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E9F722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5ADC71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01E639D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Y＜50</w:t>
            </w:r>
          </w:p>
        </w:tc>
      </w:tr>
      <w:tr w14:paraId="18ACCFA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35F4EEE">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142DF55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0E296A9">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CB4E5C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41C3E9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9BC1C16">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X＜20</w:t>
            </w:r>
          </w:p>
        </w:tc>
      </w:tr>
      <w:tr w14:paraId="6F1464C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827E97">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E84C940">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42306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A7B3BD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48450D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CE0BAC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Y＜300</w:t>
            </w:r>
          </w:p>
        </w:tc>
      </w:tr>
      <w:tr w14:paraId="38380CB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01E4BC4">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D20260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7129E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F7426D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DDE2EF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CD2824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Y＜300</w:t>
            </w:r>
          </w:p>
        </w:tc>
      </w:tr>
      <w:tr w14:paraId="47AC3C2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46BD655">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989772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00D5863">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F9CC60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2CBB848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5B5382F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Z＜300</w:t>
            </w:r>
          </w:p>
        </w:tc>
      </w:tr>
      <w:tr w14:paraId="29981D3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5E22C9A">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2D9A0850">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C3459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E78855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62EA5C30">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50AB38F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X＜5</w:t>
            </w:r>
          </w:p>
        </w:tc>
      </w:tr>
      <w:tr w14:paraId="08329F2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5771646">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62415B3">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33D8D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9FAE03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119A77D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7D53895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Y＜1000</w:t>
            </w:r>
          </w:p>
        </w:tc>
      </w:tr>
      <w:tr w14:paraId="07A08A0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525C4DF">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167AF16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CD10E2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FEEBDC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374A019">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53B8A5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w:t>
            </w:r>
          </w:p>
        </w:tc>
      </w:tr>
      <w:tr w14:paraId="3000B4D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2AC7DFD">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6EE083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02024D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249138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6156943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7C46246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w:t>
            </w:r>
          </w:p>
        </w:tc>
      </w:tr>
      <w:tr w14:paraId="411DA7A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332D2CA">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426D7C0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6B7630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D359C6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6091A7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1054CA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X＜20</w:t>
            </w:r>
          </w:p>
        </w:tc>
      </w:tr>
      <w:tr w14:paraId="4F671F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D40A9C7">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41778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1E3C5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9D5962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28D9786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42DEC3F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Y＜200</w:t>
            </w:r>
          </w:p>
        </w:tc>
      </w:tr>
      <w:tr w14:paraId="7E90AE0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A193BD7">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2A1BA9D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5CEED0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FE3979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4D88B4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53322059">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X＜20</w:t>
            </w:r>
          </w:p>
        </w:tc>
      </w:tr>
      <w:tr w14:paraId="2101715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66B41ED">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FD0A1B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36A8D9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F89DF8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68AC6A6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377919B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w:t>
            </w:r>
          </w:p>
        </w:tc>
      </w:tr>
      <w:tr w14:paraId="5A2F11A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C77F3B8">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75E0EBB6">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1252D1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A1F2333">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CEEAD4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FCBE1A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X＜20</w:t>
            </w:r>
          </w:p>
        </w:tc>
      </w:tr>
      <w:tr w14:paraId="5FA64C5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CCECB51">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E98A090">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BF2DE1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90A278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6E095E8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1408AC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w:t>
            </w:r>
          </w:p>
        </w:tc>
      </w:tr>
      <w:tr w14:paraId="1F5BE6A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6C5C34E">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0205897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3F1D770">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90CA9C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3F92CE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C595526">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w:t>
            </w:r>
          </w:p>
        </w:tc>
      </w:tr>
      <w:tr w14:paraId="58B2C06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B3649FB">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0B17C0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8453509">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43D3E50">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DE8762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4FBBAF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w:t>
            </w:r>
          </w:p>
        </w:tc>
      </w:tr>
      <w:tr w14:paraId="24FD851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E6CD867">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07C5481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4A411F0">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4B5E0B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B76DBC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AA90A1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w:t>
            </w:r>
          </w:p>
        </w:tc>
      </w:tr>
      <w:tr w14:paraId="0C06736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33AB81F">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DD5B5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69FCC79">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2E6316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0BB8CB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D177D83">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w:t>
            </w:r>
          </w:p>
        </w:tc>
      </w:tr>
      <w:tr w14:paraId="6D5CD6D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348DAF9">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46634B1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4EDE10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DF3848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009323E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8C1125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w:t>
            </w:r>
          </w:p>
        </w:tc>
      </w:tr>
      <w:tr w14:paraId="03970C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7401BE6">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DA8441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F261E4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920999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2A82AC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5305E2B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w:t>
            </w:r>
          </w:p>
        </w:tc>
      </w:tr>
      <w:tr w14:paraId="44FEF5C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8535179">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7D952E6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62FFFB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2AB750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4B2F6B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6F2A53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w:t>
            </w:r>
          </w:p>
        </w:tc>
      </w:tr>
      <w:tr w14:paraId="15FD103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B453789">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5FFF35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36ED8F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C10FE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293779D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572F3EE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Y＜50</w:t>
            </w:r>
          </w:p>
        </w:tc>
      </w:tr>
      <w:tr w14:paraId="082219E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EA49070">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331C39C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A7F18E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175EE6">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7694C67B">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0D1CF23">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X＜100</w:t>
            </w:r>
          </w:p>
        </w:tc>
      </w:tr>
      <w:tr w14:paraId="2979204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40F8182">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05BE4A6">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5C515F1">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786C98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B12990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05E6108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Y＜2000</w:t>
            </w:r>
          </w:p>
        </w:tc>
      </w:tr>
      <w:tr w14:paraId="34F13B8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F54E1FA">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5D41A7E6">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5E5107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E7B762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8513CCE">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53182909">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X＜100</w:t>
            </w:r>
          </w:p>
        </w:tc>
      </w:tr>
      <w:tr w14:paraId="495B471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D269C8">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2A64C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49EC09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2B0A0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17885E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67E3508A">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Y＜500</w:t>
            </w:r>
          </w:p>
        </w:tc>
      </w:tr>
      <w:tr w14:paraId="43411B4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C265597">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7FA29553">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592481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D846BE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047046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74251C2">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w:t>
            </w:r>
          </w:p>
        </w:tc>
      </w:tr>
      <w:tr w14:paraId="4F8129A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3689B7C">
            <w:pPr>
              <w:widowControl/>
              <w:jc w:val="left"/>
              <w:rPr>
                <w:rFonts w:ascii="仿宋_GB2312" w:hAnsi="仿宋"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95324E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65A345E4">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754DC6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42535FD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129D888">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Y＜100</w:t>
            </w:r>
          </w:p>
        </w:tc>
      </w:tr>
      <w:tr w14:paraId="414FDF7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C80FC96">
            <w:pPr>
              <w:widowControl/>
              <w:jc w:val="center"/>
              <w:rPr>
                <w:rFonts w:ascii="仿宋_GB2312" w:hAnsi="仿宋" w:cs="宋体"/>
                <w:b/>
                <w:bCs/>
                <w:color w:val="auto"/>
                <w:kern w:val="0"/>
                <w:sz w:val="18"/>
                <w:szCs w:val="18"/>
                <w:highlight w:val="none"/>
              </w:rPr>
            </w:pPr>
            <w:r>
              <w:rPr>
                <w:rFonts w:ascii="仿宋_GB2312" w:hAnsi="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6CF7C76C">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2ADADF">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D51D817">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C7C2F7D">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4D090C5">
            <w:pPr>
              <w:widowControl/>
              <w:jc w:val="left"/>
              <w:rPr>
                <w:rFonts w:ascii="仿宋_GB2312" w:hAnsi="仿宋" w:cs="宋体"/>
                <w:color w:val="auto"/>
                <w:kern w:val="0"/>
                <w:sz w:val="18"/>
                <w:szCs w:val="18"/>
                <w:highlight w:val="none"/>
              </w:rPr>
            </w:pPr>
            <w:r>
              <w:rPr>
                <w:rFonts w:ascii="仿宋_GB2312" w:hAnsi="仿宋_GB2312" w:cs="宋体"/>
                <w:color w:val="auto"/>
                <w:kern w:val="0"/>
                <w:sz w:val="18"/>
                <w:szCs w:val="18"/>
                <w:highlight w:val="none"/>
              </w:rPr>
              <w:t>X＜10</w:t>
            </w:r>
          </w:p>
        </w:tc>
      </w:tr>
    </w:tbl>
    <w:p w14:paraId="2EFFDC61">
      <w:pPr>
        <w:spacing w:line="360" w:lineRule="auto"/>
        <w:ind w:firstLine="525" w:firstLineChars="250"/>
        <w:rPr>
          <w:rFonts w:ascii="仿宋_GB2312" w:hAnsi="仿宋"/>
          <w:color w:val="auto"/>
          <w:highlight w:val="none"/>
        </w:rPr>
      </w:pPr>
      <w:r>
        <w:rPr>
          <w:rFonts w:ascii="仿宋_GB2312" w:hAnsi="仿宋"/>
          <w:color w:val="auto"/>
          <w:highlight w:val="none"/>
        </w:rPr>
        <w:t xml:space="preserve"> </w:t>
      </w:r>
    </w:p>
    <w:p w14:paraId="093FEA3E">
      <w:pPr>
        <w:spacing w:line="360" w:lineRule="auto"/>
        <w:ind w:firstLine="525" w:firstLineChars="250"/>
        <w:rPr>
          <w:rFonts w:ascii="仿宋_GB2312" w:hAnsi="仿宋"/>
          <w:color w:val="auto"/>
          <w:highlight w:val="none"/>
        </w:rPr>
      </w:pPr>
      <w:r>
        <w:rPr>
          <w:rFonts w:ascii="仿宋_GB2312" w:hAnsi="仿宋_GB2312"/>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95240C3">
      <w:pPr>
        <w:spacing w:line="520" w:lineRule="exact"/>
        <w:jc w:val="center"/>
        <w:rPr>
          <w:rFonts w:hint="eastAsia" w:ascii="仿宋_GB2312" w:hAnsi="仿宋_GB2312"/>
          <w:color w:val="auto"/>
          <w:sz w:val="32"/>
          <w:szCs w:val="32"/>
          <w:highlight w:val="none"/>
        </w:rPr>
      </w:pPr>
      <w:r>
        <w:rPr>
          <w:rFonts w:hint="eastAsia" w:ascii="宋体" w:hAnsi="宋体"/>
          <w:color w:val="auto"/>
          <w:sz w:val="24"/>
          <w:szCs w:val="24"/>
          <w:highlight w:val="none"/>
        </w:rPr>
        <w:br w:type="page"/>
      </w:r>
      <w:r>
        <w:rPr>
          <w:rFonts w:ascii="方正小标宋简体" w:hAnsi="方正小标宋简体"/>
          <w:color w:val="auto"/>
          <w:sz w:val="44"/>
          <w:szCs w:val="44"/>
          <w:highlight w:val="none"/>
        </w:rPr>
        <w:t>残疾人福利性单位声明函</w:t>
      </w:r>
    </w:p>
    <w:p w14:paraId="58548F8C">
      <w:pPr>
        <w:spacing w:line="360" w:lineRule="auto"/>
        <w:contextualSpacing/>
        <w:rPr>
          <w:rFonts w:hint="eastAsia" w:ascii="仿宋_GB2312" w:hAnsi="仿宋_GB2312"/>
          <w:color w:val="auto"/>
          <w:sz w:val="32"/>
          <w:szCs w:val="32"/>
          <w:highlight w:val="none"/>
        </w:rPr>
      </w:pPr>
      <w:r>
        <w:rPr>
          <w:rFonts w:ascii="仿宋_GB2312" w:hAnsi="仿宋_GB2312"/>
          <w:color w:val="auto"/>
          <w:sz w:val="32"/>
          <w:szCs w:val="32"/>
          <w:highlight w:val="none"/>
        </w:rPr>
        <w:t xml:space="preserve"> </w:t>
      </w:r>
    </w:p>
    <w:p w14:paraId="5673BB57">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单位的</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1B4567C">
      <w:pPr>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本单位对上述声明的真实性负责。如有虚假，将依法承担相应责任。</w:t>
      </w:r>
    </w:p>
    <w:p w14:paraId="0F4AB5C4">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588C4196">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6203A723">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033C6A94">
      <w:pPr>
        <w:spacing w:line="360" w:lineRule="auto"/>
        <w:ind w:firstLine="2400" w:firstLineChars="10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单位名称（盖章）：</w:t>
      </w:r>
    </w:p>
    <w:p w14:paraId="59D3450A">
      <w:pPr>
        <w:spacing w:line="360" w:lineRule="auto"/>
        <w:ind w:firstLine="3600" w:firstLineChars="15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日  期：</w:t>
      </w:r>
    </w:p>
    <w:p w14:paraId="07DDB7B8">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5D65885B">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55A5D79B">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p>
    <w:p w14:paraId="156007A9">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33A1357">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br w:type="page"/>
      </w:r>
    </w:p>
    <w:p w14:paraId="3F42EE9B">
      <w:pPr>
        <w:spacing w:line="360" w:lineRule="auto"/>
        <w:jc w:val="center"/>
        <w:rPr>
          <w:rFonts w:ascii="宋体" w:hAnsi="宋体"/>
          <w:b/>
          <w:bCs/>
          <w:color w:val="auto"/>
          <w:sz w:val="32"/>
          <w:szCs w:val="32"/>
          <w:highlight w:val="none"/>
        </w:rPr>
      </w:pPr>
      <w:r>
        <w:rPr>
          <w:rFonts w:ascii="方正小标宋简体" w:hAnsi="方正小标宋简体"/>
          <w:color w:val="auto"/>
          <w:sz w:val="44"/>
          <w:szCs w:val="44"/>
          <w:highlight w:val="none"/>
        </w:rPr>
        <w:t>质疑函</w:t>
      </w:r>
      <w:r>
        <w:rPr>
          <w:rFonts w:ascii="方正小标宋简体" w:hAnsi="方正小标宋简体"/>
          <w:color w:val="auto"/>
          <w:sz w:val="28"/>
          <w:szCs w:val="28"/>
          <w:highlight w:val="none"/>
        </w:rPr>
        <w:t>（格式）</w:t>
      </w:r>
    </w:p>
    <w:p w14:paraId="01E7449B">
      <w:pPr>
        <w:pStyle w:val="1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3AE4170">
      <w:pPr>
        <w:pStyle w:val="10"/>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060738">
      <w:pPr>
        <w:pStyle w:val="1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BDD3D82">
      <w:pPr>
        <w:pStyle w:val="1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6BEC8CEE">
      <w:pPr>
        <w:pStyle w:val="1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DA5EB50">
      <w:pPr>
        <w:pStyle w:val="10"/>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14830ACB">
      <w:pPr>
        <w:pStyle w:val="1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F6D547">
      <w:pPr>
        <w:pStyle w:val="1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16352290">
      <w:pPr>
        <w:pStyle w:val="10"/>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B46BF4E">
      <w:pPr>
        <w:pStyle w:val="10"/>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B14241F">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CF19157">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01C88F0D">
      <w:pPr>
        <w:pStyle w:val="10"/>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D4EC721">
      <w:pPr>
        <w:pStyle w:val="10"/>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357D2738">
      <w:pPr>
        <w:pStyle w:val="10"/>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07D3BD4A">
      <w:pPr>
        <w:pStyle w:val="10"/>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70B1914D">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809868E">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FBC350F">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2F29C6C">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2B9247AF">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w:t>
      </w:r>
    </w:p>
    <w:p w14:paraId="5CC4039E">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7DF780B8">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CEA7BBA">
      <w:pPr>
        <w:pStyle w:val="10"/>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 </w:t>
      </w:r>
    </w:p>
    <w:p w14:paraId="3507864C">
      <w:pPr>
        <w:pStyle w:val="10"/>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7D220AA0">
      <w:pPr>
        <w:pStyle w:val="10"/>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27BD93B0">
      <w:pPr>
        <w:pStyle w:val="10"/>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1B062679">
      <w:pPr>
        <w:pStyle w:val="10"/>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18EED80">
      <w:pPr>
        <w:pStyle w:val="10"/>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E3A600">
      <w:pPr>
        <w:pStyle w:val="10"/>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3EB18E4">
      <w:pPr>
        <w:pStyle w:val="10"/>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26BE8731">
      <w:pPr>
        <w:pStyle w:val="10"/>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BAA6F42">
      <w:pPr>
        <w:pStyle w:val="10"/>
        <w:snapToGrid w:val="0"/>
        <w:rPr>
          <w:b/>
          <w:color w:val="auto"/>
          <w:sz w:val="24"/>
          <w:szCs w:val="24"/>
          <w:highlight w:val="none"/>
        </w:rPr>
      </w:pPr>
      <w:r>
        <w:rPr>
          <w:rFonts w:hint="eastAsia"/>
          <w:b/>
          <w:color w:val="auto"/>
          <w:sz w:val="24"/>
          <w:szCs w:val="24"/>
          <w:highlight w:val="none"/>
        </w:rPr>
        <w:t xml:space="preserve"> </w:t>
      </w:r>
    </w:p>
    <w:p w14:paraId="09C46750">
      <w:pPr>
        <w:rPr>
          <w:rFonts w:ascii="宋体" w:hAnsi="宋体"/>
          <w:color w:val="auto"/>
          <w:sz w:val="32"/>
          <w:szCs w:val="32"/>
          <w:highlight w:val="none"/>
        </w:rPr>
      </w:pPr>
      <w:r>
        <w:rPr>
          <w:rFonts w:hint="eastAsia" w:ascii="宋体" w:hAnsi="宋体"/>
          <w:color w:val="auto"/>
          <w:sz w:val="32"/>
          <w:szCs w:val="32"/>
          <w:highlight w:val="none"/>
        </w:rPr>
        <w:t xml:space="preserve"> </w:t>
      </w:r>
    </w:p>
    <w:p w14:paraId="396428F4">
      <w:pPr>
        <w:rPr>
          <w:rFonts w:ascii="宋体" w:hAnsi="宋体"/>
          <w:color w:val="auto"/>
          <w:sz w:val="32"/>
          <w:szCs w:val="32"/>
          <w:highlight w:val="none"/>
        </w:rPr>
      </w:pPr>
      <w:r>
        <w:rPr>
          <w:rFonts w:hint="eastAsia" w:ascii="宋体" w:hAnsi="宋体"/>
          <w:color w:val="auto"/>
          <w:sz w:val="32"/>
          <w:szCs w:val="32"/>
          <w:highlight w:val="none"/>
        </w:rPr>
        <w:t xml:space="preserve"> </w:t>
      </w:r>
    </w:p>
    <w:p w14:paraId="49D8C00F">
      <w:pPr>
        <w:rPr>
          <w:rFonts w:ascii="宋体" w:hAnsi="宋体"/>
          <w:color w:val="auto"/>
          <w:sz w:val="32"/>
          <w:szCs w:val="32"/>
          <w:highlight w:val="none"/>
        </w:rPr>
      </w:pPr>
      <w:r>
        <w:rPr>
          <w:rFonts w:hint="eastAsia" w:ascii="宋体" w:hAnsi="宋体"/>
          <w:color w:val="auto"/>
          <w:sz w:val="32"/>
          <w:szCs w:val="32"/>
          <w:highlight w:val="none"/>
        </w:rPr>
        <w:t xml:space="preserve"> </w:t>
      </w:r>
    </w:p>
    <w:p w14:paraId="2D812C7A">
      <w:pPr>
        <w:rPr>
          <w:rFonts w:ascii="宋体" w:hAnsi="宋体"/>
          <w:color w:val="auto"/>
          <w:sz w:val="32"/>
          <w:szCs w:val="32"/>
          <w:highlight w:val="none"/>
        </w:rPr>
      </w:pPr>
      <w:r>
        <w:rPr>
          <w:rFonts w:hint="eastAsia" w:ascii="宋体" w:hAnsi="宋体"/>
          <w:color w:val="auto"/>
          <w:sz w:val="32"/>
          <w:szCs w:val="32"/>
          <w:highlight w:val="none"/>
        </w:rPr>
        <w:t xml:space="preserve"> </w:t>
      </w:r>
    </w:p>
    <w:p w14:paraId="4CDEF131">
      <w:pPr>
        <w:rPr>
          <w:rFonts w:ascii="宋体" w:hAnsi="宋体"/>
          <w:color w:val="auto"/>
          <w:sz w:val="32"/>
          <w:szCs w:val="32"/>
          <w:highlight w:val="none"/>
        </w:rPr>
      </w:pPr>
      <w:r>
        <w:rPr>
          <w:rFonts w:hint="eastAsia" w:ascii="宋体" w:hAnsi="宋体"/>
          <w:color w:val="auto"/>
          <w:sz w:val="32"/>
          <w:szCs w:val="32"/>
          <w:highlight w:val="none"/>
        </w:rPr>
        <w:t xml:space="preserve"> </w:t>
      </w:r>
    </w:p>
    <w:p w14:paraId="59C3C4B5">
      <w:pPr>
        <w:rPr>
          <w:rFonts w:ascii="宋体" w:hAnsi="宋体"/>
          <w:color w:val="auto"/>
          <w:sz w:val="32"/>
          <w:szCs w:val="32"/>
          <w:highlight w:val="none"/>
        </w:rPr>
      </w:pPr>
      <w:r>
        <w:rPr>
          <w:rFonts w:hint="eastAsia" w:ascii="宋体" w:hAnsi="宋体"/>
          <w:color w:val="auto"/>
          <w:sz w:val="32"/>
          <w:szCs w:val="32"/>
          <w:highlight w:val="none"/>
        </w:rPr>
        <w:t xml:space="preserve"> </w:t>
      </w:r>
    </w:p>
    <w:p w14:paraId="7393688E">
      <w:pPr>
        <w:rPr>
          <w:rFonts w:ascii="宋体" w:hAnsi="宋体"/>
          <w:color w:val="auto"/>
          <w:sz w:val="32"/>
          <w:szCs w:val="32"/>
          <w:highlight w:val="none"/>
        </w:rPr>
      </w:pPr>
      <w:r>
        <w:rPr>
          <w:rFonts w:hint="eastAsia" w:ascii="宋体" w:hAnsi="宋体"/>
          <w:color w:val="auto"/>
          <w:sz w:val="32"/>
          <w:szCs w:val="32"/>
          <w:highlight w:val="none"/>
        </w:rPr>
        <w:t xml:space="preserve"> </w:t>
      </w:r>
    </w:p>
    <w:p w14:paraId="287325FB">
      <w:pPr>
        <w:rPr>
          <w:rFonts w:ascii="宋体" w:hAnsi="宋体"/>
          <w:color w:val="auto"/>
          <w:sz w:val="32"/>
          <w:szCs w:val="32"/>
          <w:highlight w:val="none"/>
        </w:rPr>
      </w:pPr>
      <w:r>
        <w:rPr>
          <w:rFonts w:hint="eastAsia" w:ascii="宋体" w:hAnsi="宋体"/>
          <w:color w:val="auto"/>
          <w:sz w:val="32"/>
          <w:szCs w:val="32"/>
          <w:highlight w:val="none"/>
        </w:rPr>
        <w:t xml:space="preserve"> </w:t>
      </w:r>
    </w:p>
    <w:p w14:paraId="28160381">
      <w:pPr>
        <w:rPr>
          <w:rFonts w:ascii="宋体" w:hAnsi="宋体"/>
          <w:color w:val="auto"/>
          <w:sz w:val="32"/>
          <w:szCs w:val="32"/>
          <w:highlight w:val="none"/>
        </w:rPr>
      </w:pPr>
      <w:r>
        <w:rPr>
          <w:rFonts w:hint="eastAsia" w:ascii="宋体" w:hAnsi="宋体"/>
          <w:color w:val="auto"/>
          <w:sz w:val="32"/>
          <w:szCs w:val="32"/>
          <w:highlight w:val="none"/>
        </w:rPr>
        <w:t xml:space="preserve"> </w:t>
      </w:r>
    </w:p>
    <w:p w14:paraId="6C0854FD">
      <w:pPr>
        <w:rPr>
          <w:rFonts w:ascii="宋体" w:hAnsi="宋体"/>
          <w:color w:val="auto"/>
          <w:sz w:val="32"/>
          <w:szCs w:val="32"/>
          <w:highlight w:val="none"/>
        </w:rPr>
      </w:pPr>
      <w:r>
        <w:rPr>
          <w:rFonts w:hint="eastAsia" w:ascii="宋体" w:hAnsi="宋体"/>
          <w:color w:val="auto"/>
          <w:sz w:val="32"/>
          <w:szCs w:val="32"/>
          <w:highlight w:val="none"/>
        </w:rPr>
        <w:t xml:space="preserve"> </w:t>
      </w:r>
    </w:p>
    <w:p w14:paraId="5FBB9A97">
      <w:pPr>
        <w:rPr>
          <w:rFonts w:ascii="宋体" w:hAnsi="宋体"/>
          <w:color w:val="auto"/>
          <w:sz w:val="32"/>
          <w:szCs w:val="32"/>
          <w:highlight w:val="none"/>
        </w:rPr>
      </w:pPr>
      <w:r>
        <w:rPr>
          <w:rFonts w:hint="eastAsia" w:ascii="宋体" w:hAnsi="宋体"/>
          <w:color w:val="auto"/>
          <w:sz w:val="32"/>
          <w:szCs w:val="32"/>
          <w:highlight w:val="none"/>
        </w:rPr>
        <w:t xml:space="preserve"> </w:t>
      </w:r>
    </w:p>
    <w:p w14:paraId="7BD02F70">
      <w:pPr>
        <w:rPr>
          <w:rFonts w:ascii="宋体" w:hAnsi="宋体"/>
          <w:color w:val="auto"/>
          <w:sz w:val="32"/>
          <w:szCs w:val="32"/>
          <w:highlight w:val="none"/>
        </w:rPr>
      </w:pPr>
      <w:r>
        <w:rPr>
          <w:rFonts w:hint="eastAsia" w:ascii="宋体" w:hAnsi="宋体"/>
          <w:color w:val="auto"/>
          <w:sz w:val="32"/>
          <w:szCs w:val="32"/>
          <w:highlight w:val="none"/>
        </w:rPr>
        <w:t xml:space="preserve"> </w:t>
      </w:r>
    </w:p>
    <w:p w14:paraId="18B464A3">
      <w:pPr>
        <w:rPr>
          <w:rFonts w:ascii="宋体" w:hAnsi="宋体"/>
          <w:color w:val="auto"/>
          <w:sz w:val="32"/>
          <w:szCs w:val="32"/>
          <w:highlight w:val="none"/>
        </w:rPr>
      </w:pPr>
      <w:r>
        <w:rPr>
          <w:rFonts w:hint="eastAsia" w:ascii="宋体" w:hAnsi="宋体"/>
          <w:color w:val="auto"/>
          <w:sz w:val="32"/>
          <w:szCs w:val="32"/>
          <w:highlight w:val="none"/>
        </w:rPr>
        <w:t xml:space="preserve"> </w:t>
      </w:r>
    </w:p>
    <w:p w14:paraId="0C84F8BF">
      <w:pPr>
        <w:rPr>
          <w:rFonts w:ascii="宋体" w:hAnsi="宋体"/>
          <w:color w:val="auto"/>
          <w:sz w:val="32"/>
          <w:szCs w:val="32"/>
          <w:highlight w:val="none"/>
        </w:rPr>
      </w:pPr>
      <w:r>
        <w:rPr>
          <w:rFonts w:hint="eastAsia" w:ascii="宋体" w:hAnsi="宋体"/>
          <w:color w:val="auto"/>
          <w:sz w:val="32"/>
          <w:szCs w:val="32"/>
          <w:highlight w:val="none"/>
        </w:rPr>
        <w:t xml:space="preserve"> </w:t>
      </w:r>
    </w:p>
    <w:p w14:paraId="07B2277B">
      <w:pPr>
        <w:spacing w:line="360" w:lineRule="auto"/>
        <w:jc w:val="center"/>
        <w:rPr>
          <w:rFonts w:hint="eastAsia" w:ascii="方正小标宋简体" w:hAnsi="方正小标宋简体"/>
          <w:color w:val="auto"/>
          <w:sz w:val="24"/>
          <w:szCs w:val="24"/>
          <w:highlight w:val="none"/>
        </w:rPr>
      </w:pPr>
      <w:r>
        <w:rPr>
          <w:rFonts w:ascii="方正小标宋简体" w:hAnsi="方正小标宋简体"/>
          <w:color w:val="auto"/>
          <w:sz w:val="44"/>
          <w:szCs w:val="44"/>
          <w:highlight w:val="none"/>
        </w:rPr>
        <w:br w:type="page"/>
      </w:r>
      <w:r>
        <w:rPr>
          <w:rFonts w:ascii="方正小标宋简体" w:hAnsi="方正小标宋简体"/>
          <w:color w:val="auto"/>
          <w:sz w:val="44"/>
          <w:szCs w:val="44"/>
          <w:highlight w:val="none"/>
        </w:rPr>
        <w:t>投诉书</w:t>
      </w:r>
      <w:r>
        <w:rPr>
          <w:rFonts w:ascii="方正小标宋简体" w:hAnsi="方正小标宋简体"/>
          <w:color w:val="auto"/>
          <w:sz w:val="28"/>
          <w:szCs w:val="28"/>
          <w:highlight w:val="none"/>
        </w:rPr>
        <w:t>（格式）</w:t>
      </w:r>
    </w:p>
    <w:p w14:paraId="1F9DD116">
      <w:pPr>
        <w:pStyle w:val="10"/>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3F9AF62">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0C1EC9">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F6AE69">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CCE766B">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3A956AF3">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4C48EC6B">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509D370">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2E2FB0">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3B45029F">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678A3CD">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62C19D9">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1C8EA078">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352D28B2">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w:t>
      </w:r>
    </w:p>
    <w:p w14:paraId="5FB071EC">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9795850">
      <w:pPr>
        <w:pStyle w:val="10"/>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58EAE922">
      <w:pPr>
        <w:pStyle w:val="10"/>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F5D922">
      <w:pPr>
        <w:pStyle w:val="10"/>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719CA5F1">
      <w:pPr>
        <w:pStyle w:val="10"/>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8C86F3A">
      <w:pPr>
        <w:pStyle w:val="10"/>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FDA7EB9">
      <w:pPr>
        <w:pStyle w:val="10"/>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5381907">
      <w:pPr>
        <w:pStyle w:val="10"/>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9D25BA0">
      <w:pPr>
        <w:pStyle w:val="10"/>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竞争性磋商文件公告：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BEED4F8">
      <w:pPr>
        <w:pStyle w:val="10"/>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0112D47">
      <w:pPr>
        <w:pStyle w:val="10"/>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1B57188">
      <w:pPr>
        <w:pStyle w:val="10"/>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10A7EF8">
      <w:pPr>
        <w:pStyle w:val="10"/>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B90B589">
      <w:pPr>
        <w:pStyle w:val="10"/>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E9FE7A3">
      <w:pPr>
        <w:pStyle w:val="10"/>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F064647">
      <w:pPr>
        <w:pStyle w:val="10"/>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67E2D829">
      <w:pPr>
        <w:pStyle w:val="10"/>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2D88580">
      <w:pPr>
        <w:pStyle w:val="1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FF86943">
      <w:pPr>
        <w:pStyle w:val="10"/>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54370E5">
      <w:pPr>
        <w:pStyle w:val="1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FC3A3AB">
      <w:pPr>
        <w:pStyle w:val="10"/>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2EAC83E">
      <w:pPr>
        <w:pStyle w:val="10"/>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97BE9BC">
      <w:pPr>
        <w:pStyle w:val="10"/>
        <w:spacing w:line="360" w:lineRule="auto"/>
        <w:ind w:left="25" w:leftChars="12" w:firstLine="472" w:firstLineChars="197"/>
        <w:rPr>
          <w:rFonts w:hAnsi="宋体"/>
          <w:bCs/>
          <w:color w:val="auto"/>
          <w:sz w:val="24"/>
          <w:szCs w:val="24"/>
          <w:highlight w:val="none"/>
        </w:rPr>
      </w:pPr>
      <w:r>
        <w:rPr>
          <w:rFonts w:hint="eastAsia" w:hAnsi="宋体"/>
          <w:bCs/>
          <w:color w:val="auto"/>
          <w:sz w:val="24"/>
          <w:szCs w:val="24"/>
          <w:highlight w:val="none"/>
        </w:rPr>
        <w:t>……</w:t>
      </w:r>
    </w:p>
    <w:p w14:paraId="50E1FB42">
      <w:pPr>
        <w:pStyle w:val="10"/>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FD3F1F6">
      <w:pPr>
        <w:pStyle w:val="10"/>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9576650">
      <w:pPr>
        <w:pStyle w:val="10"/>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 </w:t>
      </w:r>
    </w:p>
    <w:p w14:paraId="1EF8E4CC">
      <w:pPr>
        <w:pStyle w:val="10"/>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5B4CCB8">
      <w:pPr>
        <w:pStyle w:val="10"/>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 </w:t>
      </w:r>
    </w:p>
    <w:p w14:paraId="7DB5B485">
      <w:pPr>
        <w:pStyle w:val="10"/>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1879CEF">
      <w:pPr>
        <w:pStyle w:val="10"/>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16E07C99">
      <w:pPr>
        <w:pStyle w:val="10"/>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2030895F">
      <w:pPr>
        <w:pStyle w:val="10"/>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5A78C3E">
      <w:pPr>
        <w:pStyle w:val="1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93250B">
      <w:pPr>
        <w:pStyle w:val="1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D8FEEF0">
      <w:pPr>
        <w:pStyle w:val="1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CC29BAA">
      <w:pPr>
        <w:pStyle w:val="10"/>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78730A9">
      <w:pPr>
        <w:pStyle w:val="10"/>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18A3E44B">
      <w:pPr>
        <w:pStyle w:val="2"/>
        <w:jc w:val="center"/>
        <w:rPr>
          <w:rFonts w:ascii="宋体" w:hAnsi="宋体"/>
          <w:color w:val="auto"/>
          <w:highlight w:val="none"/>
        </w:rPr>
      </w:pPr>
      <w:bookmarkStart w:id="70" w:name="_Toc74323461"/>
      <w:bookmarkEnd w:id="70"/>
      <w:bookmarkStart w:id="71" w:name="_Toc17954"/>
      <w:r>
        <w:rPr>
          <w:rFonts w:hint="eastAsia" w:ascii="宋体" w:hAnsi="宋体"/>
          <w:color w:val="auto"/>
          <w:highlight w:val="none"/>
        </w:rPr>
        <w:t>第六章 合同文本</w:t>
      </w:r>
      <w:bookmarkEnd w:id="71"/>
    </w:p>
    <w:p w14:paraId="5E7855BF">
      <w:pPr>
        <w:spacing w:line="520" w:lineRule="exact"/>
        <w:rPr>
          <w:rFonts w:ascii="宋体" w:hAnsi="宋体" w:cs="Courier New"/>
          <w:b/>
          <w:color w:val="auto"/>
          <w:sz w:val="32"/>
          <w:szCs w:val="32"/>
          <w:highlight w:val="none"/>
        </w:rPr>
      </w:pPr>
      <w:r>
        <w:rPr>
          <w:rFonts w:hint="eastAsia" w:ascii="宋体" w:hAnsi="宋体" w:cs="Courier New"/>
          <w:b/>
          <w:color w:val="auto"/>
          <w:sz w:val="32"/>
          <w:szCs w:val="32"/>
          <w:highlight w:val="none"/>
        </w:rPr>
        <w:t xml:space="preserve"> </w:t>
      </w:r>
    </w:p>
    <w:p w14:paraId="043B2A10">
      <w:pPr>
        <w:spacing w:line="360" w:lineRule="auto"/>
        <w:ind w:right="800"/>
        <w:rPr>
          <w:rFonts w:ascii="宋体" w:hAnsi="宋体"/>
          <w:bCs/>
          <w:color w:val="auto"/>
          <w:highlight w:val="none"/>
          <w:u w:val="single"/>
        </w:rPr>
      </w:pPr>
      <w:r>
        <w:rPr>
          <w:rFonts w:hint="eastAsia" w:ascii="宋体" w:hAnsi="宋体"/>
          <w:color w:val="auto"/>
          <w:highlight w:val="none"/>
        </w:rPr>
        <w:t>采购计划号：</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bCs/>
          <w:color w:val="auto"/>
          <w:highlight w:val="none"/>
        </w:rPr>
        <w:t>合同编号：</w:t>
      </w:r>
      <w:r>
        <w:rPr>
          <w:rFonts w:hint="eastAsia" w:ascii="宋体" w:hAnsi="宋体"/>
          <w:color w:val="auto"/>
          <w:highlight w:val="none"/>
          <w:u w:val="single"/>
        </w:rPr>
        <w:t xml:space="preserve">                  </w:t>
      </w:r>
    </w:p>
    <w:p w14:paraId="2ABFBB56">
      <w:pPr>
        <w:spacing w:line="360" w:lineRule="auto"/>
        <w:rPr>
          <w:rFonts w:ascii="宋体" w:hAnsi="宋体"/>
          <w:color w:val="auto"/>
          <w:highlight w:val="none"/>
          <w:u w:val="single"/>
        </w:rPr>
      </w:pPr>
      <w:r>
        <w:rPr>
          <w:rFonts w:hint="eastAsia" w:ascii="宋体" w:hAnsi="宋体"/>
          <w:color w:val="auto"/>
          <w:highlight w:val="none"/>
        </w:rPr>
        <w:t>采购人（甲方）：</w:t>
      </w:r>
      <w:r>
        <w:rPr>
          <w:rFonts w:hint="eastAsia" w:ascii="宋体" w:hAnsi="宋体"/>
          <w:color w:val="auto"/>
          <w:highlight w:val="none"/>
          <w:u w:val="single"/>
        </w:rPr>
        <w:t xml:space="preserve">                     </w:t>
      </w:r>
      <w:r>
        <w:rPr>
          <w:rFonts w:hint="eastAsia" w:ascii="宋体" w:hAnsi="宋体"/>
          <w:color w:val="auto"/>
          <w:highlight w:val="none"/>
        </w:rPr>
        <w:t xml:space="preserve">   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B7BC9C2">
      <w:pPr>
        <w:spacing w:line="360" w:lineRule="auto"/>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项目编号：</w:t>
      </w:r>
      <w:r>
        <w:rPr>
          <w:rFonts w:hint="eastAsia" w:ascii="宋体" w:hAnsi="宋体"/>
          <w:color w:val="auto"/>
          <w:highlight w:val="none"/>
          <w:u w:val="single"/>
        </w:rPr>
        <w:t xml:space="preserve">                          </w:t>
      </w:r>
    </w:p>
    <w:p w14:paraId="651E65C6">
      <w:pPr>
        <w:spacing w:line="360" w:lineRule="auto"/>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                           </w:t>
      </w:r>
      <w:r>
        <w:rPr>
          <w:rFonts w:hint="eastAsia" w:ascii="宋体" w:hAnsi="宋体"/>
          <w:color w:val="auto"/>
          <w:highlight w:val="none"/>
        </w:rPr>
        <w:t xml:space="preserve">   签订时间：</w:t>
      </w:r>
      <w:r>
        <w:rPr>
          <w:rFonts w:hint="eastAsia" w:ascii="宋体" w:hAnsi="宋体"/>
          <w:color w:val="auto"/>
          <w:highlight w:val="none"/>
          <w:u w:val="single"/>
        </w:rPr>
        <w:t xml:space="preserve">                        </w:t>
      </w:r>
    </w:p>
    <w:p w14:paraId="368EF0E3">
      <w:pPr>
        <w:spacing w:line="360" w:lineRule="auto"/>
        <w:rPr>
          <w:rFonts w:ascii="宋体" w:hAnsi="宋体"/>
          <w:color w:val="auto"/>
          <w:highlight w:val="none"/>
        </w:rPr>
      </w:pPr>
      <w:r>
        <w:rPr>
          <w:rFonts w:hint="eastAsia" w:ascii="宋体" w:hAnsi="宋体"/>
          <w:color w:val="auto"/>
          <w:highlight w:val="none"/>
        </w:rPr>
        <w:t>本合同为中小企业预留合同：</w:t>
      </w:r>
      <w:r>
        <w:rPr>
          <w:rFonts w:hint="eastAsia" w:ascii="宋体" w:hAnsi="宋体"/>
          <w:color w:val="auto"/>
          <w:highlight w:val="none"/>
          <w:u w:val="single"/>
        </w:rPr>
        <w:t>（是/否）</w:t>
      </w:r>
      <w:r>
        <w:rPr>
          <w:rFonts w:hint="eastAsia" w:ascii="宋体" w:hAnsi="宋体"/>
          <w:color w:val="auto"/>
          <w:highlight w:val="none"/>
        </w:rPr>
        <w:t>。</w:t>
      </w:r>
    </w:p>
    <w:p w14:paraId="7D2DAC4F">
      <w:pPr>
        <w:spacing w:line="360" w:lineRule="auto"/>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根据《中华人民共和国政府采购法》、《中华人民共和国民法典》等法律、法规规定，按照磋商文件规定条款和乙方响应文件及其承诺，甲乙双方签订本合同。</w:t>
      </w:r>
    </w:p>
    <w:p w14:paraId="395C4D0B">
      <w:pPr>
        <w:spacing w:line="360" w:lineRule="auto"/>
        <w:ind w:firstLine="422" w:firstLineChars="200"/>
        <w:rPr>
          <w:rFonts w:ascii="宋体" w:hAnsi="宋体"/>
          <w:b/>
          <w:color w:val="auto"/>
          <w:highlight w:val="none"/>
        </w:rPr>
      </w:pPr>
      <w:r>
        <w:rPr>
          <w:rFonts w:hint="eastAsia" w:ascii="宋体" w:hAnsi="宋体"/>
          <w:b/>
          <w:color w:val="auto"/>
          <w:highlight w:val="none"/>
        </w:rPr>
        <w:t>第一条 合同标的</w:t>
      </w:r>
    </w:p>
    <w:p w14:paraId="1BFFC9C8">
      <w:pPr>
        <w:spacing w:line="360" w:lineRule="auto"/>
        <w:ind w:firstLine="420" w:firstLineChars="200"/>
        <w:rPr>
          <w:rFonts w:ascii="宋体" w:hAnsi="宋体"/>
          <w:color w:val="auto"/>
          <w:highlight w:val="none"/>
        </w:rPr>
      </w:pPr>
      <w:r>
        <w:rPr>
          <w:rFonts w:hint="eastAsia" w:ascii="宋体" w:hAnsi="宋体"/>
          <w:color w:val="auto"/>
          <w:highlight w:val="none"/>
        </w:rPr>
        <w:t>1、项目一览表</w:t>
      </w:r>
    </w:p>
    <w:tbl>
      <w:tblPr>
        <w:tblStyle w:val="1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459A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7BD152C">
            <w:pPr>
              <w:spacing w:line="360" w:lineRule="auto"/>
              <w:jc w:val="center"/>
              <w:rPr>
                <w:rFonts w:ascii="宋体" w:hAnsi="宋体"/>
                <w:color w:val="auto"/>
                <w:highlight w:val="none"/>
              </w:rPr>
            </w:pPr>
            <w:r>
              <w:rPr>
                <w:rFonts w:hint="eastAsia" w:ascii="宋体" w:hAnsi="宋体"/>
                <w:color w:val="auto"/>
                <w:highlight w:val="none"/>
              </w:rPr>
              <w:t>序号</w:t>
            </w:r>
          </w:p>
        </w:tc>
        <w:tc>
          <w:tcPr>
            <w:tcW w:w="1213" w:type="dxa"/>
            <w:tcBorders>
              <w:top w:val="single" w:color="auto" w:sz="4" w:space="0"/>
              <w:left w:val="nil"/>
              <w:bottom w:val="single" w:color="auto" w:sz="4" w:space="0"/>
              <w:right w:val="single" w:color="auto" w:sz="4" w:space="0"/>
            </w:tcBorders>
            <w:vAlign w:val="center"/>
          </w:tcPr>
          <w:p w14:paraId="7DB0A7B9">
            <w:pPr>
              <w:spacing w:line="360" w:lineRule="auto"/>
              <w:jc w:val="center"/>
              <w:rPr>
                <w:rFonts w:ascii="宋体" w:hAnsi="宋体"/>
                <w:color w:val="auto"/>
                <w:highlight w:val="none"/>
              </w:rPr>
            </w:pPr>
            <w:r>
              <w:rPr>
                <w:rFonts w:hint="eastAsia" w:ascii="宋体" w:hAnsi="宋体"/>
                <w:color w:val="auto"/>
                <w:highlight w:val="none"/>
              </w:rPr>
              <w:t>名称</w:t>
            </w:r>
          </w:p>
        </w:tc>
        <w:tc>
          <w:tcPr>
            <w:tcW w:w="2400" w:type="dxa"/>
            <w:tcBorders>
              <w:top w:val="single" w:color="auto" w:sz="4" w:space="0"/>
              <w:left w:val="nil"/>
              <w:bottom w:val="single" w:color="auto" w:sz="4" w:space="0"/>
              <w:right w:val="single" w:color="auto" w:sz="4" w:space="0"/>
            </w:tcBorders>
            <w:vAlign w:val="center"/>
          </w:tcPr>
          <w:p w14:paraId="6F5E5B48">
            <w:pPr>
              <w:spacing w:line="360" w:lineRule="auto"/>
              <w:jc w:val="center"/>
              <w:rPr>
                <w:rFonts w:ascii="宋体" w:hAnsi="宋体"/>
                <w:color w:val="auto"/>
                <w:highlight w:val="none"/>
              </w:rPr>
            </w:pPr>
            <w:r>
              <w:rPr>
                <w:rFonts w:hint="eastAsia" w:ascii="宋体" w:hAnsi="宋体"/>
                <w:color w:val="auto"/>
                <w:highlight w:val="none"/>
              </w:rPr>
              <w:t>服务内容</w:t>
            </w:r>
          </w:p>
        </w:tc>
        <w:tc>
          <w:tcPr>
            <w:tcW w:w="1320" w:type="dxa"/>
            <w:tcBorders>
              <w:top w:val="single" w:color="auto" w:sz="4" w:space="0"/>
              <w:left w:val="nil"/>
              <w:bottom w:val="single" w:color="auto" w:sz="4" w:space="0"/>
              <w:right w:val="single" w:color="auto" w:sz="4" w:space="0"/>
            </w:tcBorders>
            <w:vAlign w:val="center"/>
          </w:tcPr>
          <w:p w14:paraId="3A68CB98">
            <w:pPr>
              <w:spacing w:line="360" w:lineRule="auto"/>
              <w:jc w:val="center"/>
              <w:rPr>
                <w:rFonts w:ascii="宋体" w:hAnsi="宋体"/>
                <w:color w:val="auto"/>
                <w:highlight w:val="none"/>
              </w:rPr>
            </w:pPr>
            <w:r>
              <w:rPr>
                <w:rFonts w:hint="eastAsia" w:ascii="宋体" w:hAnsi="宋体"/>
                <w:color w:val="auto"/>
                <w:highlight w:val="none"/>
              </w:rPr>
              <w:t>数  量</w:t>
            </w:r>
          </w:p>
        </w:tc>
        <w:tc>
          <w:tcPr>
            <w:tcW w:w="1200" w:type="dxa"/>
            <w:tcBorders>
              <w:top w:val="single" w:color="auto" w:sz="4" w:space="0"/>
              <w:left w:val="nil"/>
              <w:bottom w:val="single" w:color="auto" w:sz="4" w:space="0"/>
              <w:right w:val="single" w:color="auto" w:sz="4" w:space="0"/>
            </w:tcBorders>
            <w:vAlign w:val="center"/>
          </w:tcPr>
          <w:p w14:paraId="67C61115">
            <w:pPr>
              <w:spacing w:line="360" w:lineRule="auto"/>
              <w:jc w:val="center"/>
              <w:rPr>
                <w:rFonts w:ascii="宋体" w:hAnsi="宋体"/>
                <w:color w:val="auto"/>
                <w:highlight w:val="none"/>
              </w:rPr>
            </w:pPr>
            <w:r>
              <w:rPr>
                <w:rFonts w:hint="eastAsia" w:ascii="宋体" w:hAnsi="宋体"/>
                <w:color w:val="auto"/>
                <w:highlight w:val="none"/>
              </w:rPr>
              <w:t>单位</w:t>
            </w:r>
          </w:p>
        </w:tc>
        <w:tc>
          <w:tcPr>
            <w:tcW w:w="1300" w:type="dxa"/>
            <w:tcBorders>
              <w:top w:val="single" w:color="auto" w:sz="4" w:space="0"/>
              <w:left w:val="nil"/>
              <w:bottom w:val="single" w:color="auto" w:sz="4" w:space="0"/>
              <w:right w:val="single" w:color="auto" w:sz="4" w:space="0"/>
            </w:tcBorders>
            <w:vAlign w:val="center"/>
          </w:tcPr>
          <w:p w14:paraId="26433F3B">
            <w:pPr>
              <w:spacing w:line="360" w:lineRule="auto"/>
              <w:jc w:val="center"/>
              <w:rPr>
                <w:rFonts w:ascii="宋体" w:hAnsi="宋体"/>
                <w:color w:val="auto"/>
                <w:highlight w:val="none"/>
              </w:rPr>
            </w:pPr>
            <w:r>
              <w:rPr>
                <w:rFonts w:hint="eastAsia" w:ascii="宋体" w:hAnsi="宋体"/>
                <w:color w:val="auto"/>
                <w:highlight w:val="none"/>
              </w:rPr>
              <w:t>单  价</w:t>
            </w:r>
          </w:p>
          <w:p w14:paraId="1A30F446">
            <w:pPr>
              <w:spacing w:line="360" w:lineRule="auto"/>
              <w:jc w:val="center"/>
              <w:rPr>
                <w:rFonts w:ascii="宋体" w:hAnsi="宋体"/>
                <w:color w:val="auto"/>
                <w:highlight w:val="none"/>
              </w:rPr>
            </w:pPr>
            <w:r>
              <w:rPr>
                <w:rFonts w:hint="eastAsia" w:ascii="宋体" w:hAnsi="宋体"/>
                <w:color w:val="auto"/>
                <w:highlight w:val="none"/>
              </w:rPr>
              <w:t>（元）</w:t>
            </w:r>
          </w:p>
        </w:tc>
        <w:tc>
          <w:tcPr>
            <w:tcW w:w="1207" w:type="dxa"/>
            <w:tcBorders>
              <w:top w:val="single" w:color="auto" w:sz="4" w:space="0"/>
              <w:left w:val="nil"/>
              <w:bottom w:val="single" w:color="auto" w:sz="4" w:space="0"/>
              <w:right w:val="single" w:color="auto" w:sz="4" w:space="0"/>
            </w:tcBorders>
            <w:vAlign w:val="center"/>
          </w:tcPr>
          <w:p w14:paraId="612B5129">
            <w:pPr>
              <w:spacing w:line="360" w:lineRule="auto"/>
              <w:jc w:val="center"/>
              <w:rPr>
                <w:rFonts w:ascii="宋体" w:hAnsi="宋体"/>
                <w:color w:val="auto"/>
                <w:highlight w:val="none"/>
              </w:rPr>
            </w:pPr>
            <w:r>
              <w:rPr>
                <w:rFonts w:hint="eastAsia" w:ascii="宋体" w:hAnsi="宋体"/>
                <w:color w:val="auto"/>
                <w:highlight w:val="none"/>
              </w:rPr>
              <w:t>总  价</w:t>
            </w:r>
          </w:p>
          <w:p w14:paraId="73BD815D">
            <w:pPr>
              <w:spacing w:line="360" w:lineRule="auto"/>
              <w:jc w:val="center"/>
              <w:rPr>
                <w:rFonts w:ascii="宋体" w:hAnsi="宋体"/>
                <w:color w:val="auto"/>
                <w:highlight w:val="none"/>
              </w:rPr>
            </w:pPr>
            <w:r>
              <w:rPr>
                <w:rFonts w:hint="eastAsia" w:ascii="宋体" w:hAnsi="宋体"/>
                <w:color w:val="auto"/>
                <w:highlight w:val="none"/>
              </w:rPr>
              <w:t>（元）</w:t>
            </w:r>
          </w:p>
        </w:tc>
      </w:tr>
      <w:tr w14:paraId="109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751C3B7">
            <w:pPr>
              <w:spacing w:line="360" w:lineRule="auto"/>
              <w:jc w:val="center"/>
              <w:rPr>
                <w:rFonts w:ascii="宋体" w:hAnsi="宋体"/>
                <w:color w:val="auto"/>
                <w:highlight w:val="none"/>
              </w:rPr>
            </w:pPr>
          </w:p>
        </w:tc>
        <w:tc>
          <w:tcPr>
            <w:tcW w:w="1213" w:type="dxa"/>
            <w:tcBorders>
              <w:top w:val="single" w:color="auto" w:sz="4" w:space="0"/>
              <w:left w:val="nil"/>
              <w:bottom w:val="single" w:color="auto" w:sz="4" w:space="0"/>
              <w:right w:val="single" w:color="auto" w:sz="4" w:space="0"/>
            </w:tcBorders>
            <w:vAlign w:val="center"/>
          </w:tcPr>
          <w:p w14:paraId="02EB8446">
            <w:pPr>
              <w:spacing w:line="360" w:lineRule="auto"/>
              <w:jc w:val="center"/>
              <w:rPr>
                <w:rFonts w:ascii="宋体" w:hAnsi="宋体"/>
                <w:color w:val="auto"/>
                <w:highlight w:val="none"/>
              </w:rPr>
            </w:pPr>
          </w:p>
        </w:tc>
        <w:tc>
          <w:tcPr>
            <w:tcW w:w="2400" w:type="dxa"/>
            <w:tcBorders>
              <w:top w:val="single" w:color="auto" w:sz="4" w:space="0"/>
              <w:left w:val="nil"/>
              <w:bottom w:val="single" w:color="auto" w:sz="4" w:space="0"/>
              <w:right w:val="single" w:color="auto" w:sz="4" w:space="0"/>
            </w:tcBorders>
            <w:vAlign w:val="center"/>
          </w:tcPr>
          <w:p w14:paraId="34E3A76A">
            <w:pPr>
              <w:spacing w:line="360" w:lineRule="auto"/>
              <w:jc w:val="center"/>
              <w:rPr>
                <w:rFonts w:ascii="宋体" w:hAnsi="宋体"/>
                <w:color w:val="auto"/>
                <w:highlight w:val="none"/>
              </w:rPr>
            </w:pPr>
          </w:p>
        </w:tc>
        <w:tc>
          <w:tcPr>
            <w:tcW w:w="1320" w:type="dxa"/>
            <w:tcBorders>
              <w:top w:val="single" w:color="auto" w:sz="4" w:space="0"/>
              <w:left w:val="nil"/>
              <w:bottom w:val="single" w:color="auto" w:sz="4" w:space="0"/>
              <w:right w:val="single" w:color="auto" w:sz="4" w:space="0"/>
            </w:tcBorders>
            <w:vAlign w:val="center"/>
          </w:tcPr>
          <w:p w14:paraId="778313D0">
            <w:pPr>
              <w:spacing w:line="360" w:lineRule="auto"/>
              <w:jc w:val="center"/>
              <w:rPr>
                <w:rFonts w:ascii="宋体" w:hAnsi="宋体"/>
                <w:color w:val="auto"/>
                <w:highlight w:val="none"/>
              </w:rPr>
            </w:pPr>
          </w:p>
        </w:tc>
        <w:tc>
          <w:tcPr>
            <w:tcW w:w="1200" w:type="dxa"/>
            <w:tcBorders>
              <w:top w:val="single" w:color="auto" w:sz="4" w:space="0"/>
              <w:left w:val="nil"/>
              <w:bottom w:val="single" w:color="auto" w:sz="4" w:space="0"/>
              <w:right w:val="single" w:color="auto" w:sz="4" w:space="0"/>
            </w:tcBorders>
            <w:vAlign w:val="center"/>
          </w:tcPr>
          <w:p w14:paraId="4C0D0415">
            <w:pPr>
              <w:spacing w:line="360" w:lineRule="auto"/>
              <w:jc w:val="center"/>
              <w:rPr>
                <w:rFonts w:ascii="宋体" w:hAnsi="宋体"/>
                <w:color w:val="auto"/>
                <w:highlight w:val="none"/>
              </w:rPr>
            </w:pPr>
          </w:p>
        </w:tc>
        <w:tc>
          <w:tcPr>
            <w:tcW w:w="1300" w:type="dxa"/>
            <w:tcBorders>
              <w:top w:val="single" w:color="auto" w:sz="4" w:space="0"/>
              <w:left w:val="nil"/>
              <w:bottom w:val="single" w:color="auto" w:sz="4" w:space="0"/>
              <w:right w:val="single" w:color="auto" w:sz="4" w:space="0"/>
            </w:tcBorders>
            <w:vAlign w:val="center"/>
          </w:tcPr>
          <w:p w14:paraId="6D258BF1">
            <w:pPr>
              <w:spacing w:line="360" w:lineRule="auto"/>
              <w:jc w:val="center"/>
              <w:rPr>
                <w:rFonts w:ascii="宋体" w:hAnsi="宋体"/>
                <w:color w:val="auto"/>
                <w:highlight w:val="none"/>
              </w:rPr>
            </w:pPr>
          </w:p>
        </w:tc>
        <w:tc>
          <w:tcPr>
            <w:tcW w:w="1207" w:type="dxa"/>
            <w:tcBorders>
              <w:top w:val="single" w:color="auto" w:sz="4" w:space="0"/>
              <w:left w:val="nil"/>
              <w:bottom w:val="single" w:color="auto" w:sz="4" w:space="0"/>
              <w:right w:val="single" w:color="auto" w:sz="4" w:space="0"/>
            </w:tcBorders>
            <w:vAlign w:val="center"/>
          </w:tcPr>
          <w:p w14:paraId="039E6499">
            <w:pPr>
              <w:spacing w:line="360" w:lineRule="auto"/>
              <w:jc w:val="center"/>
              <w:rPr>
                <w:rFonts w:ascii="宋体" w:hAnsi="宋体"/>
                <w:color w:val="auto"/>
                <w:highlight w:val="none"/>
              </w:rPr>
            </w:pPr>
          </w:p>
        </w:tc>
      </w:tr>
      <w:tr w14:paraId="4C7C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410F9074">
            <w:pPr>
              <w:spacing w:line="360" w:lineRule="auto"/>
              <w:jc w:val="center"/>
              <w:rPr>
                <w:rFonts w:ascii="宋体" w:hAnsi="宋体"/>
                <w:color w:val="auto"/>
                <w:highlight w:val="none"/>
              </w:rPr>
            </w:pPr>
            <w:r>
              <w:rPr>
                <w:rFonts w:hint="eastAsia" w:ascii="宋体" w:hAnsi="宋体"/>
                <w:color w:val="auto"/>
                <w:highlight w:val="none"/>
              </w:rPr>
              <w:t>详见报价表</w:t>
            </w:r>
          </w:p>
        </w:tc>
      </w:tr>
      <w:tr w14:paraId="671C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7C64A6F5">
            <w:pPr>
              <w:spacing w:line="360" w:lineRule="auto"/>
              <w:rPr>
                <w:rFonts w:ascii="宋体" w:hAnsi="宋体"/>
                <w:color w:val="auto"/>
                <w:highlight w:val="none"/>
              </w:rPr>
            </w:pPr>
            <w:r>
              <w:rPr>
                <w:rFonts w:hint="eastAsia" w:ascii="宋体" w:hAnsi="宋体"/>
                <w:color w:val="auto"/>
                <w:highlight w:val="none"/>
              </w:rPr>
              <w:t>人民币合计金额（大写）：</w:t>
            </w:r>
            <w:r>
              <w:rPr>
                <w:rFonts w:hint="eastAsia" w:ascii="宋体" w:hAnsi="宋体"/>
                <w:color w:val="auto"/>
                <w:highlight w:val="none"/>
                <w:u w:val="single"/>
              </w:rPr>
              <w:t xml:space="preserve">                              </w:t>
            </w:r>
            <w:r>
              <w:rPr>
                <w:rFonts w:hint="eastAsia" w:ascii="宋体" w:hAnsi="宋体"/>
                <w:color w:val="auto"/>
                <w:highlight w:val="none"/>
              </w:rPr>
              <w:t>元整（¥</w:t>
            </w:r>
            <w:r>
              <w:rPr>
                <w:rFonts w:hint="eastAsia" w:ascii="宋体" w:hAnsi="宋体"/>
                <w:color w:val="auto"/>
                <w:highlight w:val="none"/>
                <w:u w:val="single"/>
              </w:rPr>
              <w:t xml:space="preserve">           </w:t>
            </w:r>
            <w:r>
              <w:rPr>
                <w:rFonts w:hint="eastAsia" w:ascii="宋体" w:hAnsi="宋体"/>
                <w:color w:val="auto"/>
                <w:highlight w:val="none"/>
              </w:rPr>
              <w:t xml:space="preserve">）              </w:t>
            </w:r>
          </w:p>
        </w:tc>
      </w:tr>
    </w:tbl>
    <w:p w14:paraId="2D51F9A3">
      <w:pPr>
        <w:spacing w:line="360" w:lineRule="auto"/>
        <w:ind w:firstLine="420" w:firstLineChars="200"/>
        <w:rPr>
          <w:rFonts w:ascii="宋体" w:hAnsi="宋体"/>
          <w:color w:val="auto"/>
          <w:highlight w:val="none"/>
        </w:rPr>
      </w:pPr>
      <w:r>
        <w:rPr>
          <w:rFonts w:hint="eastAsia" w:ascii="宋体" w:hAnsi="宋体"/>
          <w:color w:val="auto"/>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1CA2317C">
      <w:pPr>
        <w:spacing w:line="360" w:lineRule="auto"/>
        <w:ind w:firstLine="422" w:firstLineChars="200"/>
        <w:rPr>
          <w:rFonts w:ascii="宋体" w:hAnsi="宋体"/>
          <w:b/>
          <w:color w:val="auto"/>
          <w:highlight w:val="none"/>
        </w:rPr>
      </w:pPr>
      <w:r>
        <w:rPr>
          <w:rFonts w:hint="eastAsia" w:ascii="宋体" w:hAnsi="宋体"/>
          <w:b/>
          <w:color w:val="auto"/>
          <w:highlight w:val="none"/>
        </w:rPr>
        <w:t>第二条 质量保证</w:t>
      </w:r>
    </w:p>
    <w:p w14:paraId="68F6FE3D">
      <w:pPr>
        <w:snapToGrid w:val="0"/>
        <w:spacing w:line="360" w:lineRule="auto"/>
        <w:ind w:firstLine="420" w:firstLineChars="200"/>
        <w:rPr>
          <w:rFonts w:ascii="宋体" w:hAnsi="宋体"/>
          <w:color w:val="auto"/>
          <w:highlight w:val="none"/>
        </w:rPr>
      </w:pPr>
      <w:r>
        <w:rPr>
          <w:rFonts w:hint="eastAsia" w:ascii="宋体" w:hAnsi="宋体"/>
          <w:color w:val="auto"/>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E562D84">
      <w:pPr>
        <w:spacing w:line="360" w:lineRule="auto"/>
        <w:ind w:firstLine="422" w:firstLineChars="200"/>
        <w:rPr>
          <w:rFonts w:ascii="宋体" w:hAnsi="宋体"/>
          <w:color w:val="auto"/>
          <w:highlight w:val="none"/>
        </w:rPr>
      </w:pPr>
      <w:r>
        <w:rPr>
          <w:rFonts w:hint="eastAsia" w:ascii="宋体" w:hAnsi="宋体"/>
          <w:b/>
          <w:color w:val="auto"/>
          <w:highlight w:val="none"/>
        </w:rPr>
        <w:t>第三条 权利保证</w:t>
      </w:r>
    </w:p>
    <w:p w14:paraId="3E371E2A">
      <w:pPr>
        <w:snapToGrid w:val="0"/>
        <w:spacing w:line="360" w:lineRule="auto"/>
        <w:ind w:firstLine="420" w:firstLineChars="200"/>
        <w:rPr>
          <w:rFonts w:ascii="宋体" w:hAnsi="宋体"/>
          <w:color w:val="auto"/>
          <w:highlight w:val="none"/>
        </w:rPr>
      </w:pPr>
      <w:r>
        <w:rPr>
          <w:rFonts w:hint="eastAsia" w:ascii="宋体" w:hAnsi="宋体"/>
          <w:color w:val="auto"/>
          <w:highlight w:val="none"/>
        </w:rPr>
        <w:t>1、乙方应保证所提供服务在使用时不会侵犯任何第三方的专利权、商标权、工业设计权等知识产权及其他合法权利，且所有权、处分权等没有受到任何限制。</w:t>
      </w:r>
    </w:p>
    <w:p w14:paraId="25F9F302">
      <w:pPr>
        <w:snapToGrid w:val="0"/>
        <w:spacing w:line="360" w:lineRule="auto"/>
        <w:ind w:firstLine="420" w:firstLineChars="200"/>
        <w:rPr>
          <w:rFonts w:ascii="宋体" w:hAnsi="宋体"/>
          <w:color w:val="auto"/>
          <w:highlight w:val="none"/>
        </w:rPr>
      </w:pPr>
      <w:r>
        <w:rPr>
          <w:rFonts w:hint="eastAsia" w:ascii="宋体" w:hAnsi="宋体"/>
          <w:color w:val="auto"/>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21D2EEF">
      <w:pPr>
        <w:spacing w:line="360" w:lineRule="auto"/>
        <w:ind w:firstLine="422" w:firstLineChars="200"/>
        <w:rPr>
          <w:rFonts w:ascii="宋体" w:hAnsi="宋体"/>
          <w:color w:val="auto"/>
          <w:highlight w:val="none"/>
        </w:rPr>
      </w:pPr>
      <w:r>
        <w:rPr>
          <w:rFonts w:hint="eastAsia" w:ascii="宋体" w:hAnsi="宋体"/>
          <w:b/>
          <w:color w:val="auto"/>
          <w:highlight w:val="none"/>
        </w:rPr>
        <w:t>第四条 交付和验收</w:t>
      </w:r>
    </w:p>
    <w:p w14:paraId="75444D89">
      <w:pPr>
        <w:spacing w:line="360" w:lineRule="auto"/>
        <w:ind w:firstLine="420" w:firstLineChars="200"/>
        <w:rPr>
          <w:rFonts w:ascii="宋体" w:hAnsi="宋体"/>
          <w:color w:val="auto"/>
          <w:highlight w:val="none"/>
        </w:rPr>
      </w:pPr>
      <w:r>
        <w:rPr>
          <w:rFonts w:hint="eastAsia" w:ascii="宋体" w:hAnsi="宋体"/>
          <w:color w:val="auto"/>
          <w:highlight w:val="none"/>
        </w:rPr>
        <w:t>1、交付时间：</w:t>
      </w:r>
      <w:r>
        <w:rPr>
          <w:rFonts w:hint="eastAsia" w:ascii="宋体" w:hAnsi="宋体"/>
          <w:color w:val="auto"/>
          <w:highlight w:val="none"/>
          <w:u w:val="single"/>
        </w:rPr>
        <w:t xml:space="preserve">                   </w:t>
      </w:r>
      <w:r>
        <w:rPr>
          <w:rFonts w:hint="eastAsia" w:ascii="宋体" w:hAnsi="宋体"/>
          <w:color w:val="auto"/>
          <w:highlight w:val="none"/>
        </w:rPr>
        <w:t>，交付地点：</w:t>
      </w:r>
      <w:r>
        <w:rPr>
          <w:rFonts w:hint="eastAsia" w:ascii="宋体" w:hAnsi="宋体"/>
          <w:color w:val="auto"/>
          <w:highlight w:val="none"/>
          <w:u w:val="single"/>
        </w:rPr>
        <w:t xml:space="preserve">             </w:t>
      </w:r>
      <w:r>
        <w:rPr>
          <w:rFonts w:hint="eastAsia" w:ascii="宋体" w:hAnsi="宋体"/>
          <w:color w:val="auto"/>
          <w:highlight w:val="none"/>
        </w:rPr>
        <w:t>。</w:t>
      </w:r>
    </w:p>
    <w:p w14:paraId="72860C47">
      <w:pPr>
        <w:snapToGrid w:val="0"/>
        <w:spacing w:line="360" w:lineRule="auto"/>
        <w:ind w:firstLine="420" w:firstLineChars="200"/>
        <w:rPr>
          <w:rFonts w:ascii="宋体" w:hAnsi="宋体"/>
          <w:color w:val="auto"/>
          <w:highlight w:val="none"/>
        </w:rPr>
      </w:pPr>
      <w:r>
        <w:rPr>
          <w:rFonts w:hint="eastAsia" w:ascii="宋体" w:hAnsi="宋体"/>
          <w:color w:val="auto"/>
          <w:highlight w:val="none"/>
        </w:rPr>
        <w:t>2、乙方应按响应文件的承诺向甲方提供相应的服务，并提供所服务内容的相关技术资料。</w:t>
      </w:r>
    </w:p>
    <w:p w14:paraId="4A1DC063">
      <w:pPr>
        <w:spacing w:line="360" w:lineRule="auto"/>
        <w:ind w:firstLine="420" w:firstLineChars="200"/>
        <w:rPr>
          <w:rFonts w:ascii="宋体" w:hAnsi="宋体"/>
          <w:color w:val="auto"/>
          <w:highlight w:val="none"/>
        </w:rPr>
      </w:pPr>
      <w:r>
        <w:rPr>
          <w:rFonts w:hint="eastAsia" w:ascii="宋体" w:hAnsi="宋体"/>
          <w:color w:val="auto"/>
          <w:highlight w:val="none"/>
        </w:rPr>
        <w:t>3、乙方提供不符合响应文件和本合同规定的服务成果，甲方有权拒绝接受。</w:t>
      </w:r>
    </w:p>
    <w:p w14:paraId="19146137">
      <w:pPr>
        <w:spacing w:line="360" w:lineRule="auto"/>
        <w:ind w:firstLine="420" w:firstLineChars="200"/>
        <w:rPr>
          <w:rFonts w:ascii="宋体" w:hAnsi="宋体"/>
          <w:color w:val="auto"/>
          <w:highlight w:val="none"/>
        </w:rPr>
      </w:pPr>
      <w:r>
        <w:rPr>
          <w:rFonts w:hint="eastAsia" w:ascii="宋体" w:hAnsi="宋体"/>
          <w:color w:val="auto"/>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39E1D9FF">
      <w:pPr>
        <w:spacing w:line="360" w:lineRule="auto"/>
        <w:ind w:firstLine="420" w:firstLineChars="200"/>
        <w:rPr>
          <w:rFonts w:ascii="宋体" w:hAnsi="宋体"/>
          <w:color w:val="auto"/>
          <w:highlight w:val="none"/>
        </w:rPr>
      </w:pPr>
      <w:r>
        <w:rPr>
          <w:rFonts w:hint="eastAsia" w:ascii="宋体" w:hAnsi="宋体"/>
          <w:color w:val="auto"/>
          <w:highlight w:val="none"/>
        </w:rPr>
        <w:t>5、甲乙双方应按照《广西壮族自治区政府采购项目履约验收管理办法》、双方合同、响应文件验收。</w:t>
      </w:r>
    </w:p>
    <w:p w14:paraId="3F830151">
      <w:pPr>
        <w:spacing w:line="360" w:lineRule="auto"/>
        <w:ind w:firstLine="420" w:firstLineChars="200"/>
        <w:rPr>
          <w:rFonts w:ascii="宋体" w:hAnsi="宋体"/>
          <w:color w:val="auto"/>
          <w:highlight w:val="none"/>
        </w:rPr>
      </w:pPr>
      <w:r>
        <w:rPr>
          <w:rFonts w:hint="eastAsia" w:ascii="宋体" w:hAnsi="宋体"/>
          <w:color w:val="auto"/>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AC4B3D1">
      <w:pPr>
        <w:spacing w:line="360" w:lineRule="auto"/>
        <w:ind w:firstLine="420" w:firstLineChars="200"/>
        <w:rPr>
          <w:rFonts w:ascii="宋体" w:hAnsi="宋体"/>
          <w:color w:val="auto"/>
          <w:highlight w:val="none"/>
        </w:rPr>
      </w:pPr>
      <w:r>
        <w:rPr>
          <w:rFonts w:hint="eastAsia" w:ascii="宋体" w:hAnsi="宋体"/>
          <w:color w:val="auto"/>
          <w:highlight w:val="none"/>
        </w:rPr>
        <w:t>7、甲方验收时以书面形式提出异议的，乙方应自收到甲方书面异议后五个工作日内及时予以解决，否则甲方有权不出具服务验收合格单。</w:t>
      </w:r>
    </w:p>
    <w:p w14:paraId="7E4A38F0">
      <w:pPr>
        <w:snapToGrid w:val="0"/>
        <w:spacing w:line="360" w:lineRule="auto"/>
        <w:ind w:firstLine="422" w:firstLineChars="200"/>
        <w:rPr>
          <w:rFonts w:ascii="宋体" w:hAnsi="宋体"/>
          <w:b/>
          <w:color w:val="auto"/>
          <w:highlight w:val="none"/>
        </w:rPr>
      </w:pPr>
      <w:r>
        <w:rPr>
          <w:rFonts w:hint="eastAsia" w:ascii="宋体" w:hAnsi="宋体"/>
          <w:b/>
          <w:color w:val="auto"/>
          <w:highlight w:val="none"/>
        </w:rPr>
        <w:t>第五条  售后服务及培训</w:t>
      </w:r>
    </w:p>
    <w:p w14:paraId="5CF7960A">
      <w:pPr>
        <w:snapToGrid w:val="0"/>
        <w:spacing w:line="360" w:lineRule="auto"/>
        <w:ind w:firstLine="420" w:firstLineChars="200"/>
        <w:rPr>
          <w:rFonts w:ascii="宋体" w:hAnsi="宋体"/>
          <w:color w:val="auto"/>
          <w:highlight w:val="none"/>
        </w:rPr>
      </w:pPr>
      <w:r>
        <w:rPr>
          <w:rFonts w:hint="eastAsia" w:ascii="宋体" w:hAnsi="宋体"/>
          <w:color w:val="auto"/>
          <w:highlight w:val="none"/>
        </w:rPr>
        <w:t>1、乙方应按照国家有关法律法规和本合同所附的《售后服务承诺》要求为甲方提供相应的售后服务。</w:t>
      </w:r>
    </w:p>
    <w:p w14:paraId="703BB68B">
      <w:pPr>
        <w:spacing w:line="360" w:lineRule="auto"/>
        <w:ind w:firstLine="420" w:firstLineChars="200"/>
        <w:rPr>
          <w:rFonts w:ascii="宋体" w:hAnsi="宋体"/>
          <w:color w:val="auto"/>
          <w:highlight w:val="none"/>
        </w:rPr>
      </w:pPr>
      <w:r>
        <w:rPr>
          <w:rFonts w:hint="eastAsia" w:ascii="宋体" w:hAnsi="宋体"/>
          <w:color w:val="auto"/>
          <w:highlight w:val="none"/>
        </w:rPr>
        <w:t>2、甲方应提供必要测试条件（如场地、电源、水源等）。</w:t>
      </w:r>
    </w:p>
    <w:p w14:paraId="627FCBBB">
      <w:pPr>
        <w:spacing w:line="360" w:lineRule="auto"/>
        <w:ind w:firstLine="420" w:firstLineChars="200"/>
        <w:rPr>
          <w:rFonts w:ascii="宋体" w:hAnsi="宋体"/>
          <w:color w:val="auto"/>
          <w:highlight w:val="none"/>
        </w:rPr>
      </w:pPr>
      <w:r>
        <w:rPr>
          <w:rFonts w:hint="eastAsia" w:ascii="宋体" w:hAnsi="宋体"/>
          <w:color w:val="auto"/>
          <w:highlight w:val="none"/>
        </w:rPr>
        <w:t>3、乙方负责甲方有关人员的培训。培训时间、地点：</w:t>
      </w:r>
      <w:r>
        <w:rPr>
          <w:rFonts w:hint="eastAsia" w:ascii="宋体" w:hAnsi="宋体"/>
          <w:color w:val="auto"/>
          <w:highlight w:val="none"/>
          <w:u w:val="single"/>
        </w:rPr>
        <w:t xml:space="preserve">                    </w:t>
      </w:r>
      <w:r>
        <w:rPr>
          <w:rFonts w:hint="eastAsia" w:ascii="宋体" w:hAnsi="宋体"/>
          <w:color w:val="auto"/>
          <w:highlight w:val="none"/>
        </w:rPr>
        <w:t>。</w:t>
      </w:r>
    </w:p>
    <w:p w14:paraId="23FF2CAB">
      <w:pPr>
        <w:snapToGrid w:val="0"/>
        <w:spacing w:line="360" w:lineRule="auto"/>
        <w:ind w:firstLine="422" w:firstLineChars="200"/>
        <w:rPr>
          <w:rFonts w:ascii="宋体" w:hAnsi="宋体"/>
          <w:color w:val="auto"/>
          <w:highlight w:val="none"/>
          <w:u w:val="single"/>
        </w:rPr>
      </w:pPr>
      <w:r>
        <w:rPr>
          <w:rFonts w:hint="eastAsia" w:ascii="宋体" w:hAnsi="宋体"/>
          <w:b/>
          <w:color w:val="auto"/>
          <w:highlight w:val="none"/>
        </w:rPr>
        <w:t>第六条 付款方式</w:t>
      </w:r>
    </w:p>
    <w:p w14:paraId="6C3344FE">
      <w:pPr>
        <w:spacing w:line="360" w:lineRule="auto"/>
        <w:ind w:firstLine="420" w:firstLineChars="200"/>
        <w:rPr>
          <w:rFonts w:ascii="宋体" w:hAnsi="宋体"/>
          <w:color w:val="auto"/>
          <w:highlight w:val="none"/>
          <w:u w:val="single"/>
        </w:rPr>
      </w:pPr>
      <w:r>
        <w:rPr>
          <w:rFonts w:hint="eastAsia" w:ascii="宋体" w:hAnsi="宋体"/>
          <w:color w:val="auto"/>
          <w:highlight w:val="none"/>
        </w:rPr>
        <w:t>甲乙双方同意本合同金额的支付按以下第</w:t>
      </w:r>
      <w:r>
        <w:rPr>
          <w:rFonts w:hint="eastAsia" w:ascii="宋体" w:hAnsi="宋体"/>
          <w:color w:val="auto"/>
          <w:highlight w:val="none"/>
          <w:u w:val="single"/>
        </w:rPr>
        <w:t xml:space="preserve">    </w:t>
      </w:r>
      <w:r>
        <w:rPr>
          <w:rFonts w:hint="eastAsia" w:ascii="宋体" w:hAnsi="宋体"/>
          <w:color w:val="auto"/>
          <w:highlight w:val="none"/>
        </w:rPr>
        <w:t>项约定执行：</w:t>
      </w:r>
    </w:p>
    <w:p w14:paraId="3732B829">
      <w:pPr>
        <w:spacing w:line="360" w:lineRule="auto"/>
        <w:ind w:firstLine="420" w:firstLineChars="200"/>
        <w:rPr>
          <w:rFonts w:ascii="宋体" w:hAnsi="宋体"/>
          <w:color w:val="auto"/>
          <w:highlight w:val="none"/>
        </w:rPr>
      </w:pPr>
      <w:r>
        <w:rPr>
          <w:rFonts w:hint="eastAsia" w:ascii="宋体" w:hAnsi="宋体"/>
          <w:color w:val="auto"/>
          <w:highlight w:val="none"/>
        </w:rPr>
        <w:t>1、一次性支付</w:t>
      </w:r>
    </w:p>
    <w:p w14:paraId="6655C96B">
      <w:pPr>
        <w:spacing w:line="360" w:lineRule="auto"/>
        <w:ind w:firstLine="420" w:firstLineChars="200"/>
        <w:rPr>
          <w:rFonts w:ascii="宋体" w:hAnsi="宋体"/>
          <w:color w:val="auto"/>
          <w:highlight w:val="none"/>
        </w:rPr>
      </w:pPr>
      <w:r>
        <w:rPr>
          <w:rFonts w:hint="eastAsia" w:ascii="宋体" w:hAnsi="宋体"/>
          <w:color w:val="auto"/>
          <w:highlight w:val="none"/>
        </w:rPr>
        <w:t>2、分期支付</w:t>
      </w:r>
    </w:p>
    <w:p w14:paraId="1CBA6A7F">
      <w:pPr>
        <w:snapToGrid w:val="0"/>
        <w:spacing w:line="360" w:lineRule="auto"/>
        <w:ind w:firstLine="420" w:firstLineChars="200"/>
        <w:rPr>
          <w:rFonts w:ascii="宋体" w:hAnsi="宋体"/>
          <w:color w:val="auto"/>
          <w:highlight w:val="none"/>
        </w:rPr>
      </w:pPr>
      <w:r>
        <w:rPr>
          <w:rFonts w:hint="eastAsia" w:ascii="宋体" w:hAnsi="宋体" w:cs="宋体"/>
          <w:color w:val="auto"/>
          <w:highlight w:val="none"/>
        </w:rPr>
        <w:t>合同签订后十个工作日内，采购人向中标人支付合同金额的40%；合同通过履约验收后十个工作日内，采购人向中标人支付合同金额的50%；项目竣工验收合格后十个工作日内，采购人向中标人支付合同金额的10%。中标人（乙方）每次请款前，须向按采购人（甲方）要求提供材料以及开具等额的增值税普通发票。</w:t>
      </w:r>
    </w:p>
    <w:p w14:paraId="0A448493">
      <w:pPr>
        <w:snapToGrid w:val="0"/>
        <w:spacing w:line="360" w:lineRule="auto"/>
        <w:ind w:firstLine="422" w:firstLineChars="200"/>
        <w:rPr>
          <w:rFonts w:ascii="宋体" w:hAnsi="宋体"/>
          <w:b/>
          <w:color w:val="auto"/>
          <w:highlight w:val="none"/>
        </w:rPr>
      </w:pPr>
      <w:r>
        <w:rPr>
          <w:rFonts w:hint="eastAsia" w:ascii="宋体" w:hAnsi="宋体"/>
          <w:b/>
          <w:color w:val="auto"/>
          <w:highlight w:val="none"/>
        </w:rPr>
        <w:t>第七条 履约保证金</w:t>
      </w:r>
    </w:p>
    <w:p w14:paraId="23A322D4">
      <w:pPr>
        <w:spacing w:line="360" w:lineRule="auto"/>
        <w:ind w:firstLine="420" w:firstLineChars="200"/>
        <w:rPr>
          <w:rFonts w:ascii="宋体" w:hAnsi="宋体"/>
          <w:color w:val="auto"/>
          <w:highlight w:val="none"/>
        </w:rPr>
      </w:pPr>
      <w:r>
        <w:rPr>
          <w:rFonts w:hint="eastAsia" w:ascii="宋体" w:hAnsi="宋体"/>
          <w:color w:val="auto"/>
          <w:highlight w:val="none"/>
        </w:rPr>
        <w:t>履约保证金金额：每分标按中标金额的</w:t>
      </w:r>
      <w:r>
        <w:rPr>
          <w:rFonts w:hint="eastAsia" w:ascii="宋体" w:hAnsi="宋体"/>
          <w:color w:val="auto"/>
          <w:highlight w:val="none"/>
          <w:u w:val="single"/>
        </w:rPr>
        <w:t xml:space="preserve">   </w:t>
      </w:r>
      <w:r>
        <w:rPr>
          <w:rFonts w:hint="eastAsia" w:ascii="宋体" w:hAnsi="宋体"/>
          <w:color w:val="auto"/>
          <w:highlight w:val="none"/>
        </w:rPr>
        <w:t>%（注：履约保证金不超过5%）。</w:t>
      </w:r>
    </w:p>
    <w:p w14:paraId="1420F162">
      <w:pPr>
        <w:spacing w:line="360" w:lineRule="auto"/>
        <w:ind w:firstLine="420" w:firstLineChars="200"/>
        <w:rPr>
          <w:rFonts w:ascii="宋体" w:hAnsi="宋体"/>
          <w:color w:val="auto"/>
          <w:highlight w:val="none"/>
        </w:rPr>
      </w:pPr>
      <w:r>
        <w:rPr>
          <w:rFonts w:hint="eastAsia" w:ascii="宋体" w:hAnsi="宋体"/>
          <w:color w:val="auto"/>
          <w:highlight w:val="none"/>
        </w:rPr>
        <w:t>履约保证金递交方式：支票、汇票、本票或者金融、担保机构出具的保函等非现金方式（参照磋商保证金）。</w:t>
      </w:r>
    </w:p>
    <w:p w14:paraId="5BD47DCA">
      <w:pPr>
        <w:spacing w:line="360" w:lineRule="auto"/>
        <w:ind w:firstLine="420" w:firstLineChars="200"/>
        <w:rPr>
          <w:rFonts w:ascii="宋体" w:hAnsi="宋体"/>
          <w:color w:val="auto"/>
          <w:highlight w:val="none"/>
        </w:rPr>
      </w:pPr>
      <w:r>
        <w:rPr>
          <w:rFonts w:hint="eastAsia" w:ascii="宋体" w:hAnsi="宋体"/>
          <w:color w:val="auto"/>
          <w:highlight w:val="none"/>
        </w:rPr>
        <w:t>履约保证金退付方式、时间及条件：由成交人向履约保证金收取单位提供《广西壮族自治区政府采购项目合同验收书》（详见桂财采〔2015〕22号），保证金收取单位在收到合格材料后5个工作日内办理退还手续（不计利息）。</w:t>
      </w:r>
    </w:p>
    <w:p w14:paraId="189E9C81">
      <w:pPr>
        <w:spacing w:line="360" w:lineRule="auto"/>
        <w:ind w:firstLine="420" w:firstLineChars="200"/>
        <w:rPr>
          <w:rFonts w:ascii="宋体" w:hAnsi="宋体"/>
          <w:color w:val="auto"/>
          <w:highlight w:val="none"/>
        </w:rPr>
      </w:pPr>
      <w:r>
        <w:rPr>
          <w:rFonts w:hint="eastAsia" w:ascii="宋体" w:hAnsi="宋体"/>
          <w:color w:val="auto"/>
          <w:highlight w:val="none"/>
        </w:rPr>
        <w:t>签订合同后，如成交供应商不按双方签订的合同规定履约，则没收其全部履约保证金，履约保证金不足以赔偿损失的，按实际损失赔偿。</w:t>
      </w:r>
    </w:p>
    <w:p w14:paraId="5E761FEC">
      <w:pPr>
        <w:spacing w:line="360" w:lineRule="auto"/>
        <w:ind w:firstLine="422" w:firstLineChars="200"/>
        <w:rPr>
          <w:rFonts w:ascii="宋体" w:hAnsi="宋体"/>
          <w:b/>
          <w:color w:val="auto"/>
          <w:highlight w:val="none"/>
        </w:rPr>
      </w:pPr>
      <w:r>
        <w:rPr>
          <w:rFonts w:hint="eastAsia" w:ascii="宋体" w:hAnsi="宋体"/>
          <w:b/>
          <w:color w:val="auto"/>
          <w:highlight w:val="none"/>
        </w:rPr>
        <w:t>第八条  税费</w:t>
      </w:r>
    </w:p>
    <w:p w14:paraId="2DF0244C">
      <w:pPr>
        <w:spacing w:line="360" w:lineRule="auto"/>
        <w:ind w:firstLine="420" w:firstLineChars="200"/>
        <w:rPr>
          <w:rFonts w:ascii="宋体" w:hAnsi="宋体"/>
          <w:color w:val="auto"/>
          <w:highlight w:val="none"/>
        </w:rPr>
      </w:pPr>
      <w:r>
        <w:rPr>
          <w:rFonts w:hint="eastAsia" w:ascii="宋体" w:hAnsi="宋体"/>
          <w:color w:val="auto"/>
          <w:highlight w:val="none"/>
        </w:rPr>
        <w:t>本合同执行中相关的一切税费均由乙方负担，合同另有约定的除外。</w:t>
      </w:r>
    </w:p>
    <w:p w14:paraId="0AAF1766">
      <w:pPr>
        <w:spacing w:line="360" w:lineRule="auto"/>
        <w:ind w:firstLine="422" w:firstLineChars="200"/>
        <w:rPr>
          <w:rFonts w:ascii="宋体" w:hAnsi="宋体"/>
          <w:b/>
          <w:color w:val="auto"/>
          <w:highlight w:val="none"/>
        </w:rPr>
      </w:pPr>
      <w:r>
        <w:rPr>
          <w:rFonts w:hint="eastAsia" w:ascii="宋体" w:hAnsi="宋体"/>
          <w:b/>
          <w:color w:val="auto"/>
          <w:highlight w:val="none"/>
        </w:rPr>
        <w:t>第九条 违约责任</w:t>
      </w:r>
    </w:p>
    <w:p w14:paraId="402C5639">
      <w:pPr>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1、除不可抗力原因外，乙方没有按照合同规定的时间提供服务的，甲方可要求乙方支付违约金。每推迟一天按合同金额的3‰支付违约金，该违约金累计不超过合同金额的10%。                                  </w:t>
      </w:r>
    </w:p>
    <w:p w14:paraId="5CA06AAD">
      <w:pPr>
        <w:snapToGrid w:val="0"/>
        <w:spacing w:line="360" w:lineRule="auto"/>
        <w:ind w:firstLine="420" w:firstLineChars="200"/>
        <w:rPr>
          <w:rFonts w:ascii="宋体" w:hAnsi="宋体"/>
          <w:color w:val="auto"/>
          <w:highlight w:val="none"/>
        </w:rPr>
      </w:pPr>
      <w:r>
        <w:rPr>
          <w:rFonts w:hint="eastAsia" w:ascii="宋体" w:hAnsi="宋体"/>
          <w:color w:val="auto"/>
          <w:highlight w:val="none"/>
        </w:rPr>
        <w:t>2、乙方提供的服务如侵犯了第三方合法权益而引发的任何纠纷或者诉讼，均由乙方负责交涉并承担全部责任。</w:t>
      </w:r>
    </w:p>
    <w:p w14:paraId="2DC422D5">
      <w:pPr>
        <w:snapToGrid w:val="0"/>
        <w:spacing w:line="360" w:lineRule="auto"/>
        <w:ind w:firstLine="420" w:firstLineChars="200"/>
        <w:rPr>
          <w:rFonts w:ascii="宋体" w:hAnsi="宋体"/>
          <w:color w:val="auto"/>
          <w:highlight w:val="none"/>
        </w:rPr>
      </w:pPr>
      <w:r>
        <w:rPr>
          <w:rFonts w:hint="eastAsia" w:ascii="宋体" w:hAnsi="宋体"/>
          <w:color w:val="auto"/>
          <w:highlight w:val="none"/>
        </w:rPr>
        <w:t>3、甲方延期付款的，每天向乙方偿付延期款额3‰滞纳金，但滞纳金累计不得超过延期款额5%。</w:t>
      </w:r>
    </w:p>
    <w:p w14:paraId="718D055E">
      <w:pPr>
        <w:spacing w:line="360" w:lineRule="auto"/>
        <w:ind w:firstLine="422" w:firstLineChars="200"/>
        <w:rPr>
          <w:rFonts w:ascii="宋体" w:hAnsi="宋体"/>
          <w:b/>
          <w:color w:val="auto"/>
          <w:highlight w:val="none"/>
        </w:rPr>
      </w:pPr>
      <w:r>
        <w:rPr>
          <w:rFonts w:hint="eastAsia" w:ascii="宋体" w:hAnsi="宋体"/>
          <w:b/>
          <w:color w:val="auto"/>
          <w:highlight w:val="none"/>
        </w:rPr>
        <w:t>第十条  不可抗力事件处理</w:t>
      </w:r>
    </w:p>
    <w:p w14:paraId="125C26FD">
      <w:pPr>
        <w:spacing w:line="360" w:lineRule="auto"/>
        <w:ind w:firstLine="42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6D329F0B">
      <w:pPr>
        <w:spacing w:line="360" w:lineRule="auto"/>
        <w:ind w:firstLine="42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7DE1FE0E">
      <w:pPr>
        <w:spacing w:line="360" w:lineRule="auto"/>
        <w:ind w:firstLine="420" w:firstLineChars="200"/>
        <w:rPr>
          <w:rFonts w:ascii="宋体" w:hAnsi="宋体"/>
          <w:color w:val="auto"/>
          <w:highlight w:val="none"/>
        </w:rPr>
      </w:pPr>
      <w:r>
        <w:rPr>
          <w:rFonts w:hint="eastAsia" w:ascii="宋体" w:hAnsi="宋体"/>
          <w:color w:val="auto"/>
          <w:highlight w:val="none"/>
        </w:rPr>
        <w:t>3、不可抗力事件延续一百二十天以上，双方应通过友好协商，确定是否继续履行合同。</w:t>
      </w:r>
    </w:p>
    <w:p w14:paraId="6E9BC176">
      <w:pPr>
        <w:spacing w:line="360" w:lineRule="auto"/>
        <w:ind w:firstLine="422" w:firstLineChars="200"/>
        <w:rPr>
          <w:rFonts w:ascii="宋体" w:hAnsi="宋体"/>
          <w:color w:val="auto"/>
          <w:highlight w:val="none"/>
        </w:rPr>
      </w:pPr>
      <w:r>
        <w:rPr>
          <w:rFonts w:hint="eastAsia" w:ascii="宋体" w:hAnsi="宋体"/>
          <w:b/>
          <w:color w:val="auto"/>
          <w:highlight w:val="none"/>
        </w:rPr>
        <w:t>第十一条  合同争议解决</w:t>
      </w:r>
    </w:p>
    <w:p w14:paraId="7B1552C0">
      <w:pPr>
        <w:snapToGrid w:val="0"/>
        <w:spacing w:line="360" w:lineRule="auto"/>
        <w:ind w:firstLine="420" w:firstLineChars="200"/>
        <w:rPr>
          <w:rFonts w:ascii="宋体" w:hAnsi="宋体"/>
          <w:color w:val="auto"/>
          <w:highlight w:val="none"/>
        </w:rPr>
      </w:pPr>
      <w:r>
        <w:rPr>
          <w:rFonts w:hint="eastAsia" w:ascii="宋体" w:hAnsi="宋体"/>
          <w:color w:val="auto"/>
          <w:highlight w:val="none"/>
        </w:rPr>
        <w:t>1、因服务质量问题发生争议的，应邀请国家认可的质量检测机构进行鉴定。服务符合标准的，鉴定费由甲方承担；服务不符合标准的，鉴定费由乙方承担。</w:t>
      </w:r>
    </w:p>
    <w:p w14:paraId="0D7A6D9C">
      <w:pPr>
        <w:snapToGrid w:val="0"/>
        <w:spacing w:line="360" w:lineRule="auto"/>
        <w:ind w:firstLine="420" w:firstLineChars="200"/>
        <w:rPr>
          <w:rFonts w:ascii="宋体" w:hAnsi="宋体"/>
          <w:color w:val="auto"/>
          <w:highlight w:val="none"/>
        </w:rPr>
      </w:pPr>
      <w:r>
        <w:rPr>
          <w:rFonts w:hint="eastAsia" w:ascii="宋体" w:hAnsi="宋体"/>
          <w:color w:val="auto"/>
          <w:highlight w:val="none"/>
        </w:rPr>
        <w:t>2、因履行本合同引起的或者与本合同有关的争议，甲乙双方应首先通过友好协商解决，如果协商不能解决，可向甲方所在地有管辖权的人民法院提起诉讼。</w:t>
      </w:r>
    </w:p>
    <w:p w14:paraId="3B04B503">
      <w:pPr>
        <w:snapToGrid w:val="0"/>
        <w:spacing w:line="360" w:lineRule="auto"/>
        <w:ind w:firstLine="420" w:firstLineChars="200"/>
        <w:rPr>
          <w:rFonts w:ascii="宋体" w:hAnsi="宋体"/>
          <w:color w:val="auto"/>
          <w:highlight w:val="none"/>
        </w:rPr>
      </w:pPr>
      <w:r>
        <w:rPr>
          <w:rFonts w:hint="eastAsia" w:ascii="宋体" w:hAnsi="宋体"/>
          <w:color w:val="auto"/>
          <w:highlight w:val="none"/>
        </w:rPr>
        <w:t>3、诉讼期间，本合同继续履行。</w:t>
      </w:r>
    </w:p>
    <w:p w14:paraId="03A62270">
      <w:pPr>
        <w:spacing w:line="360" w:lineRule="auto"/>
        <w:ind w:firstLine="422" w:firstLineChars="200"/>
        <w:rPr>
          <w:rFonts w:ascii="宋体" w:hAnsi="宋体"/>
          <w:b/>
          <w:color w:val="auto"/>
          <w:highlight w:val="none"/>
        </w:rPr>
      </w:pPr>
      <w:r>
        <w:rPr>
          <w:rFonts w:hint="eastAsia" w:ascii="宋体" w:hAnsi="宋体"/>
          <w:b/>
          <w:color w:val="auto"/>
          <w:highlight w:val="none"/>
        </w:rPr>
        <w:t>第十二条  合同生效及其它</w:t>
      </w:r>
    </w:p>
    <w:p w14:paraId="069525E8">
      <w:pPr>
        <w:spacing w:line="360" w:lineRule="auto"/>
        <w:ind w:firstLine="420" w:firstLineChars="200"/>
        <w:rPr>
          <w:rFonts w:ascii="宋体" w:hAnsi="宋体"/>
          <w:color w:val="auto"/>
          <w:highlight w:val="none"/>
        </w:rPr>
      </w:pPr>
      <w:r>
        <w:rPr>
          <w:rFonts w:hint="eastAsia" w:ascii="宋体" w:hAnsi="宋体"/>
          <w:color w:val="auto"/>
          <w:highlight w:val="none"/>
        </w:rPr>
        <w:t>1、合同经双方法定代表人或者授权代表签字并加盖单位公章后生效（委托代理人签字的需后附授权委托书，格式自拟）。</w:t>
      </w:r>
    </w:p>
    <w:p w14:paraId="16089578">
      <w:pPr>
        <w:spacing w:line="360" w:lineRule="auto"/>
        <w:ind w:firstLine="420" w:firstLineChars="200"/>
        <w:rPr>
          <w:rFonts w:ascii="宋体" w:hAnsi="宋体"/>
          <w:color w:val="auto"/>
          <w:highlight w:val="none"/>
        </w:rPr>
      </w:pPr>
      <w:r>
        <w:rPr>
          <w:rFonts w:hint="eastAsia" w:ascii="宋体" w:hAnsi="宋体"/>
          <w:color w:val="auto"/>
          <w:highlight w:val="none"/>
        </w:rPr>
        <w:t>2、合同执行中涉及采购资金和采购内容修改或者补充的，须经财政部门审批，并签书面补充协议报财政部门备案，方可作为主合同不可分割的一部分。</w:t>
      </w:r>
    </w:p>
    <w:p w14:paraId="6C2128E4">
      <w:pPr>
        <w:spacing w:line="360" w:lineRule="auto"/>
        <w:ind w:firstLine="420" w:firstLineChars="200"/>
        <w:rPr>
          <w:rFonts w:ascii="宋体" w:hAnsi="宋体"/>
          <w:color w:val="auto"/>
          <w:highlight w:val="none"/>
        </w:rPr>
      </w:pPr>
      <w:r>
        <w:rPr>
          <w:rFonts w:hint="eastAsia" w:ascii="宋体" w:hAnsi="宋体"/>
          <w:color w:val="auto"/>
          <w:highlight w:val="none"/>
        </w:rPr>
        <w:t>3、本合同未尽事宜，遵照《中华人民共和国民法典》有关条文执行。</w:t>
      </w:r>
    </w:p>
    <w:p w14:paraId="676AA171">
      <w:pPr>
        <w:spacing w:line="360" w:lineRule="auto"/>
        <w:ind w:firstLine="422" w:firstLineChars="200"/>
        <w:rPr>
          <w:rFonts w:ascii="宋体" w:hAnsi="宋体"/>
          <w:b/>
          <w:color w:val="auto"/>
          <w:highlight w:val="none"/>
        </w:rPr>
      </w:pPr>
      <w:r>
        <w:rPr>
          <w:rFonts w:hint="eastAsia" w:ascii="宋体" w:hAnsi="宋体"/>
          <w:b/>
          <w:color w:val="auto"/>
          <w:highlight w:val="none"/>
        </w:rPr>
        <w:t>第十三条 合同的变更、终止与转让</w:t>
      </w:r>
    </w:p>
    <w:p w14:paraId="48885B12">
      <w:pPr>
        <w:spacing w:line="360" w:lineRule="auto"/>
        <w:ind w:firstLine="420" w:firstLineChars="200"/>
        <w:rPr>
          <w:rFonts w:ascii="宋体" w:hAnsi="宋体"/>
          <w:color w:val="auto"/>
          <w:highlight w:val="none"/>
        </w:rPr>
      </w:pPr>
      <w:r>
        <w:rPr>
          <w:rFonts w:hint="eastAsia" w:ascii="宋体" w:hAnsi="宋体"/>
          <w:color w:val="auto"/>
          <w:highlight w:val="none"/>
        </w:rPr>
        <w:t>1、除《中华人民共和国政府采购法》第五十条规定的情形外，本合同一经签订，甲乙双方不得擅自变更、中止或者终止。</w:t>
      </w:r>
    </w:p>
    <w:p w14:paraId="2A1A4BF6">
      <w:pPr>
        <w:spacing w:line="360" w:lineRule="auto"/>
        <w:ind w:firstLine="420" w:firstLineChars="200"/>
        <w:rPr>
          <w:rFonts w:ascii="宋体" w:hAnsi="宋体"/>
          <w:color w:val="auto"/>
          <w:highlight w:val="none"/>
        </w:rPr>
      </w:pPr>
      <w:r>
        <w:rPr>
          <w:rFonts w:hint="eastAsia" w:ascii="宋体" w:hAnsi="宋体"/>
          <w:color w:val="auto"/>
          <w:highlight w:val="none"/>
        </w:rPr>
        <w:t>2、乙方不得擅自转让其应履行的合同义务。</w:t>
      </w:r>
    </w:p>
    <w:p w14:paraId="3CD32F16">
      <w:pPr>
        <w:spacing w:line="360" w:lineRule="auto"/>
        <w:ind w:firstLine="422" w:firstLineChars="200"/>
        <w:rPr>
          <w:rFonts w:ascii="宋体" w:hAnsi="宋体"/>
          <w:b/>
          <w:color w:val="auto"/>
          <w:highlight w:val="none"/>
        </w:rPr>
      </w:pPr>
      <w:r>
        <w:rPr>
          <w:rFonts w:hint="eastAsia" w:ascii="宋体" w:hAnsi="宋体"/>
          <w:b/>
          <w:color w:val="auto"/>
          <w:highlight w:val="none"/>
        </w:rPr>
        <w:t>第十四条 签订本合同依据</w:t>
      </w:r>
    </w:p>
    <w:p w14:paraId="25CA9062">
      <w:pPr>
        <w:spacing w:line="360" w:lineRule="auto"/>
        <w:ind w:firstLine="420" w:firstLineChars="200"/>
        <w:rPr>
          <w:rFonts w:ascii="宋体" w:hAnsi="宋体"/>
          <w:color w:val="auto"/>
          <w:highlight w:val="none"/>
        </w:rPr>
      </w:pPr>
      <w:r>
        <w:rPr>
          <w:rFonts w:hint="eastAsia" w:ascii="宋体" w:hAnsi="宋体"/>
          <w:color w:val="auto"/>
          <w:highlight w:val="none"/>
        </w:rPr>
        <w:t>1、成交通知书；</w:t>
      </w:r>
    </w:p>
    <w:p w14:paraId="51090DA6">
      <w:pPr>
        <w:spacing w:line="360" w:lineRule="auto"/>
        <w:ind w:firstLine="420" w:firstLineChars="200"/>
        <w:rPr>
          <w:rFonts w:ascii="宋体" w:hAnsi="宋体"/>
          <w:color w:val="auto"/>
          <w:highlight w:val="none"/>
        </w:rPr>
      </w:pPr>
      <w:r>
        <w:rPr>
          <w:rFonts w:hint="eastAsia" w:ascii="宋体" w:hAnsi="宋体"/>
          <w:color w:val="auto"/>
          <w:highlight w:val="none"/>
        </w:rPr>
        <w:t>2、竞标报价表；</w:t>
      </w:r>
    </w:p>
    <w:p w14:paraId="2049C3CE">
      <w:pPr>
        <w:spacing w:line="360" w:lineRule="auto"/>
        <w:ind w:firstLine="420" w:firstLineChars="200"/>
        <w:rPr>
          <w:rFonts w:ascii="宋体" w:hAnsi="宋体"/>
          <w:color w:val="auto"/>
          <w:highlight w:val="none"/>
        </w:rPr>
      </w:pPr>
      <w:r>
        <w:rPr>
          <w:rFonts w:hint="eastAsia" w:ascii="宋体" w:hAnsi="宋体"/>
          <w:color w:val="auto"/>
          <w:highlight w:val="none"/>
        </w:rPr>
        <w:t>3、商务要求偏离表和技术要求偏离表；</w:t>
      </w:r>
    </w:p>
    <w:p w14:paraId="52AE4061">
      <w:pPr>
        <w:spacing w:line="360" w:lineRule="auto"/>
        <w:ind w:firstLine="420" w:firstLineChars="200"/>
        <w:rPr>
          <w:rFonts w:ascii="宋体" w:hAnsi="宋体"/>
          <w:color w:val="auto"/>
          <w:highlight w:val="none"/>
        </w:rPr>
      </w:pPr>
      <w:r>
        <w:rPr>
          <w:rFonts w:hint="eastAsia" w:ascii="宋体" w:hAnsi="宋体"/>
          <w:color w:val="auto"/>
          <w:highlight w:val="none"/>
        </w:rPr>
        <w:t>4、响应文件中的其他相关文件。</w:t>
      </w:r>
    </w:p>
    <w:p w14:paraId="5AD7F691">
      <w:pPr>
        <w:spacing w:line="360" w:lineRule="auto"/>
        <w:ind w:firstLine="420" w:firstLineChars="200"/>
        <w:rPr>
          <w:rFonts w:ascii="宋体" w:hAnsi="宋体"/>
          <w:color w:val="auto"/>
          <w:highlight w:val="none"/>
        </w:rPr>
      </w:pPr>
      <w:r>
        <w:rPr>
          <w:rFonts w:hint="eastAsia" w:ascii="宋体" w:hAnsi="宋体"/>
          <w:color w:val="auto"/>
          <w:highlight w:val="none"/>
        </w:rPr>
        <w:t>5、上述合同文件互相补充和解释。如果合同文件之间存在矛盾或者不一致之处，以上述文件的排列顺序在先者为准。</w:t>
      </w:r>
    </w:p>
    <w:p w14:paraId="04EDB148">
      <w:pPr>
        <w:spacing w:line="360" w:lineRule="auto"/>
        <w:ind w:firstLine="422" w:firstLineChars="200"/>
        <w:rPr>
          <w:rFonts w:ascii="宋体" w:hAnsi="宋体"/>
          <w:color w:val="auto"/>
          <w:highlight w:val="none"/>
        </w:rPr>
      </w:pPr>
      <w:r>
        <w:rPr>
          <w:rFonts w:hint="eastAsia" w:ascii="宋体" w:hAnsi="宋体"/>
          <w:b/>
          <w:color w:val="auto"/>
          <w:highlight w:val="none"/>
        </w:rPr>
        <w:t xml:space="preserve">第十五条 </w:t>
      </w:r>
      <w:r>
        <w:rPr>
          <w:rFonts w:hint="eastAsia" w:ascii="宋体" w:hAnsi="宋体"/>
          <w:color w:val="auto"/>
          <w:highlight w:val="none"/>
        </w:rPr>
        <w:t>本合同一式六份，具有同等法律效力，采购代理机构各一份，甲乙双方各二份（可根据需要另增加）。</w:t>
      </w:r>
    </w:p>
    <w:p w14:paraId="3B924A52">
      <w:pPr>
        <w:spacing w:line="360" w:lineRule="auto"/>
        <w:ind w:firstLine="420" w:firstLineChars="200"/>
        <w:rPr>
          <w:rFonts w:ascii="宋体" w:hAnsi="宋体"/>
          <w:color w:val="auto"/>
          <w:highlight w:val="none"/>
        </w:rPr>
      </w:pPr>
      <w:r>
        <w:rPr>
          <w:rFonts w:hint="eastAsia" w:ascii="宋体" w:hAnsi="宋体"/>
          <w:color w:val="auto"/>
          <w:highlight w:val="none"/>
        </w:rPr>
        <w:t>本合同甲乙双方签字盖章后生效，自签订之日起七个工作日内，甲方应当将合同副本报同级财政部门备案。</w:t>
      </w:r>
    </w:p>
    <w:p w14:paraId="76699A8C">
      <w:pPr>
        <w:spacing w:line="360" w:lineRule="auto"/>
        <w:ind w:firstLine="420" w:firstLineChars="200"/>
        <w:rPr>
          <w:rFonts w:ascii="宋体" w:hAnsi="宋体"/>
          <w:color w:val="auto"/>
          <w:highlight w:val="none"/>
        </w:rPr>
      </w:pPr>
      <w:r>
        <w:rPr>
          <w:rFonts w:hint="eastAsia" w:ascii="宋体" w:hAnsi="宋体"/>
          <w:color w:val="auto"/>
          <w:highlight w:val="none"/>
        </w:rPr>
        <w:t>本合同自签订之日起2个工作日内，甲方应当将采购合同在广西壮族自治区财政厅指定的媒体上公告。</w:t>
      </w:r>
    </w:p>
    <w:tbl>
      <w:tblPr>
        <w:tblStyle w:val="1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E7A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6B35C92B">
            <w:pPr>
              <w:snapToGrid w:val="0"/>
              <w:spacing w:line="360" w:lineRule="auto"/>
              <w:rPr>
                <w:rFonts w:ascii="宋体" w:hAnsi="宋体"/>
                <w:color w:val="auto"/>
                <w:highlight w:val="none"/>
              </w:rPr>
            </w:pPr>
            <w:r>
              <w:rPr>
                <w:rFonts w:hint="eastAsia" w:ascii="宋体" w:hAnsi="宋体"/>
                <w:color w:val="auto"/>
                <w:highlight w:val="none"/>
              </w:rPr>
              <w:t>甲方：（章）</w:t>
            </w:r>
          </w:p>
          <w:p w14:paraId="1DB053A0">
            <w:pPr>
              <w:snapToGrid w:val="0"/>
              <w:spacing w:line="360" w:lineRule="auto"/>
              <w:rPr>
                <w:rFonts w:ascii="宋体" w:hAnsi="宋体"/>
                <w:color w:val="auto"/>
                <w:highlight w:val="none"/>
              </w:rPr>
            </w:pPr>
          </w:p>
          <w:p w14:paraId="4EDE812F">
            <w:pPr>
              <w:snapToGrid w:val="0"/>
              <w:spacing w:line="360" w:lineRule="auto"/>
              <w:rPr>
                <w:rFonts w:ascii="宋体" w:hAnsi="宋体"/>
                <w:color w:val="auto"/>
                <w:highlight w:val="none"/>
              </w:rPr>
            </w:pPr>
          </w:p>
          <w:p w14:paraId="3F0CAC61">
            <w:pPr>
              <w:snapToGrid w:val="0"/>
              <w:spacing w:line="360" w:lineRule="auto"/>
              <w:ind w:firstLine="945" w:firstLineChars="450"/>
              <w:jc w:val="right"/>
              <w:rPr>
                <w:rFonts w:ascii="宋体" w:hAnsi="宋体"/>
                <w:color w:val="auto"/>
                <w:highlight w:val="none"/>
              </w:rPr>
            </w:pPr>
          </w:p>
          <w:p w14:paraId="4745A99D">
            <w:pPr>
              <w:snapToGrid w:val="0"/>
              <w:spacing w:line="360" w:lineRule="auto"/>
              <w:ind w:firstLine="945" w:firstLineChars="450"/>
              <w:jc w:val="right"/>
              <w:rPr>
                <w:rFonts w:ascii="宋体" w:hAnsi="宋体"/>
                <w:color w:val="auto"/>
                <w:highlight w:val="none"/>
              </w:rPr>
            </w:pPr>
            <w:r>
              <w:rPr>
                <w:rFonts w:hint="eastAsia" w:ascii="宋体" w:hAnsi="宋体"/>
                <w:color w:val="auto"/>
                <w:highlight w:val="none"/>
              </w:rPr>
              <w:t>年   月   日</w:t>
            </w:r>
          </w:p>
        </w:tc>
        <w:tc>
          <w:tcPr>
            <w:tcW w:w="4583" w:type="dxa"/>
            <w:tcBorders>
              <w:top w:val="single" w:color="auto" w:sz="4" w:space="0"/>
              <w:left w:val="nil"/>
              <w:bottom w:val="single" w:color="auto" w:sz="4" w:space="0"/>
              <w:right w:val="single" w:color="auto" w:sz="4" w:space="0"/>
            </w:tcBorders>
            <w:vAlign w:val="center"/>
          </w:tcPr>
          <w:p w14:paraId="6F09EFBE">
            <w:pPr>
              <w:snapToGrid w:val="0"/>
              <w:spacing w:line="360" w:lineRule="auto"/>
              <w:rPr>
                <w:rFonts w:ascii="宋体" w:hAnsi="宋体"/>
                <w:color w:val="auto"/>
                <w:highlight w:val="none"/>
              </w:rPr>
            </w:pPr>
            <w:r>
              <w:rPr>
                <w:rFonts w:hint="eastAsia" w:ascii="宋体" w:hAnsi="宋体"/>
                <w:color w:val="auto"/>
                <w:highlight w:val="none"/>
              </w:rPr>
              <w:t xml:space="preserve">乙方：（章）       </w:t>
            </w:r>
          </w:p>
          <w:p w14:paraId="1B424116">
            <w:pPr>
              <w:snapToGrid w:val="0"/>
              <w:spacing w:line="360" w:lineRule="auto"/>
              <w:rPr>
                <w:rFonts w:ascii="宋体" w:hAnsi="宋体"/>
                <w:color w:val="auto"/>
                <w:highlight w:val="none"/>
              </w:rPr>
            </w:pPr>
          </w:p>
          <w:p w14:paraId="5C37671C">
            <w:pPr>
              <w:snapToGrid w:val="0"/>
              <w:spacing w:line="360" w:lineRule="auto"/>
              <w:rPr>
                <w:rFonts w:ascii="宋体" w:hAnsi="宋体"/>
                <w:color w:val="auto"/>
                <w:highlight w:val="none"/>
              </w:rPr>
            </w:pPr>
            <w:r>
              <w:rPr>
                <w:rFonts w:hint="eastAsia" w:ascii="宋体" w:hAnsi="宋体"/>
                <w:color w:val="auto"/>
                <w:highlight w:val="none"/>
              </w:rPr>
              <w:t xml:space="preserve">       </w:t>
            </w:r>
          </w:p>
          <w:p w14:paraId="378F0EA2">
            <w:pPr>
              <w:snapToGrid w:val="0"/>
              <w:spacing w:line="360" w:lineRule="auto"/>
              <w:jc w:val="right"/>
              <w:rPr>
                <w:rFonts w:ascii="宋体" w:hAnsi="宋体"/>
                <w:color w:val="auto"/>
                <w:highlight w:val="none"/>
              </w:rPr>
            </w:pPr>
          </w:p>
          <w:p w14:paraId="0AA5079F">
            <w:pPr>
              <w:snapToGrid w:val="0"/>
              <w:spacing w:line="360" w:lineRule="auto"/>
              <w:jc w:val="right"/>
              <w:rPr>
                <w:rFonts w:ascii="宋体" w:hAnsi="宋体"/>
                <w:color w:val="auto"/>
                <w:highlight w:val="none"/>
              </w:rPr>
            </w:pPr>
            <w:r>
              <w:rPr>
                <w:rFonts w:hint="eastAsia" w:ascii="宋体" w:hAnsi="宋体"/>
                <w:color w:val="auto"/>
                <w:highlight w:val="none"/>
              </w:rPr>
              <w:t xml:space="preserve"> 年   月   日</w:t>
            </w:r>
          </w:p>
        </w:tc>
      </w:tr>
      <w:tr w14:paraId="19CD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9EC036B">
            <w:pPr>
              <w:snapToGrid w:val="0"/>
              <w:spacing w:line="360" w:lineRule="auto"/>
              <w:rPr>
                <w:rFonts w:ascii="宋体" w:hAnsi="宋体"/>
                <w:color w:val="auto"/>
                <w:highlight w:val="none"/>
              </w:rPr>
            </w:pPr>
            <w:r>
              <w:rPr>
                <w:rFonts w:hint="eastAsia" w:ascii="宋体" w:hAnsi="宋体"/>
                <w:color w:val="auto"/>
                <w:highlight w:val="none"/>
              </w:rPr>
              <w:t xml:space="preserve">单位地址： </w:t>
            </w:r>
          </w:p>
        </w:tc>
        <w:tc>
          <w:tcPr>
            <w:tcW w:w="4583" w:type="dxa"/>
            <w:tcBorders>
              <w:top w:val="single" w:color="auto" w:sz="4" w:space="0"/>
              <w:left w:val="nil"/>
              <w:bottom w:val="single" w:color="auto" w:sz="4" w:space="0"/>
              <w:right w:val="single" w:color="auto" w:sz="4" w:space="0"/>
            </w:tcBorders>
            <w:vAlign w:val="center"/>
          </w:tcPr>
          <w:p w14:paraId="3C57592C">
            <w:pPr>
              <w:snapToGrid w:val="0"/>
              <w:spacing w:line="360" w:lineRule="auto"/>
              <w:rPr>
                <w:rFonts w:ascii="宋体" w:hAnsi="宋体"/>
                <w:color w:val="auto"/>
                <w:highlight w:val="none"/>
              </w:rPr>
            </w:pPr>
            <w:r>
              <w:rPr>
                <w:rFonts w:hint="eastAsia" w:ascii="宋体" w:hAnsi="宋体"/>
                <w:color w:val="auto"/>
                <w:highlight w:val="none"/>
              </w:rPr>
              <w:t xml:space="preserve">单位地址： </w:t>
            </w:r>
          </w:p>
        </w:tc>
      </w:tr>
      <w:tr w14:paraId="76FC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891F75F">
            <w:pPr>
              <w:snapToGrid w:val="0"/>
              <w:spacing w:line="360" w:lineRule="auto"/>
              <w:rPr>
                <w:rFonts w:ascii="宋体" w:hAnsi="宋体"/>
                <w:color w:val="auto"/>
                <w:highlight w:val="none"/>
              </w:rPr>
            </w:pPr>
            <w:r>
              <w:rPr>
                <w:rFonts w:hint="eastAsia" w:ascii="宋体" w:hAnsi="宋体"/>
                <w:color w:val="auto"/>
                <w:highlight w:val="none"/>
              </w:rPr>
              <w:t>法定代表人：</w:t>
            </w:r>
          </w:p>
        </w:tc>
        <w:tc>
          <w:tcPr>
            <w:tcW w:w="4583" w:type="dxa"/>
            <w:tcBorders>
              <w:top w:val="single" w:color="auto" w:sz="4" w:space="0"/>
              <w:left w:val="nil"/>
              <w:bottom w:val="single" w:color="auto" w:sz="4" w:space="0"/>
              <w:right w:val="single" w:color="auto" w:sz="4" w:space="0"/>
            </w:tcBorders>
            <w:vAlign w:val="center"/>
          </w:tcPr>
          <w:p w14:paraId="079B01B5">
            <w:pPr>
              <w:snapToGrid w:val="0"/>
              <w:spacing w:line="360" w:lineRule="auto"/>
              <w:rPr>
                <w:rFonts w:ascii="宋体" w:hAnsi="宋体"/>
                <w:color w:val="auto"/>
                <w:highlight w:val="none"/>
              </w:rPr>
            </w:pPr>
            <w:r>
              <w:rPr>
                <w:rFonts w:hint="eastAsia" w:ascii="宋体" w:hAnsi="宋体"/>
                <w:color w:val="auto"/>
                <w:highlight w:val="none"/>
              </w:rPr>
              <w:t>法定代表人：</w:t>
            </w:r>
          </w:p>
        </w:tc>
      </w:tr>
      <w:tr w14:paraId="103B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D7C1984">
            <w:pPr>
              <w:snapToGrid w:val="0"/>
              <w:spacing w:line="360" w:lineRule="auto"/>
              <w:rPr>
                <w:rFonts w:ascii="宋体" w:hAnsi="宋体"/>
                <w:color w:val="auto"/>
                <w:highlight w:val="none"/>
              </w:rPr>
            </w:pPr>
            <w:r>
              <w:rPr>
                <w:rFonts w:hint="eastAsia" w:ascii="宋体" w:hAnsi="宋体"/>
                <w:color w:val="auto"/>
                <w:highlight w:val="none"/>
              </w:rPr>
              <w:t>委托代理人：</w:t>
            </w:r>
          </w:p>
        </w:tc>
        <w:tc>
          <w:tcPr>
            <w:tcW w:w="4583" w:type="dxa"/>
            <w:tcBorders>
              <w:top w:val="single" w:color="auto" w:sz="4" w:space="0"/>
              <w:left w:val="nil"/>
              <w:bottom w:val="single" w:color="auto" w:sz="4" w:space="0"/>
              <w:right w:val="single" w:color="auto" w:sz="4" w:space="0"/>
            </w:tcBorders>
            <w:vAlign w:val="center"/>
          </w:tcPr>
          <w:p w14:paraId="4A7CFFE7">
            <w:pPr>
              <w:snapToGrid w:val="0"/>
              <w:spacing w:line="360" w:lineRule="auto"/>
              <w:rPr>
                <w:rFonts w:ascii="宋体" w:hAnsi="宋体"/>
                <w:color w:val="auto"/>
                <w:highlight w:val="none"/>
              </w:rPr>
            </w:pPr>
            <w:r>
              <w:rPr>
                <w:rFonts w:hint="eastAsia" w:ascii="宋体" w:hAnsi="宋体"/>
                <w:color w:val="auto"/>
                <w:highlight w:val="none"/>
              </w:rPr>
              <w:t>委托代理人：</w:t>
            </w:r>
          </w:p>
        </w:tc>
      </w:tr>
      <w:tr w14:paraId="3D2B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3FC44FE">
            <w:pPr>
              <w:snapToGrid w:val="0"/>
              <w:spacing w:line="360" w:lineRule="auto"/>
              <w:rPr>
                <w:rFonts w:ascii="宋体" w:hAnsi="宋体"/>
                <w:color w:val="auto"/>
                <w:highlight w:val="none"/>
              </w:rPr>
            </w:pPr>
            <w:r>
              <w:rPr>
                <w:rFonts w:hint="eastAsia" w:ascii="宋体" w:hAnsi="宋体"/>
                <w:color w:val="auto"/>
                <w:highlight w:val="none"/>
              </w:rPr>
              <w:t>电话：</w:t>
            </w:r>
          </w:p>
        </w:tc>
        <w:tc>
          <w:tcPr>
            <w:tcW w:w="4583" w:type="dxa"/>
            <w:tcBorders>
              <w:top w:val="single" w:color="auto" w:sz="4" w:space="0"/>
              <w:left w:val="nil"/>
              <w:bottom w:val="single" w:color="auto" w:sz="4" w:space="0"/>
              <w:right w:val="single" w:color="auto" w:sz="4" w:space="0"/>
            </w:tcBorders>
            <w:vAlign w:val="center"/>
          </w:tcPr>
          <w:p w14:paraId="0B1DAC17">
            <w:pPr>
              <w:snapToGrid w:val="0"/>
              <w:spacing w:line="360" w:lineRule="auto"/>
              <w:rPr>
                <w:rFonts w:ascii="宋体" w:hAnsi="宋体"/>
                <w:color w:val="auto"/>
                <w:highlight w:val="none"/>
              </w:rPr>
            </w:pPr>
            <w:r>
              <w:rPr>
                <w:rFonts w:hint="eastAsia" w:ascii="宋体" w:hAnsi="宋体"/>
                <w:color w:val="auto"/>
                <w:highlight w:val="none"/>
              </w:rPr>
              <w:t>电话：</w:t>
            </w:r>
          </w:p>
        </w:tc>
      </w:tr>
      <w:tr w14:paraId="2E99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875BCD3">
            <w:pPr>
              <w:snapToGrid w:val="0"/>
              <w:spacing w:line="360" w:lineRule="auto"/>
              <w:rPr>
                <w:rFonts w:ascii="宋体" w:hAnsi="宋体"/>
                <w:color w:val="auto"/>
                <w:highlight w:val="none"/>
              </w:rPr>
            </w:pPr>
            <w:r>
              <w:rPr>
                <w:rFonts w:hint="eastAsia" w:ascii="宋体" w:hAnsi="宋体"/>
                <w:color w:val="auto"/>
                <w:highlight w:val="none"/>
              </w:rPr>
              <w:t xml:space="preserve">开户银行： </w:t>
            </w:r>
          </w:p>
        </w:tc>
        <w:tc>
          <w:tcPr>
            <w:tcW w:w="4583" w:type="dxa"/>
            <w:tcBorders>
              <w:top w:val="single" w:color="auto" w:sz="4" w:space="0"/>
              <w:left w:val="nil"/>
              <w:bottom w:val="single" w:color="auto" w:sz="4" w:space="0"/>
              <w:right w:val="single" w:color="auto" w:sz="4" w:space="0"/>
            </w:tcBorders>
            <w:vAlign w:val="center"/>
          </w:tcPr>
          <w:p w14:paraId="6E54EC55">
            <w:pPr>
              <w:snapToGrid w:val="0"/>
              <w:spacing w:line="360" w:lineRule="auto"/>
              <w:rPr>
                <w:rFonts w:ascii="宋体" w:hAnsi="宋体"/>
                <w:color w:val="auto"/>
                <w:highlight w:val="none"/>
              </w:rPr>
            </w:pPr>
            <w:r>
              <w:rPr>
                <w:rFonts w:hint="eastAsia" w:ascii="宋体" w:hAnsi="宋体"/>
                <w:color w:val="auto"/>
                <w:highlight w:val="none"/>
              </w:rPr>
              <w:t xml:space="preserve">开户银行： </w:t>
            </w:r>
          </w:p>
        </w:tc>
      </w:tr>
      <w:tr w14:paraId="72FA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13EDF79">
            <w:pPr>
              <w:snapToGrid w:val="0"/>
              <w:spacing w:line="360" w:lineRule="auto"/>
              <w:rPr>
                <w:rFonts w:ascii="宋体" w:hAnsi="宋体"/>
                <w:color w:val="auto"/>
                <w:highlight w:val="none"/>
              </w:rPr>
            </w:pPr>
            <w:r>
              <w:rPr>
                <w:rFonts w:hint="eastAsia" w:ascii="宋体" w:hAnsi="宋体"/>
                <w:color w:val="auto"/>
                <w:highlight w:val="none"/>
              </w:rPr>
              <w:t>账号：</w:t>
            </w:r>
          </w:p>
        </w:tc>
        <w:tc>
          <w:tcPr>
            <w:tcW w:w="4583" w:type="dxa"/>
            <w:tcBorders>
              <w:top w:val="single" w:color="auto" w:sz="4" w:space="0"/>
              <w:left w:val="nil"/>
              <w:bottom w:val="single" w:color="auto" w:sz="4" w:space="0"/>
              <w:right w:val="single" w:color="auto" w:sz="4" w:space="0"/>
            </w:tcBorders>
            <w:vAlign w:val="center"/>
          </w:tcPr>
          <w:p w14:paraId="4F2CCB00">
            <w:pPr>
              <w:snapToGrid w:val="0"/>
              <w:spacing w:line="360" w:lineRule="auto"/>
              <w:rPr>
                <w:rFonts w:ascii="宋体" w:hAnsi="宋体"/>
                <w:color w:val="auto"/>
                <w:highlight w:val="none"/>
              </w:rPr>
            </w:pPr>
            <w:r>
              <w:rPr>
                <w:rFonts w:hint="eastAsia" w:ascii="宋体" w:hAnsi="宋体"/>
                <w:color w:val="auto"/>
                <w:highlight w:val="none"/>
              </w:rPr>
              <w:t>账号：</w:t>
            </w:r>
          </w:p>
        </w:tc>
      </w:tr>
      <w:tr w14:paraId="77E2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8BAEFD6">
            <w:pPr>
              <w:snapToGrid w:val="0"/>
              <w:spacing w:line="360" w:lineRule="auto"/>
              <w:rPr>
                <w:rFonts w:ascii="宋体" w:hAnsi="宋体"/>
                <w:color w:val="auto"/>
                <w:highlight w:val="none"/>
              </w:rPr>
            </w:pPr>
            <w:r>
              <w:rPr>
                <w:rFonts w:hint="eastAsia" w:ascii="宋体" w:hAnsi="宋体"/>
                <w:color w:val="auto"/>
                <w:highlight w:val="none"/>
              </w:rPr>
              <w:t>邮政编码：</w:t>
            </w:r>
          </w:p>
        </w:tc>
        <w:tc>
          <w:tcPr>
            <w:tcW w:w="4583" w:type="dxa"/>
            <w:tcBorders>
              <w:top w:val="single" w:color="auto" w:sz="4" w:space="0"/>
              <w:left w:val="nil"/>
              <w:bottom w:val="single" w:color="auto" w:sz="4" w:space="0"/>
              <w:right w:val="single" w:color="auto" w:sz="4" w:space="0"/>
            </w:tcBorders>
            <w:vAlign w:val="center"/>
          </w:tcPr>
          <w:p w14:paraId="36611217">
            <w:pPr>
              <w:snapToGrid w:val="0"/>
              <w:spacing w:line="360" w:lineRule="auto"/>
              <w:rPr>
                <w:rFonts w:ascii="宋体" w:hAnsi="宋体"/>
                <w:color w:val="auto"/>
                <w:highlight w:val="none"/>
              </w:rPr>
            </w:pPr>
            <w:r>
              <w:rPr>
                <w:rFonts w:hint="eastAsia" w:ascii="宋体" w:hAnsi="宋体"/>
                <w:color w:val="auto"/>
                <w:highlight w:val="none"/>
              </w:rPr>
              <w:t>邮政编码：</w:t>
            </w:r>
          </w:p>
        </w:tc>
      </w:tr>
    </w:tbl>
    <w:p w14:paraId="07BAFA68">
      <w:pPr>
        <w:widowControl/>
        <w:jc w:val="left"/>
        <w:rPr>
          <w:rFonts w:ascii="宋体" w:hAnsi="宋体"/>
          <w:color w:val="auto"/>
          <w:sz w:val="20"/>
          <w:szCs w:val="20"/>
          <w:highlight w:val="none"/>
        </w:rPr>
      </w:pPr>
      <w:r>
        <w:rPr>
          <w:rFonts w:hint="eastAsia" w:ascii="宋体" w:hAnsi="宋体"/>
          <w:color w:val="auto"/>
          <w:sz w:val="20"/>
          <w:szCs w:val="20"/>
          <w:highlight w:val="none"/>
        </w:rPr>
        <w:t xml:space="preserve"> </w:t>
      </w:r>
    </w:p>
    <w:p w14:paraId="0F7D4430">
      <w:pPr>
        <w:spacing w:before="4"/>
        <w:rPr>
          <w:rFonts w:ascii="宋体" w:hAnsi="宋体"/>
          <w:color w:val="auto"/>
          <w:sz w:val="6"/>
          <w:szCs w:val="6"/>
          <w:highlight w:val="none"/>
        </w:rPr>
      </w:pPr>
      <w:r>
        <w:rPr>
          <w:rFonts w:hint="eastAsia" w:ascii="宋体" w:hAnsi="宋体"/>
          <w:color w:val="auto"/>
          <w:sz w:val="6"/>
          <w:szCs w:val="6"/>
          <w:highlight w:val="none"/>
        </w:rPr>
        <w:t xml:space="preserve"> </w:t>
      </w:r>
    </w:p>
    <w:p w14:paraId="4CE9E4F3">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831753"/>
      <w:docPartObj>
        <w:docPartGallery w:val="autotext"/>
      </w:docPartObj>
    </w:sdtPr>
    <w:sdtContent>
      <w:p w14:paraId="21C22559">
        <w:pPr>
          <w:pStyle w:val="11"/>
        </w:pPr>
        <w:r>
          <w:fldChar w:fldCharType="begin"/>
        </w:r>
        <w:r>
          <w:instrText xml:space="preserve">PAGE   \* MERGEFORMAT</w:instrText>
        </w:r>
        <w:r>
          <w:fldChar w:fldCharType="separate"/>
        </w:r>
        <w:r>
          <w:rPr>
            <w:lang w:val="zh-CN"/>
          </w:rPr>
          <w:t>42</w:t>
        </w:r>
        <w:r>
          <w:fldChar w:fldCharType="end"/>
        </w:r>
      </w:p>
    </w:sdtContent>
  </w:sdt>
  <w:p w14:paraId="24C9211C">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26"/>
    <w:rsid w:val="00013B38"/>
    <w:rsid w:val="00063418"/>
    <w:rsid w:val="000653DE"/>
    <w:rsid w:val="0007271A"/>
    <w:rsid w:val="00073D51"/>
    <w:rsid w:val="0007660C"/>
    <w:rsid w:val="00077CDE"/>
    <w:rsid w:val="00077D6F"/>
    <w:rsid w:val="00094326"/>
    <w:rsid w:val="000A446A"/>
    <w:rsid w:val="000A7E8E"/>
    <w:rsid w:val="000E5A25"/>
    <w:rsid w:val="001157EE"/>
    <w:rsid w:val="00121333"/>
    <w:rsid w:val="00134E78"/>
    <w:rsid w:val="0013689F"/>
    <w:rsid w:val="00140C89"/>
    <w:rsid w:val="00150F2F"/>
    <w:rsid w:val="00151C13"/>
    <w:rsid w:val="00163450"/>
    <w:rsid w:val="001A30E5"/>
    <w:rsid w:val="001C7A12"/>
    <w:rsid w:val="001E0564"/>
    <w:rsid w:val="001F10CA"/>
    <w:rsid w:val="00230723"/>
    <w:rsid w:val="002443D5"/>
    <w:rsid w:val="00265A61"/>
    <w:rsid w:val="00291353"/>
    <w:rsid w:val="002A022A"/>
    <w:rsid w:val="002A469A"/>
    <w:rsid w:val="002B2287"/>
    <w:rsid w:val="002B33EC"/>
    <w:rsid w:val="002C5354"/>
    <w:rsid w:val="002C784B"/>
    <w:rsid w:val="002D2036"/>
    <w:rsid w:val="002E4ADD"/>
    <w:rsid w:val="002F5EEB"/>
    <w:rsid w:val="00303BE6"/>
    <w:rsid w:val="00331BDD"/>
    <w:rsid w:val="00350F49"/>
    <w:rsid w:val="003642CF"/>
    <w:rsid w:val="003A33A2"/>
    <w:rsid w:val="003D0787"/>
    <w:rsid w:val="003D4D01"/>
    <w:rsid w:val="003E0159"/>
    <w:rsid w:val="00400EE3"/>
    <w:rsid w:val="00403D96"/>
    <w:rsid w:val="004340D8"/>
    <w:rsid w:val="004505FB"/>
    <w:rsid w:val="00466276"/>
    <w:rsid w:val="004A0FAE"/>
    <w:rsid w:val="004A2109"/>
    <w:rsid w:val="004B7578"/>
    <w:rsid w:val="004C22D6"/>
    <w:rsid w:val="004F17B0"/>
    <w:rsid w:val="00505096"/>
    <w:rsid w:val="00535F1E"/>
    <w:rsid w:val="00547DBE"/>
    <w:rsid w:val="0055139D"/>
    <w:rsid w:val="005749D4"/>
    <w:rsid w:val="00583DA7"/>
    <w:rsid w:val="00594139"/>
    <w:rsid w:val="005A73FD"/>
    <w:rsid w:val="005B0C7B"/>
    <w:rsid w:val="005C2EDF"/>
    <w:rsid w:val="005C7B79"/>
    <w:rsid w:val="0061074F"/>
    <w:rsid w:val="006140B7"/>
    <w:rsid w:val="00630C6C"/>
    <w:rsid w:val="00654AB6"/>
    <w:rsid w:val="006568CE"/>
    <w:rsid w:val="00681322"/>
    <w:rsid w:val="00685A26"/>
    <w:rsid w:val="006B33A2"/>
    <w:rsid w:val="006C0E28"/>
    <w:rsid w:val="006E5EAB"/>
    <w:rsid w:val="006F00F1"/>
    <w:rsid w:val="007205D7"/>
    <w:rsid w:val="00747F64"/>
    <w:rsid w:val="007545D4"/>
    <w:rsid w:val="0076196A"/>
    <w:rsid w:val="00762B38"/>
    <w:rsid w:val="00763428"/>
    <w:rsid w:val="00784474"/>
    <w:rsid w:val="00790FB0"/>
    <w:rsid w:val="007E7934"/>
    <w:rsid w:val="00800A71"/>
    <w:rsid w:val="00871F2F"/>
    <w:rsid w:val="00892099"/>
    <w:rsid w:val="008B4166"/>
    <w:rsid w:val="008E2F8F"/>
    <w:rsid w:val="008E795D"/>
    <w:rsid w:val="00921350"/>
    <w:rsid w:val="00961C1A"/>
    <w:rsid w:val="00967F72"/>
    <w:rsid w:val="00981427"/>
    <w:rsid w:val="009879A1"/>
    <w:rsid w:val="0099706D"/>
    <w:rsid w:val="009A3D87"/>
    <w:rsid w:val="009C085A"/>
    <w:rsid w:val="009F2629"/>
    <w:rsid w:val="009F5726"/>
    <w:rsid w:val="00A103C2"/>
    <w:rsid w:val="00A268D1"/>
    <w:rsid w:val="00A2738C"/>
    <w:rsid w:val="00A27603"/>
    <w:rsid w:val="00A37B02"/>
    <w:rsid w:val="00A43ACE"/>
    <w:rsid w:val="00A85B12"/>
    <w:rsid w:val="00A905B4"/>
    <w:rsid w:val="00A94869"/>
    <w:rsid w:val="00AA2979"/>
    <w:rsid w:val="00AA2E89"/>
    <w:rsid w:val="00AA7CA9"/>
    <w:rsid w:val="00AB78FE"/>
    <w:rsid w:val="00AC6646"/>
    <w:rsid w:val="00AD72B1"/>
    <w:rsid w:val="00AF76FE"/>
    <w:rsid w:val="00B112A1"/>
    <w:rsid w:val="00B26057"/>
    <w:rsid w:val="00B62FCD"/>
    <w:rsid w:val="00B73B8B"/>
    <w:rsid w:val="00B76AE4"/>
    <w:rsid w:val="00B840EB"/>
    <w:rsid w:val="00BB1F1C"/>
    <w:rsid w:val="00BC6A5F"/>
    <w:rsid w:val="00BD29D5"/>
    <w:rsid w:val="00BE39D3"/>
    <w:rsid w:val="00C3513E"/>
    <w:rsid w:val="00C71792"/>
    <w:rsid w:val="00C717EF"/>
    <w:rsid w:val="00C82AA6"/>
    <w:rsid w:val="00C859AB"/>
    <w:rsid w:val="00C911BE"/>
    <w:rsid w:val="00CE0813"/>
    <w:rsid w:val="00D22B38"/>
    <w:rsid w:val="00D57539"/>
    <w:rsid w:val="00D66797"/>
    <w:rsid w:val="00D725EA"/>
    <w:rsid w:val="00D912A2"/>
    <w:rsid w:val="00D93C64"/>
    <w:rsid w:val="00DE3BAF"/>
    <w:rsid w:val="00E42DFA"/>
    <w:rsid w:val="00E5481E"/>
    <w:rsid w:val="00E57EB4"/>
    <w:rsid w:val="00E600CA"/>
    <w:rsid w:val="00E7261B"/>
    <w:rsid w:val="00E75C5A"/>
    <w:rsid w:val="00E77BD0"/>
    <w:rsid w:val="00E80B14"/>
    <w:rsid w:val="00ED5CA4"/>
    <w:rsid w:val="00ED65A7"/>
    <w:rsid w:val="00F04EC0"/>
    <w:rsid w:val="00F3477A"/>
    <w:rsid w:val="00F470F0"/>
    <w:rsid w:val="00F64610"/>
    <w:rsid w:val="00F715D2"/>
    <w:rsid w:val="00F95FC5"/>
    <w:rsid w:val="00FA624E"/>
    <w:rsid w:val="00FA69E3"/>
    <w:rsid w:val="00FC4F42"/>
    <w:rsid w:val="00FD11F1"/>
    <w:rsid w:val="00FE312B"/>
    <w:rsid w:val="0D115C6A"/>
    <w:rsid w:val="21163961"/>
    <w:rsid w:val="24377DAE"/>
    <w:rsid w:val="26D918C6"/>
    <w:rsid w:val="28DF0CEA"/>
    <w:rsid w:val="464010D5"/>
    <w:rsid w:val="7FC0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9"/>
    <w:pPr>
      <w:keepNext/>
      <w:keepLines/>
      <w:spacing w:before="340" w:after="330" w:line="576" w:lineRule="auto"/>
      <w:outlineLvl w:val="0"/>
    </w:pPr>
    <w:rPr>
      <w:b/>
      <w:bCs/>
      <w:kern w:val="44"/>
      <w:sz w:val="44"/>
      <w:szCs w:val="44"/>
    </w:rPr>
  </w:style>
  <w:style w:type="paragraph" w:styleId="3">
    <w:name w:val="heading 5"/>
    <w:basedOn w:val="1"/>
    <w:next w:val="4"/>
    <w:link w:val="20"/>
    <w:qFormat/>
    <w:uiPriority w:val="99"/>
    <w:pPr>
      <w:keepNext/>
      <w:keepLines/>
      <w:spacing w:before="280" w:after="290" w:line="374" w:lineRule="auto"/>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annotation text"/>
    <w:basedOn w:val="1"/>
    <w:link w:val="24"/>
    <w:unhideWhenUsed/>
    <w:qFormat/>
    <w:uiPriority w:val="99"/>
    <w:pPr>
      <w:jc w:val="left"/>
    </w:pPr>
  </w:style>
  <w:style w:type="paragraph" w:styleId="6">
    <w:name w:val="Body Text 3"/>
    <w:basedOn w:val="1"/>
    <w:link w:val="26"/>
    <w:semiHidden/>
    <w:unhideWhenUsed/>
    <w:qFormat/>
    <w:uiPriority w:val="99"/>
    <w:pPr>
      <w:spacing w:before="100" w:beforeAutospacing="1" w:after="120"/>
    </w:pPr>
    <w:rPr>
      <w:sz w:val="16"/>
      <w:szCs w:val="16"/>
    </w:rPr>
  </w:style>
  <w:style w:type="paragraph" w:styleId="7">
    <w:name w:val="Body Text"/>
    <w:basedOn w:val="1"/>
    <w:link w:val="23"/>
    <w:semiHidden/>
    <w:unhideWhenUsed/>
    <w:uiPriority w:val="99"/>
    <w:pPr>
      <w:spacing w:before="100" w:beforeAutospacing="1" w:after="120"/>
    </w:pPr>
  </w:style>
  <w:style w:type="paragraph" w:styleId="8">
    <w:name w:val="Body Text Indent"/>
    <w:basedOn w:val="1"/>
    <w:link w:val="25"/>
    <w:unhideWhenUsed/>
    <w:qFormat/>
    <w:uiPriority w:val="99"/>
    <w:pPr>
      <w:ind w:firstLine="830" w:firstLineChars="352"/>
    </w:pPr>
    <w:rPr>
      <w:rFonts w:ascii="仿宋_GB2312" w:hAnsi="仿宋_GB2312" w:cs="宋体"/>
      <w:kern w:val="0"/>
      <w:sz w:val="32"/>
      <w:szCs w:val="32"/>
    </w:rPr>
  </w:style>
  <w:style w:type="paragraph" w:styleId="9">
    <w:name w:val="List 2"/>
    <w:basedOn w:val="1"/>
    <w:semiHidden/>
    <w:unhideWhenUsed/>
    <w:qFormat/>
    <w:uiPriority w:val="99"/>
    <w:pPr>
      <w:spacing w:before="100" w:beforeAutospacing="1" w:after="100" w:afterAutospacing="1"/>
      <w:ind w:left="100" w:leftChars="200" w:hanging="200" w:hangingChars="200"/>
      <w:contextualSpacing/>
    </w:pPr>
  </w:style>
  <w:style w:type="paragraph" w:styleId="10">
    <w:name w:val="Plain Text"/>
    <w:basedOn w:val="1"/>
    <w:link w:val="22"/>
    <w:unhideWhenUsed/>
    <w:uiPriority w:val="99"/>
    <w:rPr>
      <w:rFonts w:ascii="宋体" w:hAnsi="Courier New" w:cs="宋体"/>
      <w:kern w:val="0"/>
      <w:sz w:val="20"/>
      <w:szCs w:val="20"/>
    </w:rPr>
  </w:style>
  <w:style w:type="paragraph" w:styleId="11">
    <w:name w:val="footer"/>
    <w:basedOn w:val="1"/>
    <w:link w:val="29"/>
    <w:unhideWhenUsed/>
    <w:qFormat/>
    <w:uiPriority w:val="99"/>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autoRedefine/>
    <w:semiHidden/>
    <w:unhideWhenUsed/>
    <w:qFormat/>
    <w:uiPriority w:val="99"/>
  </w:style>
  <w:style w:type="paragraph" w:styleId="14">
    <w:name w:val="toc 2"/>
    <w:basedOn w:val="1"/>
    <w:next w:val="1"/>
    <w:autoRedefine/>
    <w:semiHidden/>
    <w:unhideWhenUsed/>
    <w:uiPriority w:val="99"/>
    <w:pPr>
      <w:tabs>
        <w:tab w:val="right" w:leader="dot" w:pos="8296"/>
      </w:tabs>
      <w:spacing w:before="100" w:beforeAutospacing="1" w:after="100" w:afterAutospacing="1"/>
      <w:ind w:left="420" w:leftChars="200"/>
    </w:pPr>
  </w:style>
  <w:style w:type="character" w:styleId="17">
    <w:name w:val="FollowedHyperlink"/>
    <w:basedOn w:val="16"/>
    <w:unhideWhenUsed/>
    <w:uiPriority w:val="99"/>
    <w:rPr>
      <w:color w:val="800080"/>
      <w:u w:val="single"/>
    </w:rPr>
  </w:style>
  <w:style w:type="character" w:styleId="18">
    <w:name w:val="Hyperlink"/>
    <w:basedOn w:val="16"/>
    <w:unhideWhenUsed/>
    <w:qFormat/>
    <w:uiPriority w:val="99"/>
    <w:rPr>
      <w:color w:val="0000FF"/>
      <w:u w:val="single"/>
    </w:rPr>
  </w:style>
  <w:style w:type="character" w:customStyle="1" w:styleId="19">
    <w:name w:val="标题 1 字符"/>
    <w:basedOn w:val="16"/>
    <w:link w:val="2"/>
    <w:qFormat/>
    <w:uiPriority w:val="99"/>
    <w:rPr>
      <w:rFonts w:ascii="Times New Roman" w:hAnsi="Times New Roman" w:eastAsia="宋体" w:cs="Times New Roman"/>
      <w:b/>
      <w:bCs/>
      <w:kern w:val="44"/>
      <w:sz w:val="44"/>
      <w:szCs w:val="44"/>
    </w:rPr>
  </w:style>
  <w:style w:type="character" w:customStyle="1" w:styleId="20">
    <w:name w:val="标题 5 字符"/>
    <w:basedOn w:val="16"/>
    <w:link w:val="3"/>
    <w:qFormat/>
    <w:uiPriority w:val="99"/>
    <w:rPr>
      <w:rFonts w:ascii="Times New Roman" w:hAnsi="Times New Roman" w:eastAsia="宋体" w:cs="Times New Roman"/>
      <w:b/>
      <w:bCs/>
      <w:sz w:val="28"/>
      <w:szCs w:val="28"/>
    </w:rPr>
  </w:style>
  <w:style w:type="paragraph" w:customStyle="1" w:styleId="21">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纯文本 字符"/>
    <w:basedOn w:val="16"/>
    <w:link w:val="10"/>
    <w:qFormat/>
    <w:uiPriority w:val="99"/>
    <w:rPr>
      <w:rFonts w:ascii="宋体" w:hAnsi="Courier New" w:eastAsia="宋体" w:cs="宋体"/>
      <w:kern w:val="0"/>
      <w:sz w:val="20"/>
      <w:szCs w:val="20"/>
    </w:rPr>
  </w:style>
  <w:style w:type="character" w:customStyle="1" w:styleId="23">
    <w:name w:val="正文文本 字符"/>
    <w:basedOn w:val="16"/>
    <w:link w:val="7"/>
    <w:semiHidden/>
    <w:qFormat/>
    <w:uiPriority w:val="99"/>
    <w:rPr>
      <w:rFonts w:ascii="Times New Roman" w:hAnsi="Times New Roman" w:eastAsia="宋体" w:cs="Times New Roman"/>
      <w:szCs w:val="21"/>
    </w:rPr>
  </w:style>
  <w:style w:type="character" w:customStyle="1" w:styleId="24">
    <w:name w:val="批注文字 字符"/>
    <w:basedOn w:val="16"/>
    <w:link w:val="5"/>
    <w:qFormat/>
    <w:uiPriority w:val="99"/>
    <w:rPr>
      <w:rFonts w:ascii="Times New Roman" w:hAnsi="Times New Roman" w:eastAsia="宋体" w:cs="Times New Roman"/>
      <w:szCs w:val="21"/>
    </w:rPr>
  </w:style>
  <w:style w:type="character" w:customStyle="1" w:styleId="25">
    <w:name w:val="正文文本缩进 字符"/>
    <w:basedOn w:val="16"/>
    <w:link w:val="8"/>
    <w:qFormat/>
    <w:uiPriority w:val="99"/>
    <w:rPr>
      <w:rFonts w:ascii="仿宋_GB2312" w:hAnsi="仿宋_GB2312" w:eastAsia="宋体" w:cs="宋体"/>
      <w:kern w:val="0"/>
      <w:sz w:val="32"/>
      <w:szCs w:val="32"/>
    </w:rPr>
  </w:style>
  <w:style w:type="character" w:customStyle="1" w:styleId="26">
    <w:name w:val="正文文本 3 字符"/>
    <w:basedOn w:val="16"/>
    <w:link w:val="6"/>
    <w:semiHidden/>
    <w:qFormat/>
    <w:uiPriority w:val="99"/>
    <w:rPr>
      <w:rFonts w:ascii="Times New Roman" w:hAnsi="Times New Roman" w:eastAsia="宋体" w:cs="Times New Roman"/>
      <w:sz w:val="16"/>
      <w:szCs w:val="16"/>
    </w:rPr>
  </w:style>
  <w:style w:type="paragraph" w:customStyle="1" w:styleId="27">
    <w:name w:val="00正文"/>
    <w:basedOn w:val="1"/>
    <w:qFormat/>
    <w:uiPriority w:val="0"/>
    <w:pPr>
      <w:widowControl/>
      <w:spacing w:line="360" w:lineRule="auto"/>
      <w:ind w:firstLine="200" w:firstLineChars="200"/>
    </w:pPr>
    <w:rPr>
      <w:rFonts w:ascii="仿宋" w:hAnsi="仿宋"/>
      <w:kern w:val="0"/>
      <w:sz w:val="24"/>
      <w:szCs w:val="24"/>
    </w:rPr>
  </w:style>
  <w:style w:type="character" w:customStyle="1" w:styleId="28">
    <w:name w:val="页眉 字符"/>
    <w:basedOn w:val="16"/>
    <w:link w:val="12"/>
    <w:qFormat/>
    <w:uiPriority w:val="99"/>
    <w:rPr>
      <w:rFonts w:ascii="Times New Roman" w:hAnsi="Times New Roman" w:eastAsia="宋体" w:cs="Times New Roman"/>
      <w:kern w:val="0"/>
      <w:sz w:val="18"/>
      <w:szCs w:val="18"/>
    </w:rPr>
  </w:style>
  <w:style w:type="character" w:customStyle="1" w:styleId="29">
    <w:name w:val="页脚 字符"/>
    <w:basedOn w:val="16"/>
    <w:link w:val="11"/>
    <w:qFormat/>
    <w:uiPriority w:val="99"/>
    <w:rPr>
      <w:rFonts w:ascii="Times New Roman" w:hAnsi="Times New Roman" w:eastAsia="宋体" w:cs="Times New Roman"/>
      <w:kern w:val="0"/>
      <w:sz w:val="18"/>
      <w:szCs w:val="18"/>
    </w:rPr>
  </w:style>
  <w:style w:type="character" w:customStyle="1" w:styleId="30">
    <w:name w:val="15"/>
    <w:basedOn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72</Pages>
  <Words>16932</Words>
  <Characters>18123</Characters>
  <Lines>367</Lines>
  <Paragraphs>103</Paragraphs>
  <TotalTime>17</TotalTime>
  <ScaleCrop>false</ScaleCrop>
  <LinksUpToDate>false</LinksUpToDate>
  <CharactersWithSpaces>18511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2025-12-18T06:03:00Z</dcterms:created>
  <dc:creator>hp</dc:creator>
  <cp:lastModifiedBy>YR</cp:lastModifiedBy>
  <dcterms:modified xsi:type="dcterms:W3CDTF">2025-12-19T08:00:49Z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eyJoZGlkIjoiYWQyZWI0ZGU5NmZiYWM0Mjc1OTFmYTAwNzY3N2ViZTMiLCJ1c2VySWQiOiIzNTM4NjE4NzMifQ==</vt:lpwstr>
  </property>
  <property fmtid="{D5CDD505-2E9C-101B-9397-08002B2CF9AE}" pid="3" name="KSOProductBuildVer">
    <vt:lpwstr>2052-12.1.0.24034</vt:lpwstr>
  </property>
  <property fmtid="{D5CDD505-2E9C-101B-9397-08002B2CF9AE}" pid="4" name="ICV">
    <vt:lpwstr>AE5866EC6FF1493B90A1F29515952EC5_12</vt:lpwstr>
  </property>
</Properties>
</file>