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CDED8">
      <w:pPr>
        <w:pStyle w:val="12"/>
        <w:jc w:val="center"/>
        <w:rPr>
          <w:rFonts w:hint="eastAsia" w:ascii="黑体" w:hAnsi="黑体" w:eastAsia="黑体"/>
          <w:color w:val="auto"/>
          <w:spacing w:val="30"/>
          <w:kern w:val="52"/>
          <w:sz w:val="64"/>
          <w:szCs w:val="64"/>
        </w:rPr>
      </w:pPr>
      <w:r>
        <w:rPr>
          <w:rFonts w:ascii="黑体" w:hAnsi="黑体" w:eastAsia="黑体"/>
          <w:color w:val="auto"/>
          <w:spacing w:val="30"/>
          <w:kern w:val="52"/>
          <w:sz w:val="64"/>
          <w:szCs w:val="64"/>
        </w:rPr>
        <w:t>广西科文招标有限公司</w:t>
      </w:r>
    </w:p>
    <w:p w14:paraId="225DE5E1">
      <w:pPr>
        <w:pStyle w:val="12"/>
        <w:jc w:val="center"/>
        <w:rPr>
          <w:rFonts w:hint="eastAsia" w:ascii="黑体" w:hAnsi="黑体" w:eastAsia="黑体" w:cs="方正小标宋简体"/>
          <w:b/>
          <w:color w:val="auto"/>
          <w:sz w:val="44"/>
          <w:szCs w:val="44"/>
        </w:rPr>
      </w:pPr>
      <w:r>
        <w:rPr>
          <w:rFonts w:ascii="黑体" w:hAnsi="黑体" w:eastAsia="黑体"/>
          <w:b/>
          <w:color w:val="auto"/>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YTiCN6wEAANkDAAAOAAAAZHJzL2Uyb0RvYy54bWytU81uEzEQ&#10;viPxDpbvZDdRKdUqmx4aygVBJOABJrY3a8l/8rjZ5CV4ASRucOLInbehPAZjb5rS9pIDe/COxzPf&#10;zPd5PL/cWcO2KqL2ruXTSc2ZcsJL7TYt//Tx+sUFZ5jASTDeqZbvFfLLxfNn8yE0auZ7b6SKjEAc&#10;NkNoeZ9SaKoKRa8s4MQH5eiw89FCom3cVDLCQOjWVLO6Pq8GH2WIXihE8i7HQ35AjKcA+q7TQi29&#10;uLHKpRE1KgOJKGGvA/JF6bbrlEjvuw5VYqblxDSVlYqQvc5rtZhDs4kQei0OLcApLTziZEE7KnqE&#10;WkICdhP1EyirRfTouzQR3lYjkaIIsZjWj7T50ENQhQtJjeEoOv4/WPFuu4pMS5oEzhxYuvDbLz9/&#10;f/7259dXWm9/fGfTLNIQsKHYK7eKhx2GVcyMd120+U9c2K4Iuz8Kq3aJCXK+PLs4P6tJc3F3Vt0n&#10;hojpjfKWZaPlRrvMGRrYvsVExSj0LiS7jWMDdTt7VfCAJrCjmydo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9rBQzU&#10;AAAACAEAAA8AAAAAAAAAAQAgAAAAIgAAAGRycy9kb3ducmV2LnhtbFBLAQIUABQAAAAIAIdO4kAY&#10;TiCN6wEAANkDAAAOAAAAAAAAAAEAIAAAACMBAABkcnMvZTJvRG9jLnhtbFBLBQYAAAAABgAGAFkB&#10;AACABQAAAAA=&#10;">
                <v:fill on="f" focussize="0,0"/>
                <v:stroke weight="1pt" color="#000000" joinstyle="round"/>
                <v:imagedata o:title=""/>
                <o:lock v:ext="edit" aspectratio="f"/>
              </v:line>
            </w:pict>
          </mc:Fallback>
        </mc:AlternateContent>
      </w:r>
    </w:p>
    <w:p w14:paraId="0748A150">
      <w:pPr>
        <w:snapToGrid w:val="0"/>
        <w:spacing w:before="156" w:beforeLines="50" w:line="360" w:lineRule="auto"/>
        <w:jc w:val="center"/>
        <w:rPr>
          <w:rFonts w:hint="eastAsia" w:ascii="黑体" w:hAnsi="黑体" w:eastAsia="黑体"/>
          <w:color w:val="auto"/>
          <w:sz w:val="84"/>
          <w:szCs w:val="84"/>
        </w:rPr>
      </w:pPr>
      <w:bookmarkStart w:id="141" w:name="_GoBack"/>
      <w:bookmarkEnd w:id="141"/>
    </w:p>
    <w:p w14:paraId="086132DD">
      <w:pPr>
        <w:snapToGrid w:val="0"/>
        <w:spacing w:before="156" w:beforeLines="50" w:line="360" w:lineRule="auto"/>
        <w:jc w:val="center"/>
        <w:rPr>
          <w:rFonts w:hint="eastAsia" w:ascii="黑体" w:hAnsi="黑体" w:eastAsia="黑体"/>
          <w:color w:val="auto"/>
          <w:sz w:val="84"/>
          <w:szCs w:val="84"/>
        </w:rPr>
      </w:pPr>
      <w:r>
        <w:rPr>
          <w:rFonts w:hint="eastAsia" w:ascii="黑体" w:hAnsi="黑体" w:eastAsia="黑体"/>
          <w:color w:val="auto"/>
          <w:sz w:val="84"/>
          <w:szCs w:val="84"/>
        </w:rPr>
        <w:t>竞争性磋商文件</w:t>
      </w:r>
    </w:p>
    <w:p w14:paraId="13E8EFA0">
      <w:pPr>
        <w:snapToGrid w:val="0"/>
        <w:spacing w:line="360" w:lineRule="auto"/>
        <w:rPr>
          <w:rFonts w:hint="eastAsia" w:ascii="仿宋_GB2312" w:hAnsi="宋体" w:eastAsia="仿宋_GB2312"/>
          <w:b/>
          <w:color w:val="auto"/>
          <w:sz w:val="48"/>
          <w:szCs w:val="48"/>
        </w:rPr>
      </w:pPr>
    </w:p>
    <w:p w14:paraId="6A3D8E76">
      <w:pPr>
        <w:spacing w:line="360" w:lineRule="auto"/>
        <w:ind w:firstLine="602" w:firstLineChars="200"/>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 xml:space="preserve">项目名称：2025-2026年体彩公益金赛事品牌传播年采购项目 </w:t>
      </w:r>
    </w:p>
    <w:p w14:paraId="568F2DB1">
      <w:pPr>
        <w:spacing w:line="360" w:lineRule="auto"/>
        <w:ind w:firstLine="602" w:firstLineChars="200"/>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项目编号：GXZC2025-C3-003950-KWZB</w:t>
      </w:r>
    </w:p>
    <w:p w14:paraId="4DD8BD8F">
      <w:pPr>
        <w:spacing w:line="360" w:lineRule="auto"/>
        <w:jc w:val="center"/>
        <w:rPr>
          <w:rFonts w:hint="eastAsia" w:ascii="仿宋_GB2312" w:hAnsi="宋体" w:eastAsia="仿宋_GB2312"/>
          <w:b/>
          <w:bCs/>
          <w:color w:val="auto"/>
          <w:sz w:val="30"/>
          <w:szCs w:val="30"/>
        </w:rPr>
      </w:pPr>
    </w:p>
    <w:p w14:paraId="0EED0420">
      <w:pPr>
        <w:spacing w:line="360" w:lineRule="auto"/>
        <w:jc w:val="center"/>
        <w:rPr>
          <w:rFonts w:hint="eastAsia" w:ascii="仿宋_GB2312" w:hAnsi="宋体" w:eastAsia="仿宋_GB2312"/>
          <w:b/>
          <w:bCs/>
          <w:color w:val="auto"/>
          <w:sz w:val="30"/>
          <w:szCs w:val="30"/>
        </w:rPr>
      </w:pPr>
    </w:p>
    <w:p w14:paraId="35C3E5B1">
      <w:pPr>
        <w:spacing w:line="360" w:lineRule="auto"/>
        <w:jc w:val="center"/>
        <w:rPr>
          <w:rFonts w:hint="eastAsia" w:ascii="仿宋_GB2312" w:hAnsi="宋体" w:eastAsia="仿宋_GB2312"/>
          <w:b/>
          <w:bCs/>
          <w:color w:val="auto"/>
          <w:sz w:val="30"/>
          <w:szCs w:val="30"/>
        </w:rPr>
      </w:pPr>
    </w:p>
    <w:p w14:paraId="374F7544">
      <w:pPr>
        <w:spacing w:line="360" w:lineRule="auto"/>
        <w:jc w:val="center"/>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 xml:space="preserve"> 采购单位：广西壮族自治区体育彩票管理中心</w:t>
      </w:r>
    </w:p>
    <w:p w14:paraId="7E5293DB">
      <w:pPr>
        <w:spacing w:line="360" w:lineRule="auto"/>
        <w:jc w:val="center"/>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采购代理机构：广西科文招标有限公司</w:t>
      </w:r>
    </w:p>
    <w:p w14:paraId="40FF36D0">
      <w:pPr>
        <w:spacing w:line="360" w:lineRule="auto"/>
        <w:jc w:val="center"/>
        <w:rPr>
          <w:rFonts w:hint="eastAsia" w:ascii="仿宋_GB2312" w:hAnsi="宋体" w:eastAsia="仿宋_GB2312"/>
          <w:b/>
          <w:bCs/>
          <w:color w:val="auto"/>
          <w:sz w:val="30"/>
          <w:szCs w:val="30"/>
        </w:rPr>
      </w:pPr>
    </w:p>
    <w:p w14:paraId="19E6A5F4">
      <w:pPr>
        <w:spacing w:line="360" w:lineRule="auto"/>
        <w:jc w:val="center"/>
        <w:rPr>
          <w:rFonts w:hint="eastAsia" w:ascii="仿宋_GB2312" w:hAnsi="宋体" w:eastAsia="仿宋_GB2312"/>
          <w:b/>
          <w:bCs/>
          <w:color w:val="auto"/>
          <w:sz w:val="30"/>
          <w:szCs w:val="30"/>
        </w:rPr>
        <w:sectPr>
          <w:headerReference r:id="rId3" w:type="default"/>
          <w:footerReference r:id="rId5" w:type="default"/>
          <w:headerReference r:id="rId4" w:type="even"/>
          <w:footerReference r:id="rId6" w:type="even"/>
          <w:pgSz w:w="11906" w:h="16838"/>
          <w:pgMar w:top="1418" w:right="1418" w:bottom="1418" w:left="1418" w:header="720" w:footer="720" w:gutter="0"/>
          <w:pgNumType w:start="0"/>
          <w:cols w:space="720" w:num="1"/>
          <w:titlePg/>
          <w:docGrid w:type="lines" w:linePitch="312" w:charSpace="0"/>
        </w:sectPr>
      </w:pPr>
      <w:r>
        <w:rPr>
          <w:rFonts w:hint="eastAsia" w:ascii="仿宋_GB2312" w:hAnsi="宋体" w:eastAsia="仿宋_GB2312"/>
          <w:b/>
          <w:bCs/>
          <w:color w:val="auto"/>
          <w:sz w:val="30"/>
          <w:szCs w:val="30"/>
        </w:rPr>
        <w:t>2025年12月</w:t>
      </w:r>
    </w:p>
    <w:p w14:paraId="407933B1">
      <w:pPr>
        <w:spacing w:line="360" w:lineRule="auto"/>
        <w:jc w:val="center"/>
        <w:rPr>
          <w:rFonts w:hint="eastAsia" w:ascii="宋体" w:hAnsi="宋体" w:cs="宋体"/>
          <w:b/>
          <w:bCs/>
          <w:color w:val="auto"/>
          <w:kern w:val="0"/>
          <w:sz w:val="32"/>
          <w:szCs w:val="32"/>
        </w:rPr>
      </w:pPr>
    </w:p>
    <w:p w14:paraId="04C0F408">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795E8B81">
      <w:pPr>
        <w:spacing w:line="400" w:lineRule="exact"/>
        <w:jc w:val="center"/>
        <w:rPr>
          <w:rFonts w:hint="eastAsia" w:ascii="宋体" w:hAnsi="宋体"/>
          <w:b/>
          <w:color w:val="auto"/>
          <w:sz w:val="44"/>
          <w:szCs w:val="44"/>
        </w:rPr>
      </w:pPr>
    </w:p>
    <w:p w14:paraId="3B1AC156">
      <w:pPr>
        <w:pStyle w:val="16"/>
        <w:tabs>
          <w:tab w:val="right" w:leader="dot" w:pos="8869"/>
        </w:tabs>
        <w:snapToGrid w:val="0"/>
        <w:spacing w:line="500" w:lineRule="atLeast"/>
        <w:rPr>
          <w:rFonts w:hint="eastAsia" w:ascii="宋体" w:hAnsi="宋体"/>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Style w:val="26"/>
          <w:rFonts w:hint="eastAsia" w:ascii="宋体" w:hAnsi="宋体"/>
          <w:b/>
          <w:color w:val="auto"/>
          <w:sz w:val="24"/>
        </w:rPr>
        <w:t>第一章</w:t>
      </w:r>
      <w:r>
        <w:rPr>
          <w:rStyle w:val="26"/>
          <w:rFonts w:ascii="宋体" w:hAnsi="宋体"/>
          <w:b/>
          <w:color w:val="auto"/>
          <w:sz w:val="24"/>
        </w:rPr>
        <w:t xml:space="preserve"> </w:t>
      </w:r>
      <w:r>
        <w:rPr>
          <w:rStyle w:val="26"/>
          <w:rFonts w:hint="eastAsia" w:ascii="宋体" w:hAnsi="宋体"/>
          <w:b/>
          <w:color w:val="auto"/>
          <w:sz w:val="24"/>
        </w:rPr>
        <w:t>竞争性磋商公告</w:t>
      </w:r>
      <w:r>
        <w:rPr>
          <w:rFonts w:ascii="宋体" w:hAnsi="宋体"/>
          <w:b/>
          <w:color w:val="auto"/>
          <w:sz w:val="24"/>
        </w:rPr>
        <w:tab/>
      </w:r>
      <w:r>
        <w:rPr>
          <w:rFonts w:hint="eastAsia" w:ascii="宋体" w:hAnsi="宋体"/>
          <w:b/>
          <w:color w:val="auto"/>
          <w:sz w:val="24"/>
        </w:rPr>
        <w:t>1</w:t>
      </w:r>
      <w:r>
        <w:rPr>
          <w:rFonts w:hint="eastAsia" w:ascii="宋体" w:hAnsi="宋体"/>
          <w:b/>
          <w:color w:val="auto"/>
          <w:sz w:val="24"/>
        </w:rPr>
        <w:fldChar w:fldCharType="end"/>
      </w:r>
    </w:p>
    <w:p w14:paraId="0C77C242">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"_Toc74323457" </w:instrText>
      </w:r>
      <w:r>
        <w:rPr>
          <w:color w:val="auto"/>
        </w:rPr>
        <w:fldChar w:fldCharType="separate"/>
      </w:r>
      <w:r>
        <w:rPr>
          <w:rStyle w:val="26"/>
          <w:rFonts w:hint="eastAsia" w:ascii="宋体" w:hAnsi="宋体"/>
          <w:b/>
          <w:color w:val="auto"/>
          <w:sz w:val="24"/>
        </w:rPr>
        <w:t>第二章</w:t>
      </w:r>
      <w:r>
        <w:rPr>
          <w:rStyle w:val="26"/>
          <w:rFonts w:ascii="宋体" w:hAnsi="宋体"/>
          <w:b/>
          <w:color w:val="auto"/>
          <w:sz w:val="24"/>
        </w:rPr>
        <w:t xml:space="preserve"> </w:t>
      </w:r>
      <w:r>
        <w:rPr>
          <w:rStyle w:val="26"/>
          <w:rFonts w:hint="eastAsia" w:ascii="宋体" w:hAnsi="宋体"/>
          <w:b/>
          <w:color w:val="auto"/>
          <w:sz w:val="24"/>
        </w:rPr>
        <w:t>供应</w:t>
      </w:r>
      <w:bookmarkStart w:id="0" w:name="_Hlt82161237"/>
      <w:r>
        <w:rPr>
          <w:rStyle w:val="26"/>
          <w:rFonts w:hint="eastAsia" w:ascii="宋体" w:hAnsi="宋体"/>
          <w:b/>
          <w:color w:val="auto"/>
          <w:sz w:val="24"/>
        </w:rPr>
        <w:t>商</w:t>
      </w:r>
      <w:bookmarkEnd w:id="0"/>
      <w:r>
        <w:rPr>
          <w:rStyle w:val="26"/>
          <w:rFonts w:hint="eastAsia" w:ascii="宋体" w:hAnsi="宋体"/>
          <w:b/>
          <w:color w:val="auto"/>
          <w:sz w:val="24"/>
        </w:rPr>
        <w:t>须知</w:t>
      </w:r>
      <w:r>
        <w:rPr>
          <w:rFonts w:ascii="宋体" w:hAnsi="宋体"/>
          <w:b/>
          <w:color w:val="auto"/>
          <w:sz w:val="24"/>
        </w:rPr>
        <w:tab/>
      </w:r>
      <w:r>
        <w:rPr>
          <w:rFonts w:hint="eastAsia" w:ascii="宋体" w:hAnsi="宋体"/>
          <w:b/>
          <w:color w:val="auto"/>
          <w:sz w:val="24"/>
        </w:rPr>
        <w:t>5</w:t>
      </w:r>
      <w:r>
        <w:rPr>
          <w:rFonts w:hint="eastAsia" w:ascii="宋体" w:hAnsi="宋体"/>
          <w:b/>
          <w:color w:val="auto"/>
          <w:sz w:val="24"/>
        </w:rPr>
        <w:fldChar w:fldCharType="end"/>
      </w:r>
    </w:p>
    <w:p w14:paraId="6964126D">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"_Toc74323458" </w:instrText>
      </w:r>
      <w:r>
        <w:rPr>
          <w:color w:val="auto"/>
        </w:rPr>
        <w:fldChar w:fldCharType="separate"/>
      </w:r>
      <w:r>
        <w:rPr>
          <w:rStyle w:val="26"/>
          <w:rFonts w:hint="eastAsia" w:ascii="宋体" w:hAnsi="宋体"/>
          <w:b/>
          <w:color w:val="auto"/>
          <w:sz w:val="24"/>
        </w:rPr>
        <w:t>第三章</w:t>
      </w:r>
      <w:r>
        <w:rPr>
          <w:rStyle w:val="26"/>
          <w:rFonts w:ascii="宋体" w:hAnsi="宋体"/>
          <w:b/>
          <w:color w:val="auto"/>
          <w:sz w:val="24"/>
        </w:rPr>
        <w:t xml:space="preserve"> </w:t>
      </w:r>
      <w:r>
        <w:rPr>
          <w:rStyle w:val="26"/>
          <w:rFonts w:hint="eastAsia" w:ascii="宋体" w:hAnsi="宋体"/>
          <w:b/>
          <w:color w:val="auto"/>
          <w:sz w:val="24"/>
        </w:rPr>
        <w:t>采购需</w:t>
      </w:r>
      <w:bookmarkStart w:id="1" w:name="_Hlt82166940"/>
      <w:r>
        <w:rPr>
          <w:rStyle w:val="26"/>
          <w:rFonts w:hint="eastAsia" w:ascii="宋体" w:hAnsi="宋体"/>
          <w:b/>
          <w:color w:val="auto"/>
          <w:sz w:val="24"/>
        </w:rPr>
        <w:t>求</w:t>
      </w:r>
      <w:bookmarkEnd w:id="1"/>
      <w:r>
        <w:rPr>
          <w:rFonts w:ascii="宋体" w:hAnsi="宋体"/>
          <w:b/>
          <w:color w:val="auto"/>
          <w:sz w:val="24"/>
        </w:rPr>
        <w:tab/>
      </w:r>
      <w:r>
        <w:rPr>
          <w:rFonts w:hint="eastAsia" w:ascii="宋体" w:hAnsi="宋体"/>
          <w:b/>
          <w:color w:val="auto"/>
          <w:sz w:val="24"/>
        </w:rPr>
        <w:t>2</w:t>
      </w:r>
      <w:r>
        <w:rPr>
          <w:rFonts w:hint="eastAsia" w:ascii="宋体" w:hAnsi="宋体"/>
          <w:b/>
          <w:color w:val="auto"/>
          <w:sz w:val="24"/>
        </w:rPr>
        <w:fldChar w:fldCharType="end"/>
      </w:r>
      <w:r>
        <w:rPr>
          <w:rFonts w:hint="eastAsia" w:ascii="宋体" w:hAnsi="宋体"/>
          <w:b/>
          <w:color w:val="auto"/>
          <w:sz w:val="24"/>
        </w:rPr>
        <w:t>2</w:t>
      </w:r>
    </w:p>
    <w:p w14:paraId="3F23BF22">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"_Toc74323459" </w:instrText>
      </w:r>
      <w:r>
        <w:rPr>
          <w:color w:val="auto"/>
        </w:rPr>
        <w:fldChar w:fldCharType="separate"/>
      </w:r>
      <w:r>
        <w:rPr>
          <w:rStyle w:val="26"/>
          <w:rFonts w:hint="eastAsia" w:ascii="宋体" w:hAnsi="宋体"/>
          <w:b/>
          <w:color w:val="auto"/>
          <w:sz w:val="24"/>
        </w:rPr>
        <w:t>第四章</w:t>
      </w:r>
      <w:r>
        <w:rPr>
          <w:rStyle w:val="26"/>
          <w:rFonts w:ascii="宋体" w:hAnsi="宋体"/>
          <w:b/>
          <w:color w:val="auto"/>
          <w:sz w:val="24"/>
        </w:rPr>
        <w:t xml:space="preserve"> </w:t>
      </w:r>
      <w:r>
        <w:rPr>
          <w:rStyle w:val="26"/>
          <w:rFonts w:hint="eastAsia" w:ascii="宋体" w:hAnsi="宋体"/>
          <w:b/>
          <w:color w:val="auto"/>
          <w:sz w:val="24"/>
        </w:rPr>
        <w:t>评审程序、</w:t>
      </w:r>
      <w:bookmarkStart w:id="2" w:name="_Hlt82166000"/>
      <w:r>
        <w:rPr>
          <w:rStyle w:val="26"/>
          <w:rFonts w:hint="eastAsia" w:ascii="宋体" w:hAnsi="宋体"/>
          <w:b/>
          <w:color w:val="auto"/>
          <w:sz w:val="24"/>
        </w:rPr>
        <w:t>评</w:t>
      </w:r>
      <w:bookmarkEnd w:id="2"/>
      <w:r>
        <w:rPr>
          <w:rStyle w:val="26"/>
          <w:rFonts w:hint="eastAsia" w:ascii="宋体" w:hAnsi="宋体"/>
          <w:b/>
          <w:color w:val="auto"/>
          <w:sz w:val="24"/>
        </w:rPr>
        <w:t>审方法和评审标准</w:t>
      </w:r>
      <w:r>
        <w:rPr>
          <w:rFonts w:ascii="宋体" w:hAnsi="宋体"/>
          <w:b/>
          <w:color w:val="auto"/>
          <w:sz w:val="24"/>
        </w:rPr>
        <w:tab/>
      </w:r>
      <w:r>
        <w:rPr>
          <w:rFonts w:hint="eastAsia" w:ascii="宋体" w:hAnsi="宋体"/>
          <w:b/>
          <w:color w:val="auto"/>
          <w:sz w:val="24"/>
        </w:rPr>
        <w:t>2</w:t>
      </w:r>
      <w:r>
        <w:rPr>
          <w:rFonts w:hint="eastAsia" w:ascii="宋体" w:hAnsi="宋体"/>
          <w:b/>
          <w:color w:val="auto"/>
          <w:sz w:val="24"/>
        </w:rPr>
        <w:fldChar w:fldCharType="end"/>
      </w:r>
      <w:r>
        <w:rPr>
          <w:rFonts w:hint="eastAsia" w:ascii="宋体" w:hAnsi="宋体"/>
          <w:b/>
          <w:color w:val="auto"/>
          <w:sz w:val="24"/>
        </w:rPr>
        <w:t>7</w:t>
      </w:r>
    </w:p>
    <w:p w14:paraId="59684588">
      <w:pPr>
        <w:pStyle w:val="16"/>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"_Toc74323460" </w:instrText>
      </w:r>
      <w:r>
        <w:rPr>
          <w:color w:val="auto"/>
        </w:rPr>
        <w:fldChar w:fldCharType="separate"/>
      </w:r>
      <w:r>
        <w:rPr>
          <w:rStyle w:val="26"/>
          <w:rFonts w:hint="eastAsia" w:ascii="宋体" w:hAnsi="宋体"/>
          <w:b/>
          <w:color w:val="auto"/>
          <w:sz w:val="24"/>
        </w:rPr>
        <w:t>第五章</w:t>
      </w:r>
      <w:r>
        <w:rPr>
          <w:rStyle w:val="26"/>
          <w:rFonts w:ascii="宋体" w:hAnsi="宋体"/>
          <w:b/>
          <w:color w:val="auto"/>
          <w:sz w:val="24"/>
        </w:rPr>
        <w:t xml:space="preserve"> </w:t>
      </w:r>
      <w:r>
        <w:rPr>
          <w:rStyle w:val="26"/>
          <w:rFonts w:hint="eastAsia" w:ascii="宋体" w:hAnsi="宋体"/>
          <w:b/>
          <w:color w:val="auto"/>
          <w:sz w:val="24"/>
        </w:rPr>
        <w:t>响应文件格式</w:t>
      </w:r>
      <w:r>
        <w:rPr>
          <w:rFonts w:ascii="宋体" w:hAnsi="宋体"/>
          <w:b/>
          <w:color w:val="auto"/>
          <w:sz w:val="24"/>
        </w:rPr>
        <w:tab/>
      </w:r>
      <w:r>
        <w:rPr>
          <w:rFonts w:hint="eastAsia" w:ascii="宋体" w:hAnsi="宋体"/>
          <w:b/>
          <w:color w:val="auto"/>
          <w:sz w:val="24"/>
        </w:rPr>
        <w:t>3</w:t>
      </w:r>
      <w:r>
        <w:rPr>
          <w:rFonts w:hint="eastAsia" w:ascii="宋体" w:hAnsi="宋体"/>
          <w:b/>
          <w:color w:val="auto"/>
          <w:sz w:val="24"/>
        </w:rPr>
        <w:fldChar w:fldCharType="end"/>
      </w:r>
      <w:r>
        <w:rPr>
          <w:rFonts w:hint="eastAsia" w:ascii="宋体" w:hAnsi="宋体"/>
          <w:b/>
          <w:color w:val="auto"/>
          <w:sz w:val="24"/>
        </w:rPr>
        <w:t>6</w:t>
      </w:r>
    </w:p>
    <w:p w14:paraId="10404581">
      <w:pPr>
        <w:pStyle w:val="16"/>
        <w:tabs>
          <w:tab w:val="right" w:leader="dot" w:pos="8869"/>
        </w:tabs>
        <w:snapToGrid w:val="0"/>
        <w:spacing w:line="500" w:lineRule="atLeast"/>
        <w:rPr>
          <w:rFonts w:hint="eastAsia" w:ascii="宋体" w:hAnsi="宋体"/>
          <w:color w:val="auto"/>
          <w:sz w:val="24"/>
        </w:rPr>
      </w:pPr>
      <w:r>
        <w:rPr>
          <w:color w:val="auto"/>
        </w:rPr>
        <w:fldChar w:fldCharType="begin"/>
      </w:r>
      <w:r>
        <w:rPr>
          <w:color w:val="auto"/>
        </w:rPr>
        <w:instrText xml:space="preserve"> HYPERLINK \l "_Toc74323461" </w:instrText>
      </w:r>
      <w:r>
        <w:rPr>
          <w:color w:val="auto"/>
        </w:rPr>
        <w:fldChar w:fldCharType="separate"/>
      </w:r>
      <w:r>
        <w:rPr>
          <w:rStyle w:val="26"/>
          <w:rFonts w:hint="eastAsia" w:ascii="宋体" w:hAnsi="宋体"/>
          <w:b/>
          <w:color w:val="auto"/>
          <w:sz w:val="24"/>
        </w:rPr>
        <w:t>第六章</w:t>
      </w:r>
      <w:r>
        <w:rPr>
          <w:rStyle w:val="26"/>
          <w:rFonts w:ascii="宋体" w:hAnsi="宋体"/>
          <w:b/>
          <w:color w:val="auto"/>
          <w:sz w:val="24"/>
        </w:rPr>
        <w:t xml:space="preserve"> </w:t>
      </w:r>
      <w:r>
        <w:rPr>
          <w:rStyle w:val="26"/>
          <w:rFonts w:hint="eastAsia" w:ascii="宋体" w:hAnsi="宋体"/>
          <w:b/>
          <w:color w:val="auto"/>
          <w:sz w:val="24"/>
        </w:rPr>
        <w:t>合同主要条款格式</w:t>
      </w:r>
      <w:r>
        <w:rPr>
          <w:rFonts w:ascii="宋体" w:hAnsi="宋体"/>
          <w:b/>
          <w:color w:val="auto"/>
          <w:sz w:val="24"/>
        </w:rPr>
        <w:tab/>
      </w:r>
      <w:r>
        <w:rPr>
          <w:rFonts w:hint="eastAsia" w:ascii="宋体" w:hAnsi="宋体"/>
          <w:b/>
          <w:color w:val="auto"/>
          <w:sz w:val="24"/>
        </w:rPr>
        <w:t>6</w:t>
      </w:r>
      <w:r>
        <w:rPr>
          <w:rFonts w:hint="eastAsia" w:ascii="宋体" w:hAnsi="宋体"/>
          <w:b/>
          <w:color w:val="auto"/>
          <w:sz w:val="24"/>
        </w:rPr>
        <w:fldChar w:fldCharType="end"/>
      </w:r>
      <w:r>
        <w:rPr>
          <w:rFonts w:hint="eastAsia" w:ascii="宋体" w:hAnsi="宋体"/>
          <w:b/>
          <w:color w:val="auto"/>
          <w:sz w:val="24"/>
        </w:rPr>
        <w:t>1</w:t>
      </w:r>
    </w:p>
    <w:p w14:paraId="0CB72A34">
      <w:pPr>
        <w:pStyle w:val="17"/>
        <w:tabs>
          <w:tab w:val="right" w:leader="dot" w:pos="8931"/>
          <w:tab w:val="clear" w:pos="8296"/>
        </w:tabs>
        <w:snapToGrid w:val="0"/>
        <w:spacing w:line="500" w:lineRule="atLeast"/>
        <w:ind w:left="0" w:leftChars="0"/>
        <w:rPr>
          <w:rFonts w:hint="eastAsia" w:ascii="宋体" w:hAnsi="宋体"/>
          <w:b/>
          <w:color w:val="auto"/>
          <w:sz w:val="24"/>
        </w:rPr>
      </w:pPr>
      <w:r>
        <w:rPr>
          <w:rFonts w:ascii="宋体" w:hAnsi="宋体"/>
          <w:b/>
          <w:color w:val="auto"/>
          <w:sz w:val="24"/>
        </w:rPr>
        <w:fldChar w:fldCharType="end"/>
      </w:r>
    </w:p>
    <w:p w14:paraId="69DAB32D">
      <w:pPr>
        <w:spacing w:line="400" w:lineRule="exact"/>
        <w:jc w:val="left"/>
        <w:rPr>
          <w:rFonts w:hint="eastAsia" w:ascii="宋体" w:hAnsi="宋体"/>
          <w:b/>
          <w:color w:val="auto"/>
          <w:sz w:val="32"/>
          <w:szCs w:val="32"/>
        </w:rPr>
      </w:pPr>
    </w:p>
    <w:p w14:paraId="0618BE96">
      <w:pPr>
        <w:spacing w:line="400" w:lineRule="exact"/>
        <w:jc w:val="center"/>
        <w:rPr>
          <w:rFonts w:hint="eastAsia" w:ascii="宋体" w:hAnsi="宋体"/>
          <w:b/>
          <w:color w:val="auto"/>
          <w:sz w:val="32"/>
          <w:szCs w:val="32"/>
        </w:rPr>
      </w:pPr>
    </w:p>
    <w:p w14:paraId="7E542FEB">
      <w:pPr>
        <w:spacing w:line="400" w:lineRule="exact"/>
        <w:jc w:val="center"/>
        <w:rPr>
          <w:rFonts w:hint="eastAsia" w:ascii="宋体" w:hAnsi="宋体"/>
          <w:b/>
          <w:color w:val="auto"/>
          <w:sz w:val="32"/>
          <w:szCs w:val="32"/>
        </w:rPr>
      </w:pPr>
    </w:p>
    <w:p w14:paraId="7EBF49BF">
      <w:pPr>
        <w:spacing w:line="400" w:lineRule="exact"/>
        <w:jc w:val="center"/>
        <w:rPr>
          <w:rFonts w:hint="eastAsia" w:ascii="宋体" w:hAnsi="宋体"/>
          <w:b/>
          <w:color w:val="auto"/>
          <w:sz w:val="32"/>
          <w:szCs w:val="32"/>
        </w:rPr>
      </w:pPr>
    </w:p>
    <w:p w14:paraId="0B7D1C80">
      <w:pPr>
        <w:spacing w:line="400" w:lineRule="exact"/>
        <w:jc w:val="center"/>
        <w:rPr>
          <w:rFonts w:hint="eastAsia" w:ascii="宋体" w:hAnsi="宋体"/>
          <w:b/>
          <w:color w:val="auto"/>
          <w:sz w:val="32"/>
          <w:szCs w:val="32"/>
        </w:rPr>
      </w:pPr>
    </w:p>
    <w:p w14:paraId="59BB1491">
      <w:pPr>
        <w:spacing w:line="400" w:lineRule="exact"/>
        <w:rPr>
          <w:rFonts w:hint="eastAsia" w:ascii="宋体" w:hAnsi="宋体"/>
          <w:b/>
          <w:color w:val="auto"/>
          <w:sz w:val="32"/>
          <w:szCs w:val="32"/>
        </w:rPr>
        <w:sectPr>
          <w:headerReference r:id="rId8" w:type="first"/>
          <w:footerReference r:id="rId10" w:type="first"/>
          <w:headerReference r:id="rId7" w:type="default"/>
          <w:footerReference r:id="rId9" w:type="default"/>
          <w:pgSz w:w="11906" w:h="16838"/>
          <w:pgMar w:top="1440" w:right="1440" w:bottom="1440" w:left="1587" w:header="851" w:footer="992" w:gutter="0"/>
          <w:pgNumType w:start="0"/>
          <w:cols w:space="720" w:num="1"/>
          <w:titlePg/>
          <w:docGrid w:type="lines" w:linePitch="312" w:charSpace="0"/>
        </w:sectPr>
      </w:pPr>
    </w:p>
    <w:p w14:paraId="7910F61C">
      <w:pPr>
        <w:pStyle w:val="3"/>
        <w:spacing w:line="360" w:lineRule="auto"/>
        <w:jc w:val="center"/>
        <w:rPr>
          <w:rFonts w:hint="eastAsia" w:ascii="宋体" w:hAnsi="宋体"/>
          <w:b w:val="0"/>
          <w:bCs w:val="0"/>
          <w:color w:val="auto"/>
          <w:sz w:val="32"/>
          <w:szCs w:val="32"/>
        </w:rPr>
      </w:pPr>
      <w:bookmarkStart w:id="3" w:name="_Toc74323456"/>
      <w:r>
        <w:rPr>
          <w:rFonts w:hint="eastAsia"/>
          <w:color w:val="auto"/>
        </w:rPr>
        <w:t>第一章 竞争性磋商公告</w:t>
      </w:r>
      <w:bookmarkEnd w:id="3"/>
    </w:p>
    <w:p w14:paraId="1ABE7E8B">
      <w:pPr>
        <w:pStyle w:val="12"/>
        <w:jc w:val="center"/>
        <w:rPr>
          <w:b/>
          <w:color w:val="auto"/>
          <w:sz w:val="28"/>
          <w:szCs w:val="28"/>
        </w:rPr>
      </w:pPr>
      <w:r>
        <w:rPr>
          <w:rFonts w:hint="eastAsia"/>
          <w:b/>
          <w:color w:val="auto"/>
          <w:sz w:val="28"/>
          <w:szCs w:val="28"/>
        </w:rPr>
        <w:t>广西科文招标有限公司</w:t>
      </w:r>
    </w:p>
    <w:p w14:paraId="19096367">
      <w:pPr>
        <w:jc w:val="center"/>
        <w:rPr>
          <w:rFonts w:ascii="宋体" w:hAnsi="Courier New"/>
          <w:b/>
          <w:color w:val="auto"/>
          <w:kern w:val="0"/>
          <w:sz w:val="28"/>
          <w:szCs w:val="28"/>
        </w:rPr>
      </w:pPr>
      <w:r>
        <w:rPr>
          <w:rFonts w:hint="eastAsia" w:ascii="宋体" w:hAnsi="Courier New"/>
          <w:b/>
          <w:color w:val="auto"/>
          <w:kern w:val="0"/>
          <w:sz w:val="28"/>
          <w:szCs w:val="28"/>
        </w:rPr>
        <w:t>2025-2026年体彩公益金赛事品牌传播年采购项目（GXZC2025-C3-003950-KWZB）竞争性磋商公告</w:t>
      </w:r>
    </w:p>
    <w:p w14:paraId="18373625">
      <w:pPr>
        <w:spacing w:line="360" w:lineRule="auto"/>
        <w:jc w:val="center"/>
        <w:rPr>
          <w:rFonts w:hint="eastAsia" w:ascii="宋体" w:hAnsi="宋体"/>
          <w:color w:val="auto"/>
          <w:szCs w:val="21"/>
        </w:rPr>
      </w:pPr>
    </w:p>
    <w:p w14:paraId="1924E71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bookmarkStart w:id="4" w:name="_Hlk37430271"/>
      <w:r>
        <w:rPr>
          <w:rFonts w:hint="eastAsia" w:ascii="宋体" w:hAnsi="宋体"/>
          <w:color w:val="auto"/>
          <w:szCs w:val="21"/>
        </w:rPr>
        <w:t>项目概况</w:t>
      </w:r>
    </w:p>
    <w:p w14:paraId="37C2E37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rPr>
        <w:t>2025-2026年体彩公益金赛事品牌传播年采购项目</w:t>
      </w:r>
      <w:r>
        <w:rPr>
          <w:rFonts w:hint="eastAsia" w:ascii="宋体" w:hAnsi="宋体"/>
          <w:color w:val="auto"/>
          <w:szCs w:val="21"/>
        </w:rPr>
        <w:t>的潜在供应商应在广西政府采购云平台（https://www.gcy.zfcg.gxzf.gov.cn/）获取（下载）竞争性磋商文件，并于2025年12月31日9时00分</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14:paraId="4A9CC184">
      <w:pPr>
        <w:spacing w:line="360" w:lineRule="auto"/>
        <w:ind w:firstLine="354" w:firstLineChars="147"/>
        <w:rPr>
          <w:rFonts w:hint="eastAsia" w:ascii="黑体" w:hAnsi="黑体" w:eastAsia="黑体"/>
          <w:b/>
          <w:color w:val="auto"/>
          <w:sz w:val="24"/>
        </w:rPr>
      </w:pPr>
      <w:bookmarkStart w:id="5" w:name="_Toc35393629"/>
      <w:bookmarkStart w:id="6" w:name="_Toc44229878"/>
      <w:bookmarkStart w:id="7" w:name="_Toc71365905"/>
      <w:bookmarkStart w:id="8" w:name="_Toc28359089"/>
      <w:bookmarkStart w:id="9" w:name="_Toc28359012"/>
      <w:bookmarkStart w:id="10" w:name="_Toc35393798"/>
    </w:p>
    <w:bookmarkEnd w:id="5"/>
    <w:bookmarkEnd w:id="6"/>
    <w:bookmarkEnd w:id="7"/>
    <w:bookmarkEnd w:id="8"/>
    <w:bookmarkEnd w:id="9"/>
    <w:bookmarkEnd w:id="10"/>
    <w:p w14:paraId="7AB8BFC3">
      <w:pPr>
        <w:spacing w:line="360" w:lineRule="auto"/>
        <w:ind w:firstLine="354" w:firstLineChars="147"/>
        <w:rPr>
          <w:rFonts w:hint="eastAsia" w:ascii="黑体" w:hAnsi="黑体" w:eastAsia="黑体"/>
          <w:b/>
          <w:color w:val="auto"/>
          <w:sz w:val="24"/>
        </w:rPr>
      </w:pPr>
      <w:bookmarkStart w:id="11" w:name="_Hlk37429674"/>
      <w:bookmarkStart w:id="12" w:name="_Toc28359018"/>
      <w:bookmarkStart w:id="13" w:name="_Toc35393805"/>
      <w:bookmarkStart w:id="14" w:name="_Toc35393636"/>
      <w:bookmarkStart w:id="15" w:name="_Toc28359095"/>
      <w:bookmarkStart w:id="16" w:name="_Toc44229885"/>
      <w:r>
        <w:rPr>
          <w:rFonts w:hint="eastAsia" w:ascii="黑体" w:hAnsi="黑体" w:eastAsia="黑体"/>
          <w:b/>
          <w:color w:val="auto"/>
          <w:sz w:val="24"/>
        </w:rPr>
        <w:t>一、项目基本情况</w:t>
      </w:r>
    </w:p>
    <w:p w14:paraId="1CA1A1BD">
      <w:pPr>
        <w:spacing w:line="360" w:lineRule="auto"/>
        <w:ind w:firstLine="420" w:firstLineChars="200"/>
        <w:rPr>
          <w:rFonts w:hint="eastAsia" w:ascii="宋体" w:hAnsi="宋体"/>
          <w:color w:val="auto"/>
          <w:szCs w:val="21"/>
        </w:rPr>
      </w:pPr>
      <w:r>
        <w:rPr>
          <w:rFonts w:hint="eastAsia" w:ascii="宋体" w:hAnsi="宋体"/>
          <w:color w:val="auto"/>
          <w:szCs w:val="21"/>
        </w:rPr>
        <w:t>项目编号：GXZC2025-C3-003950-KWZB</w:t>
      </w:r>
    </w:p>
    <w:p w14:paraId="7FC699E9">
      <w:pPr>
        <w:spacing w:line="360" w:lineRule="auto"/>
        <w:ind w:firstLine="420" w:firstLineChars="200"/>
        <w:rPr>
          <w:rFonts w:hint="eastAsia" w:ascii="宋体" w:hAnsi="宋体"/>
          <w:color w:val="auto"/>
          <w:szCs w:val="21"/>
          <w:u w:val="single"/>
        </w:rPr>
      </w:pPr>
      <w:r>
        <w:rPr>
          <w:rFonts w:hint="eastAsia" w:ascii="宋体" w:hAnsi="宋体"/>
          <w:color w:val="auto"/>
          <w:szCs w:val="21"/>
        </w:rPr>
        <w:t>项目名称：2025-2026年体彩公益金赛事品牌传播年采购项目</w:t>
      </w:r>
    </w:p>
    <w:p w14:paraId="010B8013">
      <w:pPr>
        <w:spacing w:line="360" w:lineRule="auto"/>
        <w:ind w:firstLine="420" w:firstLineChars="200"/>
        <w:rPr>
          <w:rFonts w:hint="eastAsia" w:ascii="宋体" w:hAnsi="宋体"/>
          <w:color w:val="auto"/>
          <w:szCs w:val="21"/>
        </w:rPr>
      </w:pPr>
      <w:r>
        <w:rPr>
          <w:rFonts w:hint="eastAsia" w:ascii="宋体" w:hAnsi="宋体"/>
          <w:color w:val="auto"/>
          <w:szCs w:val="21"/>
        </w:rPr>
        <w:t>采购方式：竞争性磋商</w:t>
      </w:r>
    </w:p>
    <w:p w14:paraId="313D1944">
      <w:pPr>
        <w:spacing w:line="360" w:lineRule="auto"/>
        <w:ind w:firstLine="420" w:firstLineChars="200"/>
        <w:rPr>
          <w:rFonts w:hint="eastAsia" w:ascii="宋体" w:hAnsi="宋体"/>
          <w:color w:val="auto"/>
        </w:rPr>
      </w:pPr>
      <w:r>
        <w:rPr>
          <w:rFonts w:hint="eastAsia" w:ascii="宋体" w:hAnsi="宋体"/>
          <w:color w:val="auto"/>
        </w:rPr>
        <w:t>预算金额：295万元</w:t>
      </w:r>
    </w:p>
    <w:p w14:paraId="0FFF20AC">
      <w:pPr>
        <w:spacing w:line="360" w:lineRule="auto"/>
        <w:ind w:firstLine="420" w:firstLineChars="200"/>
        <w:rPr>
          <w:rFonts w:hint="eastAsia" w:ascii="宋体" w:hAnsi="宋体"/>
          <w:color w:val="auto"/>
        </w:rPr>
      </w:pPr>
      <w:r>
        <w:rPr>
          <w:rFonts w:hint="eastAsia" w:ascii="宋体" w:hAnsi="宋体"/>
          <w:color w:val="auto"/>
        </w:rPr>
        <w:t>最高限价：295万元</w:t>
      </w:r>
    </w:p>
    <w:p w14:paraId="499512BB">
      <w:pPr>
        <w:spacing w:line="360" w:lineRule="auto"/>
        <w:ind w:firstLine="420" w:firstLineChars="200"/>
        <w:rPr>
          <w:rFonts w:hint="eastAsia" w:ascii="宋体" w:hAnsi="宋体"/>
          <w:color w:val="auto"/>
          <w:szCs w:val="21"/>
        </w:rPr>
      </w:pPr>
      <w:r>
        <w:rPr>
          <w:rFonts w:hint="eastAsia" w:ascii="宋体" w:hAnsi="宋体"/>
          <w:color w:val="auto"/>
          <w:szCs w:val="21"/>
        </w:rPr>
        <w:t>采购需求：2025-2026年体彩公益金赛事品牌传播年采购项目一项，具体内容详见采购文件。</w:t>
      </w:r>
    </w:p>
    <w:p w14:paraId="76FC6084">
      <w:pPr>
        <w:spacing w:line="360" w:lineRule="auto"/>
        <w:ind w:firstLine="420" w:firstLineChars="200"/>
        <w:rPr>
          <w:rFonts w:hint="eastAsia" w:ascii="宋体" w:hAnsi="宋体"/>
          <w:color w:val="auto"/>
          <w:szCs w:val="21"/>
        </w:rPr>
      </w:pPr>
      <w:r>
        <w:rPr>
          <w:rFonts w:hint="eastAsia" w:ascii="宋体" w:hAnsi="宋体"/>
          <w:color w:val="auto"/>
          <w:szCs w:val="21"/>
        </w:rPr>
        <w:t>履行期限：自合同签订生效之日起一年内。</w:t>
      </w:r>
    </w:p>
    <w:p w14:paraId="4B0FA289">
      <w:pPr>
        <w:spacing w:line="360" w:lineRule="auto"/>
        <w:ind w:firstLine="420" w:firstLineChars="200"/>
        <w:rPr>
          <w:rFonts w:hint="eastAsia" w:ascii="宋体" w:hAnsi="宋体"/>
          <w:color w:val="auto"/>
          <w:szCs w:val="21"/>
        </w:rPr>
      </w:pPr>
      <w:r>
        <w:rPr>
          <w:rFonts w:hint="eastAsia" w:ascii="宋体" w:hAnsi="宋体"/>
          <w:color w:val="auto"/>
          <w:szCs w:val="21"/>
        </w:rPr>
        <w:t>本项目（是</w:t>
      </w:r>
      <w:r>
        <w:rPr>
          <w:rFonts w:ascii="宋体" w:hAnsi="宋体"/>
          <w:color w:val="auto"/>
          <w:szCs w:val="21"/>
        </w:rPr>
        <w:t>/否</w:t>
      </w:r>
      <w:r>
        <w:rPr>
          <w:rFonts w:hint="eastAsia" w:ascii="宋体" w:hAnsi="宋体"/>
          <w:color w:val="auto"/>
          <w:szCs w:val="21"/>
        </w:rPr>
        <w:t>）接受联合体：不接受</w:t>
      </w:r>
    </w:p>
    <w:p w14:paraId="31DB41E7">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二、申请人的资格条件：</w:t>
      </w:r>
    </w:p>
    <w:p w14:paraId="437C167B">
      <w:pPr>
        <w:spacing w:line="360" w:lineRule="auto"/>
        <w:ind w:firstLine="420" w:firstLineChars="200"/>
        <w:rPr>
          <w:rFonts w:hint="eastAsia" w:ascii="宋体" w:hAnsi="宋体"/>
          <w:color w:val="auto"/>
          <w:szCs w:val="21"/>
        </w:rPr>
      </w:pPr>
      <w:r>
        <w:rPr>
          <w:rFonts w:hint="eastAsia" w:ascii="宋体" w:hAnsi="宋体"/>
          <w:color w:val="auto"/>
          <w:szCs w:val="21"/>
        </w:rPr>
        <w:t>1、满足《中华人民共和国政府采购法》第二十二条规定；</w:t>
      </w:r>
    </w:p>
    <w:p w14:paraId="0A77452D">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1CA596AF">
      <w:pPr>
        <w:spacing w:line="360" w:lineRule="auto"/>
        <w:ind w:firstLine="420" w:firstLineChars="200"/>
        <w:rPr>
          <w:rFonts w:hint="eastAsia" w:ascii="宋体" w:hAnsi="宋体"/>
          <w:color w:val="auto"/>
          <w:szCs w:val="21"/>
        </w:rPr>
      </w:pPr>
      <w:r>
        <w:rPr>
          <w:rFonts w:hint="eastAsia" w:ascii="宋体" w:hAnsi="宋体"/>
          <w:color w:val="auto"/>
          <w:szCs w:val="21"/>
        </w:rPr>
        <w:t>3、本项目的特定资格要求：无。</w:t>
      </w:r>
    </w:p>
    <w:p w14:paraId="1792680E">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三、获取竞争性磋商文件</w:t>
      </w:r>
    </w:p>
    <w:p w14:paraId="66AEA891">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时间：</w:t>
      </w:r>
      <w:r>
        <w:rPr>
          <w:rFonts w:hint="eastAsia" w:ascii="宋体" w:hAnsi="宋体" w:cs="Arial"/>
          <w:color w:val="auto"/>
        </w:rPr>
        <w:t>2025年12月19日</w:t>
      </w:r>
      <w:r>
        <w:rPr>
          <w:rFonts w:hint="eastAsia" w:ascii="宋体" w:hAnsi="宋体" w:cs="Arial"/>
          <w:color w:val="auto"/>
          <w:szCs w:val="21"/>
        </w:rPr>
        <w:t>至</w:t>
      </w:r>
      <w:r>
        <w:rPr>
          <w:rFonts w:hint="eastAsia" w:ascii="宋体" w:hAnsi="宋体" w:cs="Arial"/>
          <w:color w:val="auto"/>
        </w:rPr>
        <w:t>2025年12月26日</w:t>
      </w:r>
      <w:r>
        <w:rPr>
          <w:rFonts w:hint="eastAsia" w:ascii="宋体" w:hAnsi="宋体" w:cs="Arial"/>
          <w:color w:val="auto"/>
          <w:szCs w:val="21"/>
        </w:rPr>
        <w:t>，每天上午00:00-12:00；下午1</w:t>
      </w:r>
      <w:r>
        <w:rPr>
          <w:rFonts w:hint="eastAsia" w:ascii="宋体" w:hAnsi="宋体" w:cs="Arial"/>
          <w:color w:val="auto"/>
        </w:rPr>
        <w:t>2</w:t>
      </w:r>
      <w:r>
        <w:rPr>
          <w:rFonts w:hint="eastAsia" w:ascii="宋体" w:hAnsi="宋体" w:cs="Arial"/>
          <w:color w:val="auto"/>
          <w:szCs w:val="21"/>
        </w:rPr>
        <w:t>:</w:t>
      </w:r>
      <w:r>
        <w:rPr>
          <w:rFonts w:hint="eastAsia" w:ascii="宋体" w:hAnsi="宋体" w:cs="Arial"/>
          <w:color w:val="auto"/>
        </w:rPr>
        <w:t>00</w:t>
      </w:r>
      <w:r>
        <w:rPr>
          <w:rFonts w:hint="eastAsia" w:ascii="宋体" w:hAnsi="宋体" w:cs="Arial"/>
          <w:color w:val="auto"/>
          <w:szCs w:val="21"/>
        </w:rPr>
        <w:t>-23:</w:t>
      </w:r>
      <w:r>
        <w:rPr>
          <w:rFonts w:hint="eastAsia" w:ascii="宋体" w:hAnsi="宋体" w:cs="Arial"/>
          <w:color w:val="auto"/>
        </w:rPr>
        <w:t>59</w:t>
      </w:r>
      <w:r>
        <w:rPr>
          <w:rFonts w:hint="eastAsia" w:ascii="宋体" w:hAnsi="宋体" w:cs="Arial"/>
          <w:color w:val="auto"/>
          <w:szCs w:val="21"/>
        </w:rPr>
        <w:t>（北京时间，</w:t>
      </w:r>
      <w:r>
        <w:rPr>
          <w:rFonts w:ascii="宋体" w:hAnsi="宋体" w:cs="Arial"/>
          <w:color w:val="auto"/>
          <w:szCs w:val="21"/>
        </w:rPr>
        <w:t>法定节假日</w:t>
      </w:r>
      <w:r>
        <w:rPr>
          <w:rFonts w:hint="eastAsia" w:ascii="宋体" w:hAnsi="宋体" w:cs="Arial"/>
          <w:color w:val="auto"/>
          <w:szCs w:val="21"/>
        </w:rPr>
        <w:t>除外）</w:t>
      </w:r>
      <w:r>
        <w:rPr>
          <w:rFonts w:hint="eastAsia" w:ascii="宋体" w:hAnsi="宋体" w:cs="宋体"/>
          <w:bCs/>
          <w:color w:val="auto"/>
          <w:kern w:val="0"/>
          <w:szCs w:val="21"/>
        </w:rPr>
        <w:t>。</w:t>
      </w:r>
    </w:p>
    <w:p w14:paraId="5585A774">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0375F2BF">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方式：网上下载。本项目不发放纸质文件，供应商应自行在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bCs/>
          <w:color w:val="auto"/>
          <w:kern w:val="0"/>
          <w:szCs w:val="21"/>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5EEE488D">
      <w:pPr>
        <w:spacing w:line="360" w:lineRule="auto"/>
        <w:ind w:firstLine="420" w:firstLineChars="200"/>
        <w:rPr>
          <w:rFonts w:hint="eastAsia" w:ascii="宋体" w:hAnsi="宋体" w:cs="宋体"/>
          <w:color w:val="auto"/>
          <w:szCs w:val="21"/>
        </w:rPr>
      </w:pPr>
      <w:r>
        <w:rPr>
          <w:rFonts w:hint="eastAsia" w:ascii="宋体" w:hAnsi="宋体" w:cs="宋体"/>
          <w:bCs/>
          <w:color w:val="auto"/>
          <w:kern w:val="0"/>
          <w:szCs w:val="21"/>
        </w:rPr>
        <w:t>售价：0元。</w:t>
      </w:r>
    </w:p>
    <w:p w14:paraId="766227C7">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四、响应文件提交</w:t>
      </w:r>
    </w:p>
    <w:p w14:paraId="2E9D0657">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1、首次响应文件提交截止时间</w:t>
      </w:r>
      <w:r>
        <w:rPr>
          <w:rFonts w:hint="eastAsia" w:ascii="宋体" w:hAnsi="宋体"/>
          <w:color w:val="auto"/>
          <w:szCs w:val="21"/>
        </w:rPr>
        <w:t>：</w:t>
      </w:r>
      <w:r>
        <w:rPr>
          <w:rFonts w:hint="eastAsia" w:ascii="宋体" w:hAnsi="宋体" w:cs="宋体"/>
          <w:bCs/>
          <w:color w:val="auto"/>
          <w:kern w:val="0"/>
          <w:szCs w:val="21"/>
        </w:rPr>
        <w:t>2025年12月31日9时00分（北京时间）</w:t>
      </w:r>
    </w:p>
    <w:p w14:paraId="5908F39F">
      <w:pPr>
        <w:spacing w:line="360" w:lineRule="auto"/>
        <w:ind w:firstLine="420" w:firstLineChars="200"/>
        <w:rPr>
          <w:rFonts w:hint="eastAsia" w:ascii="宋体" w:hAnsi="宋体"/>
          <w:color w:val="auto"/>
          <w:szCs w:val="21"/>
        </w:rPr>
      </w:pPr>
      <w:r>
        <w:rPr>
          <w:rFonts w:hint="eastAsia" w:ascii="宋体" w:hAnsi="宋体"/>
          <w:color w:val="auto"/>
          <w:szCs w:val="21"/>
        </w:rPr>
        <w:t>2、地点：本项目为全流程电子化项目，通过广西政府采购云平台（https://www.gcy.zfcg.gxzf.gov.cn/）实行在线电子响应。</w:t>
      </w:r>
    </w:p>
    <w:p w14:paraId="4777078F">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五、开启</w:t>
      </w:r>
    </w:p>
    <w:p w14:paraId="3C69C8E6">
      <w:pPr>
        <w:spacing w:line="360" w:lineRule="auto"/>
        <w:ind w:firstLine="420" w:firstLineChars="200"/>
        <w:rPr>
          <w:rFonts w:hint="eastAsia" w:ascii="宋体" w:hAnsi="宋体"/>
          <w:bCs/>
          <w:color w:val="auto"/>
          <w:szCs w:val="21"/>
          <w:u w:val="single"/>
        </w:rPr>
      </w:pPr>
      <w:r>
        <w:rPr>
          <w:rFonts w:hint="eastAsia" w:ascii="宋体" w:hAnsi="宋体"/>
          <w:color w:val="auto"/>
          <w:szCs w:val="21"/>
        </w:rPr>
        <w:t>1、首次响应文件开启时间：</w:t>
      </w:r>
      <w:r>
        <w:rPr>
          <w:rFonts w:hint="eastAsia" w:ascii="宋体" w:hAnsi="宋体" w:cs="宋体"/>
          <w:bCs/>
          <w:color w:val="auto"/>
          <w:kern w:val="0"/>
          <w:szCs w:val="21"/>
        </w:rPr>
        <w:t>2025年12月31日9时00分（北京时间）</w:t>
      </w:r>
    </w:p>
    <w:p w14:paraId="414CF220">
      <w:pPr>
        <w:spacing w:line="360" w:lineRule="auto"/>
        <w:ind w:firstLine="420" w:firstLineChars="200"/>
        <w:rPr>
          <w:rFonts w:hint="eastAsia" w:ascii="宋体" w:hAnsi="宋体"/>
          <w:color w:val="auto"/>
          <w:szCs w:val="21"/>
        </w:rPr>
      </w:pPr>
      <w:r>
        <w:rPr>
          <w:rFonts w:hint="eastAsia" w:ascii="宋体" w:hAnsi="宋体"/>
          <w:color w:val="auto"/>
          <w:szCs w:val="21"/>
        </w:rPr>
        <w:t>2、地点：</w:t>
      </w:r>
      <w:r>
        <w:rPr>
          <w:rFonts w:hint="eastAsia" w:ascii="宋体" w:hAnsi="宋体" w:cs="宋体"/>
          <w:color w:val="auto"/>
          <w:szCs w:val="21"/>
          <w:lang w:bidi="ar"/>
        </w:rPr>
        <w:t>本项目将在广西政府采购云平台电子开标大厅解密、开启。</w:t>
      </w:r>
    </w:p>
    <w:p w14:paraId="3FF195E8">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六、公告期限</w:t>
      </w:r>
    </w:p>
    <w:p w14:paraId="3210CEC8">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49D99EE7">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七、其他补充事宜</w:t>
      </w:r>
    </w:p>
    <w:p w14:paraId="3CB1F25D">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1、磋商保证金（人民币）：29000元。</w:t>
      </w:r>
    </w:p>
    <w:p w14:paraId="11ABA996">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95A421">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4C64826">
      <w:pPr>
        <w:widowControl/>
        <w:spacing w:line="360" w:lineRule="auto"/>
        <w:ind w:firstLine="420" w:firstLineChars="200"/>
        <w:rPr>
          <w:color w:val="auto"/>
        </w:rPr>
      </w:pPr>
      <w:r>
        <w:rPr>
          <w:rFonts w:hint="eastAsia" w:ascii="宋体" w:hAnsi="宋体" w:cs="宋体"/>
          <w:color w:val="auto"/>
          <w:szCs w:val="21"/>
          <w:lang w:bidi="ar"/>
        </w:rPr>
        <w:t>4、网上查询地址：</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Cs w:val="21"/>
        </w:rPr>
        <w:t>www.ccgp.gov.cn</w:t>
      </w:r>
      <w:r>
        <w:rPr>
          <w:rFonts w:hint="eastAsia" w:ascii="宋体" w:hAnsi="宋体" w:cs="宋体"/>
          <w:color w:val="auto"/>
          <w:szCs w:val="21"/>
        </w:rPr>
        <w:fldChar w:fldCharType="end"/>
      </w:r>
      <w:r>
        <w:rPr>
          <w:rFonts w:hint="eastAsia" w:ascii="宋体" w:hAnsi="宋体" w:cs="宋体"/>
          <w:color w:val="auto"/>
          <w:szCs w:val="21"/>
        </w:rPr>
        <w:t>（中国政府采购网）、http://zfcg.gxzf.gov.cn(广西壮族自治区政府采购网)</w:t>
      </w:r>
    </w:p>
    <w:p w14:paraId="25CAC28F">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5、本项目需要落实的政府采购政策：</w:t>
      </w:r>
    </w:p>
    <w:p w14:paraId="6E96A457">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（1）政府采购促进中小企业发展。</w:t>
      </w:r>
    </w:p>
    <w:p w14:paraId="242B86E2">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（2）政府采购支持采用本国产品的政策。</w:t>
      </w:r>
    </w:p>
    <w:p w14:paraId="34E24785">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（3）强制采购节能产品；优先采购节能产品、环境标志产品。</w:t>
      </w:r>
    </w:p>
    <w:p w14:paraId="67DE94BA">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（4）政府采购促进残疾人就业政策。</w:t>
      </w:r>
    </w:p>
    <w:p w14:paraId="60FC947C">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（5）政府采购支持监狱企业发展。</w:t>
      </w:r>
    </w:p>
    <w:p w14:paraId="54D94EFC">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6、磋商注意事项：</w:t>
      </w:r>
    </w:p>
    <w:p w14:paraId="2FB7EFA4">
      <w:pPr>
        <w:widowControl/>
        <w:spacing w:line="360" w:lineRule="auto"/>
        <w:ind w:firstLine="420" w:firstLineChars="200"/>
        <w:rPr>
          <w:rFonts w:hint="eastAsia" w:ascii="宋体" w:hAnsi="宋体" w:cs="宋体"/>
          <w:bCs/>
          <w:color w:val="auto"/>
          <w:szCs w:val="21"/>
        </w:rPr>
      </w:pPr>
      <w:r>
        <w:rPr>
          <w:rFonts w:hint="eastAsia" w:ascii="宋体" w:hAnsi="宋体" w:cs="宋体"/>
          <w:color w:val="auto"/>
          <w:szCs w:val="21"/>
          <w:lang w:bidi="ar"/>
        </w:rPr>
        <w:t>（1）</w:t>
      </w:r>
      <w:r>
        <w:rPr>
          <w:rFonts w:hint="eastAsia" w:ascii="宋体" w:hAnsi="宋体" w:cs="宋体"/>
          <w:color w:val="auto"/>
          <w:szCs w:val="21"/>
        </w:rPr>
        <w:t>响应文件</w:t>
      </w:r>
      <w:r>
        <w:rPr>
          <w:rFonts w:hint="eastAsia" w:ascii="宋体" w:hAnsi="宋体" w:cs="宋体"/>
          <w:color w:val="auto"/>
          <w:szCs w:val="21"/>
          <w:lang w:bidi="ar"/>
        </w:rPr>
        <w:t>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w:t>
      </w:r>
      <w:r>
        <w:rPr>
          <w:rFonts w:hint="eastAsia" w:ascii="宋体" w:hAnsi="宋体" w:cs="宋体"/>
          <w:color w:val="auto"/>
          <w:szCs w:val="21"/>
        </w:rPr>
        <w:t>首次响应文件提交截止时间</w:t>
      </w:r>
      <w:r>
        <w:rPr>
          <w:rFonts w:hint="eastAsia" w:ascii="宋体" w:hAnsi="宋体" w:cs="宋体"/>
          <w:color w:val="auto"/>
          <w:szCs w:val="21"/>
          <w:lang w:bidi="ar"/>
        </w:rPr>
        <w:t>前通过网络上传至广西政府采购云平台，</w:t>
      </w:r>
      <w:r>
        <w:rPr>
          <w:rFonts w:hint="eastAsia" w:ascii="宋体" w:hAnsi="宋体" w:cs="宋体"/>
          <w:b/>
          <w:color w:val="auto"/>
          <w:szCs w:val="21"/>
          <w:lang w:bidi="ar"/>
        </w:rPr>
        <w:t>供应商在广西政府采购云平台提交电子版响应文件时，请填写参加远程开标活动经办人联系方式。</w:t>
      </w:r>
    </w:p>
    <w:p w14:paraId="3E71351A">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w:t>
      </w:r>
      <w:r>
        <w:rPr>
          <w:rFonts w:ascii="宋体" w:hAnsi="宋体" w:cs="宋体"/>
          <w:color w:val="auto"/>
          <w:szCs w:val="21"/>
          <w:lang w:bidi="ar"/>
        </w:rPr>
        <w:t>供应商应及时熟悉掌握电子</w:t>
      </w:r>
      <w:r>
        <w:rPr>
          <w:rFonts w:hint="eastAsia" w:ascii="宋体" w:hAnsi="宋体" w:cs="宋体"/>
          <w:color w:val="auto"/>
          <w:szCs w:val="21"/>
          <w:lang w:bidi="ar"/>
        </w:rPr>
        <w:t>竞</w:t>
      </w:r>
      <w:r>
        <w:rPr>
          <w:rFonts w:ascii="宋体" w:hAnsi="宋体" w:cs="宋体"/>
          <w:color w:val="auto"/>
          <w:szCs w:val="21"/>
          <w:lang w:bidi="ar"/>
        </w:rPr>
        <w:t>标系统操作指南（见政采云电子卖场首页右上角—服务中心—帮助文档—项目采购）：</w:t>
      </w:r>
      <w:r>
        <w:rPr>
          <w:color w:val="auto"/>
        </w:rPr>
        <w:fldChar w:fldCharType="begin"/>
      </w:r>
      <w:r>
        <w:rPr>
          <w:color w:val="auto"/>
        </w:rPr>
        <w:instrText xml:space="preserve"> HYPERLINK "https://service.zcygov.cn/#/knowledges/tree?tag=AG1DtGwBFdiHxlNdhY0r" </w:instrText>
      </w:r>
      <w:r>
        <w:rPr>
          <w:color w:val="auto"/>
        </w:rPr>
        <w:fldChar w:fldCharType="separate"/>
      </w:r>
      <w:r>
        <w:rPr>
          <w:color w:val="auto"/>
          <w:lang w:bidi="ar"/>
        </w:rPr>
        <w:t>https://service.zcygov.cn/#/knowledges/tree?tag=AG1DtGwBFdiHxlNdhY0r</w:t>
      </w:r>
      <w:r>
        <w:rPr>
          <w:color w:val="auto"/>
          <w:lang w:bidi="ar"/>
        </w:rPr>
        <w:fldChar w:fldCharType="end"/>
      </w:r>
      <w:r>
        <w:rPr>
          <w:rFonts w:hint="eastAsia" w:ascii="宋体" w:hAnsi="宋体" w:cs="宋体"/>
          <w:color w:val="auto"/>
          <w:szCs w:val="21"/>
          <w:lang w:bidi="ar"/>
        </w:rPr>
        <w:t>；</w:t>
      </w:r>
      <w:r>
        <w:rPr>
          <w:rFonts w:ascii="宋体" w:hAnsi="宋体" w:cs="宋体"/>
          <w:color w:val="auto"/>
          <w:szCs w:val="21"/>
          <w:lang w:bidi="ar"/>
        </w:rPr>
        <w:t>及时完成CA申领和绑定（见广西壮族自治区政府采购网—办事服务—下载专区-政采云CA证书办理操作指南）。</w:t>
      </w:r>
    </w:p>
    <w:p w14:paraId="180F0E13">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lang w:bidi="ar"/>
        </w:rPr>
        <w:t>（3）未进行网上注册并办理数字证书（CA认证）的供应商将无法参与本项目政府采购活动，潜在供应商应当在</w:t>
      </w:r>
      <w:r>
        <w:rPr>
          <w:rFonts w:hint="eastAsia" w:ascii="宋体" w:hAnsi="宋体" w:cs="宋体"/>
          <w:color w:val="auto"/>
          <w:szCs w:val="21"/>
        </w:rPr>
        <w:t>首次响应文件提交截止时间</w:t>
      </w:r>
      <w:r>
        <w:rPr>
          <w:rFonts w:hint="eastAsia" w:ascii="宋体" w:hAnsi="宋体" w:cs="宋体"/>
          <w:color w:val="auto"/>
          <w:szCs w:val="21"/>
          <w:lang w:bidi="ar"/>
        </w:rPr>
        <w:t>前，完成电子交易平台上的CA数字证书办理及响应文件的提交。完成CA数字证书办理预计7日左右，供应商只需办理其中一家CA数字证书及签章，建议各供应商抓紧时间办理。</w:t>
      </w:r>
    </w:p>
    <w:p w14:paraId="149BAA66">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lang w:bidi="ar"/>
        </w:rPr>
        <w:t>（4）为确保网上操作合法、有效和安全，请供应商确保在电子竞标过程中能够对相关数据电文进行加密和使用电子签章，妥善保管CA数字证书并使用有效的CA数字证书参与整个采购活动。</w:t>
      </w:r>
    </w:p>
    <w:p w14:paraId="32E4C713">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bidi="ar"/>
        </w:rPr>
        <w:t>注：供应商应当在首次响应文件提交截止时间前完成电子响应文件的上传、递交，</w:t>
      </w:r>
      <w:r>
        <w:rPr>
          <w:rFonts w:hint="eastAsia" w:ascii="宋体" w:hAnsi="宋体" w:cs="宋体"/>
          <w:b/>
          <w:color w:val="auto"/>
          <w:szCs w:val="21"/>
        </w:rPr>
        <w:t>首次响应文件提交截止时间</w:t>
      </w:r>
      <w:r>
        <w:rPr>
          <w:rFonts w:hint="eastAsia" w:ascii="宋体" w:hAnsi="宋体" w:cs="宋体"/>
          <w:b/>
          <w:bCs/>
          <w:color w:val="auto"/>
          <w:szCs w:val="21"/>
          <w:lang w:bidi="ar"/>
        </w:rPr>
        <w:t>前可以补充、修改或者撤回响应文件。补充或者修改响应文件的，应当先行撤回原文件，补充、修改后重新上传、递交。</w:t>
      </w:r>
      <w:r>
        <w:rPr>
          <w:rFonts w:hint="eastAsia" w:ascii="宋体" w:hAnsi="宋体" w:cs="宋体"/>
          <w:b/>
          <w:color w:val="auto"/>
          <w:szCs w:val="21"/>
        </w:rPr>
        <w:t>首次响应文件提交截止时间</w:t>
      </w:r>
      <w:r>
        <w:rPr>
          <w:rFonts w:hint="eastAsia" w:ascii="宋体" w:hAnsi="宋体" w:cs="宋体"/>
          <w:b/>
          <w:bCs/>
          <w:color w:val="auto"/>
          <w:szCs w:val="21"/>
          <w:lang w:bidi="ar"/>
        </w:rPr>
        <w:t>前未完成上传、递交的，视为撤回响应文件。</w:t>
      </w:r>
      <w:r>
        <w:rPr>
          <w:rFonts w:hint="eastAsia" w:ascii="宋体" w:hAnsi="宋体" w:cs="宋体"/>
          <w:b/>
          <w:color w:val="auto"/>
          <w:szCs w:val="21"/>
        </w:rPr>
        <w:t>首次响应文件提交截止时间</w:t>
      </w:r>
      <w:r>
        <w:rPr>
          <w:rFonts w:hint="eastAsia" w:ascii="宋体" w:hAnsi="宋体" w:cs="宋体"/>
          <w:b/>
          <w:bCs/>
          <w:color w:val="auto"/>
          <w:szCs w:val="21"/>
          <w:lang w:bidi="ar"/>
        </w:rPr>
        <w:t>以后上传递交的响应文件，广西政府采购云平台将予以拒收。</w:t>
      </w:r>
    </w:p>
    <w:p w14:paraId="0DB5EA57">
      <w:pPr>
        <w:widowControl/>
        <w:spacing w:line="360" w:lineRule="auto"/>
        <w:ind w:firstLine="420" w:firstLineChars="200"/>
        <w:rPr>
          <w:rFonts w:hint="eastAsia" w:ascii="宋体" w:hAnsi="宋体" w:cs="宋体"/>
          <w:b/>
          <w:bCs/>
          <w:color w:val="auto"/>
          <w:szCs w:val="21"/>
        </w:rPr>
      </w:pPr>
      <w:r>
        <w:rPr>
          <w:rFonts w:hint="eastAsia" w:ascii="宋体" w:hAnsi="宋体" w:cs="宋体"/>
          <w:color w:val="auto"/>
          <w:kern w:val="0"/>
          <w:szCs w:val="21"/>
          <w:lang w:bidi="ar"/>
        </w:rPr>
        <w:t>7、</w:t>
      </w:r>
      <w:r>
        <w:rPr>
          <w:rFonts w:hint="eastAsia" w:ascii="宋体" w:hAnsi="宋体" w:cs="宋体"/>
          <w:color w:val="auto"/>
          <w:szCs w:val="21"/>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16EBB532">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lang w:bidi="ar"/>
        </w:rPr>
        <w:t>8、供应商需要在具备有摄像头及语音功能且互联网网络状况良好的电脑登录广西政府采购云平台远程开标大厅参与本次磋商，否则后果自负。</w:t>
      </w:r>
    </w:p>
    <w:p w14:paraId="6B92EB5F">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lang w:bidi="ar"/>
        </w:rPr>
        <w:t>9、若对项目采购电子交易系统操作有疑问，可登录广西政府采购云平台（https://www.gcy.zfcg.gxzf.gov.cn/），点击右侧咨询小采，获取采小蜜智能服务管家帮助，或拨打政采云服务热线95763获取热线服务帮助。</w:t>
      </w:r>
    </w:p>
    <w:bookmarkEnd w:id="11"/>
    <w:p w14:paraId="7E5C7BCB">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12"/>
      <w:bookmarkEnd w:id="13"/>
      <w:bookmarkEnd w:id="14"/>
      <w:bookmarkEnd w:id="15"/>
      <w:bookmarkEnd w:id="16"/>
    </w:p>
    <w:p w14:paraId="3D060452">
      <w:pPr>
        <w:widowControl/>
        <w:spacing w:line="360" w:lineRule="auto"/>
        <w:ind w:firstLine="420" w:firstLineChars="200"/>
        <w:rPr>
          <w:rFonts w:hint="eastAsia" w:ascii="宋体" w:hAnsi="宋体" w:cs="宋体"/>
          <w:color w:val="auto"/>
          <w:szCs w:val="21"/>
          <w:lang w:bidi="ar"/>
        </w:rPr>
      </w:pPr>
      <w:bookmarkStart w:id="17" w:name="_Toc28359019"/>
      <w:bookmarkStart w:id="18" w:name="_Toc35393637"/>
      <w:bookmarkStart w:id="19" w:name="_Toc35393806"/>
      <w:bookmarkStart w:id="20" w:name="_Toc28359096"/>
      <w:r>
        <w:rPr>
          <w:rFonts w:hint="eastAsia" w:ascii="宋体" w:hAnsi="宋体" w:cs="宋体"/>
          <w:color w:val="auto"/>
          <w:szCs w:val="21"/>
          <w:lang w:bidi="ar"/>
        </w:rPr>
        <w:t>1.采购人信息</w:t>
      </w:r>
    </w:p>
    <w:p w14:paraId="2AE09515">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名  称：广西壮族自治区体育彩票管理中心</w:t>
      </w:r>
    </w:p>
    <w:p w14:paraId="04C41190">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地  址：南宁市良庆区歌海路9号广西体育中心新闻中心B栋23-24楼</w:t>
      </w:r>
    </w:p>
    <w:p w14:paraId="70E26700">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联系人：钟工</w:t>
      </w:r>
    </w:p>
    <w:p w14:paraId="389652DA">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联系电话：0771-5689345</w:t>
      </w:r>
    </w:p>
    <w:p w14:paraId="79F545BD">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2.采购代理机构信息</w:t>
      </w:r>
    </w:p>
    <w:p w14:paraId="51816DFA">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名  称：广西科文招标有限公司</w:t>
      </w:r>
    </w:p>
    <w:p w14:paraId="6D64F5A5">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地  址：南宁市民族大道路141号中鼎万象东方大厦D区五层</w:t>
      </w:r>
    </w:p>
    <w:p w14:paraId="5530B560">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项目联系人：蒙颖、郑辉海</w:t>
      </w:r>
    </w:p>
    <w:p w14:paraId="48AAF639">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项目联系方式：0771-2023875</w:t>
      </w:r>
    </w:p>
    <w:p w14:paraId="61B4B415">
      <w:pPr>
        <w:spacing w:line="380" w:lineRule="exact"/>
        <w:ind w:firstLine="6195" w:firstLineChars="2950"/>
        <w:rPr>
          <w:rFonts w:hint="eastAsia" w:ascii="宋体" w:hAnsi="宋体" w:cs="Arial"/>
          <w:color w:val="auto"/>
          <w:szCs w:val="21"/>
        </w:rPr>
      </w:pPr>
    </w:p>
    <w:p w14:paraId="6C6D7F7D">
      <w:pPr>
        <w:spacing w:line="380" w:lineRule="exact"/>
        <w:ind w:firstLine="6405" w:firstLineChars="3050"/>
        <w:jc w:val="right"/>
        <w:rPr>
          <w:rFonts w:hint="eastAsia" w:ascii="宋体" w:hAnsi="宋体"/>
          <w:color w:val="auto"/>
          <w:szCs w:val="21"/>
        </w:rPr>
      </w:pPr>
      <w:r>
        <w:rPr>
          <w:rFonts w:hint="eastAsia" w:ascii="宋体" w:hAnsi="宋体" w:cs="Arial"/>
          <w:color w:val="auto"/>
          <w:szCs w:val="21"/>
        </w:rPr>
        <w:t>广西科文招标有限公司</w:t>
      </w:r>
    </w:p>
    <w:p w14:paraId="3FC0D3E6">
      <w:pPr>
        <w:snapToGrid w:val="0"/>
        <w:spacing w:line="380" w:lineRule="exact"/>
        <w:ind w:left="238"/>
        <w:jc w:val="right"/>
        <w:rPr>
          <w:rFonts w:hint="eastAsia" w:ascii="宋体" w:hAnsi="宋体"/>
          <w:b/>
          <w:bCs/>
          <w:color w:val="auto"/>
          <w:sz w:val="32"/>
          <w:szCs w:val="32"/>
        </w:rPr>
      </w:pPr>
      <w:r>
        <w:rPr>
          <w:rFonts w:hint="eastAsia" w:ascii="宋体" w:hAnsi="宋体"/>
          <w:color w:val="auto"/>
        </w:rPr>
        <w:t xml:space="preserve">                                                   </w:t>
      </w:r>
      <w:bookmarkEnd w:id="4"/>
      <w:bookmarkEnd w:id="17"/>
      <w:bookmarkEnd w:id="18"/>
      <w:bookmarkEnd w:id="19"/>
      <w:bookmarkEnd w:id="20"/>
      <w:r>
        <w:rPr>
          <w:rFonts w:hint="eastAsia" w:ascii="宋体" w:hAnsi="宋体"/>
          <w:color w:val="auto"/>
        </w:rPr>
        <w:t>2025年12月19日</w:t>
      </w:r>
      <w:r>
        <w:rPr>
          <w:rFonts w:ascii="宋体" w:hAnsi="宋体"/>
          <w:b/>
          <w:bCs/>
          <w:color w:val="auto"/>
          <w:sz w:val="32"/>
          <w:szCs w:val="32"/>
        </w:rPr>
        <w:br w:type="page"/>
      </w:r>
    </w:p>
    <w:p w14:paraId="638DF133">
      <w:pPr>
        <w:pStyle w:val="3"/>
        <w:jc w:val="center"/>
        <w:rPr>
          <w:color w:val="auto"/>
        </w:rPr>
      </w:pPr>
      <w:bookmarkStart w:id="21" w:name="_Toc74323457"/>
      <w:r>
        <w:rPr>
          <w:rFonts w:hint="eastAsia"/>
          <w:color w:val="auto"/>
        </w:rPr>
        <w:t>第二章 供应商须知</w:t>
      </w:r>
      <w:bookmarkEnd w:id="21"/>
    </w:p>
    <w:p w14:paraId="576B18C7">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供应商须知前附表</w:t>
      </w:r>
    </w:p>
    <w:p w14:paraId="42A26FAC">
      <w:pPr>
        <w:spacing w:line="400" w:lineRule="exact"/>
        <w:jc w:val="center"/>
        <w:rPr>
          <w:rFonts w:hint="eastAsia" w:ascii="宋体" w:hAnsi="宋体"/>
          <w:b/>
          <w:color w:val="auto"/>
          <w:sz w:val="32"/>
          <w:szCs w:val="32"/>
        </w:rPr>
      </w:pPr>
    </w:p>
    <w:tbl>
      <w:tblPr>
        <w:tblStyle w:val="22"/>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D81F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CA2EA1B">
            <w:pPr>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8627" w:type="dxa"/>
          </w:tcPr>
          <w:p w14:paraId="40FBF8BB">
            <w:pPr>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内    容</w:t>
            </w:r>
          </w:p>
        </w:tc>
      </w:tr>
      <w:tr w14:paraId="4A7C5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362B27">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8627" w:type="dxa"/>
            <w:vAlign w:val="center"/>
          </w:tcPr>
          <w:p w14:paraId="7C2249F6">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供应商的资格条件</w:t>
            </w:r>
            <w:r>
              <w:rPr>
                <w:rFonts w:hint="eastAsia" w:asciiTheme="minorEastAsia" w:hAnsiTheme="minorEastAsia" w:eastAsiaTheme="minorEastAsia" w:cstheme="minorEastAsia"/>
                <w:color w:val="auto"/>
                <w:szCs w:val="21"/>
              </w:rPr>
              <w:t>：详见竞争性磋商公告</w:t>
            </w:r>
          </w:p>
        </w:tc>
      </w:tr>
      <w:tr w14:paraId="2921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37BFB9">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w:t>
            </w:r>
          </w:p>
        </w:tc>
        <w:tc>
          <w:tcPr>
            <w:tcW w:w="8627" w:type="dxa"/>
            <w:vAlign w:val="center"/>
          </w:tcPr>
          <w:p w14:paraId="38C2ED94">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是否接受联合体竞标：详见竞争性磋商公告（不接受）</w:t>
            </w:r>
          </w:p>
        </w:tc>
      </w:tr>
      <w:tr w14:paraId="1D20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6DDAA6">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w:t>
            </w:r>
          </w:p>
        </w:tc>
        <w:tc>
          <w:tcPr>
            <w:tcW w:w="8627" w:type="dxa"/>
            <w:vAlign w:val="center"/>
          </w:tcPr>
          <w:p w14:paraId="296A02EC">
            <w:pPr>
              <w:pStyle w:val="8"/>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本项目不允许分包。</w:t>
            </w:r>
          </w:p>
          <w:p w14:paraId="62FEF1DF">
            <w:pPr>
              <w:pStyle w:val="8"/>
              <w:spacing w:line="400" w:lineRule="exac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分包内容：</w:t>
            </w:r>
            <w:r>
              <w:rPr>
                <w:rFonts w:hint="eastAsia" w:asciiTheme="minorEastAsia" w:hAnsiTheme="minorEastAsia" w:eastAsiaTheme="minorEastAsia" w:cstheme="minorEastAsia"/>
                <w:color w:val="auto"/>
                <w:szCs w:val="21"/>
                <w:u w:val="single"/>
              </w:rPr>
              <w:t>无。</w:t>
            </w:r>
          </w:p>
          <w:p w14:paraId="6991E58E">
            <w:pPr>
              <w:pStyle w:val="8"/>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分包金额或者比例：</w:t>
            </w:r>
            <w:r>
              <w:rPr>
                <w:rFonts w:hint="eastAsia" w:asciiTheme="minorEastAsia" w:hAnsiTheme="minorEastAsia" w:eastAsiaTheme="minorEastAsia" w:cstheme="minorEastAsia"/>
                <w:color w:val="auto"/>
                <w:szCs w:val="21"/>
                <w:u w:val="single"/>
              </w:rPr>
              <w:t>无。</w:t>
            </w:r>
          </w:p>
        </w:tc>
      </w:tr>
      <w:tr w14:paraId="1BEFD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3D0C47">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12.1.1</w:t>
            </w:r>
          </w:p>
        </w:tc>
        <w:tc>
          <w:tcPr>
            <w:tcW w:w="8627" w:type="dxa"/>
            <w:vAlign w:val="center"/>
          </w:tcPr>
          <w:p w14:paraId="640D0A2F">
            <w:pPr>
              <w:snapToGrid w:val="0"/>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资格证明文件</w:t>
            </w:r>
          </w:p>
          <w:p w14:paraId="634C99CB">
            <w:pPr>
              <w:pStyle w:val="8"/>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1、供应商为法人或者其他组织的，证明文件为其营业执照复印件（如营业执照或者事业单位法人证书或者执业许可证等）；供应商为自然人的，证明文件为其身份证复印件；（</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0CB4F018">
            <w:pPr>
              <w:spacing w:line="360" w:lineRule="auto"/>
              <w:contextualSpacing/>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2、供应商依法缴纳税收的相关材料（</w:t>
            </w:r>
            <w:r>
              <w:rPr>
                <w:rFonts w:hint="eastAsia" w:ascii="宋体" w:hAnsi="宋体" w:cs="宋体"/>
                <w:color w:val="auto"/>
                <w:szCs w:val="21"/>
              </w:rPr>
              <w:t>响应文件提交截止之日前半年内竞标人连续3个月的</w:t>
            </w:r>
            <w:r>
              <w:rPr>
                <w:rFonts w:hint="eastAsia" w:asciiTheme="minorEastAsia" w:hAnsiTheme="minorEastAsia" w:eastAsiaTheme="minorEastAsia" w:cstheme="minorEastAsia"/>
                <w:color w:val="auto"/>
                <w:szCs w:val="21"/>
              </w:rPr>
              <w:t>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146B790D">
            <w:pPr>
              <w:spacing w:line="360" w:lineRule="auto"/>
              <w:contextualSpacing/>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3、供应商依法缴纳社会保障资金的相关材料[</w:t>
            </w:r>
            <w:r>
              <w:rPr>
                <w:rFonts w:hint="eastAsia" w:ascii="宋体" w:hAnsi="宋体" w:cs="宋体"/>
                <w:color w:val="auto"/>
                <w:szCs w:val="21"/>
              </w:rPr>
              <w:t>响应文件提交截止之日前半年内竞标人连续3个月的</w:t>
            </w:r>
            <w:r>
              <w:rPr>
                <w:rFonts w:hint="eastAsia" w:asciiTheme="minorEastAsia" w:hAnsiTheme="minorEastAsia" w:eastAsiaTheme="minorEastAsia" w:cstheme="minorEastAsia"/>
                <w:color w:val="auto"/>
                <w:szCs w:val="21"/>
              </w:rPr>
              <w:t>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7A0FA144">
            <w:pPr>
              <w:spacing w:line="360" w:lineRule="auto"/>
              <w:contextualSpacing/>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4、供应商财务状况报告[2024年财务状况报告，或者经审计的财务报告，或者银行出具的资信证明（应在有效期内，未注明有效期的视为自出具时间起一年内有效）。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如供应商在上述年度后成立的，提供自成立起至提交响应文件递交截止之日前所有月报或银行出具的资信证明]；</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b/>
                <w:color w:val="auto"/>
                <w:szCs w:val="21"/>
              </w:rPr>
              <w:t>除自然人外必须提供，否则响应文件按无效响应处理</w:t>
            </w:r>
            <w:r>
              <w:rPr>
                <w:rFonts w:hint="eastAsia" w:asciiTheme="minorEastAsia" w:hAnsiTheme="minorEastAsia" w:eastAsiaTheme="minorEastAsia" w:cstheme="minorEastAsia"/>
                <w:bCs/>
                <w:color w:val="auto"/>
                <w:szCs w:val="21"/>
              </w:rPr>
              <w:t>）</w:t>
            </w:r>
          </w:p>
          <w:p w14:paraId="44AA9AB9">
            <w:pPr>
              <w:snapToGrid w:val="0"/>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5、供应商直接控股、管理关系信息表（格式后附）；（</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5FFE9022">
            <w:pPr>
              <w:snapToGrid w:val="0"/>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6、竞标声明（格式后附）；（</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43EC5BE4">
            <w:pPr>
              <w:pStyle w:val="2"/>
              <w:rPr>
                <w:b/>
                <w:bCs/>
                <w:color w:val="auto"/>
              </w:rPr>
            </w:pPr>
            <w:r>
              <w:rPr>
                <w:rFonts w:hint="eastAsia" w:asciiTheme="minorEastAsia" w:hAnsiTheme="minorEastAsia" w:eastAsiaTheme="minorEastAsia" w:cstheme="minorEastAsia"/>
                <w:color w:val="auto"/>
                <w:szCs w:val="21"/>
              </w:rPr>
              <w:t>7、除磋商文件规定必须提供以外，供应商认为需要提供的其他证明材料。</w:t>
            </w:r>
            <w:r>
              <w:rPr>
                <w:rFonts w:hint="eastAsia"/>
                <w:b/>
                <w:bCs/>
                <w:color w:val="auto"/>
              </w:rPr>
              <w:t>（如有请提供）</w:t>
            </w:r>
          </w:p>
          <w:p w14:paraId="5D8E171D">
            <w:pPr>
              <w:snapToGrid w:val="0"/>
              <w:spacing w:line="360" w:lineRule="auto"/>
              <w:ind w:firstLine="422" w:firstLineChars="20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p>
          <w:p w14:paraId="2F1992D8">
            <w:pPr>
              <w:snapToGrid w:val="0"/>
              <w:spacing w:line="360" w:lineRule="auto"/>
              <w:ind w:firstLine="413" w:firstLineChars="196"/>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1.以上标明“必须提供”的材料属于复印件的，必须加盖供应商公章，否则响应文件按无效响应处理。</w:t>
            </w:r>
          </w:p>
          <w:p w14:paraId="0323441C">
            <w:pPr>
              <w:snapToGrid w:val="0"/>
              <w:spacing w:line="360" w:lineRule="auto"/>
              <w:ind w:firstLine="422" w:firstLineChars="20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2.竞标声明必须由法定代表人在规定签章处签字并加盖供应商公章，否则响应文件按无效响应处理。</w:t>
            </w:r>
          </w:p>
          <w:p w14:paraId="7AF89F44">
            <w:pPr>
              <w:snapToGrid w:val="0"/>
              <w:spacing w:line="360" w:lineRule="auto"/>
              <w:ind w:firstLine="422"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3.供应商直接控股、管理关系信息表必须由法定代表人或者委托代理人在规定签章处签字并加盖供应商公章，否则响应文件按无效响应处理。</w:t>
            </w:r>
          </w:p>
          <w:p w14:paraId="2F02DD48">
            <w:pPr>
              <w:pStyle w:val="8"/>
              <w:spacing w:line="360" w:lineRule="auto"/>
              <w:ind w:firstLine="422"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4.分公司参加竞标的，应当取得总公司授权</w:t>
            </w:r>
            <w:r>
              <w:rPr>
                <w:rFonts w:hint="eastAsia" w:asciiTheme="minorEastAsia" w:hAnsiTheme="minorEastAsia" w:eastAsiaTheme="minorEastAsia" w:cstheme="minorEastAsia"/>
                <w:b/>
                <w:color w:val="auto"/>
                <w:szCs w:val="21"/>
              </w:rPr>
              <w:t>，否则响应文件按无效响应处理。</w:t>
            </w:r>
          </w:p>
        </w:tc>
      </w:tr>
      <w:tr w14:paraId="19E1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B1E358">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12.1.2</w:t>
            </w:r>
          </w:p>
        </w:tc>
        <w:tc>
          <w:tcPr>
            <w:tcW w:w="8627" w:type="dxa"/>
            <w:vAlign w:val="center"/>
          </w:tcPr>
          <w:p w14:paraId="526B9E54">
            <w:pPr>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报价商务技术文件</w:t>
            </w:r>
          </w:p>
          <w:p w14:paraId="05A5E3EC">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1、无串通竞标行为的承诺函（格式后附）；（</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48257B53">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2、竞标报价表（格式后附）；（</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60F8E788">
            <w:pPr>
              <w:pStyle w:val="2"/>
              <w:rPr>
                <w:b/>
                <w:bCs/>
                <w:color w:val="auto"/>
              </w:rPr>
            </w:pPr>
            <w:r>
              <w:rPr>
                <w:rFonts w:hint="eastAsia"/>
                <w:color w:val="auto"/>
              </w:rPr>
              <w:t>3、中小企业声明函（格式后附）；</w:t>
            </w:r>
            <w:r>
              <w:rPr>
                <w:rFonts w:hint="eastAsia"/>
                <w:b/>
                <w:bCs/>
                <w:color w:val="auto"/>
              </w:rPr>
              <w:t>（如有请提供）</w:t>
            </w:r>
          </w:p>
          <w:p w14:paraId="47D73814">
            <w:pPr>
              <w:snapToGrid w:val="0"/>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4、法定代表人身份证明及法定代表人有效身份证正反面复印件（格式后附）；（</w:t>
            </w:r>
            <w:r>
              <w:rPr>
                <w:rFonts w:hint="eastAsia" w:asciiTheme="minorEastAsia" w:hAnsiTheme="minorEastAsia" w:eastAsiaTheme="minorEastAsia" w:cstheme="minorEastAsia"/>
                <w:b/>
                <w:bCs/>
                <w:color w:val="auto"/>
                <w:szCs w:val="21"/>
              </w:rPr>
              <w:t>除自然人竞标外</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268F31C8">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5、授权委托书及委托代理人有效身份证正反面复印件（格式后附）；（</w:t>
            </w:r>
            <w:r>
              <w:rPr>
                <w:rFonts w:hint="eastAsia" w:asciiTheme="minorEastAsia" w:hAnsiTheme="minorEastAsia" w:eastAsiaTheme="minorEastAsia" w:cstheme="minorEastAsia"/>
                <w:b/>
                <w:color w:val="auto"/>
                <w:szCs w:val="21"/>
              </w:rPr>
              <w:t>委托时必须提供，否则响应文件按无效响应处理</w:t>
            </w:r>
            <w:r>
              <w:rPr>
                <w:rFonts w:hint="eastAsia" w:asciiTheme="minorEastAsia" w:hAnsiTheme="minorEastAsia" w:eastAsiaTheme="minorEastAsia" w:cstheme="minorEastAsia"/>
                <w:color w:val="auto"/>
                <w:szCs w:val="21"/>
              </w:rPr>
              <w:t>）</w:t>
            </w:r>
          </w:p>
          <w:p w14:paraId="5E758951">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6、磋商保证金提交凭证；（</w:t>
            </w:r>
            <w:r>
              <w:rPr>
                <w:rFonts w:hint="eastAsia" w:asciiTheme="minorEastAsia" w:hAnsiTheme="minorEastAsia" w:eastAsiaTheme="minorEastAsia" w:cstheme="minorEastAsia"/>
                <w:b/>
                <w:bCs/>
                <w:color w:val="auto"/>
                <w:szCs w:val="21"/>
              </w:rPr>
              <w:t>如要求提交磋商保证金的则必须提供</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14:paraId="5E21C316">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7、商务要求偏离表（格式后附）；（</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50461AF4">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8、服务方案（格式自拟）；（</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2C84D51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9、技术要求偏离表（格式后附）；（</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7EEE9928">
            <w:pPr>
              <w:pStyle w:val="2"/>
              <w:rPr>
                <w:b/>
                <w:bCs/>
                <w:color w:val="auto"/>
              </w:rPr>
            </w:pPr>
            <w:r>
              <w:rPr>
                <w:rFonts w:hint="eastAsia" w:asciiTheme="minorEastAsia" w:hAnsiTheme="minorEastAsia" w:eastAsiaTheme="minorEastAsia" w:cstheme="minorEastAsia"/>
                <w:color w:val="auto"/>
                <w:szCs w:val="21"/>
              </w:rPr>
              <w:t xml:space="preserve">10、项目实施人员一览表（格式自拟）； </w:t>
            </w:r>
            <w:r>
              <w:rPr>
                <w:rFonts w:hint="eastAsia"/>
                <w:b/>
                <w:bCs/>
                <w:color w:val="auto"/>
              </w:rPr>
              <w:t>（如有请提供）</w:t>
            </w:r>
          </w:p>
          <w:p w14:paraId="22768546">
            <w:pPr>
              <w:pStyle w:val="2"/>
              <w:rPr>
                <w:b/>
                <w:bCs/>
                <w:color w:val="auto"/>
              </w:rPr>
            </w:pPr>
            <w:r>
              <w:rPr>
                <w:rFonts w:hint="eastAsia" w:asciiTheme="minorEastAsia" w:hAnsiTheme="minorEastAsia" w:eastAsiaTheme="minorEastAsia" w:cstheme="minorEastAsia"/>
                <w:color w:val="auto"/>
                <w:szCs w:val="21"/>
              </w:rPr>
              <w:t>11、对应采购需求的技术要求、商务要求提供的其他文件资料（格式自拟）；</w:t>
            </w:r>
            <w:r>
              <w:rPr>
                <w:rFonts w:hint="eastAsia"/>
                <w:b/>
                <w:bCs/>
                <w:color w:val="auto"/>
              </w:rPr>
              <w:t>（如有请提供）</w:t>
            </w:r>
          </w:p>
          <w:p w14:paraId="37E39E14">
            <w:pPr>
              <w:pStyle w:val="2"/>
              <w:rPr>
                <w:b/>
                <w:bCs/>
                <w:color w:val="auto"/>
              </w:rPr>
            </w:pPr>
            <w:r>
              <w:rPr>
                <w:rFonts w:hint="eastAsia" w:asciiTheme="minorEastAsia" w:hAnsiTheme="minorEastAsia" w:eastAsiaTheme="minorEastAsia" w:cstheme="minorEastAsia"/>
                <w:color w:val="auto"/>
                <w:szCs w:val="21"/>
              </w:rPr>
              <w:t>12、供应商认为需要提供的其他有关资料。</w:t>
            </w:r>
            <w:r>
              <w:rPr>
                <w:rFonts w:hint="eastAsia"/>
                <w:b/>
                <w:bCs/>
                <w:color w:val="auto"/>
              </w:rPr>
              <w:t>（如有请提供）</w:t>
            </w:r>
          </w:p>
          <w:p w14:paraId="32344254">
            <w:pPr>
              <w:snapToGrid w:val="0"/>
              <w:spacing w:line="360" w:lineRule="auto"/>
              <w:ind w:firstLine="422" w:firstLineChars="20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注：以上标明“必须提供”的材料属于复印件的，必须加盖供应商公章，否则响应文件按无效响应处理。</w:t>
            </w:r>
          </w:p>
        </w:tc>
      </w:tr>
      <w:tr w14:paraId="3843D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69D15E">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15.2</w:t>
            </w:r>
          </w:p>
        </w:tc>
        <w:tc>
          <w:tcPr>
            <w:tcW w:w="8627" w:type="dxa"/>
            <w:vAlign w:val="center"/>
          </w:tcPr>
          <w:p w14:paraId="779207D8">
            <w:pPr>
              <w:snapToGrid w:val="0"/>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竞标报价是履行合同的最终价格，即满足全部采购需求所应提供的服务的价格；包括竞标服务的成本、运输（含保险）（如有）、技术服务、培训、税费等所有费用。</w:t>
            </w:r>
            <w:r>
              <w:rPr>
                <w:rFonts w:hint="eastAsia" w:asciiTheme="minorEastAsia" w:hAnsiTheme="minorEastAsia" w:eastAsiaTheme="minorEastAsia" w:cstheme="minorEastAsia"/>
                <w:b/>
                <w:color w:val="auto"/>
                <w:szCs w:val="21"/>
              </w:rPr>
              <w:t>（采购需求另有约定的，从其约定。）</w:t>
            </w:r>
          </w:p>
        </w:tc>
      </w:tr>
      <w:tr w14:paraId="05677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9C51ED">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16.2</w:t>
            </w:r>
          </w:p>
        </w:tc>
        <w:tc>
          <w:tcPr>
            <w:tcW w:w="8627" w:type="dxa"/>
            <w:vAlign w:val="center"/>
          </w:tcPr>
          <w:p w14:paraId="6DFFB248">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竞标有效期：首次响应文件提交截止之日起60天内。</w:t>
            </w:r>
          </w:p>
        </w:tc>
      </w:tr>
      <w:tr w14:paraId="2028C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0FFD5B">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17.1</w:t>
            </w:r>
          </w:p>
        </w:tc>
        <w:tc>
          <w:tcPr>
            <w:tcW w:w="8627" w:type="dxa"/>
            <w:vAlign w:val="center"/>
          </w:tcPr>
          <w:p w14:paraId="19777F73">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磋商保证金：29000元；</w:t>
            </w:r>
          </w:p>
          <w:p w14:paraId="18612E21">
            <w:pPr>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磋商保证金的交纳方式：银行转账、支票、汇票、本票或者金融、担保金融、担保机构出具的保函，禁止采用现钞方式。采用银行转账方式的，在响应文件提交截止时间前交至指定账户并且到账（</w:t>
            </w:r>
            <w:r>
              <w:rPr>
                <w:rFonts w:hint="eastAsia" w:asciiTheme="minorEastAsia" w:hAnsiTheme="minorEastAsia" w:eastAsiaTheme="minorEastAsia" w:cstheme="minorEastAsia"/>
                <w:color w:val="auto"/>
                <w:szCs w:val="21"/>
              </w:rPr>
              <w:t>开户名称：广西科文招标有限公司，开户银行：广西北部湾银行南宁分行营业部，银行账号：0101012090615689</w:t>
            </w:r>
            <w:r>
              <w:rPr>
                <w:rFonts w:hint="eastAsia" w:asciiTheme="minorEastAsia" w:hAnsiTheme="minorEastAsia" w:eastAsiaTheme="minorEastAsia" w:cstheme="minorEastAsia"/>
                <w:color w:val="auto"/>
                <w:kern w:val="0"/>
                <w:szCs w:val="21"/>
              </w:rPr>
              <w:t>）；采用支票、汇票、本票或者保函等方式的，在响应文件提交截止时间前，供应商必须提交支票、汇票、本票或者保函原件。否则视为无效磋商保证金。</w:t>
            </w:r>
          </w:p>
          <w:p w14:paraId="6333692D">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相关要求：</w:t>
            </w:r>
          </w:p>
          <w:p w14:paraId="4656BE3C">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14:paraId="08CCEA4D">
            <w:pPr>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供应商必须在首次响应文件提交截止时间前将支票、汇票、本票或者金融、担保机构出具的保函原件提交给采购代理机构，由采购代理机构向供应商出具回执，并妥善保管。</w:t>
            </w:r>
          </w:p>
          <w:p w14:paraId="38455208">
            <w:pPr>
              <w:rPr>
                <w:rFonts w:hint="eastAsia" w:asciiTheme="minorEastAsia" w:hAnsiTheme="minorEastAsia" w:eastAsiaTheme="minorEastAsia" w:cstheme="minorEastAsia"/>
                <w:color w:val="auto"/>
                <w:szCs w:val="21"/>
              </w:rPr>
            </w:pPr>
          </w:p>
          <w:p w14:paraId="5668D060">
            <w:pPr>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xml:space="preserve">备注： </w:t>
            </w:r>
          </w:p>
          <w:p w14:paraId="0E0EDA0E">
            <w:pPr>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1、磋商保证金在响应文件提交截止时间后提交的，或者不按规定交纳方式交纳的，或者未足额交纳的（包含保函额度不足的），视为无效磋商保证金。</w:t>
            </w:r>
          </w:p>
          <w:p w14:paraId="6AD00321">
            <w:pPr>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2、供应商采用现钞方式或者从个人账户（自然人竞标除外）转出的磋商保证金，视为无效磋商保证金。</w:t>
            </w:r>
          </w:p>
          <w:p w14:paraId="49150418">
            <w:pPr>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3、支票、汇票或者本票出现无效或者背书情形的，视为无效磋商保证金。</w:t>
            </w:r>
          </w:p>
          <w:p w14:paraId="464AF757">
            <w:pPr>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4、保函有效期低于竞标有效期的，视为无效磋商保证金。</w:t>
            </w:r>
          </w:p>
          <w:p w14:paraId="44FFB0A7">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5、采用金融、担保机构出具保函的，必须为无条件保函，否则视为无效磋商保证金。</w:t>
            </w:r>
          </w:p>
        </w:tc>
      </w:tr>
      <w:tr w14:paraId="4FB0F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866A1D0">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18.2</w:t>
            </w:r>
          </w:p>
        </w:tc>
        <w:tc>
          <w:tcPr>
            <w:tcW w:w="8627" w:type="dxa"/>
            <w:vAlign w:val="center"/>
          </w:tcPr>
          <w:p w14:paraId="745A8519">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响应文件应按资格证明文件、报价商务技术文件分别编制，</w:t>
            </w:r>
            <w:r>
              <w:rPr>
                <w:rFonts w:hint="eastAsia" w:asciiTheme="minorEastAsia" w:hAnsiTheme="minorEastAsia" w:eastAsiaTheme="minorEastAsia" w:cstheme="minorEastAsia"/>
                <w:color w:val="auto"/>
                <w:szCs w:val="21"/>
                <w:lang w:bidi="ar"/>
              </w:rPr>
              <w:t>并按广西政府采购云平台的要求编制、加密、上传。</w:t>
            </w:r>
          </w:p>
        </w:tc>
      </w:tr>
      <w:tr w14:paraId="0AE65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EADEF5">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20.1</w:t>
            </w:r>
          </w:p>
        </w:tc>
        <w:tc>
          <w:tcPr>
            <w:tcW w:w="8627" w:type="dxa"/>
            <w:vAlign w:val="center"/>
          </w:tcPr>
          <w:p w14:paraId="177846A8">
            <w:pPr>
              <w:spacing w:line="360" w:lineRule="auto"/>
              <w:contextualSpacing/>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首次响应文件提交截止时间：详见竞争性磋商公告。</w:t>
            </w:r>
          </w:p>
          <w:p w14:paraId="7C3B52D9">
            <w:pPr>
              <w:spacing w:line="360" w:lineRule="auto"/>
              <w:contextualSpacing/>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首次响应文件提交地点：详见竞争性磋商公告。</w:t>
            </w:r>
          </w:p>
        </w:tc>
      </w:tr>
      <w:tr w14:paraId="2B06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4D289A">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w:t>
            </w:r>
          </w:p>
        </w:tc>
        <w:tc>
          <w:tcPr>
            <w:tcW w:w="8627" w:type="dxa"/>
            <w:vAlign w:val="center"/>
          </w:tcPr>
          <w:p w14:paraId="251B7FE7">
            <w:pPr>
              <w:snapToGrid w:val="0"/>
              <w:spacing w:line="360" w:lineRule="auto"/>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磋商小组的人数：3人。</w:t>
            </w:r>
          </w:p>
        </w:tc>
      </w:tr>
      <w:tr w14:paraId="6C94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7243EE">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25.2</w:t>
            </w:r>
          </w:p>
        </w:tc>
        <w:tc>
          <w:tcPr>
            <w:tcW w:w="8627" w:type="dxa"/>
            <w:vAlign w:val="center"/>
          </w:tcPr>
          <w:p w14:paraId="41A4DBE6">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采购代理机构将依托电子交易平台发起开始解密指令，</w:t>
            </w:r>
            <w:r>
              <w:rPr>
                <w:rFonts w:hint="eastAsia" w:asciiTheme="minorEastAsia" w:hAnsiTheme="minorEastAsia" w:eastAsiaTheme="minorEastAsia" w:cstheme="minorEastAsia"/>
                <w:b/>
                <w:color w:val="auto"/>
                <w:szCs w:val="21"/>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rPr>
              <w:t>响应文件未按时解密的，</w:t>
            </w:r>
            <w:r>
              <w:rPr>
                <w:rFonts w:hint="eastAsia" w:asciiTheme="minorEastAsia" w:hAnsiTheme="minorEastAsia" w:eastAsiaTheme="minorEastAsia" w:cstheme="minorEastAsia"/>
                <w:b/>
                <w:color w:val="auto"/>
                <w:szCs w:val="21"/>
              </w:rPr>
              <w:t>视为响应</w:t>
            </w:r>
            <w:r>
              <w:rPr>
                <w:rFonts w:hint="eastAsia" w:asciiTheme="minorEastAsia" w:hAnsiTheme="minorEastAsia" w:eastAsiaTheme="minorEastAsia" w:cstheme="minorEastAsia"/>
                <w:b/>
                <w:bCs/>
                <w:color w:val="auto"/>
                <w:szCs w:val="21"/>
              </w:rPr>
              <w:t>文件无效。</w:t>
            </w:r>
          </w:p>
        </w:tc>
      </w:tr>
      <w:tr w14:paraId="00D6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27D2E475">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w:t>
            </w:r>
          </w:p>
        </w:tc>
        <w:tc>
          <w:tcPr>
            <w:tcW w:w="8627" w:type="dxa"/>
            <w:vAlign w:val="center"/>
          </w:tcPr>
          <w:p w14:paraId="60932DCD">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商务要求评审中允许负偏离的条款数为</w:t>
            </w:r>
            <w:r>
              <w:rPr>
                <w:rFonts w:hint="eastAsia" w:asciiTheme="minorEastAsia" w:hAnsiTheme="minorEastAsia" w:eastAsiaTheme="minorEastAsia" w:cstheme="minorEastAsia"/>
                <w:color w:val="auto"/>
                <w:szCs w:val="21"/>
                <w:u w:val="single"/>
              </w:rPr>
              <w:t xml:space="preserve"> 0 </w:t>
            </w:r>
            <w:r>
              <w:rPr>
                <w:rFonts w:hint="eastAsia" w:asciiTheme="minorEastAsia" w:hAnsiTheme="minorEastAsia" w:eastAsiaTheme="minorEastAsia" w:cstheme="minorEastAsia"/>
                <w:color w:val="auto"/>
                <w:szCs w:val="21"/>
              </w:rPr>
              <w:t>项。</w:t>
            </w:r>
          </w:p>
          <w:p w14:paraId="0950EE63">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技术要求评审中允许负偏离的条款数为</w:t>
            </w:r>
            <w:r>
              <w:rPr>
                <w:rFonts w:hint="eastAsia" w:asciiTheme="minorEastAsia" w:hAnsiTheme="minorEastAsia" w:eastAsiaTheme="minorEastAsia" w:cstheme="minorEastAsia"/>
                <w:color w:val="auto"/>
                <w:szCs w:val="21"/>
                <w:u w:val="single"/>
              </w:rPr>
              <w:t xml:space="preserve"> 3 </w:t>
            </w:r>
            <w:r>
              <w:rPr>
                <w:rFonts w:hint="eastAsia" w:asciiTheme="minorEastAsia" w:hAnsiTheme="minorEastAsia" w:eastAsiaTheme="minorEastAsia" w:cstheme="minorEastAsia"/>
                <w:color w:val="auto"/>
                <w:szCs w:val="21"/>
              </w:rPr>
              <w:t>项。</w:t>
            </w:r>
          </w:p>
        </w:tc>
      </w:tr>
      <w:tr w14:paraId="2A07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2E0E5434">
            <w:pPr>
              <w:spacing w:line="360" w:lineRule="auto"/>
              <w:jc w:val="center"/>
              <w:rPr>
                <w:rFonts w:hint="eastAsia" w:asciiTheme="minorEastAsia" w:hAnsiTheme="minorEastAsia" w:eastAsiaTheme="minorEastAsia" w:cstheme="minorEastAsia"/>
                <w:color w:val="auto"/>
                <w:szCs w:val="21"/>
              </w:rPr>
            </w:pPr>
          </w:p>
        </w:tc>
        <w:tc>
          <w:tcPr>
            <w:tcW w:w="8627" w:type="dxa"/>
            <w:vAlign w:val="center"/>
          </w:tcPr>
          <w:p w14:paraId="76C12C79">
            <w:pPr>
              <w:pStyle w:val="8"/>
              <w:spacing w:line="320" w:lineRule="exact"/>
              <w:jc w:val="both"/>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磋商的顺序：按“政采云”系统的编号顺序。</w:t>
            </w:r>
          </w:p>
          <w:p w14:paraId="6BD424A3">
            <w:pPr>
              <w:pStyle w:val="8"/>
              <w:spacing w:line="360" w:lineRule="auto"/>
              <w:jc w:val="both"/>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符合磋商资格的供应商必须在接到磋商通知后规定时间内参加磋商，未在规定时间内参加磋商的视同放弃参加磋商权利，其响应文件按无效响应处理。</w:t>
            </w:r>
          </w:p>
          <w:p w14:paraId="448E816B">
            <w:pPr>
              <w:pStyle w:val="8"/>
              <w:spacing w:line="360" w:lineRule="auto"/>
              <w:jc w:val="both"/>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注：参与磋商前，供应商法定代表人或者委托代理人向磋商小组出示本人有效证件原件[有效证件可以是身份证（含临时身份证明）或者护照的其中一项]。</w:t>
            </w:r>
          </w:p>
        </w:tc>
      </w:tr>
      <w:tr w14:paraId="6FE1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1C08C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29.1</w:t>
            </w:r>
          </w:p>
        </w:tc>
        <w:tc>
          <w:tcPr>
            <w:tcW w:w="8627" w:type="dxa"/>
            <w:vAlign w:val="center"/>
          </w:tcPr>
          <w:p w14:paraId="1F88C495">
            <w:pPr>
              <w:autoSpaceDE w:val="0"/>
              <w:autoSpaceDN w:val="0"/>
              <w:snapToGrid w:val="0"/>
              <w:spacing w:line="360" w:lineRule="auto"/>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签订合同携带的证明材料： </w:t>
            </w:r>
          </w:p>
          <w:p w14:paraId="5CEA5441">
            <w:pPr>
              <w:autoSpaceDE w:val="0"/>
              <w:autoSpaceDN w:val="0"/>
              <w:snapToGrid w:val="0"/>
              <w:spacing w:line="360" w:lineRule="auto"/>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1、委托代理人负责签订合同的，须携带授权委托书及委托代理人身份证原件等其他资格证件。</w:t>
            </w:r>
          </w:p>
          <w:p w14:paraId="24AF306F">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2、法定代表人负责签订合同的，须携带法定代表人身份证明原件及身份证原件等其他证明材料。</w:t>
            </w:r>
          </w:p>
        </w:tc>
      </w:tr>
      <w:tr w14:paraId="5C7D7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259056">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31.2</w:t>
            </w:r>
          </w:p>
        </w:tc>
        <w:tc>
          <w:tcPr>
            <w:tcW w:w="8627" w:type="dxa"/>
            <w:vAlign w:val="center"/>
          </w:tcPr>
          <w:p w14:paraId="071F1DB8">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接收质疑函方式：以纸质书面形式。</w:t>
            </w:r>
          </w:p>
          <w:p w14:paraId="4FC3D397">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质疑联系部门及联系方式：广西科文招标有限公司，质疑联系人：梁壮贤，联系电话：0771-2023972；项目负责人：蒙颖、郑辉海，联系电话：0771-2023875，通讯地址：广西南宁市民族大道141号中鼎万象东方D区五层</w:t>
            </w:r>
          </w:p>
          <w:p w14:paraId="26992717">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现场提交质疑办理业务时间：工作日，上午8:00-12:00；下午15:00-18:00（北京时间）</w:t>
            </w:r>
          </w:p>
        </w:tc>
      </w:tr>
      <w:tr w14:paraId="2DEE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6" w:hRule="atLeast"/>
          <w:jc w:val="center"/>
        </w:trPr>
        <w:tc>
          <w:tcPr>
            <w:tcW w:w="992" w:type="dxa"/>
            <w:vAlign w:val="center"/>
          </w:tcPr>
          <w:p w14:paraId="538C33C2">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32.1</w:t>
            </w:r>
          </w:p>
        </w:tc>
        <w:tc>
          <w:tcPr>
            <w:tcW w:w="8627" w:type="dxa"/>
            <w:vAlign w:val="center"/>
          </w:tcPr>
          <w:p w14:paraId="44AA82AD">
            <w:pPr>
              <w:rPr>
                <w:rFonts w:hint="eastAsia" w:ascii="宋体" w:hAnsi="宋体" w:cs="宋体"/>
                <w:color w:val="auto"/>
                <w:kern w:val="0"/>
                <w:szCs w:val="21"/>
              </w:rPr>
            </w:pPr>
            <w:r>
              <w:rPr>
                <w:rFonts w:hint="eastAsia" w:ascii="宋体" w:hAnsi="宋体" w:cs="宋体"/>
                <w:color w:val="auto"/>
                <w:kern w:val="0"/>
                <w:szCs w:val="21"/>
              </w:rPr>
              <w:t>1.是否收取采购代理费：</w:t>
            </w:r>
          </w:p>
          <w:p w14:paraId="5C640196">
            <w:pPr>
              <w:rPr>
                <w:rFonts w:hint="eastAsia" w:ascii="宋体" w:hAnsi="宋体" w:cs="宋体"/>
                <w:color w:val="auto"/>
                <w:kern w:val="0"/>
                <w:szCs w:val="21"/>
              </w:rPr>
            </w:pPr>
            <w:r>
              <w:rPr>
                <w:rFonts w:hint="eastAsia" w:ascii="宋体" w:hAnsi="宋体" w:cs="宋体"/>
                <w:color w:val="auto"/>
                <w:kern w:val="0"/>
                <w:sz w:val="20"/>
                <w:szCs w:val="21"/>
              </w:rPr>
              <w:sym w:font="Wingdings 2" w:char="F052"/>
            </w:r>
            <w:r>
              <w:rPr>
                <w:rFonts w:hint="eastAsia" w:ascii="宋体" w:hAnsi="宋体" w:cs="宋体"/>
                <w:color w:val="auto"/>
                <w:kern w:val="0"/>
                <w:szCs w:val="21"/>
              </w:rPr>
              <w:t>是    □ 否</w:t>
            </w:r>
          </w:p>
          <w:p w14:paraId="039DB010">
            <w:pPr>
              <w:rPr>
                <w:rFonts w:hint="eastAsia" w:ascii="宋体" w:hAnsi="宋体" w:cs="宋体"/>
                <w:color w:val="auto"/>
                <w:kern w:val="0"/>
                <w:szCs w:val="21"/>
              </w:rPr>
            </w:pPr>
            <w:r>
              <w:rPr>
                <w:rFonts w:hint="eastAsia" w:ascii="宋体" w:hAnsi="宋体" w:cs="宋体"/>
                <w:color w:val="auto"/>
                <w:kern w:val="0"/>
                <w:szCs w:val="21"/>
              </w:rPr>
              <w:t>2.采购代理费支付方式：</w:t>
            </w:r>
          </w:p>
          <w:p w14:paraId="5377FDC0">
            <w:pPr>
              <w:rPr>
                <w:rFonts w:hint="eastAsia" w:ascii="宋体" w:hAnsi="宋体" w:cs="宋体"/>
                <w:color w:val="auto"/>
                <w:kern w:val="0"/>
                <w:szCs w:val="21"/>
              </w:rPr>
            </w:pPr>
            <w:r>
              <w:rPr>
                <w:rFonts w:hint="eastAsia" w:ascii="宋体" w:hAnsi="宋体" w:cs="宋体"/>
                <w:color w:val="auto"/>
                <w:kern w:val="0"/>
                <w:sz w:val="20"/>
                <w:szCs w:val="21"/>
              </w:rPr>
              <w:sym w:font="Wingdings 2" w:char="F052"/>
            </w:r>
            <w:r>
              <w:rPr>
                <w:rFonts w:hint="eastAsia" w:ascii="宋体" w:hAnsi="宋体" w:cs="宋体"/>
                <w:color w:val="auto"/>
                <w:kern w:val="0"/>
                <w:szCs w:val="21"/>
              </w:rPr>
              <w:t>本项目代理服务费由</w:t>
            </w:r>
            <w:r>
              <w:rPr>
                <w:rFonts w:hint="eastAsia" w:ascii="宋体" w:hAnsi="宋体" w:cs="宋体"/>
                <w:color w:val="auto"/>
                <w:kern w:val="0"/>
                <w:szCs w:val="21"/>
                <w:u w:val="single"/>
              </w:rPr>
              <w:t>成交供应商</w:t>
            </w:r>
            <w:r>
              <w:rPr>
                <w:rFonts w:hint="eastAsia" w:ascii="宋体" w:hAnsi="宋体" w:cs="宋体"/>
                <w:color w:val="auto"/>
                <w:kern w:val="0"/>
                <w:szCs w:val="21"/>
              </w:rPr>
              <w:t>领取成交通知书前，一次性向采购代理机构支付。</w:t>
            </w:r>
          </w:p>
          <w:p w14:paraId="3D4E8179">
            <w:pPr>
              <w:rPr>
                <w:rFonts w:hint="eastAsia" w:ascii="宋体" w:hAnsi="宋体" w:cs="宋体"/>
                <w:color w:val="auto"/>
                <w:kern w:val="0"/>
                <w:szCs w:val="21"/>
              </w:rPr>
            </w:pPr>
            <w:r>
              <w:rPr>
                <w:rFonts w:hint="eastAsia" w:ascii="宋体" w:hAnsi="宋体" w:cs="宋体"/>
                <w:color w:val="auto"/>
                <w:kern w:val="0"/>
                <w:szCs w:val="21"/>
              </w:rPr>
              <w:t>□采购人支付。</w:t>
            </w:r>
          </w:p>
          <w:p w14:paraId="07C9C6D1">
            <w:pPr>
              <w:rPr>
                <w:rFonts w:hint="eastAsia" w:ascii="宋体" w:hAnsi="宋体" w:cs="宋体"/>
                <w:color w:val="auto"/>
                <w:kern w:val="0"/>
                <w:szCs w:val="21"/>
              </w:rPr>
            </w:pPr>
            <w:r>
              <w:rPr>
                <w:rFonts w:hint="eastAsia" w:ascii="宋体" w:hAnsi="宋体" w:cs="宋体"/>
                <w:color w:val="auto"/>
                <w:kern w:val="0"/>
                <w:szCs w:val="21"/>
              </w:rPr>
              <w:t>3.采购代理费收取标准：</w:t>
            </w:r>
          </w:p>
          <w:p w14:paraId="62DCFAD1">
            <w:pPr>
              <w:rPr>
                <w:rFonts w:hint="eastAsia" w:ascii="宋体" w:hAnsi="宋体" w:cs="宋体"/>
                <w:color w:val="auto"/>
                <w:kern w:val="0"/>
                <w:szCs w:val="21"/>
              </w:rPr>
            </w:pPr>
            <w:r>
              <w:rPr>
                <w:rFonts w:hint="eastAsia" w:ascii="宋体" w:hAnsi="宋体" w:cs="宋体"/>
                <w:color w:val="auto"/>
                <w:kern w:val="0"/>
                <w:sz w:val="20"/>
                <w:szCs w:val="21"/>
              </w:rPr>
              <w:sym w:font="Wingdings 2" w:char="F052"/>
            </w:r>
            <w:r>
              <w:rPr>
                <w:rFonts w:hint="eastAsia" w:ascii="宋体" w:hAnsi="宋体" w:cs="宋体"/>
                <w:color w:val="auto"/>
                <w:kern w:val="0"/>
                <w:szCs w:val="21"/>
              </w:rPr>
              <w:t>以分标（</w:t>
            </w:r>
            <w:r>
              <w:rPr>
                <w:rFonts w:hint="eastAsia" w:ascii="宋体" w:hAnsi="宋体" w:cs="宋体"/>
                <w:color w:val="auto"/>
                <w:kern w:val="0"/>
                <w:sz w:val="20"/>
                <w:szCs w:val="21"/>
              </w:rPr>
              <w:sym w:font="Wingdings 2" w:char="F052"/>
            </w:r>
            <w:r>
              <w:rPr>
                <w:rFonts w:hint="eastAsia" w:ascii="宋体" w:hAnsi="宋体" w:cs="宋体"/>
                <w:color w:val="auto"/>
                <w:kern w:val="0"/>
                <w:szCs w:val="21"/>
              </w:rPr>
              <w:t>成交金额）为计费额，按服务类采用差额定率累进法计算出收费基准价格，采购代理收费以（</w:t>
            </w:r>
            <w:r>
              <w:rPr>
                <w:rFonts w:hint="eastAsia" w:ascii="宋体" w:hAnsi="宋体" w:cs="宋体"/>
                <w:color w:val="auto"/>
                <w:kern w:val="0"/>
                <w:szCs w:val="21"/>
              </w:rPr>
              <w:sym w:font="Wingdings 2" w:char="0052"/>
            </w:r>
            <w:r>
              <w:rPr>
                <w:rFonts w:hint="eastAsia" w:ascii="宋体" w:hAnsi="宋体" w:cs="宋体"/>
                <w:color w:val="auto"/>
                <w:kern w:val="0"/>
                <w:szCs w:val="21"/>
              </w:rPr>
              <w:t>收费基准价格下浮</w:t>
            </w:r>
            <w:r>
              <w:rPr>
                <w:rFonts w:hint="eastAsia" w:ascii="宋体" w:hAnsi="宋体" w:cs="宋体"/>
                <w:color w:val="auto"/>
                <w:kern w:val="0"/>
                <w:szCs w:val="21"/>
                <w:u w:val="single"/>
              </w:rPr>
              <w:t>20%</w:t>
            </w:r>
            <w:r>
              <w:rPr>
                <w:rFonts w:hint="eastAsia" w:ascii="宋体" w:hAnsi="宋体" w:cs="宋体"/>
                <w:color w:val="auto"/>
                <w:kern w:val="0"/>
                <w:szCs w:val="21"/>
              </w:rPr>
              <w:t>）收取。</w:t>
            </w:r>
          </w:p>
          <w:p w14:paraId="528F1B49">
            <w:pPr>
              <w:tabs>
                <w:tab w:val="left" w:pos="283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代理服务费收费计算标准：</w:t>
            </w:r>
          </w:p>
          <w:tbl>
            <w:tblPr>
              <w:tblStyle w:val="22"/>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EBC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5716A6EB">
                  <w:pPr>
                    <w:spacing w:line="360" w:lineRule="auto"/>
                    <w:rPr>
                      <w:rFonts w:hint="eastAsia" w:ascii="宋体" w:hAnsi="宋体" w:cs="宋体"/>
                      <w:color w:val="auto"/>
                      <w:szCs w:val="21"/>
                    </w:rPr>
                  </w:pPr>
                  <w:r>
                    <w:rPr>
                      <w:rFonts w:hint="eastAsia" w:ascii="宋体" w:hAnsi="宋体" w:cs="宋体"/>
                      <w:color w:val="auto"/>
                      <w:szCs w:val="21"/>
                    </w:rPr>
                    <w:t xml:space="preserve">               费率</w:t>
                  </w:r>
                </w:p>
                <w:p w14:paraId="1B0E78B0">
                  <w:pPr>
                    <w:spacing w:line="360" w:lineRule="auto"/>
                    <w:rPr>
                      <w:rFonts w:hint="eastAsia" w:ascii="宋体" w:hAnsi="宋体" w:cs="宋体"/>
                      <w:color w:val="auto"/>
                      <w:szCs w:val="21"/>
                    </w:rPr>
                  </w:pPr>
                  <w:r>
                    <w:rPr>
                      <w:rFonts w:hint="eastAsia" w:ascii="宋体" w:hAnsi="宋体" w:cs="宋体"/>
                      <w:color w:val="auto"/>
                      <w:szCs w:val="21"/>
                    </w:rPr>
                    <w:t>金额</w:t>
                  </w:r>
                </w:p>
              </w:tc>
              <w:tc>
                <w:tcPr>
                  <w:tcW w:w="1659" w:type="dxa"/>
                  <w:vAlign w:val="center"/>
                </w:tcPr>
                <w:p w14:paraId="1538C052">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vAlign w:val="center"/>
                </w:tcPr>
                <w:p w14:paraId="3D36CF19">
                  <w:pPr>
                    <w:spacing w:line="360" w:lineRule="auto"/>
                    <w:jc w:val="center"/>
                    <w:rPr>
                      <w:rFonts w:hint="eastAsia" w:ascii="宋体" w:hAnsi="宋体" w:cs="宋体"/>
                      <w:color w:val="auto"/>
                      <w:szCs w:val="21"/>
                    </w:rPr>
                  </w:pPr>
                  <w:r>
                    <w:rPr>
                      <w:rFonts w:hint="eastAsia" w:ascii="宋体" w:hAnsi="宋体" w:cs="宋体"/>
                      <w:color w:val="auto"/>
                      <w:szCs w:val="21"/>
                    </w:rPr>
                    <w:t>服务类</w:t>
                  </w:r>
                </w:p>
              </w:tc>
              <w:tc>
                <w:tcPr>
                  <w:tcW w:w="1546" w:type="dxa"/>
                  <w:vAlign w:val="center"/>
                </w:tcPr>
                <w:p w14:paraId="7AB3CC98">
                  <w:pPr>
                    <w:spacing w:line="360" w:lineRule="auto"/>
                    <w:jc w:val="center"/>
                    <w:rPr>
                      <w:rFonts w:hint="eastAsia" w:ascii="宋体" w:hAnsi="宋体" w:cs="宋体"/>
                      <w:color w:val="auto"/>
                      <w:szCs w:val="21"/>
                    </w:rPr>
                  </w:pPr>
                  <w:r>
                    <w:rPr>
                      <w:rFonts w:hint="eastAsia" w:ascii="宋体" w:hAnsi="宋体" w:cs="宋体"/>
                      <w:color w:val="auto"/>
                      <w:szCs w:val="21"/>
                    </w:rPr>
                    <w:t>工程类</w:t>
                  </w:r>
                </w:p>
              </w:tc>
            </w:tr>
            <w:tr w14:paraId="190C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C1A9E44">
                  <w:pPr>
                    <w:spacing w:line="360" w:lineRule="auto"/>
                    <w:rPr>
                      <w:rFonts w:hint="eastAsia" w:ascii="宋体" w:hAnsi="宋体" w:cs="宋体"/>
                      <w:color w:val="auto"/>
                      <w:szCs w:val="21"/>
                    </w:rPr>
                  </w:pPr>
                  <w:r>
                    <w:rPr>
                      <w:rFonts w:hint="eastAsia" w:ascii="宋体" w:hAnsi="宋体" w:cs="宋体"/>
                      <w:color w:val="auto"/>
                      <w:szCs w:val="21"/>
                    </w:rPr>
                    <w:t>100万元以下</w:t>
                  </w:r>
                </w:p>
              </w:tc>
              <w:tc>
                <w:tcPr>
                  <w:tcW w:w="1659" w:type="dxa"/>
                </w:tcPr>
                <w:p w14:paraId="743648E7">
                  <w:pPr>
                    <w:spacing w:line="360" w:lineRule="auto"/>
                    <w:rPr>
                      <w:rFonts w:hint="eastAsia" w:ascii="宋体" w:hAnsi="宋体" w:cs="宋体"/>
                      <w:color w:val="auto"/>
                      <w:szCs w:val="21"/>
                    </w:rPr>
                  </w:pPr>
                  <w:r>
                    <w:rPr>
                      <w:rFonts w:hint="eastAsia" w:ascii="宋体" w:hAnsi="宋体" w:cs="宋体"/>
                      <w:color w:val="auto"/>
                      <w:kern w:val="0"/>
                      <w:szCs w:val="21"/>
                    </w:rPr>
                    <w:t xml:space="preserve">  1.5%                </w:t>
                  </w:r>
                </w:p>
              </w:tc>
              <w:tc>
                <w:tcPr>
                  <w:tcW w:w="1532" w:type="dxa"/>
                </w:tcPr>
                <w:p w14:paraId="6197BA94">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1.5%</w:t>
                  </w:r>
                </w:p>
              </w:tc>
              <w:tc>
                <w:tcPr>
                  <w:tcW w:w="1546" w:type="dxa"/>
                </w:tcPr>
                <w:p w14:paraId="14DDB8E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1.0% </w:t>
                  </w:r>
                </w:p>
              </w:tc>
            </w:tr>
            <w:tr w14:paraId="0F20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2D77CE0">
                  <w:pPr>
                    <w:spacing w:line="360" w:lineRule="auto"/>
                    <w:rPr>
                      <w:rFonts w:hint="eastAsia" w:ascii="宋体" w:hAnsi="宋体" w:cs="宋体"/>
                      <w:color w:val="auto"/>
                      <w:szCs w:val="21"/>
                    </w:rPr>
                  </w:pPr>
                  <w:r>
                    <w:rPr>
                      <w:rFonts w:hint="eastAsia" w:ascii="宋体" w:hAnsi="宋体" w:cs="宋体"/>
                      <w:color w:val="auto"/>
                      <w:szCs w:val="21"/>
                    </w:rPr>
                    <w:t>100～500万元</w:t>
                  </w:r>
                </w:p>
              </w:tc>
              <w:tc>
                <w:tcPr>
                  <w:tcW w:w="1659" w:type="dxa"/>
                </w:tcPr>
                <w:p w14:paraId="1FDE4863">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1.1%                 </w:t>
                  </w:r>
                </w:p>
              </w:tc>
              <w:tc>
                <w:tcPr>
                  <w:tcW w:w="1532" w:type="dxa"/>
                </w:tcPr>
                <w:p w14:paraId="2D8BBB7C">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0.8%</w:t>
                  </w:r>
                </w:p>
              </w:tc>
              <w:tc>
                <w:tcPr>
                  <w:tcW w:w="1546" w:type="dxa"/>
                </w:tcPr>
                <w:p w14:paraId="64A45365">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0.7% </w:t>
                  </w:r>
                </w:p>
              </w:tc>
            </w:tr>
            <w:tr w14:paraId="67C1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10DF269">
                  <w:pPr>
                    <w:spacing w:line="360" w:lineRule="auto"/>
                    <w:rPr>
                      <w:rFonts w:hint="eastAsia" w:ascii="宋体" w:hAnsi="宋体" w:cs="宋体"/>
                      <w:color w:val="auto"/>
                      <w:szCs w:val="21"/>
                    </w:rPr>
                  </w:pPr>
                  <w:r>
                    <w:rPr>
                      <w:rFonts w:hint="eastAsia" w:ascii="宋体" w:hAnsi="宋体" w:cs="宋体"/>
                      <w:color w:val="auto"/>
                      <w:szCs w:val="21"/>
                    </w:rPr>
                    <w:t>500～1000万元</w:t>
                  </w:r>
                </w:p>
              </w:tc>
              <w:tc>
                <w:tcPr>
                  <w:tcW w:w="1659" w:type="dxa"/>
                </w:tcPr>
                <w:p w14:paraId="6F198CA5">
                  <w:pPr>
                    <w:spacing w:line="360" w:lineRule="auto"/>
                    <w:rPr>
                      <w:rFonts w:hint="eastAsia" w:ascii="宋体" w:hAnsi="宋体" w:cs="宋体"/>
                      <w:color w:val="auto"/>
                      <w:szCs w:val="21"/>
                    </w:rPr>
                  </w:pPr>
                  <w:r>
                    <w:rPr>
                      <w:rFonts w:hint="eastAsia" w:ascii="宋体" w:hAnsi="宋体" w:cs="宋体"/>
                      <w:color w:val="auto"/>
                      <w:kern w:val="0"/>
                      <w:szCs w:val="21"/>
                    </w:rPr>
                    <w:t xml:space="preserve">  0.8%                </w:t>
                  </w:r>
                </w:p>
              </w:tc>
              <w:tc>
                <w:tcPr>
                  <w:tcW w:w="1532" w:type="dxa"/>
                </w:tcPr>
                <w:p w14:paraId="4235825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0.45%</w:t>
                  </w:r>
                </w:p>
              </w:tc>
              <w:tc>
                <w:tcPr>
                  <w:tcW w:w="1546" w:type="dxa"/>
                </w:tcPr>
                <w:p w14:paraId="19D6FD55">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0.55%</w:t>
                  </w:r>
                </w:p>
              </w:tc>
            </w:tr>
            <w:tr w14:paraId="6787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298C6B0">
                  <w:pPr>
                    <w:spacing w:line="360" w:lineRule="auto"/>
                    <w:rPr>
                      <w:rFonts w:hint="eastAsia" w:ascii="宋体" w:hAnsi="宋体" w:cs="宋体"/>
                      <w:color w:val="auto"/>
                      <w:szCs w:val="21"/>
                    </w:rPr>
                  </w:pPr>
                  <w:r>
                    <w:rPr>
                      <w:rFonts w:hint="eastAsia" w:ascii="宋体" w:hAnsi="宋体" w:cs="宋体"/>
                      <w:color w:val="auto"/>
                      <w:szCs w:val="21"/>
                    </w:rPr>
                    <w:t>1000～5000万元</w:t>
                  </w:r>
                </w:p>
              </w:tc>
              <w:tc>
                <w:tcPr>
                  <w:tcW w:w="1659" w:type="dxa"/>
                </w:tcPr>
                <w:p w14:paraId="3A0AFCB2">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0.5%                </w:t>
                  </w:r>
                </w:p>
              </w:tc>
              <w:tc>
                <w:tcPr>
                  <w:tcW w:w="1532" w:type="dxa"/>
                </w:tcPr>
                <w:p w14:paraId="528CF954">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0.25%</w:t>
                  </w:r>
                </w:p>
              </w:tc>
              <w:tc>
                <w:tcPr>
                  <w:tcW w:w="1546" w:type="dxa"/>
                </w:tcPr>
                <w:p w14:paraId="0545F2FF">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0.35% </w:t>
                  </w:r>
                </w:p>
              </w:tc>
            </w:tr>
            <w:tr w14:paraId="2707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FFE186C">
                  <w:pPr>
                    <w:spacing w:line="360" w:lineRule="auto"/>
                    <w:rPr>
                      <w:rFonts w:hint="eastAsia" w:ascii="宋体" w:hAnsi="宋体" w:cs="宋体"/>
                      <w:color w:val="auto"/>
                      <w:szCs w:val="21"/>
                    </w:rPr>
                  </w:pPr>
                  <w:r>
                    <w:rPr>
                      <w:rFonts w:hint="eastAsia" w:ascii="宋体" w:hAnsi="宋体" w:cs="宋体"/>
                      <w:color w:val="auto"/>
                      <w:szCs w:val="21"/>
                    </w:rPr>
                    <w:t>5000万元～1亿元</w:t>
                  </w:r>
                </w:p>
              </w:tc>
              <w:tc>
                <w:tcPr>
                  <w:tcW w:w="1659" w:type="dxa"/>
                </w:tcPr>
                <w:p w14:paraId="31FBD34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0.25%                 </w:t>
                  </w:r>
                </w:p>
              </w:tc>
              <w:tc>
                <w:tcPr>
                  <w:tcW w:w="1532" w:type="dxa"/>
                </w:tcPr>
                <w:p w14:paraId="24E54826">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0.1%</w:t>
                  </w:r>
                </w:p>
              </w:tc>
              <w:tc>
                <w:tcPr>
                  <w:tcW w:w="1546" w:type="dxa"/>
                </w:tcPr>
                <w:p w14:paraId="0B0DAF3A">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w:t>
                  </w:r>
                </w:p>
              </w:tc>
            </w:tr>
            <w:tr w14:paraId="4356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81802DF">
                  <w:pPr>
                    <w:spacing w:line="360" w:lineRule="auto"/>
                    <w:rPr>
                      <w:rFonts w:hint="eastAsia" w:ascii="宋体" w:hAnsi="宋体" w:cs="宋体"/>
                      <w:color w:val="auto"/>
                      <w:szCs w:val="21"/>
                    </w:rPr>
                  </w:pPr>
                  <w:r>
                    <w:rPr>
                      <w:rFonts w:hint="eastAsia" w:ascii="宋体" w:hAnsi="宋体" w:cs="宋体"/>
                      <w:color w:val="auto"/>
                      <w:szCs w:val="21"/>
                    </w:rPr>
                    <w:t>1～5亿元</w:t>
                  </w:r>
                </w:p>
              </w:tc>
              <w:tc>
                <w:tcPr>
                  <w:tcW w:w="1659" w:type="dxa"/>
                </w:tcPr>
                <w:p w14:paraId="4C3329DC">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0.05%</w:t>
                  </w:r>
                </w:p>
              </w:tc>
              <w:tc>
                <w:tcPr>
                  <w:tcW w:w="1532" w:type="dxa"/>
                </w:tcPr>
                <w:p w14:paraId="61D9B8B5">
                  <w:pPr>
                    <w:spacing w:line="360" w:lineRule="auto"/>
                    <w:rPr>
                      <w:rFonts w:hint="eastAsia" w:ascii="宋体" w:hAnsi="宋体" w:cs="宋体"/>
                      <w:color w:val="auto"/>
                      <w:szCs w:val="21"/>
                    </w:rPr>
                  </w:pPr>
                  <w:r>
                    <w:rPr>
                      <w:rFonts w:hint="eastAsia" w:ascii="宋体" w:hAnsi="宋体" w:cs="宋体"/>
                      <w:color w:val="auto"/>
                      <w:szCs w:val="21"/>
                    </w:rPr>
                    <w:t xml:space="preserve">  0.05%</w:t>
                  </w:r>
                </w:p>
              </w:tc>
              <w:tc>
                <w:tcPr>
                  <w:tcW w:w="1546" w:type="dxa"/>
                </w:tcPr>
                <w:p w14:paraId="788FE525">
                  <w:pPr>
                    <w:spacing w:line="360" w:lineRule="auto"/>
                    <w:rPr>
                      <w:rFonts w:hint="eastAsia" w:ascii="宋体" w:hAnsi="宋体" w:cs="宋体"/>
                      <w:color w:val="auto"/>
                      <w:szCs w:val="21"/>
                    </w:rPr>
                  </w:pPr>
                  <w:r>
                    <w:rPr>
                      <w:rFonts w:hint="eastAsia" w:ascii="宋体" w:hAnsi="宋体" w:cs="宋体"/>
                      <w:color w:val="auto"/>
                      <w:szCs w:val="21"/>
                    </w:rPr>
                    <w:t xml:space="preserve">  0.05%</w:t>
                  </w:r>
                </w:p>
              </w:tc>
            </w:tr>
            <w:tr w14:paraId="2F77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2AF4AC1">
                  <w:pPr>
                    <w:spacing w:line="360" w:lineRule="auto"/>
                    <w:rPr>
                      <w:rFonts w:hint="eastAsia" w:ascii="宋体" w:hAnsi="宋体" w:cs="宋体"/>
                      <w:color w:val="auto"/>
                      <w:szCs w:val="21"/>
                    </w:rPr>
                  </w:pPr>
                  <w:r>
                    <w:rPr>
                      <w:rFonts w:hint="eastAsia" w:ascii="宋体" w:hAnsi="宋体" w:cs="宋体"/>
                      <w:color w:val="auto"/>
                      <w:szCs w:val="21"/>
                    </w:rPr>
                    <w:t>5～10亿元</w:t>
                  </w:r>
                </w:p>
              </w:tc>
              <w:tc>
                <w:tcPr>
                  <w:tcW w:w="1659" w:type="dxa"/>
                </w:tcPr>
                <w:p w14:paraId="49D3B85D">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c>
                <w:tcPr>
                  <w:tcW w:w="1532" w:type="dxa"/>
                </w:tcPr>
                <w:p w14:paraId="5A549124">
                  <w:pPr>
                    <w:spacing w:line="360" w:lineRule="auto"/>
                    <w:rPr>
                      <w:rFonts w:hint="eastAsia" w:ascii="宋体" w:hAnsi="宋体" w:cs="宋体"/>
                      <w:color w:val="auto"/>
                      <w:szCs w:val="21"/>
                    </w:rPr>
                  </w:pPr>
                  <w:r>
                    <w:rPr>
                      <w:rFonts w:hint="eastAsia" w:ascii="宋体" w:hAnsi="宋体" w:cs="宋体"/>
                      <w:color w:val="auto"/>
                      <w:szCs w:val="21"/>
                    </w:rPr>
                    <w:t xml:space="preserve">  0.035%</w:t>
                  </w:r>
                </w:p>
              </w:tc>
              <w:tc>
                <w:tcPr>
                  <w:tcW w:w="1546" w:type="dxa"/>
                </w:tcPr>
                <w:p w14:paraId="7950E53F">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r>
            <w:tr w14:paraId="55EA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9647732">
                  <w:pPr>
                    <w:spacing w:line="360" w:lineRule="auto"/>
                    <w:rPr>
                      <w:rFonts w:hint="eastAsia" w:ascii="宋体" w:hAnsi="宋体" w:cs="宋体"/>
                      <w:color w:val="auto"/>
                      <w:szCs w:val="21"/>
                    </w:rPr>
                  </w:pPr>
                  <w:r>
                    <w:rPr>
                      <w:rFonts w:hint="eastAsia" w:ascii="宋体" w:hAnsi="宋体" w:cs="宋体"/>
                      <w:color w:val="auto"/>
                      <w:szCs w:val="21"/>
                    </w:rPr>
                    <w:t>10～50亿元</w:t>
                  </w:r>
                </w:p>
              </w:tc>
              <w:tc>
                <w:tcPr>
                  <w:tcW w:w="1659" w:type="dxa"/>
                </w:tcPr>
                <w:p w14:paraId="3E3D6D04">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c>
                <w:tcPr>
                  <w:tcW w:w="1532" w:type="dxa"/>
                </w:tcPr>
                <w:p w14:paraId="558C009A">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0.008%</w:t>
                  </w:r>
                </w:p>
              </w:tc>
              <w:tc>
                <w:tcPr>
                  <w:tcW w:w="1546" w:type="dxa"/>
                </w:tcPr>
                <w:p w14:paraId="76FFFF17">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r>
            <w:tr w14:paraId="07CE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ED43183">
                  <w:pPr>
                    <w:spacing w:line="360" w:lineRule="auto"/>
                    <w:rPr>
                      <w:rFonts w:hint="eastAsia" w:ascii="宋体" w:hAnsi="宋体" w:cs="宋体"/>
                      <w:color w:val="auto"/>
                      <w:szCs w:val="21"/>
                    </w:rPr>
                  </w:pPr>
                  <w:r>
                    <w:rPr>
                      <w:rFonts w:hint="eastAsia" w:ascii="宋体" w:hAnsi="宋体" w:cs="宋体"/>
                      <w:color w:val="auto"/>
                      <w:szCs w:val="21"/>
                    </w:rPr>
                    <w:t>50～100亿元</w:t>
                  </w:r>
                </w:p>
              </w:tc>
              <w:tc>
                <w:tcPr>
                  <w:tcW w:w="1659" w:type="dxa"/>
                </w:tcPr>
                <w:p w14:paraId="7D7C273B">
                  <w:pPr>
                    <w:spacing w:line="360" w:lineRule="auto"/>
                    <w:rPr>
                      <w:rFonts w:hint="eastAsia" w:ascii="宋体" w:hAnsi="宋体" w:cs="宋体"/>
                      <w:color w:val="auto"/>
                      <w:szCs w:val="21"/>
                    </w:rPr>
                  </w:pPr>
                  <w:r>
                    <w:rPr>
                      <w:rFonts w:hint="eastAsia" w:ascii="宋体" w:hAnsi="宋体" w:cs="宋体"/>
                      <w:color w:val="auto"/>
                      <w:szCs w:val="21"/>
                    </w:rPr>
                    <w:t xml:space="preserve"> 0.006%</w:t>
                  </w:r>
                </w:p>
              </w:tc>
              <w:tc>
                <w:tcPr>
                  <w:tcW w:w="1532" w:type="dxa"/>
                </w:tcPr>
                <w:p w14:paraId="1EFA0EED">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0.006%</w:t>
                  </w:r>
                </w:p>
              </w:tc>
              <w:tc>
                <w:tcPr>
                  <w:tcW w:w="1546" w:type="dxa"/>
                </w:tcPr>
                <w:p w14:paraId="7A1B63C0">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0.006%</w:t>
                  </w:r>
                </w:p>
              </w:tc>
            </w:tr>
            <w:tr w14:paraId="1623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EA16C15">
                  <w:pPr>
                    <w:spacing w:line="360" w:lineRule="auto"/>
                    <w:rPr>
                      <w:rFonts w:hint="eastAsia" w:ascii="宋体" w:hAnsi="宋体" w:cs="宋体"/>
                      <w:color w:val="auto"/>
                      <w:szCs w:val="21"/>
                    </w:rPr>
                  </w:pPr>
                  <w:r>
                    <w:rPr>
                      <w:rFonts w:hint="eastAsia" w:ascii="宋体" w:hAnsi="宋体" w:cs="宋体"/>
                      <w:color w:val="auto"/>
                      <w:szCs w:val="21"/>
                    </w:rPr>
                    <w:t>100亿以上</w:t>
                  </w:r>
                </w:p>
              </w:tc>
              <w:tc>
                <w:tcPr>
                  <w:tcW w:w="1659" w:type="dxa"/>
                </w:tcPr>
                <w:p w14:paraId="31BC133C">
                  <w:pPr>
                    <w:spacing w:line="360" w:lineRule="auto"/>
                    <w:rPr>
                      <w:rFonts w:hint="eastAsia" w:ascii="宋体" w:hAnsi="宋体" w:cs="宋体"/>
                      <w:color w:val="auto"/>
                      <w:szCs w:val="21"/>
                    </w:rPr>
                  </w:pPr>
                  <w:r>
                    <w:rPr>
                      <w:rFonts w:hint="eastAsia" w:ascii="宋体" w:hAnsi="宋体" w:cs="宋体"/>
                      <w:color w:val="auto"/>
                      <w:szCs w:val="21"/>
                    </w:rPr>
                    <w:t xml:space="preserve"> 0.004%</w:t>
                  </w:r>
                </w:p>
              </w:tc>
              <w:tc>
                <w:tcPr>
                  <w:tcW w:w="1532" w:type="dxa"/>
                </w:tcPr>
                <w:p w14:paraId="173AA1B7">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0.004%</w:t>
                  </w:r>
                </w:p>
              </w:tc>
              <w:tc>
                <w:tcPr>
                  <w:tcW w:w="1546" w:type="dxa"/>
                </w:tcPr>
                <w:p w14:paraId="3F5AB6CF">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0.004%</w:t>
                  </w:r>
                </w:p>
              </w:tc>
            </w:tr>
          </w:tbl>
          <w:p w14:paraId="7A8A5E83">
            <w:pPr>
              <w:spacing w:line="360" w:lineRule="auto"/>
              <w:ind w:firstLine="420" w:firstLineChars="200"/>
              <w:rPr>
                <w:rFonts w:hint="eastAsia" w:ascii="宋体" w:hAnsi="宋体" w:cs="宋体"/>
                <w:color w:val="auto"/>
              </w:rPr>
            </w:pPr>
            <w:r>
              <w:rPr>
                <w:rFonts w:ascii="宋体" w:hAnsi="宋体" w:cs="宋体"/>
                <w:color w:val="auto"/>
              </w:rPr>
              <w:t>注：</w:t>
            </w:r>
          </w:p>
          <w:p w14:paraId="2958CA57">
            <w:pPr>
              <w:spacing w:line="360" w:lineRule="auto"/>
              <w:ind w:firstLine="420" w:firstLineChars="200"/>
              <w:rPr>
                <w:rFonts w:hint="eastAsia"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4E574418">
            <w:pPr>
              <w:spacing w:line="360" w:lineRule="auto"/>
              <w:ind w:firstLine="420" w:firstLineChars="200"/>
              <w:rPr>
                <w:rFonts w:hint="eastAsia"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04DC3A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例如：某服务采购代理业务成交金额为300万元，采购代理服务费金额按如下计算：</w:t>
            </w:r>
          </w:p>
          <w:p w14:paraId="0FB9CB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100万元×1.5%＝1.5万元</w:t>
            </w:r>
          </w:p>
          <w:p w14:paraId="65BB03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（300－100）万元×0.8%＝1.6万元</w:t>
            </w:r>
          </w:p>
          <w:p w14:paraId="5275BA2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合计收费＝1.5＋1.6=3.1万元</w:t>
            </w:r>
          </w:p>
          <w:p w14:paraId="0972433B">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4.采购代理费收取银行账户</w:t>
            </w:r>
          </w:p>
          <w:p w14:paraId="7F89ED98">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开户名称：广西科文招标有限公司南宁三分公司</w:t>
            </w:r>
          </w:p>
          <w:p w14:paraId="696CE524">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开户银行：广西北部湾银行股份有限公司南宁市云景支行</w:t>
            </w:r>
          </w:p>
          <w:p w14:paraId="119F78E9">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银行账号：805029874400001</w:t>
            </w:r>
          </w:p>
        </w:tc>
      </w:tr>
      <w:tr w14:paraId="3FCB2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FA8E44">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33.1</w:t>
            </w:r>
          </w:p>
        </w:tc>
        <w:tc>
          <w:tcPr>
            <w:tcW w:w="8627" w:type="dxa"/>
            <w:vAlign w:val="center"/>
          </w:tcPr>
          <w:p w14:paraId="0C309B87">
            <w:pPr>
              <w:pStyle w:val="12"/>
              <w:snapToGrid w:val="0"/>
              <w:spacing w:line="360" w:lineRule="auto"/>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BB8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D08255">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33.2</w:t>
            </w:r>
          </w:p>
        </w:tc>
        <w:tc>
          <w:tcPr>
            <w:tcW w:w="8627" w:type="dxa"/>
            <w:vAlign w:val="center"/>
          </w:tcPr>
          <w:p w14:paraId="0A24F8BC">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4766EF88">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rPr>
              <w:t>营业执照或者执业许可证等证照上的</w:t>
            </w:r>
            <w:r>
              <w:rPr>
                <w:rFonts w:hint="eastAsia" w:asciiTheme="minorEastAsia" w:hAnsiTheme="minorEastAsia" w:eastAsiaTheme="minorEastAsia" w:cstheme="minorEastAsia"/>
                <w:color w:val="auto"/>
                <w:sz w:val="21"/>
              </w:rPr>
              <w:t>负责人，本磋商文件所称自然人指参与竞标的自然人本人，</w:t>
            </w:r>
            <w:r>
              <w:rPr>
                <w:rFonts w:hint="eastAsia" w:asciiTheme="minorEastAsia" w:hAnsiTheme="minorEastAsia" w:eastAsiaTheme="minorEastAsia" w:cstheme="minorEastAsia"/>
                <w:bCs/>
                <w:color w:val="auto"/>
                <w:sz w:val="21"/>
              </w:rPr>
              <w:t>且应具备独立承担民事责任能力，自然人应当为年满18岁以上成年人（十六周岁以上的未成年人，以自己的劳动收入为主要生活来源的，视为完全民事行为能力人）。</w:t>
            </w:r>
          </w:p>
          <w:p w14:paraId="530006D4">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3、本磋商文件中描述供应商的“签字”是指供应商的法定代表人或者委托代理人在文件规定签署处签名（含电子签名）的行为，私章、印鉴等其他形式均不能代替签字。</w:t>
            </w:r>
          </w:p>
          <w:p w14:paraId="4312C55D">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4、自然人竞标的，磋商文件规定盖公章处由自然人摁手指指印。</w:t>
            </w:r>
          </w:p>
          <w:p w14:paraId="422A4C2A">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5、本磋商文件所称的“以上”“以下”“以内”“届满”，包括本数；所称的“不满”“超过”“以外”，不包括本数。</w:t>
            </w:r>
          </w:p>
        </w:tc>
      </w:tr>
    </w:tbl>
    <w:p w14:paraId="2847FF9A">
      <w:pPr>
        <w:spacing w:line="400" w:lineRule="exact"/>
        <w:jc w:val="center"/>
        <w:rPr>
          <w:rFonts w:hint="eastAsia" w:ascii="宋体" w:hAnsi="宋体"/>
          <w:b/>
          <w:color w:val="auto"/>
          <w:sz w:val="32"/>
          <w:szCs w:val="32"/>
        </w:rPr>
      </w:pPr>
    </w:p>
    <w:p w14:paraId="6D258997">
      <w:pPr>
        <w:spacing w:line="400" w:lineRule="exact"/>
        <w:jc w:val="center"/>
        <w:rPr>
          <w:rFonts w:hint="eastAsia" w:ascii="宋体" w:hAnsi="宋体"/>
          <w:b/>
          <w:color w:val="auto"/>
          <w:sz w:val="32"/>
          <w:szCs w:val="32"/>
        </w:rPr>
      </w:pPr>
    </w:p>
    <w:p w14:paraId="541C4D1B">
      <w:pPr>
        <w:spacing w:line="400" w:lineRule="exact"/>
        <w:jc w:val="center"/>
        <w:rPr>
          <w:rFonts w:hint="eastAsia" w:ascii="宋体" w:hAnsi="宋体"/>
          <w:b/>
          <w:color w:val="auto"/>
          <w:sz w:val="32"/>
          <w:szCs w:val="32"/>
        </w:rPr>
      </w:pPr>
    </w:p>
    <w:p w14:paraId="5CC6EA56">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供应商须知正文</w:t>
      </w:r>
    </w:p>
    <w:p w14:paraId="5618C3CD">
      <w:pPr>
        <w:spacing w:line="400" w:lineRule="exact"/>
        <w:jc w:val="center"/>
        <w:rPr>
          <w:rFonts w:hint="eastAsia" w:ascii="宋体" w:hAnsi="宋体"/>
          <w:b/>
          <w:color w:val="auto"/>
          <w:sz w:val="32"/>
          <w:szCs w:val="32"/>
        </w:rPr>
      </w:pPr>
    </w:p>
    <w:p w14:paraId="0F1C7228">
      <w:pPr>
        <w:spacing w:line="360" w:lineRule="auto"/>
        <w:jc w:val="center"/>
        <w:rPr>
          <w:rFonts w:hint="eastAsia" w:ascii="宋体" w:hAnsi="宋体"/>
          <w:b/>
          <w:bCs/>
          <w:color w:val="auto"/>
          <w:sz w:val="32"/>
          <w:szCs w:val="32"/>
        </w:rPr>
      </w:pPr>
      <w:r>
        <w:rPr>
          <w:rFonts w:hint="eastAsia" w:ascii="宋体" w:hAnsi="宋体"/>
          <w:b/>
          <w:bCs/>
          <w:color w:val="auto"/>
          <w:sz w:val="32"/>
          <w:szCs w:val="32"/>
        </w:rPr>
        <w:t>一、总则</w:t>
      </w:r>
    </w:p>
    <w:p w14:paraId="51542479">
      <w:pPr>
        <w:spacing w:line="400" w:lineRule="exact"/>
        <w:rPr>
          <w:rFonts w:hint="eastAsia" w:ascii="宋体" w:hAnsi="宋体"/>
          <w:color w:val="auto"/>
          <w:szCs w:val="21"/>
        </w:rPr>
      </w:pPr>
    </w:p>
    <w:p w14:paraId="24081BC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1.适用范围</w:t>
      </w:r>
    </w:p>
    <w:p w14:paraId="661EC2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4508BE8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7B830B0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2.定义</w:t>
      </w:r>
    </w:p>
    <w:p w14:paraId="6D4AE3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6CFE35F8">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6F694B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358ECAAD">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42020D6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63C968AF">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40C1DEDC">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是指：供应商根据本磋商文件要求，编制包含资格证明、报价商务技术等所有内容的文件。</w:t>
      </w:r>
    </w:p>
    <w:p w14:paraId="688F7D3A">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14:paraId="63C41C12">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7575BDFF">
      <w:pPr>
        <w:spacing w:line="360" w:lineRule="auto"/>
        <w:ind w:firstLine="420" w:firstLineChars="200"/>
        <w:contextualSpacing/>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4106C936">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3C61F3E9">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14D6FC93">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3.供应商的资格条件</w:t>
      </w:r>
    </w:p>
    <w:p w14:paraId="16A45F7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3AEECCF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4.竞标费用</w:t>
      </w:r>
    </w:p>
    <w:p w14:paraId="763AFC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4FFC288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5.转包与分包             </w:t>
      </w:r>
    </w:p>
    <w:p w14:paraId="17AAA46C">
      <w:pPr>
        <w:pStyle w:val="5"/>
        <w:keepNext w:val="0"/>
        <w:keepLines w:val="0"/>
        <w:spacing w:before="0" w:after="0" w:line="360" w:lineRule="auto"/>
        <w:ind w:left="420" w:leftChars="200"/>
        <w:rPr>
          <w:rFonts w:hint="eastAsia" w:ascii="宋体" w:hAnsi="宋体"/>
          <w:b w:val="0"/>
          <w:color w:val="auto"/>
          <w:sz w:val="21"/>
          <w:szCs w:val="21"/>
        </w:rPr>
      </w:pPr>
      <w:bookmarkStart w:id="22" w:name="_Toc254970673"/>
      <w:bookmarkStart w:id="23" w:name="_Toc254970532"/>
      <w:r>
        <w:rPr>
          <w:rFonts w:hint="eastAsia" w:ascii="宋体" w:hAnsi="宋体"/>
          <w:b w:val="0"/>
          <w:color w:val="auto"/>
          <w:sz w:val="21"/>
          <w:szCs w:val="21"/>
        </w:rPr>
        <w:t>5.1本项目不允许转包。</w:t>
      </w:r>
    </w:p>
    <w:p w14:paraId="0872889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6.特别说明</w:t>
      </w:r>
      <w:bookmarkEnd w:id="22"/>
      <w:bookmarkEnd w:id="23"/>
    </w:p>
    <w:p w14:paraId="2CEFF6E2">
      <w:pPr>
        <w:spacing w:line="360" w:lineRule="auto"/>
        <w:ind w:firstLine="420" w:firstLineChars="200"/>
        <w:rPr>
          <w:rFonts w:hint="eastAsia" w:ascii="宋体" w:hAnsi="宋体" w:cs="宋体"/>
          <w:color w:val="auto"/>
          <w:szCs w:val="21"/>
        </w:rPr>
      </w:pPr>
      <w:bookmarkStart w:id="24" w:name="_8.1提供相同品牌产品且通过资格审查、符合性审查的不同投标人参加同一合"/>
      <w:bookmarkEnd w:id="24"/>
      <w:r>
        <w:rPr>
          <w:rFonts w:hint="eastAsia" w:ascii="宋体" w:hAnsi="宋体" w:cs="宋体"/>
          <w:color w:val="auto"/>
          <w:szCs w:val="21"/>
        </w:rPr>
        <w:t>6.</w:t>
      </w:r>
      <w:r>
        <w:rPr>
          <w:rFonts w:ascii="宋体" w:hAnsi="宋体" w:cs="宋体"/>
          <w:color w:val="auto"/>
          <w:szCs w:val="21"/>
        </w:rPr>
        <w:t>1</w:t>
      </w:r>
      <w:bookmarkStart w:id="25"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25"/>
    <w:p w14:paraId="0CDEFB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61689D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供应商在竞标活动中提供任何疑似虚假材料，将报监管部门查处；签订合同后发现的，成交供应商须依法赔偿采购人，且民事赔偿并不免除违法供应商的行政与刑事责任。</w:t>
      </w:r>
    </w:p>
    <w:p w14:paraId="057384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3BADFA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1C61E4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729884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603186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6704415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294A95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D5D9C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7B40A4E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（1）不同供应商的响应文件由同一单位或者个人编制； </w:t>
      </w:r>
    </w:p>
    <w:p w14:paraId="7A0442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107A4A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3E93A4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411ED9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578056C4">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718D8F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5EB769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3D49EA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57B597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6C8C630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60BF73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2BB961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01D56D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73D7CF99">
      <w:pPr>
        <w:spacing w:line="360" w:lineRule="auto"/>
        <w:jc w:val="center"/>
        <w:rPr>
          <w:rFonts w:hint="eastAsia" w:ascii="宋体" w:hAnsi="宋体"/>
          <w:b/>
          <w:bCs/>
          <w:color w:val="auto"/>
          <w:sz w:val="32"/>
          <w:szCs w:val="32"/>
        </w:rPr>
      </w:pPr>
      <w:bookmarkStart w:id="26" w:name="_Toc254970534"/>
      <w:bookmarkStart w:id="27" w:name="_Toc254970675"/>
      <w:r>
        <w:rPr>
          <w:rFonts w:hint="eastAsia" w:ascii="宋体" w:hAnsi="宋体"/>
          <w:b/>
          <w:bCs/>
          <w:color w:val="auto"/>
          <w:sz w:val="32"/>
          <w:szCs w:val="32"/>
        </w:rPr>
        <w:t>二、磋商文件</w:t>
      </w:r>
      <w:bookmarkEnd w:id="26"/>
      <w:bookmarkEnd w:id="27"/>
    </w:p>
    <w:p w14:paraId="39440E94">
      <w:pPr>
        <w:spacing w:line="360" w:lineRule="auto"/>
        <w:ind w:firstLine="482" w:firstLineChars="200"/>
        <w:rPr>
          <w:rFonts w:hint="eastAsia" w:ascii="黑体" w:hAnsi="黑体" w:eastAsia="黑体" w:cs="宋体"/>
          <w:b/>
          <w:bCs/>
          <w:color w:val="auto"/>
          <w:sz w:val="24"/>
        </w:rPr>
      </w:pPr>
    </w:p>
    <w:p w14:paraId="02F02733">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7.磋商文件的构成</w:t>
      </w:r>
    </w:p>
    <w:p w14:paraId="521C846D">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2B112C95">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4CE81896">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7F03FEC4">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5751A1F5">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71BF1E79">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4C010C6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8.供应商的询问</w:t>
      </w:r>
    </w:p>
    <w:p w14:paraId="5F46B731">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，以纸质书面形式向</w:t>
      </w:r>
      <w:r>
        <w:rPr>
          <w:rFonts w:ascii="宋体" w:hAnsi="宋体"/>
          <w:color w:val="auto"/>
          <w:szCs w:val="21"/>
        </w:rPr>
        <w:t>采购人、采购代理机构</w:t>
      </w:r>
      <w:r>
        <w:rPr>
          <w:rFonts w:hint="eastAsia" w:ascii="宋体" w:hAnsi="宋体"/>
          <w:color w:val="auto"/>
          <w:szCs w:val="21"/>
        </w:rPr>
        <w:t>提出</w:t>
      </w:r>
      <w:r>
        <w:rPr>
          <w:rFonts w:hint="eastAsia" w:ascii="宋体" w:hAnsi="宋体" w:cs="宋体"/>
          <w:color w:val="auto"/>
          <w:szCs w:val="21"/>
        </w:rPr>
        <w:t>，否则，由此产生的后果由供应商自行负责。</w:t>
      </w:r>
    </w:p>
    <w:p w14:paraId="36EECDD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9.磋商文件的澄清和修改</w:t>
      </w:r>
    </w:p>
    <w:p w14:paraId="025B47F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rPr>
        <w:t>5</w:t>
      </w:r>
      <w:r>
        <w:rPr>
          <w:rFonts w:hint="eastAsia" w:ascii="宋体" w:hAnsi="宋体" w:cs="宋体"/>
          <w:color w:val="auto"/>
          <w:szCs w:val="21"/>
        </w:rPr>
        <w:t>日前，在原公告发布媒体上发布更正公告；不足</w:t>
      </w:r>
      <w:r>
        <w:rPr>
          <w:rFonts w:ascii="宋体" w:hAnsi="宋体" w:cs="宋体"/>
          <w:color w:val="auto"/>
          <w:szCs w:val="21"/>
        </w:rPr>
        <w:t>5</w:t>
      </w:r>
      <w:r>
        <w:rPr>
          <w:rFonts w:hint="eastAsia" w:ascii="宋体" w:hAnsi="宋体" w:cs="宋体"/>
          <w:color w:val="auto"/>
          <w:szCs w:val="21"/>
        </w:rPr>
        <w:t>日的，采购人、采购代理机构应当顺延提交首次响应文件截止时间。</w:t>
      </w:r>
    </w:p>
    <w:p w14:paraId="02E46B35">
      <w:pPr>
        <w:spacing w:line="400" w:lineRule="exact"/>
        <w:ind w:firstLine="420" w:firstLineChars="200"/>
        <w:rPr>
          <w:rFonts w:hint="eastAsia" w:ascii="宋体" w:hAnsi="宋体"/>
          <w:color w:val="auto"/>
          <w:szCs w:val="21"/>
        </w:rPr>
      </w:pPr>
      <w:r>
        <w:rPr>
          <w:rFonts w:hint="eastAsia" w:ascii="宋体" w:hAnsi="宋体" w:cs="宋体"/>
          <w:color w:val="auto"/>
        </w:rPr>
        <w:t>9.2采购人和采购代理机构可以视采购具体情况，变更</w:t>
      </w:r>
      <w:r>
        <w:rPr>
          <w:rFonts w:hint="eastAsia" w:ascii="宋体" w:hAnsi="宋体" w:cs="宋体"/>
          <w:color w:val="auto"/>
          <w:szCs w:val="21"/>
        </w:rPr>
        <w:t>首次响应文件提交截止时间和开启时间</w:t>
      </w:r>
      <w:r>
        <w:rPr>
          <w:rFonts w:hint="eastAsia" w:ascii="宋体" w:hAnsi="宋体" w:cs="宋体"/>
          <w:color w:val="auto"/>
        </w:rPr>
        <w:t>，</w:t>
      </w:r>
      <w:r>
        <w:rPr>
          <w:rFonts w:hint="eastAsia" w:ascii="宋体" w:hAnsi="宋体"/>
          <w:color w:val="auto"/>
        </w:rPr>
        <w:t>并</w:t>
      </w:r>
      <w:r>
        <w:rPr>
          <w:rFonts w:hint="eastAsia" w:ascii="宋体" w:hAnsi="宋体"/>
          <w:color w:val="auto"/>
          <w:szCs w:val="21"/>
        </w:rPr>
        <w:t>在原公告发布媒体上发布更正公告。</w:t>
      </w:r>
    </w:p>
    <w:p w14:paraId="0FF184A2">
      <w:pPr>
        <w:spacing w:line="400" w:lineRule="exact"/>
        <w:ind w:firstLine="420" w:firstLineChars="200"/>
        <w:rPr>
          <w:rFonts w:hint="eastAsia" w:ascii="宋体" w:hAnsi="宋体" w:cs="宋体"/>
          <w:color w:val="auto"/>
        </w:rPr>
      </w:pPr>
      <w:r>
        <w:rPr>
          <w:rFonts w:hint="eastAsia" w:ascii="宋体" w:hAnsi="宋体" w:cs="宋体"/>
          <w:color w:val="auto"/>
        </w:rPr>
        <w:t>9.3</w:t>
      </w:r>
      <w:r>
        <w:rPr>
          <w:rFonts w:hint="eastAsia" w:ascii="宋体" w:hAnsi="宋体" w:cs="宋体"/>
          <w:color w:val="auto"/>
          <w:szCs w:val="21"/>
        </w:rPr>
        <w:t>磋商文件</w:t>
      </w:r>
      <w:r>
        <w:rPr>
          <w:rFonts w:hint="eastAsia" w:ascii="宋体" w:hAnsi="宋体"/>
          <w:color w:val="auto"/>
          <w:szCs w:val="21"/>
        </w:rPr>
        <w:t>澄清、答复、修改、补充的内容为</w:t>
      </w:r>
      <w:r>
        <w:rPr>
          <w:rFonts w:hint="eastAsia" w:ascii="宋体" w:hAnsi="宋体" w:cs="宋体"/>
          <w:color w:val="auto"/>
          <w:szCs w:val="21"/>
        </w:rPr>
        <w:t>磋商文件</w:t>
      </w:r>
      <w:r>
        <w:rPr>
          <w:rFonts w:hint="eastAsia" w:ascii="宋体" w:hAnsi="宋体"/>
          <w:color w:val="auto"/>
          <w:szCs w:val="21"/>
        </w:rPr>
        <w:t>的组成部分。</w:t>
      </w:r>
      <w:r>
        <w:rPr>
          <w:rFonts w:hint="eastAsia" w:ascii="宋体" w:hAnsi="宋体"/>
          <w:b/>
          <w:color w:val="auto"/>
          <w:szCs w:val="21"/>
        </w:rPr>
        <w:t>当</w:t>
      </w:r>
      <w:r>
        <w:rPr>
          <w:rFonts w:hint="eastAsia" w:ascii="宋体" w:hAnsi="宋体" w:cs="宋体"/>
          <w:b/>
          <w:color w:val="auto"/>
          <w:szCs w:val="21"/>
        </w:rPr>
        <w:t>磋商文件</w:t>
      </w:r>
      <w:r>
        <w:rPr>
          <w:rFonts w:hint="eastAsia" w:ascii="宋体" w:hAnsi="宋体"/>
          <w:b/>
          <w:color w:val="auto"/>
          <w:szCs w:val="21"/>
        </w:rPr>
        <w:t>与</w:t>
      </w:r>
      <w:r>
        <w:rPr>
          <w:rFonts w:hint="eastAsia" w:ascii="宋体" w:hAnsi="宋体" w:cs="宋体"/>
          <w:b/>
          <w:color w:val="auto"/>
          <w:szCs w:val="21"/>
        </w:rPr>
        <w:t>磋商文件</w:t>
      </w:r>
      <w:r>
        <w:rPr>
          <w:rFonts w:hint="eastAsia" w:ascii="宋体" w:hAnsi="宋体"/>
          <w:b/>
          <w:color w:val="auto"/>
          <w:szCs w:val="21"/>
        </w:rPr>
        <w:t>的澄清、答复、修改、补充通知就同一内容的表述不一致时，以最后发出的文件为准。</w:t>
      </w:r>
    </w:p>
    <w:p w14:paraId="3F7A040D">
      <w:pPr>
        <w:spacing w:line="400" w:lineRule="exact"/>
        <w:ind w:firstLine="422" w:firstLineChars="200"/>
        <w:rPr>
          <w:rFonts w:hint="eastAsia" w:ascii="宋体" w:hAnsi="宋体"/>
          <w:b/>
          <w:color w:val="auto"/>
          <w:szCs w:val="21"/>
        </w:rPr>
      </w:pPr>
      <w:r>
        <w:rPr>
          <w:rFonts w:hint="eastAsia" w:ascii="宋体" w:hAnsi="宋体" w:cs="宋体"/>
          <w:b/>
          <w:color w:val="auto"/>
        </w:rPr>
        <w:t>9.4</w:t>
      </w:r>
      <w:r>
        <w:rPr>
          <w:rFonts w:hint="eastAsia" w:ascii="宋体" w:hAnsi="宋体"/>
          <w:b/>
          <w:color w:val="auto"/>
          <w:szCs w:val="21"/>
        </w:rPr>
        <w:t>响应文件未按磋商文件的澄清、修改后的内容编制的，其响应文件作无效响应处理。</w:t>
      </w:r>
    </w:p>
    <w:p w14:paraId="46FA4AB2">
      <w:pPr>
        <w:spacing w:line="400" w:lineRule="exact"/>
        <w:ind w:firstLine="422" w:firstLineChars="200"/>
        <w:rPr>
          <w:rFonts w:hint="eastAsia" w:ascii="宋体" w:hAnsi="宋体"/>
          <w:b/>
          <w:color w:val="auto"/>
          <w:szCs w:val="21"/>
        </w:rPr>
      </w:pPr>
    </w:p>
    <w:p w14:paraId="0B106C7A">
      <w:pPr>
        <w:spacing w:line="360" w:lineRule="auto"/>
        <w:jc w:val="center"/>
        <w:rPr>
          <w:rFonts w:hint="eastAsia" w:ascii="宋体" w:hAnsi="宋体"/>
          <w:b/>
          <w:bCs/>
          <w:color w:val="auto"/>
          <w:sz w:val="32"/>
          <w:szCs w:val="32"/>
        </w:rPr>
      </w:pPr>
      <w:r>
        <w:rPr>
          <w:rFonts w:hint="eastAsia" w:ascii="宋体" w:hAnsi="宋体"/>
          <w:b/>
          <w:bCs/>
          <w:color w:val="auto"/>
          <w:sz w:val="32"/>
          <w:szCs w:val="32"/>
        </w:rPr>
        <w:t>三、响应文件的编制</w:t>
      </w:r>
    </w:p>
    <w:p w14:paraId="101E47AF">
      <w:pPr>
        <w:spacing w:line="360" w:lineRule="auto"/>
        <w:ind w:firstLine="482" w:firstLineChars="200"/>
        <w:rPr>
          <w:rFonts w:hint="eastAsia" w:ascii="黑体" w:hAnsi="黑体" w:eastAsia="黑体" w:cs="宋体"/>
          <w:b/>
          <w:bCs/>
          <w:color w:val="auto"/>
          <w:sz w:val="24"/>
        </w:rPr>
      </w:pPr>
    </w:p>
    <w:p w14:paraId="74B0C35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10.响应文件的编制原则</w:t>
      </w:r>
    </w:p>
    <w:p w14:paraId="3C43A8D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0AB21DA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11.响应文件的组成</w:t>
      </w:r>
    </w:p>
    <w:p w14:paraId="6E282A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11.1响应文件由资格证明文件、报价商务技术文件两部分组成。</w:t>
      </w:r>
    </w:p>
    <w:p w14:paraId="15ED3EEC">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11</w:t>
      </w:r>
      <w:r>
        <w:rPr>
          <w:rFonts w:ascii="宋体" w:hAnsi="宋体" w:cs="宋体"/>
          <w:color w:val="auto"/>
          <w:szCs w:val="21"/>
        </w:rPr>
        <w:t>.1.1</w:t>
      </w:r>
      <w:r>
        <w:rPr>
          <w:rFonts w:hint="eastAsia" w:ascii="宋体" w:hAnsi="宋体" w:cs="宋体"/>
          <w:color w:val="auto"/>
          <w:szCs w:val="21"/>
        </w:rPr>
        <w:t>资格证明文件：详见须知前附表</w:t>
      </w:r>
    </w:p>
    <w:p w14:paraId="4993AC31">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11</w:t>
      </w:r>
      <w:r>
        <w:rPr>
          <w:rFonts w:ascii="宋体" w:hAnsi="宋体" w:cs="宋体"/>
          <w:color w:val="auto"/>
          <w:szCs w:val="21"/>
        </w:rPr>
        <w:t>.1.2</w:t>
      </w:r>
      <w:r>
        <w:rPr>
          <w:rFonts w:hint="eastAsia" w:ascii="宋体" w:hAnsi="宋体" w:cs="宋体"/>
          <w:color w:val="auto"/>
          <w:szCs w:val="21"/>
        </w:rPr>
        <w:t>报价商务技术文件：详见须知前附表</w:t>
      </w:r>
    </w:p>
    <w:p w14:paraId="4141A01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12.计量单位</w:t>
      </w:r>
    </w:p>
    <w:p w14:paraId="0DA6F5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592B186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13.竞标的风险</w:t>
      </w:r>
    </w:p>
    <w:p w14:paraId="65550B1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0A97C7C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14.竞标报价</w:t>
      </w:r>
    </w:p>
    <w:p w14:paraId="7BD8D7C3">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14.1竞标报价应按磋商文件中“竞标报价表”格式填写。</w:t>
      </w:r>
    </w:p>
    <w:p w14:paraId="48DA614E">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14.2竞标报价的内容见“供应商须知前附表”。</w:t>
      </w:r>
    </w:p>
    <w:p w14:paraId="7CD3C4C6">
      <w:pPr>
        <w:spacing w:line="360" w:lineRule="auto"/>
        <w:ind w:left="426" w:leftChars="203"/>
        <w:rPr>
          <w:rFonts w:hint="eastAsia" w:ascii="宋体" w:hAnsi="宋体" w:cs="宋体"/>
          <w:color w:val="auto"/>
          <w:szCs w:val="21"/>
        </w:rPr>
      </w:pPr>
      <w:r>
        <w:rPr>
          <w:rFonts w:hint="eastAsia" w:ascii="宋体" w:hAnsi="宋体" w:cs="宋体"/>
          <w:color w:val="auto"/>
          <w:szCs w:val="21"/>
        </w:rPr>
        <w:t>14.3竞标报价要求</w:t>
      </w:r>
    </w:p>
    <w:p w14:paraId="6330DF28">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14</w:t>
      </w:r>
      <w:r>
        <w:rPr>
          <w:rFonts w:ascii="宋体" w:hAnsi="宋体" w:cs="宋体"/>
          <w:b/>
          <w:color w:val="auto"/>
          <w:szCs w:val="21"/>
        </w:rPr>
        <w:t>.3.1</w:t>
      </w:r>
      <w:r>
        <w:rPr>
          <w:rFonts w:hint="eastAsia" w:ascii="宋体" w:hAnsi="宋体" w:cs="宋体"/>
          <w:b/>
          <w:color w:val="auto"/>
          <w:szCs w:val="21"/>
        </w:rPr>
        <w:t>供应商的竞标报价应符合以下要求，否则响应文件按无效响应处理：</w:t>
      </w:r>
    </w:p>
    <w:p w14:paraId="64EDEB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（1）供应商必须就“采购需求”中所竞标的每个分标的全部内容分别作完整唯一总价报价，不得存在漏项报价；</w:t>
      </w:r>
    </w:p>
    <w:p w14:paraId="167E00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7AEEED6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w:t>
      </w:r>
      <w:r>
        <w:rPr>
          <w:rFonts w:ascii="宋体" w:hAnsi="宋体" w:cs="宋体"/>
          <w:color w:val="auto"/>
          <w:szCs w:val="21"/>
        </w:rPr>
        <w:t>2</w:t>
      </w:r>
      <w:r>
        <w:rPr>
          <w:rFonts w:hint="eastAsia" w:ascii="宋体" w:hAnsi="宋体" w:cs="宋体"/>
          <w:color w:val="auto"/>
          <w:szCs w:val="21"/>
        </w:rPr>
        <w:t>最后报价超过所竞标分标规定的采购预算金额或者最高限价的，其响应文件将按无效响应处理。</w:t>
      </w:r>
      <w:bookmarkStart w:id="28" w:name="_Hlk42592874"/>
    </w:p>
    <w:bookmarkEnd w:id="28"/>
    <w:p w14:paraId="3B16A91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15.竞标有效期</w:t>
      </w:r>
    </w:p>
    <w:p w14:paraId="6F60B5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15.1竞标有效期是指为保证采购人有足够的时间在提交响应文件后完成评审、确定成交供应商、合同签订等工作而要求供应商提交的响应文件在一定时间内保持有效的期限。</w:t>
      </w:r>
    </w:p>
    <w:p w14:paraId="6C1D4F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15.2 竞标有效期应由供应商按“供应商须知前附表”规定的期限作出响应。</w:t>
      </w:r>
    </w:p>
    <w:p w14:paraId="3B7AC6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15.3供应商的响应文件在竞标有效期内均保持有效。</w:t>
      </w:r>
    </w:p>
    <w:p w14:paraId="7023D81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16.磋商保证金</w:t>
      </w:r>
    </w:p>
    <w:p w14:paraId="2A261259">
      <w:pPr>
        <w:spacing w:line="360" w:lineRule="auto"/>
        <w:ind w:left="420" w:leftChars="200"/>
        <w:rPr>
          <w:rFonts w:hint="eastAsia" w:ascii="宋体" w:hAnsi="宋体" w:cs="宋体"/>
          <w:color w:val="auto"/>
          <w:szCs w:val="21"/>
        </w:rPr>
      </w:pPr>
      <w:r>
        <w:rPr>
          <w:rFonts w:hint="eastAsia" w:ascii="宋体" w:hAnsi="宋体" w:cs="宋体"/>
          <w:color w:val="auto"/>
          <w:szCs w:val="21"/>
        </w:rPr>
        <w:t>16.1供应商须按“供应商须知前附表”的规定提交磋商保证金。</w:t>
      </w:r>
    </w:p>
    <w:p w14:paraId="119A9D1A">
      <w:pPr>
        <w:spacing w:line="360" w:lineRule="auto"/>
        <w:ind w:left="420" w:leftChars="200"/>
        <w:rPr>
          <w:rFonts w:hint="eastAsia" w:ascii="宋体" w:hAnsi="宋体" w:cs="宋体"/>
          <w:color w:val="auto"/>
          <w:szCs w:val="21"/>
        </w:rPr>
      </w:pPr>
      <w:r>
        <w:rPr>
          <w:rFonts w:hint="eastAsia" w:ascii="宋体" w:hAnsi="宋体" w:cs="宋体"/>
          <w:color w:val="auto"/>
          <w:szCs w:val="21"/>
        </w:rPr>
        <w:t>16.2磋商保证金的退还</w:t>
      </w:r>
    </w:p>
    <w:p w14:paraId="7389ADD5">
      <w:pPr>
        <w:spacing w:line="360" w:lineRule="auto"/>
        <w:ind w:firstLine="420" w:firstLineChars="200"/>
        <w:rPr>
          <w:rFonts w:hint="eastAsia" w:ascii="宋体" w:hAnsi="宋体" w:cs="宋体"/>
          <w:color w:val="auto"/>
          <w:szCs w:val="21"/>
        </w:rPr>
      </w:pPr>
      <w:bookmarkStart w:id="29" w:name="_Hlk66782243"/>
      <w:r>
        <w:rPr>
          <w:rFonts w:hint="eastAsia" w:ascii="宋体" w:hAnsi="宋体" w:cs="宋体"/>
          <w:color w:val="auto"/>
          <w:szCs w:val="21"/>
        </w:rPr>
        <w:t>未</w:t>
      </w:r>
      <w:r>
        <w:rPr>
          <w:rFonts w:hint="eastAsia" w:ascii="宋体" w:hAnsi="宋体" w:cs="宋体"/>
          <w:color w:val="auto"/>
          <w:spacing w:val="-6"/>
          <w:szCs w:val="21"/>
        </w:rPr>
        <w:t>成交供应商的磋商保证金自成交通知书发出之日起4个工作日内退还；</w:t>
      </w:r>
      <w:r>
        <w:rPr>
          <w:rFonts w:hint="eastAsia" w:ascii="宋体" w:hAnsi="宋体" w:cs="宋体"/>
          <w:color w:val="auto"/>
          <w:szCs w:val="21"/>
        </w:rPr>
        <w:t>成交供应商的磋商保证金自签订合同之日起4个工作日内退还。</w:t>
      </w:r>
      <w:bookmarkEnd w:id="29"/>
      <w:r>
        <w:rPr>
          <w:rFonts w:hint="eastAsia" w:ascii="宋体" w:hAnsi="宋体" w:cs="宋体"/>
          <w:color w:val="auto"/>
          <w:szCs w:val="21"/>
        </w:rPr>
        <w:t xml:space="preserve"> </w:t>
      </w:r>
    </w:p>
    <w:p w14:paraId="03DEB7D9">
      <w:pPr>
        <w:spacing w:line="360" w:lineRule="auto"/>
        <w:ind w:left="420" w:leftChars="200"/>
        <w:rPr>
          <w:rFonts w:hint="eastAsia" w:ascii="宋体" w:hAnsi="宋体" w:cs="宋体"/>
          <w:color w:val="auto"/>
          <w:szCs w:val="21"/>
        </w:rPr>
      </w:pPr>
      <w:r>
        <w:rPr>
          <w:rFonts w:hint="eastAsia" w:ascii="宋体" w:hAnsi="宋体" w:cs="宋体"/>
          <w:color w:val="auto"/>
          <w:szCs w:val="21"/>
        </w:rPr>
        <w:t>16.3磋商保证金不计息。</w:t>
      </w:r>
    </w:p>
    <w:p w14:paraId="123FAFDD">
      <w:pPr>
        <w:spacing w:line="360" w:lineRule="auto"/>
        <w:ind w:left="420" w:leftChars="200"/>
        <w:rPr>
          <w:rFonts w:hint="eastAsia" w:ascii="宋体" w:hAnsi="宋体" w:cs="宋体"/>
          <w:color w:val="auto"/>
          <w:szCs w:val="21"/>
        </w:rPr>
      </w:pPr>
      <w:r>
        <w:rPr>
          <w:rFonts w:hint="eastAsia" w:ascii="宋体" w:hAnsi="宋体" w:cs="宋体"/>
          <w:color w:val="auto"/>
          <w:szCs w:val="21"/>
        </w:rPr>
        <w:t xml:space="preserve">16.4供应商有下列情形之一的，磋商保证金将不予退还： </w:t>
      </w:r>
    </w:p>
    <w:p w14:paraId="304A7552">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（1）供应商在提交首次响应文件截止时间后撤回响应文件的；</w:t>
      </w:r>
    </w:p>
    <w:p w14:paraId="3383A1EF">
      <w:pPr>
        <w:spacing w:line="360" w:lineRule="auto"/>
        <w:ind w:left="420" w:leftChars="200"/>
        <w:rPr>
          <w:rFonts w:hint="eastAsia" w:ascii="宋体" w:hAnsi="宋体" w:cs="宋体"/>
          <w:color w:val="auto"/>
          <w:szCs w:val="21"/>
        </w:rPr>
      </w:pPr>
      <w:r>
        <w:rPr>
          <w:rFonts w:hint="eastAsia" w:ascii="宋体" w:hAnsi="宋体" w:cs="宋体"/>
          <w:color w:val="auto"/>
          <w:szCs w:val="21"/>
        </w:rPr>
        <w:t>（2）供应商在响应文件中提供虚假材料的；</w:t>
      </w:r>
    </w:p>
    <w:p w14:paraId="5BE80A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6FF3C838">
      <w:pPr>
        <w:spacing w:line="360" w:lineRule="auto"/>
        <w:ind w:left="420" w:leftChars="200"/>
        <w:rPr>
          <w:rFonts w:hint="eastAsia" w:ascii="宋体" w:hAnsi="宋体" w:cs="宋体"/>
          <w:color w:val="auto"/>
          <w:szCs w:val="21"/>
        </w:rPr>
      </w:pPr>
      <w:r>
        <w:rPr>
          <w:rFonts w:hint="eastAsia" w:ascii="宋体" w:hAnsi="宋体" w:cs="宋体"/>
          <w:color w:val="auto"/>
          <w:szCs w:val="21"/>
        </w:rPr>
        <w:t>（4）供应商与采购人、其他供应商或者采购代理机构恶意串通的；</w:t>
      </w:r>
    </w:p>
    <w:p w14:paraId="7654F371">
      <w:pPr>
        <w:spacing w:line="360" w:lineRule="auto"/>
        <w:ind w:left="420" w:leftChars="200"/>
        <w:rPr>
          <w:rFonts w:hint="eastAsia" w:ascii="宋体" w:hAnsi="宋体" w:cs="宋体"/>
          <w:color w:val="auto"/>
          <w:szCs w:val="21"/>
        </w:rPr>
      </w:pPr>
      <w:r>
        <w:rPr>
          <w:rFonts w:hint="eastAsia" w:ascii="宋体" w:hAnsi="宋体" w:cs="宋体"/>
          <w:color w:val="auto"/>
          <w:szCs w:val="21"/>
        </w:rPr>
        <w:t>（5）法律法规规定的其他情形。</w:t>
      </w:r>
    </w:p>
    <w:p w14:paraId="340C33D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17.响应文件编制的要求</w:t>
      </w:r>
    </w:p>
    <w:p w14:paraId="532E317F">
      <w:pPr>
        <w:spacing w:line="360" w:lineRule="auto"/>
        <w:ind w:firstLine="420" w:firstLineChars="200"/>
        <w:rPr>
          <w:rFonts w:hint="eastAsia" w:ascii="宋体" w:hAnsi="宋体" w:cs="宋体"/>
          <w:color w:val="auto"/>
          <w:spacing w:val="-6"/>
          <w:szCs w:val="21"/>
        </w:rPr>
      </w:pPr>
      <w:r>
        <w:rPr>
          <w:rFonts w:hint="eastAsia" w:ascii="宋体" w:hAnsi="宋体" w:cs="宋体"/>
          <w:color w:val="auto"/>
          <w:szCs w:val="21"/>
        </w:rPr>
        <w:t>17.1供应商应按本磋商文件规定的格式和顺序编制响应文件并标注页码，响应文件内容</w:t>
      </w:r>
      <w:r>
        <w:rPr>
          <w:rFonts w:hint="eastAsia" w:ascii="宋体" w:hAnsi="宋体" w:cs="宋体"/>
          <w:color w:val="auto"/>
          <w:spacing w:val="-6"/>
          <w:szCs w:val="21"/>
        </w:rPr>
        <w:t>不完整、编排混乱导致响应文件被误读、漏读或者查找不到相关内容的，</w:t>
      </w:r>
      <w:r>
        <w:rPr>
          <w:rFonts w:hint="eastAsia" w:ascii="宋体" w:hAnsi="宋体"/>
          <w:color w:val="auto"/>
        </w:rPr>
        <w:t>由此引发的</w:t>
      </w:r>
      <w:r>
        <w:rPr>
          <w:rFonts w:hint="eastAsia" w:ascii="宋体" w:hAnsi="宋体" w:cs="宋体"/>
          <w:color w:val="auto"/>
          <w:spacing w:val="-6"/>
          <w:szCs w:val="21"/>
        </w:rPr>
        <w:t>后果由供应商承担。</w:t>
      </w:r>
    </w:p>
    <w:p w14:paraId="2E2DC6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17.2响应文件应按资格证明文件、报价商务技术文件分别编制电子文件，</w:t>
      </w:r>
      <w:r>
        <w:rPr>
          <w:rFonts w:hint="eastAsia" w:ascii="宋体" w:hAnsi="宋体" w:cs="宋体"/>
          <w:color w:val="auto"/>
          <w:szCs w:val="21"/>
          <w:lang w:bidi="ar"/>
        </w:rPr>
        <w:t>并按广西政府采购云平台的要求编制、加密、上传。</w:t>
      </w:r>
    </w:p>
    <w:p w14:paraId="2D1C76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w:t>
      </w:r>
      <w:bookmarkStart w:id="30" w:name="_Hlk65832699"/>
      <w:r>
        <w:rPr>
          <w:rFonts w:hint="eastAsia" w:ascii="宋体" w:hAnsi="宋体" w:cs="宋体"/>
          <w:color w:val="auto"/>
          <w:szCs w:val="21"/>
        </w:rPr>
        <w:t>3</w:t>
      </w:r>
      <w:r>
        <w:rPr>
          <w:rFonts w:hint="eastAsia" w:ascii="宋体" w:hAnsi="宋体"/>
          <w:color w:val="auto"/>
          <w:szCs w:val="21"/>
        </w:rPr>
        <w:t>响应文件须由供应商在规定位置盖公章并签字</w:t>
      </w:r>
      <w:bookmarkStart w:id="31" w:name="_Hlk65832569"/>
      <w:r>
        <w:rPr>
          <w:rFonts w:hint="eastAsia" w:ascii="宋体" w:hAnsi="宋体"/>
          <w:color w:val="auto"/>
          <w:szCs w:val="21"/>
        </w:rPr>
        <w:t>（具体以供应商须知前附表或响应文件格式规定为准）</w:t>
      </w:r>
      <w:bookmarkEnd w:id="30"/>
      <w:bookmarkEnd w:id="31"/>
      <w:r>
        <w:rPr>
          <w:rFonts w:hint="eastAsia" w:ascii="宋体" w:hAnsi="宋体" w:cs="宋体"/>
          <w:color w:val="auto"/>
          <w:szCs w:val="21"/>
        </w:rPr>
        <w:t>，否则其响应文件按无效响应处理。</w:t>
      </w:r>
    </w:p>
    <w:p w14:paraId="37F225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17.4响应文件中标注的供应商名称应与营业执照（事业单位法人证书、执业许可证、自然人身份证）及公章一致，否则其响应文件按无效响应处理。</w:t>
      </w:r>
    </w:p>
    <w:p w14:paraId="5F8865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EAC628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18.响应文件的加密、解密</w:t>
      </w:r>
    </w:p>
    <w:p w14:paraId="064DD25B">
      <w:pPr>
        <w:spacing w:line="360" w:lineRule="auto"/>
        <w:ind w:firstLine="420" w:firstLineChars="200"/>
        <w:rPr>
          <w:rFonts w:hint="eastAsia" w:ascii="宋体" w:hAnsi="宋体" w:cs="宋体"/>
          <w:color w:val="auto"/>
          <w:szCs w:val="21"/>
        </w:rPr>
      </w:pPr>
      <w:r>
        <w:rPr>
          <w:rFonts w:hint="eastAsia" w:ascii="宋体" w:hAnsi="宋体"/>
          <w:color w:val="auto"/>
          <w:szCs w:val="21"/>
        </w:rPr>
        <w:t>18.1电子</w:t>
      </w:r>
      <w:r>
        <w:rPr>
          <w:rFonts w:hint="eastAsia" w:ascii="宋体" w:hAnsi="宋体" w:cs="宋体"/>
          <w:color w:val="auto"/>
          <w:szCs w:val="21"/>
        </w:rPr>
        <w:t>响应文件</w:t>
      </w:r>
      <w:r>
        <w:rPr>
          <w:rFonts w:hint="eastAsia" w:ascii="宋体" w:hAnsi="宋体"/>
          <w:color w:val="auto"/>
          <w:szCs w:val="21"/>
        </w:rPr>
        <w:t>编制完成后，供应商应按广西政府采购云平台的要求进行加密，并在规定时间内解密，否则，由此产生的后果由供应商自行负责。</w:t>
      </w:r>
    </w:p>
    <w:p w14:paraId="728BAEB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19.响应文件的提交</w:t>
      </w:r>
    </w:p>
    <w:p w14:paraId="73B9C0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19.1供应商必须在“供应商须知前附表”规定的时间和地点提交响应文件。</w:t>
      </w:r>
    </w:p>
    <w:p w14:paraId="382DEADA">
      <w:pPr>
        <w:widowControl/>
        <w:spacing w:line="360" w:lineRule="auto"/>
        <w:ind w:firstLine="420" w:firstLineChars="200"/>
        <w:rPr>
          <w:rFonts w:hint="eastAsia" w:ascii="宋体" w:hAnsi="宋体" w:cs="宋体"/>
          <w:b/>
          <w:color w:val="auto"/>
          <w:szCs w:val="21"/>
          <w:lang w:bidi="ar"/>
        </w:rPr>
      </w:pPr>
      <w:r>
        <w:rPr>
          <w:rFonts w:hint="eastAsia" w:ascii="宋体" w:hAnsi="宋体" w:cs="宋体"/>
          <w:color w:val="auto"/>
          <w:szCs w:val="21"/>
        </w:rPr>
        <w:t>19.2</w:t>
      </w:r>
      <w:r>
        <w:rPr>
          <w:rFonts w:hint="eastAsia" w:ascii="宋体" w:hAnsi="宋体" w:cs="宋体"/>
          <w:color w:val="auto"/>
          <w:szCs w:val="21"/>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Cs w:val="21"/>
          <w:lang w:bidi="ar"/>
        </w:rPr>
        <w:t>供应商在广西政府采购云平台提交电子版响应文件时，请填写参加远程开标活动经办人联系方式。</w:t>
      </w:r>
    </w:p>
    <w:p w14:paraId="54977C8B">
      <w:pPr>
        <w:pStyle w:val="5"/>
        <w:keepNext w:val="0"/>
        <w:keepLines w:val="0"/>
        <w:spacing w:before="0" w:after="0" w:line="360" w:lineRule="auto"/>
        <w:ind w:firstLine="420" w:firstLineChars="200"/>
        <w:jc w:val="left"/>
        <w:rPr>
          <w:rFonts w:hint="eastAsia" w:ascii="宋体" w:hAnsi="宋体"/>
          <w:b w:val="0"/>
          <w:color w:val="auto"/>
          <w:sz w:val="21"/>
          <w:szCs w:val="21"/>
        </w:rPr>
      </w:pPr>
      <w:r>
        <w:rPr>
          <w:rFonts w:hint="eastAsia" w:ascii="宋体" w:hAnsi="宋体"/>
          <w:b w:val="0"/>
          <w:color w:val="auto"/>
          <w:sz w:val="21"/>
          <w:szCs w:val="21"/>
        </w:rPr>
        <w:t>19.3未在规定时间内上传或者未按广西政府采购云平台的要求编制、加密的电子响应文件，广西政府采购云平台将拒收。</w:t>
      </w:r>
    </w:p>
    <w:p w14:paraId="5291C80C">
      <w:pPr>
        <w:pStyle w:val="6"/>
        <w:rPr>
          <w:rFonts w:hint="eastAsia" w:ascii="宋体" w:hAnsi="宋体" w:cs="宋体"/>
          <w:color w:val="auto"/>
          <w:szCs w:val="21"/>
        </w:rPr>
      </w:pPr>
      <w:r>
        <w:rPr>
          <w:rFonts w:hint="eastAsia" w:ascii="宋体" w:hAnsi="宋体"/>
          <w:color w:val="auto"/>
          <w:szCs w:val="21"/>
        </w:rPr>
        <w:t>19.4电子</w:t>
      </w:r>
      <w:r>
        <w:rPr>
          <w:rFonts w:hint="eastAsia" w:ascii="宋体" w:hAnsi="宋体" w:cs="宋体"/>
          <w:color w:val="auto"/>
          <w:szCs w:val="21"/>
        </w:rPr>
        <w:t>响应文件</w:t>
      </w:r>
      <w:r>
        <w:rPr>
          <w:rFonts w:hint="eastAsia" w:ascii="宋体" w:hAnsi="宋体"/>
          <w:color w:val="auto"/>
          <w:szCs w:val="21"/>
        </w:rPr>
        <w:t>提交方</w:t>
      </w:r>
      <w:r>
        <w:rPr>
          <w:rFonts w:hint="eastAsia" w:ascii="宋体" w:hAnsi="宋体"/>
          <w:bCs/>
          <w:color w:val="auto"/>
          <w:szCs w:val="21"/>
        </w:rPr>
        <w:t>式见“竞争性磋商公告”</w:t>
      </w:r>
      <w:r>
        <w:rPr>
          <w:rFonts w:hint="eastAsia" w:ascii="宋体" w:hAnsi="宋体"/>
          <w:color w:val="auto"/>
          <w:szCs w:val="21"/>
        </w:rPr>
        <w:t>中“四、响应文件提交”。</w:t>
      </w:r>
    </w:p>
    <w:p w14:paraId="3DB44F3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20.首次响应文件的补充、修改与撤回</w:t>
      </w:r>
    </w:p>
    <w:p w14:paraId="49510A63">
      <w:pPr>
        <w:spacing w:line="360" w:lineRule="auto"/>
        <w:ind w:firstLine="420" w:firstLineChars="200"/>
        <w:rPr>
          <w:rFonts w:hint="eastAsia" w:ascii="宋体" w:hAnsi="宋体" w:cs="宋体"/>
          <w:bCs/>
          <w:color w:val="auto"/>
          <w:szCs w:val="21"/>
          <w:lang w:bidi="ar"/>
        </w:rPr>
      </w:pPr>
      <w:r>
        <w:rPr>
          <w:rFonts w:hint="eastAsia" w:ascii="宋体" w:hAnsi="宋体" w:cs="宋体"/>
          <w:bCs/>
          <w:color w:val="auto"/>
          <w:szCs w:val="21"/>
          <w:lang w:bidi="ar"/>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45086463">
      <w:pPr>
        <w:spacing w:line="360" w:lineRule="auto"/>
        <w:ind w:firstLine="482" w:firstLineChars="200"/>
        <w:rPr>
          <w:rFonts w:hint="eastAsia" w:ascii="黑体" w:hAnsi="黑体" w:eastAsia="黑体" w:cs="宋体"/>
          <w:b/>
          <w:bCs/>
          <w:color w:val="auto"/>
          <w:sz w:val="24"/>
        </w:rPr>
      </w:pPr>
      <w:bookmarkStart w:id="32" w:name="_Hlk45702405"/>
      <w:r>
        <w:rPr>
          <w:rFonts w:hint="eastAsia" w:ascii="黑体" w:hAnsi="黑体" w:eastAsia="黑体" w:cs="宋体"/>
          <w:b/>
          <w:bCs/>
          <w:color w:val="auto"/>
          <w:sz w:val="24"/>
        </w:rPr>
        <w:t>21. 首次响应文件的退回</w:t>
      </w:r>
    </w:p>
    <w:p w14:paraId="6DFFFD6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21.1在首次响应文件提交截止时间提交响应文件的供应商不足3家时，</w:t>
      </w:r>
      <w:r>
        <w:rPr>
          <w:rFonts w:hint="eastAsia" w:ascii="宋体" w:hAnsi="宋体"/>
          <w:color w:val="auto"/>
          <w:szCs w:val="21"/>
        </w:rPr>
        <w:t>采购代理机构将根据广西政府采购云平台的操作将电子版响应文件退回，</w:t>
      </w:r>
      <w:r>
        <w:rPr>
          <w:rFonts w:hint="eastAsia" w:ascii="宋体" w:hAnsi="宋体" w:cs="宋体"/>
          <w:color w:val="auto"/>
          <w:szCs w:val="21"/>
        </w:rPr>
        <w:t>除此之外采购人和采购代理机构对已提交的电子响应文件概不退回。</w:t>
      </w:r>
    </w:p>
    <w:p w14:paraId="10AA728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22. 截止时间后的撤回</w:t>
      </w:r>
    </w:p>
    <w:p w14:paraId="75F776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22.1供应商在首次响应文件提交截止时间后书面通知采购人、采购代理机构书面撤回响应文件的，将根据本须知正文16.4的规定不予退还其磋商保证金。</w:t>
      </w:r>
    </w:p>
    <w:bookmarkEnd w:id="32"/>
    <w:p w14:paraId="319C7D43">
      <w:pPr>
        <w:spacing w:line="360" w:lineRule="auto"/>
        <w:rPr>
          <w:rFonts w:hint="eastAsia" w:ascii="宋体" w:hAnsi="宋体"/>
          <w:color w:val="auto"/>
          <w:szCs w:val="21"/>
        </w:rPr>
      </w:pPr>
    </w:p>
    <w:p w14:paraId="5B7E3367">
      <w:pPr>
        <w:spacing w:line="360" w:lineRule="auto"/>
        <w:jc w:val="center"/>
        <w:rPr>
          <w:rFonts w:hint="eastAsia" w:ascii="宋体" w:hAnsi="宋体"/>
          <w:b/>
          <w:bCs/>
          <w:color w:val="auto"/>
          <w:sz w:val="32"/>
          <w:szCs w:val="32"/>
        </w:rPr>
      </w:pPr>
      <w:r>
        <w:rPr>
          <w:rFonts w:hint="eastAsia" w:ascii="宋体" w:hAnsi="宋体"/>
          <w:b/>
          <w:bCs/>
          <w:color w:val="auto"/>
          <w:sz w:val="32"/>
          <w:szCs w:val="32"/>
        </w:rPr>
        <w:t>四、评审及磋商</w:t>
      </w:r>
    </w:p>
    <w:p w14:paraId="1386DBE0">
      <w:pPr>
        <w:spacing w:line="360" w:lineRule="auto"/>
        <w:ind w:firstLine="482" w:firstLineChars="200"/>
        <w:rPr>
          <w:rFonts w:hint="eastAsia" w:ascii="黑体" w:hAnsi="黑体" w:eastAsia="黑体" w:cs="宋体"/>
          <w:b/>
          <w:bCs/>
          <w:color w:val="auto"/>
          <w:sz w:val="24"/>
        </w:rPr>
      </w:pPr>
    </w:p>
    <w:p w14:paraId="37ADD19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23.磋商小组成立</w:t>
      </w:r>
    </w:p>
    <w:p w14:paraId="224EE7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481D6C5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BD148C7">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首次响应文件的开启</w:t>
      </w:r>
    </w:p>
    <w:p w14:paraId="16E1BC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24.1首次响应文件由磋商小组或者采购代理机构在“供应商须知前附表”规定的时间开启。</w:t>
      </w:r>
    </w:p>
    <w:p w14:paraId="6D0D56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auto"/>
          <w:szCs w:val="21"/>
        </w:rPr>
        <w:t>响应文件未按时解密的，</w:t>
      </w:r>
      <w:r>
        <w:rPr>
          <w:rFonts w:hint="eastAsia" w:ascii="宋体" w:hAnsi="宋体" w:cs="宋体"/>
          <w:b/>
          <w:color w:val="auto"/>
          <w:szCs w:val="21"/>
        </w:rPr>
        <w:t>视为响应</w:t>
      </w:r>
      <w:r>
        <w:rPr>
          <w:rFonts w:hint="eastAsia" w:ascii="宋体" w:hAnsi="宋体"/>
          <w:b/>
          <w:bCs/>
          <w:color w:val="auto"/>
          <w:szCs w:val="21"/>
        </w:rPr>
        <w:t>文件无效。</w:t>
      </w:r>
      <w:r>
        <w:rPr>
          <w:rFonts w:hint="eastAsia" w:ascii="宋体" w:hAnsi="宋体" w:cs="宋体"/>
          <w:color w:val="auto"/>
          <w:szCs w:val="21"/>
        </w:rPr>
        <w:t>（解密异常情况处理：详见本章25.2电子交易活动的中止。）</w:t>
      </w:r>
    </w:p>
    <w:p w14:paraId="33C153E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24.3成功解密响应文件的供应商不足3家的，不得磋商。</w:t>
      </w:r>
    </w:p>
    <w:p w14:paraId="1ABC90A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5.评审程序、评审方法和评审标准</w:t>
      </w:r>
    </w:p>
    <w:p w14:paraId="4F06E276">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1磋商小组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562AA9C0">
      <w:pPr>
        <w:spacing w:line="400" w:lineRule="exact"/>
        <w:ind w:firstLine="420" w:firstLineChars="200"/>
        <w:rPr>
          <w:rFonts w:hint="eastAsia" w:ascii="宋体" w:hAnsi="宋体" w:cs="宋体"/>
          <w:color w:val="auto"/>
        </w:rPr>
      </w:pPr>
      <w:r>
        <w:rPr>
          <w:rFonts w:hint="eastAsia" w:ascii="宋体" w:hAnsi="宋体" w:cs="宋体"/>
          <w:color w:val="auto"/>
        </w:rPr>
        <w:t>25.2电子交易活动的中止。采购过程中出现以下情形，导致电子交易平台无法正常运行，或者无法保证电子交易的公平、公正和安全时，采购机构可中止电子交易活动：</w:t>
      </w:r>
    </w:p>
    <w:p w14:paraId="3DBEFF45">
      <w:pPr>
        <w:spacing w:line="400" w:lineRule="exact"/>
        <w:ind w:firstLine="420" w:firstLineChars="200"/>
        <w:rPr>
          <w:rFonts w:hint="eastAsia" w:ascii="宋体" w:hAnsi="宋体" w:cs="宋体"/>
          <w:color w:val="auto"/>
        </w:rPr>
      </w:pPr>
      <w:r>
        <w:rPr>
          <w:rFonts w:hint="eastAsia" w:ascii="宋体" w:hAnsi="宋体" w:cs="宋体"/>
          <w:color w:val="auto"/>
        </w:rPr>
        <w:t xml:space="preserve">（1）电子交易平台发生故障而无法登录访问的； </w:t>
      </w:r>
    </w:p>
    <w:p w14:paraId="6353CFB5">
      <w:pPr>
        <w:spacing w:line="400" w:lineRule="exact"/>
        <w:ind w:firstLine="420" w:firstLineChars="200"/>
        <w:rPr>
          <w:rFonts w:hint="eastAsia" w:ascii="宋体" w:hAnsi="宋体" w:cs="宋体"/>
          <w:color w:val="auto"/>
        </w:rPr>
      </w:pPr>
      <w:r>
        <w:rPr>
          <w:rFonts w:hint="eastAsia" w:ascii="宋体" w:hAnsi="宋体" w:cs="宋体"/>
          <w:color w:val="auto"/>
        </w:rPr>
        <w:t>（2）电子交易平台应用或数据库出现错误，不能进行正常操作的；</w:t>
      </w:r>
    </w:p>
    <w:p w14:paraId="21544433">
      <w:pPr>
        <w:spacing w:line="400" w:lineRule="exact"/>
        <w:ind w:firstLine="420" w:firstLineChars="200"/>
        <w:rPr>
          <w:rFonts w:hint="eastAsia" w:ascii="宋体" w:hAnsi="宋体" w:cs="宋体"/>
          <w:color w:val="auto"/>
        </w:rPr>
      </w:pPr>
      <w:r>
        <w:rPr>
          <w:rFonts w:hint="eastAsia" w:ascii="宋体" w:hAnsi="宋体" w:cs="宋体"/>
          <w:color w:val="auto"/>
        </w:rPr>
        <w:t>（3）电子交易平台发现严重安全漏洞，有潜在泄密危险的；</w:t>
      </w:r>
    </w:p>
    <w:p w14:paraId="38C90C27">
      <w:pPr>
        <w:spacing w:line="400" w:lineRule="exact"/>
        <w:ind w:firstLine="420" w:firstLineChars="200"/>
        <w:rPr>
          <w:rFonts w:hint="eastAsia" w:ascii="宋体" w:hAnsi="宋体" w:cs="宋体"/>
          <w:color w:val="auto"/>
        </w:rPr>
      </w:pPr>
      <w:r>
        <w:rPr>
          <w:rFonts w:hint="eastAsia" w:ascii="宋体" w:hAnsi="宋体" w:cs="宋体"/>
          <w:color w:val="auto"/>
        </w:rPr>
        <w:t xml:space="preserve">（4）病毒发作导致不能进行正常操作的； </w:t>
      </w:r>
    </w:p>
    <w:p w14:paraId="13E413C8">
      <w:pPr>
        <w:spacing w:line="400" w:lineRule="exact"/>
        <w:ind w:firstLine="420" w:firstLineChars="200"/>
        <w:rPr>
          <w:rFonts w:hint="eastAsia" w:ascii="宋体" w:hAnsi="宋体" w:cs="宋体"/>
          <w:color w:val="auto"/>
        </w:rPr>
      </w:pPr>
      <w:r>
        <w:rPr>
          <w:rFonts w:hint="eastAsia" w:ascii="宋体" w:hAnsi="宋体" w:cs="宋体"/>
          <w:color w:val="auto"/>
        </w:rPr>
        <w:t>（4）其他无法保证电子交易的公平、公正和安全的情况。</w:t>
      </w:r>
    </w:p>
    <w:p w14:paraId="2FD78A71">
      <w:pPr>
        <w:spacing w:line="400" w:lineRule="exact"/>
        <w:ind w:firstLine="420" w:firstLineChars="200"/>
        <w:rPr>
          <w:rFonts w:hint="eastAsia" w:ascii="宋体" w:hAnsi="宋体" w:cs="宋体"/>
          <w:color w:val="auto"/>
          <w:szCs w:val="21"/>
        </w:rPr>
      </w:pPr>
      <w:r>
        <w:rPr>
          <w:rFonts w:hint="eastAsia" w:ascii="宋体" w:hAnsi="宋体" w:cs="宋体"/>
          <w:color w:val="auto"/>
        </w:rPr>
        <w:t>25.3出现以上情形，不影响采购公平、公正性的，采购代理机构可以待上述情形消除后继续组织电子交易活动；影响或可能影响采购公平、公正性的，经采购代理机构确认后，应当重新采购。</w:t>
      </w:r>
    </w:p>
    <w:p w14:paraId="7AE6E006">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6.确定成交供应商及结果公告</w:t>
      </w:r>
    </w:p>
    <w:p w14:paraId="062D3142">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6.1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EC753D2">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6.2采购代理机构应当在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r>
        <w:rPr>
          <w:rFonts w:hint="eastAsia" w:ascii="宋体" w:hAnsi="宋体" w:cs="宋体"/>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33"/>
    </w:p>
    <w:p w14:paraId="0FE76487">
      <w:pPr>
        <w:spacing w:line="360" w:lineRule="auto"/>
        <w:ind w:firstLine="420" w:firstLineChars="200"/>
        <w:rPr>
          <w:rFonts w:hint="eastAsia" w:ascii="宋体" w:hAnsi="宋体" w:cs="Courier New"/>
          <w:color w:val="auto"/>
          <w:szCs w:val="21"/>
        </w:rPr>
      </w:pPr>
      <w:r>
        <w:rPr>
          <w:rFonts w:hint="eastAsia" w:ascii="宋体" w:hAnsi="宋体" w:cs="宋体"/>
          <w:color w:val="auto"/>
          <w:szCs w:val="21"/>
        </w:rPr>
        <w:t>26</w:t>
      </w:r>
      <w:r>
        <w:rPr>
          <w:rFonts w:ascii="宋体" w:hAnsi="宋体" w:cs="宋体"/>
          <w:color w:val="auto"/>
          <w:szCs w:val="21"/>
        </w:rPr>
        <w:t>.3</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14:paraId="3B083C3A">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7.签订合同</w:t>
      </w:r>
    </w:p>
    <w:p w14:paraId="45FB44DA">
      <w:pPr>
        <w:spacing w:line="360" w:lineRule="auto"/>
        <w:ind w:firstLine="424" w:firstLineChars="202"/>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7</w:t>
      </w:r>
      <w:r>
        <w:rPr>
          <w:rFonts w:ascii="宋体" w:hAnsi="宋体" w:cs="宋体"/>
          <w:color w:val="auto"/>
          <w:szCs w:val="21"/>
        </w:rPr>
        <w:t>.1</w:t>
      </w:r>
      <w:r>
        <w:rPr>
          <w:rFonts w:hint="eastAsia" w:ascii="宋体" w:hAnsi="宋体" w:cs="宋体"/>
          <w:color w:val="auto"/>
          <w:szCs w:val="21"/>
        </w:rPr>
        <w:t>成交供应商在收到成交通知书</w:t>
      </w:r>
      <w:r>
        <w:rPr>
          <w:rFonts w:hint="eastAsia" w:ascii="宋体" w:hAnsi="宋体"/>
          <w:color w:val="auto"/>
          <w:szCs w:val="21"/>
        </w:rPr>
        <w:t>（书面或电子）</w:t>
      </w:r>
      <w:r>
        <w:rPr>
          <w:rFonts w:hint="eastAsia" w:ascii="宋体" w:hAnsi="宋体" w:cs="宋体"/>
          <w:color w:val="auto"/>
          <w:szCs w:val="21"/>
        </w:rPr>
        <w:t>后，应当在签订合同时向采购人出示相关证明材料，具体内容详见 “供应商须知前附表”，经采购人核验合格后方可签订合同</w:t>
      </w:r>
      <w:r>
        <w:rPr>
          <w:rFonts w:hint="eastAsia" w:ascii="宋体" w:hAnsi="宋体"/>
          <w:color w:val="auto"/>
          <w:szCs w:val="21"/>
        </w:rPr>
        <w:t>（书面或电子）</w:t>
      </w:r>
      <w:r>
        <w:rPr>
          <w:rFonts w:hint="eastAsia" w:ascii="宋体" w:hAnsi="宋体" w:cs="宋体"/>
          <w:color w:val="auto"/>
          <w:szCs w:val="21"/>
        </w:rPr>
        <w:t>。</w:t>
      </w:r>
    </w:p>
    <w:p w14:paraId="538D397C">
      <w:pPr>
        <w:spacing w:line="360" w:lineRule="auto"/>
        <w:ind w:firstLine="424" w:firstLineChars="202"/>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7.2 签订合同时间：按成交通知书规定的时间与采购人签订政府采购合同</w:t>
      </w:r>
      <w:r>
        <w:rPr>
          <w:rFonts w:hint="eastAsia" w:ascii="宋体" w:hAnsi="宋体"/>
          <w:color w:val="auto"/>
          <w:szCs w:val="21"/>
        </w:rPr>
        <w:t>（最长不能超过25自然日）</w:t>
      </w:r>
      <w:r>
        <w:rPr>
          <w:rFonts w:hint="eastAsia" w:ascii="宋体" w:hAnsi="宋体" w:cs="宋体"/>
          <w:color w:val="auto"/>
          <w:szCs w:val="21"/>
        </w:rPr>
        <w:t>。</w:t>
      </w:r>
    </w:p>
    <w:p w14:paraId="6BE31F2A">
      <w:pPr>
        <w:spacing w:line="360" w:lineRule="auto"/>
        <w:ind w:firstLine="424" w:firstLineChars="202"/>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7.3</w:t>
      </w:r>
      <w:r>
        <w:rPr>
          <w:rFonts w:hint="eastAsia" w:ascii="宋体" w:hAnsi="宋体"/>
          <w:color w:val="auto"/>
          <w:szCs w:val="21"/>
        </w:rPr>
        <w:t>成交供应商拒绝与采购人签订合同的，按照本须知正文第</w:t>
      </w:r>
      <w:r>
        <w:rPr>
          <w:rFonts w:ascii="宋体" w:hAnsi="宋体"/>
          <w:color w:val="auto"/>
          <w:szCs w:val="21"/>
        </w:rPr>
        <w:t>2</w:t>
      </w:r>
      <w:r>
        <w:rPr>
          <w:rFonts w:hint="eastAsia" w:ascii="宋体" w:hAnsi="宋体"/>
          <w:color w:val="auto"/>
          <w:szCs w:val="21"/>
        </w:rPr>
        <w:t>6</w:t>
      </w:r>
      <w:r>
        <w:rPr>
          <w:rFonts w:ascii="宋体" w:hAnsi="宋体"/>
          <w:color w:val="auto"/>
          <w:szCs w:val="21"/>
        </w:rPr>
        <w:t>.</w:t>
      </w:r>
      <w:r>
        <w:rPr>
          <w:rFonts w:hint="eastAsia" w:ascii="宋体" w:hAnsi="宋体"/>
          <w:color w:val="auto"/>
          <w:szCs w:val="21"/>
        </w:rPr>
        <w:t>3</w:t>
      </w:r>
      <w:r>
        <w:rPr>
          <w:rFonts w:ascii="宋体" w:hAnsi="宋体"/>
          <w:color w:val="auto"/>
          <w:szCs w:val="21"/>
        </w:rPr>
        <w:t>条的规定</w:t>
      </w:r>
      <w:r>
        <w:rPr>
          <w:rFonts w:hint="eastAsia" w:ascii="宋体" w:hAnsi="宋体"/>
          <w:color w:val="auto"/>
          <w:szCs w:val="21"/>
        </w:rPr>
        <w:t>执行</w:t>
      </w:r>
      <w:r>
        <w:rPr>
          <w:rFonts w:hint="eastAsia" w:ascii="宋体" w:hAnsi="宋体" w:cs="宋体"/>
          <w:color w:val="auto"/>
          <w:szCs w:val="21"/>
        </w:rPr>
        <w:t>。</w:t>
      </w:r>
    </w:p>
    <w:p w14:paraId="032F754A">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28.政府采购合同公告</w:t>
      </w:r>
    </w:p>
    <w:p w14:paraId="4EB342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FA6A2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29. 询问、质疑和投诉</w:t>
      </w:r>
    </w:p>
    <w:p w14:paraId="1AC670AC">
      <w:pPr>
        <w:pStyle w:val="6"/>
        <w:spacing w:line="360" w:lineRule="auto"/>
        <w:rPr>
          <w:rFonts w:hint="eastAsia" w:ascii="宋体" w:hAnsi="宋体"/>
          <w:color w:val="auto"/>
          <w:szCs w:val="21"/>
        </w:rPr>
      </w:pPr>
      <w:r>
        <w:rPr>
          <w:rFonts w:hint="eastAsia" w:ascii="宋体" w:hAnsi="宋体" w:cs="宋体"/>
          <w:color w:val="auto"/>
        </w:rPr>
        <w:t>29.1供应商对政府采购活动事项有疑问的，可以向采购人、采购代理机构提出询问，采购人或者采购代理机构应当在3个工作日内对供应商依法提出的询问作出答复，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49DD338D">
      <w:pPr>
        <w:spacing w:line="360" w:lineRule="auto"/>
        <w:ind w:firstLine="420" w:firstLineChars="200"/>
        <w:rPr>
          <w:rFonts w:hint="eastAsia" w:ascii="宋体" w:hAnsi="宋体" w:cs="宋体"/>
          <w:color w:val="auto"/>
        </w:rPr>
      </w:pPr>
      <w:r>
        <w:rPr>
          <w:rFonts w:hint="eastAsia" w:ascii="宋体" w:hAnsi="宋体" w:cs="宋体"/>
          <w:color w:val="auto"/>
        </w:rPr>
        <w:t>29.2供应商认为磋商文件、采购过程或者成交结果使自己的合法权益受到损害的，应当在知道或者应知其权益受到损害之日起7个工作日内，以纸质书面形式向采购人、采购代理机构提出质疑，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460F837C">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5C340F07">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5431575C">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03F139C5">
      <w:pPr>
        <w:spacing w:line="360" w:lineRule="auto"/>
        <w:ind w:firstLine="420" w:firstLineChars="200"/>
        <w:rPr>
          <w:rFonts w:hint="eastAsia" w:ascii="宋体" w:hAnsi="宋体" w:cs="宋体"/>
          <w:color w:val="auto"/>
        </w:rPr>
      </w:pPr>
      <w:r>
        <w:rPr>
          <w:rFonts w:hint="eastAsia" w:ascii="宋体" w:hAnsi="宋体" w:cs="宋体"/>
          <w:color w:val="auto"/>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5841E9C5">
      <w:pPr>
        <w:spacing w:line="360" w:lineRule="auto"/>
        <w:ind w:firstLine="420" w:firstLineChars="200"/>
        <w:rPr>
          <w:rFonts w:hint="eastAsia" w:ascii="宋体" w:hAnsi="宋体" w:cs="宋体"/>
          <w:color w:val="auto"/>
        </w:rPr>
      </w:pPr>
      <w:r>
        <w:rPr>
          <w:rFonts w:hint="eastAsia" w:ascii="宋体" w:hAnsi="宋体" w:cs="宋体"/>
          <w:color w:val="auto"/>
        </w:rPr>
        <w:t>29.4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73B21509">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11DDFEBF">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0C829E43">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09FE1EA6">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74EA8385">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63C46E84">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01D098B2">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3A7E96DE">
      <w:pPr>
        <w:spacing w:line="360" w:lineRule="auto"/>
        <w:ind w:firstLine="420" w:firstLineChars="200"/>
        <w:rPr>
          <w:rFonts w:hint="eastAsia" w:ascii="宋体" w:hAnsi="宋体" w:cs="宋体"/>
          <w:color w:val="auto"/>
        </w:rPr>
      </w:pPr>
      <w:r>
        <w:rPr>
          <w:rFonts w:hint="eastAsia" w:ascii="宋体" w:hAnsi="宋体" w:cs="宋体"/>
          <w:color w:val="auto"/>
        </w:rPr>
        <w:t>29</w:t>
      </w:r>
      <w:r>
        <w:rPr>
          <w:rFonts w:ascii="宋体" w:hAnsi="宋体" w:cs="宋体"/>
          <w:color w:val="auto"/>
        </w:rPr>
        <w:t>.5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256E90F4">
      <w:pPr>
        <w:spacing w:line="360" w:lineRule="auto"/>
        <w:ind w:firstLine="420" w:firstLineChars="200"/>
        <w:rPr>
          <w:rFonts w:hint="eastAsia" w:ascii="宋体" w:hAnsi="宋体" w:cs="宋体"/>
          <w:color w:val="auto"/>
        </w:rPr>
      </w:pPr>
      <w:r>
        <w:rPr>
          <w:rFonts w:hint="eastAsia" w:ascii="宋体" w:hAnsi="宋体" w:cs="宋体"/>
          <w:color w:val="auto"/>
        </w:rPr>
        <w:t>（1）对采购文件提出的质疑，依法通过澄清或者修改可以继续开展采购活动的，澄清或者修改采购文件后继续开展采购活动；否则应当修改采购文件后重新开展采购活动。</w:t>
      </w:r>
    </w:p>
    <w:p w14:paraId="1DBBA401">
      <w:pPr>
        <w:spacing w:line="360" w:lineRule="auto"/>
        <w:ind w:firstLine="420" w:firstLineChars="200"/>
        <w:rPr>
          <w:rFonts w:hint="eastAsia" w:ascii="宋体" w:hAnsi="宋体" w:cs="宋体"/>
          <w:color w:val="auto"/>
        </w:rPr>
      </w:pPr>
      <w:r>
        <w:rPr>
          <w:rFonts w:hint="eastAsia" w:ascii="宋体" w:hAnsi="宋体" w:cs="宋体"/>
          <w:color w:val="auto"/>
        </w:rPr>
        <w:t>（2）对采购过程或者成交结果提出的质疑，合格供应商符合法定数量时，可以从合格的成交候选人中另行确定成交供应商的，应当依法另行确定成交供应商；否则应当重新开展采购活动。</w:t>
      </w:r>
    </w:p>
    <w:p w14:paraId="428F7927">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1527AF41">
      <w:pPr>
        <w:spacing w:line="360" w:lineRule="auto"/>
        <w:ind w:firstLine="420" w:firstLineChars="200"/>
        <w:rPr>
          <w:rFonts w:hint="eastAsia" w:ascii="宋体" w:hAnsi="宋体" w:cs="宋体"/>
          <w:color w:val="auto"/>
        </w:rPr>
      </w:pPr>
      <w:r>
        <w:rPr>
          <w:rFonts w:hint="eastAsia" w:ascii="宋体" w:hAnsi="宋体" w:cs="宋体"/>
          <w:color w:val="auto"/>
        </w:rPr>
        <w:t>29.</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E7AFB2D">
      <w:pPr>
        <w:spacing w:line="360" w:lineRule="auto"/>
        <w:ind w:firstLine="420" w:firstLineChars="200"/>
        <w:rPr>
          <w:rFonts w:hint="eastAsia" w:ascii="宋体" w:hAnsi="宋体" w:cs="宋体"/>
          <w:color w:val="auto"/>
        </w:rPr>
      </w:pPr>
      <w:r>
        <w:rPr>
          <w:rFonts w:hint="eastAsia" w:ascii="宋体" w:hAnsi="宋体" w:cs="宋体"/>
          <w:color w:val="auto"/>
        </w:rPr>
        <w:t>29.7 供应商应明确知悉投诉可能产生的后果并承担相应的责任：</w:t>
      </w:r>
    </w:p>
    <w:p w14:paraId="3F02A76B">
      <w:pPr>
        <w:spacing w:line="360" w:lineRule="auto"/>
        <w:ind w:firstLine="420" w:firstLineChars="200"/>
        <w:rPr>
          <w:rFonts w:hint="eastAsia" w:ascii="宋体" w:hAnsi="宋体" w:cs="宋体"/>
          <w:color w:val="auto"/>
        </w:rPr>
      </w:pPr>
      <w:r>
        <w:rPr>
          <w:rFonts w:hint="eastAsia" w:ascii="宋体" w:hAnsi="宋体" w:cs="宋体"/>
          <w:color w:val="auto"/>
        </w:rPr>
        <w:t>按照《政府采购质疑和投诉办法》（中华人民共和国财政部令第94号）第三十七条：投诉人在全国范围12个月内三次以上投诉查无实据的，由财政部门列入不良行为记录名单。</w:t>
      </w:r>
    </w:p>
    <w:p w14:paraId="63DD84F1">
      <w:pPr>
        <w:spacing w:line="360" w:lineRule="auto"/>
        <w:ind w:firstLine="420" w:firstLineChars="200"/>
        <w:rPr>
          <w:rFonts w:hint="eastAsia" w:ascii="宋体" w:hAnsi="宋体" w:cs="宋体"/>
          <w:color w:val="auto"/>
        </w:rPr>
      </w:pPr>
      <w:r>
        <w:rPr>
          <w:rFonts w:hint="eastAsia" w:ascii="宋体" w:hAnsi="宋体" w:cs="宋体"/>
          <w:color w:val="auto"/>
        </w:rPr>
        <w:t>投诉人有下列行为之一的，属于虚假、恶意投诉，由财政部门列入不良行为记录名单，禁止其1至3年内参加政府采购活动：</w:t>
      </w:r>
    </w:p>
    <w:p w14:paraId="4441FFEC">
      <w:pPr>
        <w:spacing w:line="360" w:lineRule="auto"/>
        <w:ind w:firstLine="420" w:firstLineChars="200"/>
        <w:rPr>
          <w:rFonts w:hint="eastAsia" w:ascii="宋体" w:hAnsi="宋体" w:cs="宋体"/>
          <w:color w:val="auto"/>
        </w:rPr>
      </w:pPr>
      <w:r>
        <w:rPr>
          <w:rFonts w:hint="eastAsia" w:ascii="宋体" w:hAnsi="宋体" w:cs="宋体"/>
          <w:color w:val="auto"/>
        </w:rPr>
        <w:t>（一）捏造事实；</w:t>
      </w:r>
    </w:p>
    <w:p w14:paraId="3303C991">
      <w:pPr>
        <w:spacing w:line="360" w:lineRule="auto"/>
        <w:ind w:firstLine="420" w:firstLineChars="200"/>
        <w:rPr>
          <w:rFonts w:hint="eastAsia" w:ascii="宋体" w:hAnsi="宋体" w:cs="宋体"/>
          <w:color w:val="auto"/>
        </w:rPr>
      </w:pPr>
      <w:r>
        <w:rPr>
          <w:rFonts w:hint="eastAsia" w:ascii="宋体" w:hAnsi="宋体" w:cs="宋体"/>
          <w:color w:val="auto"/>
        </w:rPr>
        <w:t>（二）提供虚假材料；</w:t>
      </w:r>
    </w:p>
    <w:p w14:paraId="3358886F">
      <w:pPr>
        <w:spacing w:line="360" w:lineRule="auto"/>
        <w:ind w:firstLine="420" w:firstLineChars="200"/>
        <w:rPr>
          <w:rFonts w:hint="eastAsia" w:ascii="宋体" w:hAnsi="宋体" w:cs="宋体"/>
          <w:color w:val="auto"/>
        </w:rPr>
      </w:pPr>
      <w:r>
        <w:rPr>
          <w:rFonts w:hint="eastAsia" w:ascii="宋体" w:hAnsi="宋体" w:cs="宋体"/>
          <w:color w:val="auto"/>
        </w:rPr>
        <w:t>（三）以非法手段取得证明材料。证据来源的合法性存在明显疑问，投诉人无法证明其取得方式合法的，视为以非法手段取得证明材料。</w:t>
      </w:r>
    </w:p>
    <w:p w14:paraId="6676CC1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0.其他内容</w:t>
      </w:r>
    </w:p>
    <w:p w14:paraId="76813A71">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0.1代理服务费：代理服务收取标准及缴费账户详见“供应商须知前附表”。</w:t>
      </w:r>
    </w:p>
    <w:p w14:paraId="56ABECF2">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0</w:t>
      </w:r>
      <w:r>
        <w:rPr>
          <w:rFonts w:ascii="宋体" w:hAnsi="宋体" w:cs="宋体"/>
          <w:color w:val="auto"/>
          <w:szCs w:val="21"/>
        </w:rPr>
        <w:t>.2</w:t>
      </w:r>
      <w:r>
        <w:rPr>
          <w:rFonts w:hint="eastAsia" w:ascii="宋体" w:hAnsi="宋体" w:cs="宋体"/>
          <w:color w:val="auto"/>
          <w:szCs w:val="21"/>
        </w:rPr>
        <w:t>代理服务费收费计算标准：</w:t>
      </w:r>
    </w:p>
    <w:tbl>
      <w:tblPr>
        <w:tblStyle w:val="22"/>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B71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Borders>
              <w:tl2br w:val="single" w:color="auto" w:sz="4" w:space="0"/>
            </w:tcBorders>
          </w:tcPr>
          <w:p w14:paraId="1CADEF56">
            <w:pPr>
              <w:spacing w:line="360" w:lineRule="auto"/>
              <w:rPr>
                <w:rFonts w:hint="eastAsia" w:ascii="宋体" w:hAnsi="宋体" w:cs="宋体"/>
                <w:color w:val="auto"/>
                <w:szCs w:val="21"/>
              </w:rPr>
            </w:pPr>
            <w:r>
              <w:rPr>
                <w:rFonts w:hint="eastAsia" w:ascii="宋体" w:hAnsi="宋体" w:cs="宋体"/>
                <w:color w:val="auto"/>
                <w:szCs w:val="21"/>
              </w:rPr>
              <w:t xml:space="preserve">               费率</w:t>
            </w:r>
          </w:p>
          <w:p w14:paraId="57C36D8A">
            <w:pPr>
              <w:spacing w:line="360" w:lineRule="auto"/>
              <w:rPr>
                <w:rFonts w:hint="eastAsia" w:ascii="宋体" w:hAnsi="宋体" w:cs="宋体"/>
                <w:color w:val="auto"/>
                <w:szCs w:val="21"/>
              </w:rPr>
            </w:pPr>
            <w:r>
              <w:rPr>
                <w:rFonts w:hint="eastAsia" w:ascii="宋体" w:hAnsi="宋体" w:cs="宋体"/>
                <w:color w:val="auto"/>
                <w:szCs w:val="21"/>
              </w:rPr>
              <w:t>金额</w:t>
            </w:r>
          </w:p>
        </w:tc>
        <w:tc>
          <w:tcPr>
            <w:tcW w:w="1659" w:type="dxa"/>
            <w:vAlign w:val="center"/>
          </w:tcPr>
          <w:p w14:paraId="7F4E22EB">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vAlign w:val="center"/>
          </w:tcPr>
          <w:p w14:paraId="739E7EC3">
            <w:pPr>
              <w:spacing w:line="360" w:lineRule="auto"/>
              <w:jc w:val="center"/>
              <w:rPr>
                <w:rFonts w:hint="eastAsia" w:ascii="宋体" w:hAnsi="宋体" w:cs="宋体"/>
                <w:color w:val="auto"/>
                <w:szCs w:val="21"/>
              </w:rPr>
            </w:pPr>
            <w:r>
              <w:rPr>
                <w:rFonts w:hint="eastAsia" w:ascii="宋体" w:hAnsi="宋体" w:cs="宋体"/>
                <w:color w:val="auto"/>
                <w:szCs w:val="21"/>
              </w:rPr>
              <w:t>服务类</w:t>
            </w:r>
          </w:p>
        </w:tc>
        <w:tc>
          <w:tcPr>
            <w:tcW w:w="1546" w:type="dxa"/>
            <w:vAlign w:val="center"/>
          </w:tcPr>
          <w:p w14:paraId="2272068A">
            <w:pPr>
              <w:spacing w:line="360" w:lineRule="auto"/>
              <w:jc w:val="center"/>
              <w:rPr>
                <w:rFonts w:hint="eastAsia" w:ascii="宋体" w:hAnsi="宋体" w:cs="宋体"/>
                <w:color w:val="auto"/>
                <w:szCs w:val="21"/>
              </w:rPr>
            </w:pPr>
            <w:r>
              <w:rPr>
                <w:rFonts w:hint="eastAsia" w:ascii="宋体" w:hAnsi="宋体" w:cs="宋体"/>
                <w:color w:val="auto"/>
                <w:szCs w:val="21"/>
              </w:rPr>
              <w:t>工程类</w:t>
            </w:r>
          </w:p>
        </w:tc>
      </w:tr>
      <w:tr w14:paraId="4966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E5A2873">
            <w:pPr>
              <w:spacing w:line="360" w:lineRule="auto"/>
              <w:rPr>
                <w:rFonts w:hint="eastAsia" w:ascii="宋体" w:hAnsi="宋体" w:cs="宋体"/>
                <w:color w:val="auto"/>
                <w:szCs w:val="21"/>
              </w:rPr>
            </w:pPr>
            <w:r>
              <w:rPr>
                <w:rFonts w:hint="eastAsia" w:ascii="宋体" w:hAnsi="宋体" w:cs="宋体"/>
                <w:color w:val="auto"/>
                <w:szCs w:val="21"/>
              </w:rPr>
              <w:t>100万元以下</w:t>
            </w:r>
          </w:p>
        </w:tc>
        <w:tc>
          <w:tcPr>
            <w:tcW w:w="1659" w:type="dxa"/>
          </w:tcPr>
          <w:p w14:paraId="03CE8CFC">
            <w:pPr>
              <w:spacing w:line="360" w:lineRule="auto"/>
              <w:rPr>
                <w:rFonts w:hint="eastAsia" w:ascii="宋体" w:hAnsi="宋体" w:cs="宋体"/>
                <w:color w:val="auto"/>
                <w:szCs w:val="21"/>
              </w:rPr>
            </w:pPr>
            <w:r>
              <w:rPr>
                <w:rFonts w:hint="eastAsia" w:ascii="宋体" w:hAnsi="宋体" w:cs="宋体"/>
                <w:color w:val="auto"/>
                <w:kern w:val="0"/>
                <w:szCs w:val="21"/>
              </w:rPr>
              <w:t xml:space="preserve">  1.5%                </w:t>
            </w:r>
          </w:p>
        </w:tc>
        <w:tc>
          <w:tcPr>
            <w:tcW w:w="1532" w:type="dxa"/>
          </w:tcPr>
          <w:p w14:paraId="260364C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1.5%</w:t>
            </w:r>
          </w:p>
        </w:tc>
        <w:tc>
          <w:tcPr>
            <w:tcW w:w="1546" w:type="dxa"/>
          </w:tcPr>
          <w:p w14:paraId="6B3E2033">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1.0% </w:t>
            </w:r>
          </w:p>
        </w:tc>
      </w:tr>
      <w:tr w14:paraId="5F26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0B2CAEC">
            <w:pPr>
              <w:spacing w:line="360" w:lineRule="auto"/>
              <w:rPr>
                <w:rFonts w:hint="eastAsia" w:ascii="宋体" w:hAnsi="宋体" w:cs="宋体"/>
                <w:color w:val="auto"/>
                <w:szCs w:val="21"/>
              </w:rPr>
            </w:pPr>
            <w:r>
              <w:rPr>
                <w:rFonts w:hint="eastAsia" w:ascii="宋体" w:hAnsi="宋体" w:cs="宋体"/>
                <w:color w:val="auto"/>
                <w:szCs w:val="21"/>
              </w:rPr>
              <w:t>100～500万元</w:t>
            </w:r>
          </w:p>
        </w:tc>
        <w:tc>
          <w:tcPr>
            <w:tcW w:w="1659" w:type="dxa"/>
          </w:tcPr>
          <w:p w14:paraId="161FA2CB">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1.1%                 </w:t>
            </w:r>
          </w:p>
        </w:tc>
        <w:tc>
          <w:tcPr>
            <w:tcW w:w="1532" w:type="dxa"/>
          </w:tcPr>
          <w:p w14:paraId="56B4FE51">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0.8%</w:t>
            </w:r>
          </w:p>
        </w:tc>
        <w:tc>
          <w:tcPr>
            <w:tcW w:w="1546" w:type="dxa"/>
          </w:tcPr>
          <w:p w14:paraId="788D4895">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0.7% </w:t>
            </w:r>
          </w:p>
        </w:tc>
      </w:tr>
      <w:tr w14:paraId="03FB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AAEF93">
            <w:pPr>
              <w:spacing w:line="360" w:lineRule="auto"/>
              <w:rPr>
                <w:rFonts w:hint="eastAsia" w:ascii="宋体" w:hAnsi="宋体" w:cs="宋体"/>
                <w:color w:val="auto"/>
                <w:szCs w:val="21"/>
              </w:rPr>
            </w:pPr>
            <w:r>
              <w:rPr>
                <w:rFonts w:hint="eastAsia" w:ascii="宋体" w:hAnsi="宋体" w:cs="宋体"/>
                <w:color w:val="auto"/>
                <w:szCs w:val="21"/>
              </w:rPr>
              <w:t>500～1000万元</w:t>
            </w:r>
          </w:p>
        </w:tc>
        <w:tc>
          <w:tcPr>
            <w:tcW w:w="1659" w:type="dxa"/>
          </w:tcPr>
          <w:p w14:paraId="18B5CA33">
            <w:pPr>
              <w:spacing w:line="360" w:lineRule="auto"/>
              <w:rPr>
                <w:rFonts w:hint="eastAsia" w:ascii="宋体" w:hAnsi="宋体" w:cs="宋体"/>
                <w:color w:val="auto"/>
                <w:szCs w:val="21"/>
              </w:rPr>
            </w:pPr>
            <w:r>
              <w:rPr>
                <w:rFonts w:hint="eastAsia" w:ascii="宋体" w:hAnsi="宋体" w:cs="宋体"/>
                <w:color w:val="auto"/>
                <w:kern w:val="0"/>
                <w:szCs w:val="21"/>
              </w:rPr>
              <w:t xml:space="preserve">  0.8%                </w:t>
            </w:r>
          </w:p>
        </w:tc>
        <w:tc>
          <w:tcPr>
            <w:tcW w:w="1532" w:type="dxa"/>
          </w:tcPr>
          <w:p w14:paraId="111ABA4E">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0.45%</w:t>
            </w:r>
          </w:p>
        </w:tc>
        <w:tc>
          <w:tcPr>
            <w:tcW w:w="1546" w:type="dxa"/>
          </w:tcPr>
          <w:p w14:paraId="496A0984">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0.55%</w:t>
            </w:r>
          </w:p>
        </w:tc>
      </w:tr>
      <w:tr w14:paraId="448C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507E66E">
            <w:pPr>
              <w:spacing w:line="360" w:lineRule="auto"/>
              <w:rPr>
                <w:rFonts w:hint="eastAsia" w:ascii="宋体" w:hAnsi="宋体" w:cs="宋体"/>
                <w:color w:val="auto"/>
                <w:szCs w:val="21"/>
              </w:rPr>
            </w:pPr>
            <w:r>
              <w:rPr>
                <w:rFonts w:hint="eastAsia" w:ascii="宋体" w:hAnsi="宋体" w:cs="宋体"/>
                <w:color w:val="auto"/>
                <w:szCs w:val="21"/>
              </w:rPr>
              <w:t>1000～5000万元</w:t>
            </w:r>
          </w:p>
        </w:tc>
        <w:tc>
          <w:tcPr>
            <w:tcW w:w="1659" w:type="dxa"/>
          </w:tcPr>
          <w:p w14:paraId="4B1FEDF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0.5%                </w:t>
            </w:r>
          </w:p>
        </w:tc>
        <w:tc>
          <w:tcPr>
            <w:tcW w:w="1532" w:type="dxa"/>
          </w:tcPr>
          <w:p w14:paraId="22F9EFA2">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0.25%</w:t>
            </w:r>
          </w:p>
        </w:tc>
        <w:tc>
          <w:tcPr>
            <w:tcW w:w="1546" w:type="dxa"/>
          </w:tcPr>
          <w:p w14:paraId="696AE2D4">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0.35% </w:t>
            </w:r>
          </w:p>
        </w:tc>
      </w:tr>
      <w:tr w14:paraId="4543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AE37E72">
            <w:pPr>
              <w:spacing w:line="360" w:lineRule="auto"/>
              <w:rPr>
                <w:rFonts w:hint="eastAsia" w:ascii="宋体" w:hAnsi="宋体" w:cs="宋体"/>
                <w:color w:val="auto"/>
                <w:szCs w:val="21"/>
              </w:rPr>
            </w:pPr>
            <w:r>
              <w:rPr>
                <w:rFonts w:hint="eastAsia" w:ascii="宋体" w:hAnsi="宋体" w:cs="宋体"/>
                <w:color w:val="auto"/>
                <w:szCs w:val="21"/>
              </w:rPr>
              <w:t>5000万元～1亿元</w:t>
            </w:r>
          </w:p>
        </w:tc>
        <w:tc>
          <w:tcPr>
            <w:tcW w:w="1659" w:type="dxa"/>
          </w:tcPr>
          <w:p w14:paraId="3476C870">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0.25%                 </w:t>
            </w:r>
          </w:p>
        </w:tc>
        <w:tc>
          <w:tcPr>
            <w:tcW w:w="1532" w:type="dxa"/>
          </w:tcPr>
          <w:p w14:paraId="4BF42F41">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0.1%</w:t>
            </w:r>
          </w:p>
        </w:tc>
        <w:tc>
          <w:tcPr>
            <w:tcW w:w="1546" w:type="dxa"/>
          </w:tcPr>
          <w:p w14:paraId="71C59DC9">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w:t>
            </w:r>
          </w:p>
        </w:tc>
      </w:tr>
      <w:tr w14:paraId="26D0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EF1E81">
            <w:pPr>
              <w:spacing w:line="360" w:lineRule="auto"/>
              <w:rPr>
                <w:rFonts w:hint="eastAsia" w:ascii="宋体" w:hAnsi="宋体" w:cs="宋体"/>
                <w:color w:val="auto"/>
                <w:szCs w:val="21"/>
              </w:rPr>
            </w:pPr>
            <w:r>
              <w:rPr>
                <w:rFonts w:hint="eastAsia" w:ascii="宋体" w:hAnsi="宋体" w:cs="宋体"/>
                <w:color w:val="auto"/>
                <w:szCs w:val="21"/>
              </w:rPr>
              <w:t>1～5亿元</w:t>
            </w:r>
          </w:p>
        </w:tc>
        <w:tc>
          <w:tcPr>
            <w:tcW w:w="1659" w:type="dxa"/>
          </w:tcPr>
          <w:p w14:paraId="3C721D78">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0.05%</w:t>
            </w:r>
          </w:p>
        </w:tc>
        <w:tc>
          <w:tcPr>
            <w:tcW w:w="1532" w:type="dxa"/>
          </w:tcPr>
          <w:p w14:paraId="00E15FEF">
            <w:pPr>
              <w:spacing w:line="360" w:lineRule="auto"/>
              <w:rPr>
                <w:rFonts w:hint="eastAsia" w:ascii="宋体" w:hAnsi="宋体" w:cs="宋体"/>
                <w:color w:val="auto"/>
                <w:szCs w:val="21"/>
              </w:rPr>
            </w:pPr>
            <w:r>
              <w:rPr>
                <w:rFonts w:hint="eastAsia" w:ascii="宋体" w:hAnsi="宋体" w:cs="宋体"/>
                <w:color w:val="auto"/>
                <w:szCs w:val="21"/>
              </w:rPr>
              <w:t xml:space="preserve">  0.05%</w:t>
            </w:r>
          </w:p>
        </w:tc>
        <w:tc>
          <w:tcPr>
            <w:tcW w:w="1546" w:type="dxa"/>
          </w:tcPr>
          <w:p w14:paraId="612A1768">
            <w:pPr>
              <w:spacing w:line="360" w:lineRule="auto"/>
              <w:rPr>
                <w:rFonts w:hint="eastAsia" w:ascii="宋体" w:hAnsi="宋体" w:cs="宋体"/>
                <w:color w:val="auto"/>
                <w:szCs w:val="21"/>
              </w:rPr>
            </w:pPr>
            <w:r>
              <w:rPr>
                <w:rFonts w:hint="eastAsia" w:ascii="宋体" w:hAnsi="宋体" w:cs="宋体"/>
                <w:color w:val="auto"/>
                <w:szCs w:val="21"/>
              </w:rPr>
              <w:t xml:space="preserve">  0.05%</w:t>
            </w:r>
          </w:p>
        </w:tc>
      </w:tr>
      <w:tr w14:paraId="4A6E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7CE1B4A">
            <w:pPr>
              <w:spacing w:line="360" w:lineRule="auto"/>
              <w:rPr>
                <w:rFonts w:hint="eastAsia" w:ascii="宋体" w:hAnsi="宋体" w:cs="宋体"/>
                <w:color w:val="auto"/>
                <w:szCs w:val="21"/>
              </w:rPr>
            </w:pPr>
            <w:r>
              <w:rPr>
                <w:rFonts w:hint="eastAsia" w:ascii="宋体" w:hAnsi="宋体" w:cs="宋体"/>
                <w:color w:val="auto"/>
                <w:szCs w:val="21"/>
              </w:rPr>
              <w:t>5～10亿元</w:t>
            </w:r>
          </w:p>
        </w:tc>
        <w:tc>
          <w:tcPr>
            <w:tcW w:w="1659" w:type="dxa"/>
          </w:tcPr>
          <w:p w14:paraId="78F9AFE9">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c>
          <w:tcPr>
            <w:tcW w:w="1532" w:type="dxa"/>
          </w:tcPr>
          <w:p w14:paraId="1DDE692B">
            <w:pPr>
              <w:spacing w:line="360" w:lineRule="auto"/>
              <w:rPr>
                <w:rFonts w:hint="eastAsia" w:ascii="宋体" w:hAnsi="宋体" w:cs="宋体"/>
                <w:color w:val="auto"/>
                <w:szCs w:val="21"/>
              </w:rPr>
            </w:pPr>
            <w:r>
              <w:rPr>
                <w:rFonts w:hint="eastAsia" w:ascii="宋体" w:hAnsi="宋体" w:cs="宋体"/>
                <w:color w:val="auto"/>
                <w:szCs w:val="21"/>
              </w:rPr>
              <w:t xml:space="preserve">  0.035%</w:t>
            </w:r>
          </w:p>
        </w:tc>
        <w:tc>
          <w:tcPr>
            <w:tcW w:w="1546" w:type="dxa"/>
          </w:tcPr>
          <w:p w14:paraId="78756345">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r>
      <w:tr w14:paraId="3EF6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3B22AEB">
            <w:pPr>
              <w:spacing w:line="360" w:lineRule="auto"/>
              <w:rPr>
                <w:rFonts w:hint="eastAsia" w:ascii="宋体" w:hAnsi="宋体" w:cs="宋体"/>
                <w:color w:val="auto"/>
                <w:szCs w:val="21"/>
              </w:rPr>
            </w:pPr>
            <w:r>
              <w:rPr>
                <w:rFonts w:hint="eastAsia" w:ascii="宋体" w:hAnsi="宋体" w:cs="宋体"/>
                <w:color w:val="auto"/>
                <w:szCs w:val="21"/>
              </w:rPr>
              <w:t>10～50亿元</w:t>
            </w:r>
          </w:p>
        </w:tc>
        <w:tc>
          <w:tcPr>
            <w:tcW w:w="1659" w:type="dxa"/>
          </w:tcPr>
          <w:p w14:paraId="652539F5">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c>
          <w:tcPr>
            <w:tcW w:w="1532" w:type="dxa"/>
          </w:tcPr>
          <w:p w14:paraId="602D5BDF">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0.008%</w:t>
            </w:r>
          </w:p>
        </w:tc>
        <w:tc>
          <w:tcPr>
            <w:tcW w:w="1546" w:type="dxa"/>
          </w:tcPr>
          <w:p w14:paraId="472A5B1E">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r>
      <w:tr w14:paraId="6E35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04C746F">
            <w:pPr>
              <w:spacing w:line="360" w:lineRule="auto"/>
              <w:rPr>
                <w:rFonts w:hint="eastAsia" w:ascii="宋体" w:hAnsi="宋体" w:cs="宋体"/>
                <w:color w:val="auto"/>
                <w:szCs w:val="21"/>
              </w:rPr>
            </w:pPr>
            <w:r>
              <w:rPr>
                <w:rFonts w:hint="eastAsia" w:ascii="宋体" w:hAnsi="宋体" w:cs="宋体"/>
                <w:color w:val="auto"/>
                <w:szCs w:val="21"/>
              </w:rPr>
              <w:t>50～100亿元</w:t>
            </w:r>
          </w:p>
        </w:tc>
        <w:tc>
          <w:tcPr>
            <w:tcW w:w="1659" w:type="dxa"/>
          </w:tcPr>
          <w:p w14:paraId="601B9286">
            <w:pPr>
              <w:spacing w:line="360" w:lineRule="auto"/>
              <w:rPr>
                <w:rFonts w:hint="eastAsia" w:ascii="宋体" w:hAnsi="宋体" w:cs="宋体"/>
                <w:color w:val="auto"/>
                <w:szCs w:val="21"/>
              </w:rPr>
            </w:pPr>
            <w:r>
              <w:rPr>
                <w:rFonts w:hint="eastAsia" w:ascii="宋体" w:hAnsi="宋体" w:cs="宋体"/>
                <w:color w:val="auto"/>
                <w:szCs w:val="21"/>
              </w:rPr>
              <w:t xml:space="preserve"> 0.006%</w:t>
            </w:r>
          </w:p>
        </w:tc>
        <w:tc>
          <w:tcPr>
            <w:tcW w:w="1532" w:type="dxa"/>
          </w:tcPr>
          <w:p w14:paraId="1CD11478">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0.006%</w:t>
            </w:r>
          </w:p>
        </w:tc>
        <w:tc>
          <w:tcPr>
            <w:tcW w:w="1546" w:type="dxa"/>
          </w:tcPr>
          <w:p w14:paraId="1C0B07C1">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0.006%</w:t>
            </w:r>
          </w:p>
        </w:tc>
      </w:tr>
      <w:tr w14:paraId="2468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839D9D5">
            <w:pPr>
              <w:spacing w:line="360" w:lineRule="auto"/>
              <w:rPr>
                <w:rFonts w:hint="eastAsia" w:ascii="宋体" w:hAnsi="宋体" w:cs="宋体"/>
                <w:color w:val="auto"/>
                <w:szCs w:val="21"/>
              </w:rPr>
            </w:pPr>
            <w:r>
              <w:rPr>
                <w:rFonts w:hint="eastAsia" w:ascii="宋体" w:hAnsi="宋体" w:cs="宋体"/>
                <w:color w:val="auto"/>
                <w:szCs w:val="21"/>
              </w:rPr>
              <w:t>100亿以上</w:t>
            </w:r>
          </w:p>
        </w:tc>
        <w:tc>
          <w:tcPr>
            <w:tcW w:w="1659" w:type="dxa"/>
          </w:tcPr>
          <w:p w14:paraId="2E6682FE">
            <w:pPr>
              <w:spacing w:line="360" w:lineRule="auto"/>
              <w:rPr>
                <w:rFonts w:hint="eastAsia" w:ascii="宋体" w:hAnsi="宋体" w:cs="宋体"/>
                <w:color w:val="auto"/>
                <w:szCs w:val="21"/>
              </w:rPr>
            </w:pPr>
            <w:r>
              <w:rPr>
                <w:rFonts w:hint="eastAsia" w:ascii="宋体" w:hAnsi="宋体" w:cs="宋体"/>
                <w:color w:val="auto"/>
                <w:szCs w:val="21"/>
              </w:rPr>
              <w:t xml:space="preserve"> 0.004%</w:t>
            </w:r>
          </w:p>
        </w:tc>
        <w:tc>
          <w:tcPr>
            <w:tcW w:w="1532" w:type="dxa"/>
          </w:tcPr>
          <w:p w14:paraId="2DBC101C">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0.004%</w:t>
            </w:r>
          </w:p>
        </w:tc>
        <w:tc>
          <w:tcPr>
            <w:tcW w:w="1546" w:type="dxa"/>
          </w:tcPr>
          <w:p w14:paraId="22C2C0BD">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0.004%</w:t>
            </w:r>
          </w:p>
        </w:tc>
      </w:tr>
    </w:tbl>
    <w:p w14:paraId="665FF207">
      <w:pPr>
        <w:spacing w:line="360" w:lineRule="auto"/>
        <w:ind w:firstLine="420" w:firstLineChars="200"/>
        <w:rPr>
          <w:rFonts w:hint="eastAsia" w:ascii="宋体" w:hAnsi="宋体" w:cs="宋体"/>
          <w:color w:val="auto"/>
        </w:rPr>
      </w:pPr>
      <w:r>
        <w:rPr>
          <w:rFonts w:ascii="宋体" w:hAnsi="宋体" w:cs="宋体"/>
          <w:color w:val="auto"/>
        </w:rPr>
        <w:t>注：</w:t>
      </w:r>
    </w:p>
    <w:p w14:paraId="09D4D5DB">
      <w:pPr>
        <w:spacing w:line="360" w:lineRule="auto"/>
        <w:ind w:firstLine="420" w:firstLineChars="200"/>
        <w:rPr>
          <w:rFonts w:hint="eastAsia"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451CE7D5">
      <w:pPr>
        <w:spacing w:line="360" w:lineRule="auto"/>
        <w:ind w:firstLine="420" w:firstLineChars="200"/>
        <w:rPr>
          <w:rFonts w:hint="eastAsia"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00F6B5D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例如：某服务采购代理业务成交金额为300万元，采购代理服务费金额按如下计算：</w:t>
      </w:r>
    </w:p>
    <w:p w14:paraId="13AABC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100万元×1.5%＝1.5万元</w:t>
      </w:r>
    </w:p>
    <w:p w14:paraId="180746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（300－100）万元×0.8%＝1.6万元</w:t>
      </w:r>
    </w:p>
    <w:p w14:paraId="6A2DF76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合计收费＝1.5＋1.6=3.1万元</w:t>
      </w:r>
    </w:p>
    <w:p w14:paraId="0079093E">
      <w:pPr>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0</w:t>
      </w:r>
      <w:r>
        <w:rPr>
          <w:rFonts w:ascii="宋体" w:hAnsi="宋体" w:cs="宋体"/>
          <w:color w:val="auto"/>
          <w:kern w:val="0"/>
          <w:szCs w:val="21"/>
        </w:rPr>
        <w:t xml:space="preserve">.3 </w:t>
      </w:r>
      <w:r>
        <w:rPr>
          <w:rFonts w:hint="eastAsia" w:ascii="宋体" w:hAnsi="宋体" w:cs="宋体"/>
          <w:color w:val="auto"/>
          <w:kern w:val="0"/>
          <w:szCs w:val="21"/>
        </w:rPr>
        <w:t>代理服务费交纳</w:t>
      </w:r>
      <w:r>
        <w:rPr>
          <w:rFonts w:ascii="宋体" w:hAnsi="宋体" w:cs="宋体"/>
          <w:color w:val="auto"/>
          <w:kern w:val="0"/>
          <w:szCs w:val="21"/>
        </w:rPr>
        <w:t>银行帐号信息</w:t>
      </w:r>
    </w:p>
    <w:p w14:paraId="3E645103">
      <w:pPr>
        <w:pStyle w:val="12"/>
        <w:snapToGrid w:val="0"/>
        <w:spacing w:line="360" w:lineRule="auto"/>
        <w:ind w:firstLine="840" w:firstLineChars="400"/>
        <w:rPr>
          <w:rFonts w:hint="eastAsia" w:hAnsi="宋体"/>
          <w:color w:val="auto"/>
          <w:sz w:val="21"/>
        </w:rPr>
      </w:pPr>
      <w:r>
        <w:rPr>
          <w:rFonts w:hint="eastAsia" w:hAnsi="宋体"/>
          <w:color w:val="auto"/>
          <w:sz w:val="21"/>
        </w:rPr>
        <w:t>开户名称：广西科文招标有限公司南宁三分公司</w:t>
      </w:r>
    </w:p>
    <w:p w14:paraId="2984B07E">
      <w:pPr>
        <w:pStyle w:val="12"/>
        <w:snapToGrid w:val="0"/>
        <w:spacing w:line="360" w:lineRule="auto"/>
        <w:ind w:firstLine="840" w:firstLineChars="400"/>
        <w:rPr>
          <w:rFonts w:hint="eastAsia" w:hAnsi="宋体"/>
          <w:color w:val="auto"/>
          <w:sz w:val="21"/>
        </w:rPr>
      </w:pPr>
      <w:r>
        <w:rPr>
          <w:rFonts w:hint="eastAsia" w:hAnsi="宋体"/>
          <w:color w:val="auto"/>
          <w:sz w:val="21"/>
        </w:rPr>
        <w:t>开户银行：广西北部湾银行股份有限公司南宁市云景支行</w:t>
      </w:r>
    </w:p>
    <w:p w14:paraId="62738CE4">
      <w:pPr>
        <w:pStyle w:val="12"/>
        <w:snapToGrid w:val="0"/>
        <w:spacing w:line="360" w:lineRule="auto"/>
        <w:ind w:firstLine="840" w:firstLineChars="400"/>
        <w:rPr>
          <w:rFonts w:hint="eastAsia" w:hAnsi="宋体"/>
          <w:color w:val="auto"/>
          <w:sz w:val="21"/>
        </w:rPr>
      </w:pPr>
      <w:r>
        <w:rPr>
          <w:rFonts w:hint="eastAsia" w:hAnsi="宋体"/>
          <w:color w:val="auto"/>
          <w:sz w:val="21"/>
        </w:rPr>
        <w:t>银行</w:t>
      </w:r>
      <w:r>
        <w:rPr>
          <w:rFonts w:hint="eastAsia" w:hAnsi="宋体"/>
          <w:color w:val="auto"/>
          <w:sz w:val="21"/>
          <w:lang w:eastAsia="zh-Hans"/>
        </w:rPr>
        <w:t>账</w:t>
      </w:r>
      <w:r>
        <w:rPr>
          <w:rFonts w:hint="eastAsia" w:hAnsi="宋体"/>
          <w:color w:val="auto"/>
          <w:sz w:val="21"/>
        </w:rPr>
        <w:t>号：805029874400001</w:t>
      </w:r>
    </w:p>
    <w:p w14:paraId="05F0ECB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31</w:t>
      </w:r>
      <w:r>
        <w:rPr>
          <w:rFonts w:ascii="黑体" w:hAnsi="黑体" w:eastAsia="黑体" w:cs="宋体"/>
          <w:b/>
          <w:bCs/>
          <w:color w:val="auto"/>
          <w:sz w:val="24"/>
        </w:rPr>
        <w:t>.需要补充的其他内容</w:t>
      </w:r>
    </w:p>
    <w:p w14:paraId="06B69CFA">
      <w:pPr>
        <w:pStyle w:val="12"/>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31</w:t>
      </w:r>
      <w:r>
        <w:rPr>
          <w:rFonts w:hAnsi="宋体" w:cs="宋体"/>
          <w:color w:val="auto"/>
          <w:kern w:val="2"/>
          <w:sz w:val="21"/>
        </w:rPr>
        <w:t>.1</w:t>
      </w:r>
      <w:r>
        <w:rPr>
          <w:rFonts w:hint="eastAsia" w:hAnsi="宋体" w:cs="宋体"/>
          <w:color w:val="auto"/>
          <w:kern w:val="2"/>
          <w:sz w:val="21"/>
        </w:rPr>
        <w:t>本磋商文件解释规则详见“供应商须知前附表”。</w:t>
      </w:r>
    </w:p>
    <w:p w14:paraId="26B0CA89">
      <w:pPr>
        <w:pStyle w:val="12"/>
        <w:spacing w:line="360" w:lineRule="auto"/>
        <w:ind w:firstLine="420" w:firstLineChars="200"/>
        <w:textAlignment w:val="center"/>
        <w:rPr>
          <w:rFonts w:hint="eastAsia" w:hAnsi="宋体" w:cs="宋体"/>
          <w:color w:val="auto"/>
          <w:kern w:val="2"/>
          <w:sz w:val="21"/>
        </w:rPr>
      </w:pPr>
      <w:r>
        <w:rPr>
          <w:rFonts w:hAnsi="宋体" w:cs="宋体"/>
          <w:color w:val="auto"/>
          <w:kern w:val="2"/>
          <w:sz w:val="21"/>
        </w:rPr>
        <w:t>3</w:t>
      </w:r>
      <w:r>
        <w:rPr>
          <w:rFonts w:hint="eastAsia" w:hAnsi="宋体" w:cs="宋体"/>
          <w:color w:val="auto"/>
          <w:kern w:val="2"/>
          <w:sz w:val="21"/>
        </w:rPr>
        <w:t>1</w:t>
      </w:r>
      <w:r>
        <w:rPr>
          <w:rFonts w:hAnsi="宋体" w:cs="宋体"/>
          <w:color w:val="auto"/>
          <w:kern w:val="2"/>
          <w:sz w:val="21"/>
        </w:rPr>
        <w:t>.2</w:t>
      </w:r>
      <w:r>
        <w:rPr>
          <w:rFonts w:hint="eastAsia" w:hAnsi="宋体" w:cs="宋体"/>
          <w:color w:val="auto"/>
          <w:kern w:val="2"/>
          <w:sz w:val="21"/>
        </w:rPr>
        <w:t xml:space="preserve"> 其他事项详见“供应商须知前附表”。</w:t>
      </w:r>
    </w:p>
    <w:p w14:paraId="6756A795">
      <w:pPr>
        <w:pStyle w:val="12"/>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31</w:t>
      </w:r>
      <w:r>
        <w:rPr>
          <w:rFonts w:hAnsi="宋体" w:cs="宋体"/>
          <w:color w:val="auto"/>
          <w:kern w:val="2"/>
          <w:sz w:val="21"/>
        </w:rPr>
        <w:t>.3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267F9B7">
      <w:pPr>
        <w:pStyle w:val="12"/>
        <w:spacing w:line="360"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69E39B3F">
      <w:pPr>
        <w:pStyle w:val="12"/>
        <w:spacing w:line="360"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5BC7C1D0">
      <w:pPr>
        <w:pStyle w:val="12"/>
        <w:spacing w:line="360"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1963380F">
      <w:pPr>
        <w:pStyle w:val="12"/>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w:t>
      </w:r>
    </w:p>
    <w:p w14:paraId="0E6A55B8">
      <w:pPr>
        <w:pStyle w:val="12"/>
        <w:snapToGrid w:val="0"/>
        <w:spacing w:before="120" w:after="120"/>
        <w:rPr>
          <w:rFonts w:hint="eastAsia" w:hAnsi="宋体"/>
          <w:color w:val="auto"/>
        </w:rPr>
      </w:pPr>
    </w:p>
    <w:p w14:paraId="20672526">
      <w:pPr>
        <w:jc w:val="left"/>
        <w:rPr>
          <w:rFonts w:hint="eastAsia" w:hAnsi="宋体"/>
          <w:b/>
          <w:color w:val="auto"/>
          <w:sz w:val="32"/>
          <w:szCs w:val="32"/>
        </w:rPr>
      </w:pPr>
    </w:p>
    <w:p w14:paraId="3008EA36">
      <w:pPr>
        <w:jc w:val="center"/>
        <w:rPr>
          <w:color w:val="auto"/>
        </w:rPr>
      </w:pPr>
      <w:r>
        <w:rPr>
          <w:color w:val="auto"/>
        </w:rPr>
        <w:br w:type="page"/>
      </w:r>
    </w:p>
    <w:p w14:paraId="610DF76D">
      <w:pPr>
        <w:pStyle w:val="3"/>
        <w:spacing w:line="360" w:lineRule="auto"/>
        <w:jc w:val="center"/>
        <w:rPr>
          <w:color w:val="auto"/>
        </w:rPr>
      </w:pPr>
      <w:r>
        <w:rPr>
          <w:rFonts w:hint="eastAsia"/>
          <w:color w:val="auto"/>
        </w:rPr>
        <w:t>第三章 采购需求</w:t>
      </w:r>
    </w:p>
    <w:p w14:paraId="6FD9FA52">
      <w:pPr>
        <w:spacing w:line="440" w:lineRule="exact"/>
        <w:jc w:val="center"/>
        <w:rPr>
          <w:rFonts w:hint="eastAsia" w:ascii="宋体" w:hAnsi="宋体"/>
          <w:b/>
          <w:color w:val="auto"/>
          <w:sz w:val="32"/>
          <w:szCs w:val="32"/>
        </w:rPr>
      </w:pPr>
    </w:p>
    <w:p w14:paraId="186500F2">
      <w:pPr>
        <w:spacing w:line="360" w:lineRule="auto"/>
        <w:jc w:val="left"/>
        <w:rPr>
          <w:rFonts w:hint="eastAsia" w:ascii="宋体" w:hAnsi="宋体" w:cs="宋体"/>
          <w:b/>
          <w:color w:val="auto"/>
          <w:szCs w:val="21"/>
        </w:rPr>
      </w:pPr>
      <w:r>
        <w:rPr>
          <w:rFonts w:hint="eastAsia" w:ascii="宋体" w:hAnsi="宋体" w:cs="宋体"/>
          <w:b/>
          <w:color w:val="auto"/>
          <w:szCs w:val="21"/>
        </w:rPr>
        <w:t>说明：</w:t>
      </w:r>
    </w:p>
    <w:p w14:paraId="75E1FFC7">
      <w:pPr>
        <w:spacing w:line="360" w:lineRule="exact"/>
        <w:ind w:left="-10" w:leftChars="-5" w:right="2" w:rightChars="1" w:firstLine="422" w:firstLineChars="200"/>
        <w:rPr>
          <w:rFonts w:hint="eastAsia" w:hAnsi="宋体"/>
          <w:b/>
          <w:bCs/>
          <w:color w:val="auto"/>
        </w:rPr>
      </w:pPr>
      <w:r>
        <w:rPr>
          <w:rFonts w:hint="eastAsia" w:hAnsi="宋体"/>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rPr>
        <w:t>中</w:t>
      </w:r>
      <w:r>
        <w:rPr>
          <w:rFonts w:hint="eastAsia" w:hAnsi="宋体"/>
          <w:b/>
          <w:bCs/>
          <w:color w:val="auto"/>
        </w:rPr>
        <w:t>的技术要求。</w:t>
      </w:r>
    </w:p>
    <w:p w14:paraId="7A1E7A83">
      <w:pPr>
        <w:spacing w:line="360" w:lineRule="exact"/>
        <w:ind w:left="-10" w:leftChars="-5" w:right="2" w:rightChars="1" w:firstLine="422" w:firstLineChars="200"/>
        <w:rPr>
          <w:rFonts w:hint="eastAsia" w:hAnsi="宋体"/>
          <w:b/>
          <w:bCs/>
          <w:color w:val="auto"/>
        </w:rPr>
      </w:pPr>
      <w:r>
        <w:rPr>
          <w:rFonts w:hint="eastAsia" w:hAnsi="宋体"/>
          <w:b/>
          <w:bCs/>
          <w:color w:val="auto"/>
        </w:rPr>
        <w:t>2、</w:t>
      </w:r>
      <w:r>
        <w:rPr>
          <w:rFonts w:hAnsi="宋体"/>
          <w:b/>
          <w:bCs/>
          <w:color w:val="auto"/>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rPr>
        <w:t>中如有货物产品，且货物</w:t>
      </w:r>
      <w:r>
        <w:rPr>
          <w:rFonts w:hAnsi="宋体"/>
          <w:b/>
          <w:bCs/>
          <w:color w:val="auto"/>
        </w:rPr>
        <w:t>产品属于节能产品政府采购品目清单内标注“★”的（详见本章后附的节能产品政府采购品目清单），供应商的竞标货物必须使用政府强制采购的节能产品，否则响应文件作无效响应处理。</w:t>
      </w:r>
    </w:p>
    <w:p w14:paraId="7E4EF24A">
      <w:pPr>
        <w:spacing w:line="360" w:lineRule="exact"/>
        <w:ind w:left="-10" w:leftChars="-5" w:right="2" w:rightChars="1" w:firstLine="422" w:firstLineChars="200"/>
        <w:rPr>
          <w:rFonts w:hint="eastAsia" w:hAnsi="宋体"/>
          <w:b/>
          <w:bCs/>
          <w:color w:val="auto"/>
        </w:rPr>
      </w:pPr>
      <w:r>
        <w:rPr>
          <w:rFonts w:hint="eastAsia" w:hAnsi="宋体"/>
          <w:b/>
          <w:bCs/>
          <w:color w:val="auto"/>
        </w:rPr>
        <w:t>3、如供应商竞标产品存在侵犯他人的知识产权或者专利成果行为的，由供应商自行承担相应法律责任。</w:t>
      </w:r>
    </w:p>
    <w:p w14:paraId="35B20715">
      <w:pPr>
        <w:spacing w:line="360" w:lineRule="exact"/>
        <w:ind w:left="-10" w:leftChars="-5" w:right="2" w:rightChars="1" w:firstLine="422" w:firstLineChars="200"/>
        <w:rPr>
          <w:rFonts w:hint="eastAsia" w:hAnsi="宋体"/>
          <w:b/>
          <w:bCs/>
          <w:color w:val="auto"/>
        </w:rPr>
      </w:pPr>
      <w:r>
        <w:rPr>
          <w:rFonts w:hint="eastAsia" w:hAnsi="宋体"/>
          <w:b/>
          <w:bCs/>
          <w:color w:val="auto"/>
        </w:rPr>
        <w:t>4、“实质性要求”是指竞争性磋商文件中已经指明不满足则响应无效的条款，或者不能负偏离的条款，或者采购需求中带“▲”的条款。</w:t>
      </w:r>
    </w:p>
    <w:p w14:paraId="09C67066">
      <w:pPr>
        <w:spacing w:line="360" w:lineRule="auto"/>
        <w:jc w:val="left"/>
        <w:rPr>
          <w:rFonts w:hint="eastAsia" w:ascii="宋体" w:hAnsi="宋体" w:cs="Arial"/>
          <w:bCs/>
          <w:color w:val="auto"/>
          <w:szCs w:val="21"/>
          <w:u w:val="single"/>
        </w:rPr>
      </w:pPr>
    </w:p>
    <w:tbl>
      <w:tblPr>
        <w:tblStyle w:val="22"/>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10"/>
        <w:gridCol w:w="640"/>
        <w:gridCol w:w="6872"/>
        <w:gridCol w:w="992"/>
      </w:tblGrid>
      <w:tr w14:paraId="30DA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CD29C46">
            <w:pPr>
              <w:pStyle w:val="12"/>
              <w:spacing w:line="356" w:lineRule="exact"/>
              <w:jc w:val="center"/>
              <w:rPr>
                <w:rFonts w:hint="eastAsia" w:asciiTheme="minorEastAsia" w:hAnsiTheme="minorEastAsia" w:eastAsiaTheme="minorEastAsia" w:cstheme="minorEastAsia"/>
                <w:b/>
                <w:color w:val="auto"/>
                <w:sz w:val="21"/>
              </w:rPr>
            </w:pPr>
            <w:bookmarkStart w:id="34" w:name="_Toc74323459"/>
            <w:r>
              <w:rPr>
                <w:rFonts w:hint="eastAsia" w:asciiTheme="minorEastAsia" w:hAnsiTheme="minorEastAsia" w:eastAsiaTheme="minorEastAsia" w:cstheme="minorEastAsia"/>
                <w:b/>
                <w:color w:val="auto"/>
                <w:sz w:val="21"/>
              </w:rPr>
              <w:t>序号</w:t>
            </w:r>
          </w:p>
        </w:tc>
        <w:tc>
          <w:tcPr>
            <w:tcW w:w="1010" w:type="dxa"/>
            <w:tcBorders>
              <w:top w:val="single" w:color="auto" w:sz="4" w:space="0"/>
              <w:left w:val="single" w:color="auto" w:sz="4" w:space="0"/>
              <w:bottom w:val="single" w:color="auto" w:sz="4" w:space="0"/>
              <w:right w:val="single" w:color="auto" w:sz="4" w:space="0"/>
            </w:tcBorders>
            <w:vAlign w:val="center"/>
          </w:tcPr>
          <w:p w14:paraId="56C1EB24">
            <w:pPr>
              <w:pStyle w:val="12"/>
              <w:spacing w:line="356" w:lineRule="exact"/>
              <w:jc w:val="center"/>
              <w:rPr>
                <w:rFonts w:hint="eastAsia" w:asciiTheme="minorEastAsia" w:hAnsiTheme="minorEastAsia" w:eastAsiaTheme="minorEastAsia" w:cstheme="minorEastAsia"/>
                <w:b/>
                <w:color w:val="auto"/>
                <w:sz w:val="21"/>
              </w:rPr>
            </w:pPr>
            <w:r>
              <w:rPr>
                <w:rFonts w:hint="eastAsia" w:asciiTheme="minorEastAsia" w:hAnsiTheme="minorEastAsia" w:eastAsiaTheme="minorEastAsia" w:cstheme="minorEastAsia"/>
                <w:b/>
                <w:color w:val="auto"/>
                <w:sz w:val="21"/>
              </w:rPr>
              <w:t>标的名称</w:t>
            </w:r>
          </w:p>
        </w:tc>
        <w:tc>
          <w:tcPr>
            <w:tcW w:w="640" w:type="dxa"/>
            <w:tcBorders>
              <w:top w:val="single" w:color="auto" w:sz="4" w:space="0"/>
              <w:left w:val="single" w:color="auto" w:sz="4" w:space="0"/>
              <w:bottom w:val="single" w:color="auto" w:sz="4" w:space="0"/>
              <w:right w:val="single" w:color="auto" w:sz="4" w:space="0"/>
            </w:tcBorders>
            <w:vAlign w:val="center"/>
          </w:tcPr>
          <w:p w14:paraId="6866A961">
            <w:pPr>
              <w:widowControl/>
              <w:spacing w:line="356" w:lineRule="exact"/>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数量</w:t>
            </w:r>
          </w:p>
        </w:tc>
        <w:tc>
          <w:tcPr>
            <w:tcW w:w="6872" w:type="dxa"/>
            <w:tcBorders>
              <w:top w:val="single" w:color="auto" w:sz="4" w:space="0"/>
              <w:left w:val="single" w:color="auto" w:sz="4" w:space="0"/>
              <w:bottom w:val="single" w:color="auto" w:sz="4" w:space="0"/>
              <w:right w:val="single" w:color="auto" w:sz="4" w:space="0"/>
            </w:tcBorders>
            <w:vAlign w:val="center"/>
          </w:tcPr>
          <w:p w14:paraId="457CDE42">
            <w:pPr>
              <w:pStyle w:val="12"/>
              <w:spacing w:line="356" w:lineRule="exact"/>
              <w:ind w:firstLine="316" w:firstLineChars="150"/>
              <w:jc w:val="center"/>
              <w:rPr>
                <w:rFonts w:hint="eastAsia" w:asciiTheme="minorEastAsia" w:hAnsiTheme="minorEastAsia" w:eastAsiaTheme="minorEastAsia" w:cstheme="minorEastAsia"/>
                <w:b/>
                <w:color w:val="auto"/>
                <w:sz w:val="21"/>
              </w:rPr>
            </w:pPr>
            <w:r>
              <w:rPr>
                <w:rFonts w:hint="eastAsia" w:asciiTheme="minorEastAsia" w:hAnsiTheme="minorEastAsia" w:eastAsiaTheme="minorEastAsia" w:cstheme="minorEastAsia"/>
                <w:b/>
                <w:color w:val="auto"/>
                <w:sz w:val="21"/>
              </w:rPr>
              <w:t>服务要求</w:t>
            </w:r>
          </w:p>
        </w:tc>
        <w:tc>
          <w:tcPr>
            <w:tcW w:w="992" w:type="dxa"/>
            <w:tcBorders>
              <w:top w:val="single" w:color="auto" w:sz="4" w:space="0"/>
              <w:left w:val="single" w:color="auto" w:sz="4" w:space="0"/>
              <w:bottom w:val="single" w:color="auto" w:sz="4" w:space="0"/>
              <w:right w:val="single" w:color="auto" w:sz="4" w:space="0"/>
            </w:tcBorders>
          </w:tcPr>
          <w:p w14:paraId="626752A8">
            <w:pPr>
              <w:pStyle w:val="12"/>
              <w:spacing w:line="356" w:lineRule="exact"/>
              <w:rPr>
                <w:rFonts w:hint="eastAsia" w:asciiTheme="minorEastAsia" w:hAnsiTheme="minorEastAsia" w:eastAsiaTheme="minorEastAsia" w:cstheme="minorEastAsia"/>
                <w:b/>
                <w:color w:val="auto"/>
                <w:sz w:val="21"/>
              </w:rPr>
            </w:pPr>
            <w:r>
              <w:rPr>
                <w:rFonts w:hint="eastAsia" w:asciiTheme="minorEastAsia" w:hAnsiTheme="minorEastAsia" w:eastAsiaTheme="minorEastAsia" w:cstheme="minorEastAsia"/>
                <w:b/>
                <w:color w:val="auto"/>
                <w:sz w:val="21"/>
              </w:rPr>
              <w:t>中小企业划分标准所属行业</w:t>
            </w:r>
          </w:p>
        </w:tc>
      </w:tr>
      <w:tr w14:paraId="7BE9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dxa"/>
            <w:tcBorders>
              <w:top w:val="single" w:color="auto" w:sz="4" w:space="0"/>
              <w:left w:val="single" w:color="auto" w:sz="4" w:space="0"/>
              <w:right w:val="single" w:color="auto" w:sz="4" w:space="0"/>
            </w:tcBorders>
            <w:vAlign w:val="center"/>
          </w:tcPr>
          <w:p w14:paraId="56A58002">
            <w:pPr>
              <w:spacing w:line="356" w:lineRule="exact"/>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w:t>
            </w:r>
          </w:p>
        </w:tc>
        <w:tc>
          <w:tcPr>
            <w:tcW w:w="1010" w:type="dxa"/>
            <w:tcBorders>
              <w:top w:val="single" w:color="auto" w:sz="4" w:space="0"/>
              <w:left w:val="single" w:color="auto" w:sz="4" w:space="0"/>
              <w:right w:val="single" w:color="auto" w:sz="4" w:space="0"/>
            </w:tcBorders>
            <w:vAlign w:val="center"/>
          </w:tcPr>
          <w:p w14:paraId="262CB840">
            <w:pPr>
              <w:spacing w:line="356" w:lineRule="exact"/>
              <w:ind w:left="105" w:leftChars="50" w:right="105" w:rightChars="50"/>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2025-2026年体彩公益金赛事品牌传播年采购项目</w:t>
            </w:r>
          </w:p>
        </w:tc>
        <w:tc>
          <w:tcPr>
            <w:tcW w:w="640" w:type="dxa"/>
            <w:tcBorders>
              <w:top w:val="single" w:color="auto" w:sz="4" w:space="0"/>
              <w:left w:val="single" w:color="auto" w:sz="4" w:space="0"/>
              <w:right w:val="single" w:color="auto" w:sz="4" w:space="0"/>
            </w:tcBorders>
            <w:vAlign w:val="center"/>
          </w:tcPr>
          <w:p w14:paraId="1CA53BD4">
            <w:pPr>
              <w:spacing w:line="356" w:lineRule="exact"/>
              <w:ind w:left="105" w:leftChars="50" w:right="105" w:rightChars="50"/>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1项</w:t>
            </w:r>
          </w:p>
        </w:tc>
        <w:tc>
          <w:tcPr>
            <w:tcW w:w="6872" w:type="dxa"/>
            <w:tcBorders>
              <w:top w:val="single" w:color="auto" w:sz="4" w:space="0"/>
              <w:left w:val="single" w:color="auto" w:sz="4" w:space="0"/>
              <w:right w:val="single" w:color="auto" w:sz="4" w:space="0"/>
            </w:tcBorders>
            <w:vAlign w:val="center"/>
          </w:tcPr>
          <w:tbl>
            <w:tblPr>
              <w:tblStyle w:val="22"/>
              <w:tblW w:w="6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28"/>
              <w:gridCol w:w="883"/>
              <w:gridCol w:w="5179"/>
            </w:tblGrid>
            <w:tr w14:paraId="44D8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09F4FFEC">
                  <w:pPr>
                    <w:widowControl/>
                    <w:snapToGrid w:val="0"/>
                    <w:spacing w:line="360" w:lineRule="exact"/>
                    <w:jc w:val="center"/>
                    <w:textAlignment w:val="center"/>
                    <w:rPr>
                      <w:rFonts w:hint="eastAsia" w:ascii="宋体" w:hAnsi="宋体" w:cs="宋体"/>
                      <w:b/>
                      <w:color w:val="auto"/>
                      <w:szCs w:val="21"/>
                    </w:rPr>
                  </w:pPr>
                  <w:r>
                    <w:rPr>
                      <w:rFonts w:hint="eastAsia" w:ascii="宋体" w:hAnsi="宋体" w:cs="宋体"/>
                      <w:b/>
                      <w:color w:val="auto"/>
                      <w:kern w:val="0"/>
                      <w:szCs w:val="21"/>
                      <w:lang w:bidi="ar"/>
                    </w:rPr>
                    <w:t>序号</w:t>
                  </w:r>
                </w:p>
              </w:tc>
              <w:tc>
                <w:tcPr>
                  <w:tcW w:w="883" w:type="dxa"/>
                  <w:vAlign w:val="center"/>
                </w:tcPr>
                <w:p w14:paraId="170AB44A">
                  <w:pPr>
                    <w:widowControl/>
                    <w:snapToGrid w:val="0"/>
                    <w:spacing w:line="360" w:lineRule="exact"/>
                    <w:jc w:val="center"/>
                    <w:textAlignment w:val="center"/>
                    <w:rPr>
                      <w:rFonts w:hint="eastAsia" w:ascii="宋体" w:hAnsi="宋体" w:cs="宋体"/>
                      <w:b/>
                      <w:color w:val="auto"/>
                      <w:szCs w:val="21"/>
                    </w:rPr>
                  </w:pPr>
                  <w:r>
                    <w:rPr>
                      <w:rFonts w:hint="eastAsia" w:ascii="宋体" w:hAnsi="宋体" w:cs="宋体"/>
                      <w:b/>
                      <w:color w:val="auto"/>
                      <w:kern w:val="0"/>
                      <w:szCs w:val="21"/>
                      <w:lang w:bidi="ar"/>
                    </w:rPr>
                    <w:t>指标项</w:t>
                  </w:r>
                </w:p>
              </w:tc>
              <w:tc>
                <w:tcPr>
                  <w:tcW w:w="5179" w:type="dxa"/>
                  <w:vAlign w:val="center"/>
                </w:tcPr>
                <w:p w14:paraId="10B32D2A">
                  <w:pPr>
                    <w:widowControl/>
                    <w:snapToGrid w:val="0"/>
                    <w:spacing w:line="360" w:lineRule="exact"/>
                    <w:jc w:val="center"/>
                    <w:textAlignment w:val="center"/>
                    <w:rPr>
                      <w:rFonts w:hint="eastAsia" w:ascii="宋体" w:hAnsi="宋体" w:cs="宋体"/>
                      <w:b/>
                      <w:color w:val="auto"/>
                      <w:szCs w:val="21"/>
                    </w:rPr>
                  </w:pPr>
                  <w:r>
                    <w:rPr>
                      <w:rFonts w:hint="eastAsia" w:ascii="宋体" w:hAnsi="宋体" w:cs="宋体"/>
                      <w:b/>
                      <w:color w:val="auto"/>
                      <w:kern w:val="0"/>
                      <w:szCs w:val="21"/>
                      <w:lang w:bidi="ar"/>
                    </w:rPr>
                    <w:t>指标要求</w:t>
                  </w:r>
                </w:p>
              </w:tc>
            </w:tr>
            <w:tr w14:paraId="0EC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00" w:hRule="atLeast"/>
                <w:jc w:val="center"/>
              </w:trPr>
              <w:tc>
                <w:tcPr>
                  <w:tcW w:w="528" w:type="dxa"/>
                  <w:vMerge w:val="restart"/>
                  <w:vAlign w:val="center"/>
                </w:tcPr>
                <w:p w14:paraId="39FB40DC">
                  <w:pPr>
                    <w:widowControl/>
                    <w:snapToGrid w:val="0"/>
                    <w:spacing w:line="360" w:lineRule="exact"/>
                    <w:jc w:val="center"/>
                    <w:textAlignment w:val="center"/>
                    <w:rPr>
                      <w:rFonts w:hint="eastAsia" w:ascii="宋体" w:hAnsi="宋体" w:cs="宋体"/>
                      <w:color w:val="auto"/>
                      <w:kern w:val="0"/>
                      <w:szCs w:val="21"/>
                      <w:lang w:bidi="ar"/>
                    </w:rPr>
                  </w:pPr>
                  <w:bookmarkStart w:id="35" w:name="_Hlk211096981"/>
                  <w:r>
                    <w:rPr>
                      <w:rFonts w:hint="eastAsia" w:ascii="宋体" w:hAnsi="宋体" w:cs="宋体"/>
                      <w:color w:val="auto"/>
                      <w:kern w:val="0"/>
                      <w:szCs w:val="21"/>
                      <w:lang w:bidi="ar"/>
                    </w:rPr>
                    <w:t>1</w:t>
                  </w:r>
                </w:p>
              </w:tc>
              <w:tc>
                <w:tcPr>
                  <w:tcW w:w="883" w:type="dxa"/>
                  <w:vMerge w:val="restart"/>
                  <w:vAlign w:val="center"/>
                </w:tcPr>
                <w:p w14:paraId="76F40026">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“桂马奔腾·总有一款适合你”马拉松系列赛事传播</w:t>
                  </w:r>
                </w:p>
                <w:p w14:paraId="09B6B5E8">
                  <w:pPr>
                    <w:widowControl/>
                    <w:snapToGrid w:val="0"/>
                    <w:spacing w:line="360" w:lineRule="exact"/>
                    <w:jc w:val="center"/>
                    <w:textAlignment w:val="center"/>
                    <w:rPr>
                      <w:rFonts w:hint="eastAsia" w:ascii="宋体" w:hAnsi="宋体" w:cs="宋体"/>
                      <w:color w:val="auto"/>
                      <w:szCs w:val="21"/>
                    </w:rPr>
                  </w:pPr>
                </w:p>
              </w:tc>
              <w:tc>
                <w:tcPr>
                  <w:tcW w:w="5179" w:type="dxa"/>
                  <w:vMerge w:val="restart"/>
                  <w:vAlign w:val="center"/>
                </w:tcPr>
                <w:p w14:paraId="416D41C0">
                  <w:pPr>
                    <w:pStyle w:val="12"/>
                    <w:snapToGrid w:val="0"/>
                    <w:spacing w:line="360" w:lineRule="exact"/>
                    <w:ind w:firstLine="420" w:firstLineChars="200"/>
                    <w:jc w:val="left"/>
                    <w:outlineLvl w:val="0"/>
                    <w:rPr>
                      <w:rFonts w:hint="eastAsia" w:hAnsi="宋体" w:cs="宋体"/>
                      <w:color w:val="auto"/>
                      <w:sz w:val="21"/>
                      <w:lang w:bidi="ar"/>
                    </w:rPr>
                  </w:pPr>
                  <w:r>
                    <w:rPr>
                      <w:rFonts w:hint="eastAsia" w:hAnsi="宋体" w:cs="宋体"/>
                      <w:color w:val="auto"/>
                      <w:sz w:val="21"/>
                      <w:lang w:bidi="ar"/>
                    </w:rPr>
                    <w:t>（1）在中央级媒体上搭建网络专题，传播相关赛事，涵盖赛事全周期，并及时更新马拉松系列赛事的最新动态。（推广栏目不少于3个，推广期不少于3个月，集纳信息超过60条）；</w:t>
                  </w:r>
                </w:p>
                <w:p w14:paraId="17802CA2">
                  <w:pPr>
                    <w:pStyle w:val="12"/>
                    <w:snapToGrid w:val="0"/>
                    <w:spacing w:line="360" w:lineRule="exact"/>
                    <w:ind w:firstLine="420" w:firstLineChars="200"/>
                    <w:jc w:val="left"/>
                    <w:outlineLvl w:val="0"/>
                    <w:rPr>
                      <w:rFonts w:hint="eastAsia" w:hAnsi="宋体" w:cs="宋体"/>
                      <w:color w:val="auto"/>
                      <w:sz w:val="21"/>
                      <w:lang w:bidi="ar"/>
                    </w:rPr>
                  </w:pPr>
                  <w:r>
                    <w:rPr>
                      <w:rFonts w:hint="eastAsia" w:hAnsi="宋体" w:cs="宋体"/>
                      <w:color w:val="auto"/>
                      <w:sz w:val="21"/>
                      <w:lang w:bidi="ar"/>
                    </w:rPr>
                    <w:t>（2）在中央级媒体微博主账号上搭建话题页面，邀请跑友进行互动，促进桂马赛事热度增长。账号粉丝大于8000万，话题传播量大于500万，话题内容符合社会主流价值、网友及微博特性；</w:t>
                  </w:r>
                </w:p>
                <w:p w14:paraId="2B3CFA13">
                  <w:pPr>
                    <w:pStyle w:val="12"/>
                    <w:snapToGrid w:val="0"/>
                    <w:spacing w:line="360" w:lineRule="exact"/>
                    <w:ind w:firstLine="420" w:firstLineChars="200"/>
                    <w:jc w:val="left"/>
                    <w:outlineLvl w:val="0"/>
                    <w:rPr>
                      <w:rFonts w:hint="eastAsia" w:hAnsi="宋体" w:cs="宋体"/>
                      <w:color w:val="auto"/>
                      <w:sz w:val="21"/>
                      <w:lang w:bidi="ar"/>
                    </w:rPr>
                  </w:pPr>
                  <w:r>
                    <w:rPr>
                      <w:rFonts w:hint="eastAsia" w:hAnsi="宋体" w:cs="宋体"/>
                      <w:color w:val="auto"/>
                      <w:sz w:val="21"/>
                      <w:lang w:bidi="ar"/>
                    </w:rPr>
                    <w:t>（3）在中央级媒体视频号发布短视频广告，展现赛事日程、参赛选手、特色补给及AI+相关赛事服务等内容，相关视频号粉丝需大于1500万；</w:t>
                  </w:r>
                </w:p>
                <w:p w14:paraId="5D527FB8">
                  <w:pPr>
                    <w:pStyle w:val="2"/>
                    <w:widowControl/>
                    <w:snapToGrid w:val="0"/>
                    <w:spacing w:after="0" w:line="360" w:lineRule="exact"/>
                    <w:ind w:firstLine="420" w:firstLineChars="200"/>
                    <w:jc w:val="left"/>
                    <w:outlineLvl w:val="0"/>
                    <w:rPr>
                      <w:rFonts w:hint="eastAsia" w:ascii="宋体" w:hAnsi="宋体" w:cs="宋体"/>
                      <w:color w:val="auto"/>
                      <w:szCs w:val="21"/>
                      <w:lang w:bidi="ar"/>
                    </w:rPr>
                  </w:pPr>
                  <w:r>
                    <w:rPr>
                      <w:rFonts w:hint="eastAsia" w:ascii="宋体" w:hAnsi="宋体" w:cs="宋体"/>
                      <w:color w:val="auto"/>
                      <w:szCs w:val="21"/>
                      <w:lang w:bidi="ar"/>
                    </w:rPr>
                    <w:t>（4）开展体彩乐小星探访体验活动，邀请网红达人（粉丝100万以上）2名，体验</w:t>
                  </w:r>
                  <w:r>
                    <w:rPr>
                      <w:rFonts w:hint="eastAsia" w:ascii="宋体" w:hAnsi="宋体" w:cs="宋体"/>
                      <w:color w:val="auto"/>
                      <w:kern w:val="0"/>
                      <w:szCs w:val="21"/>
                      <w:lang w:bidi="ar"/>
                    </w:rPr>
                    <w:t>“桂马奔腾·总有一款适合你”马拉松系列赛</w:t>
                  </w:r>
                  <w:r>
                    <w:rPr>
                      <w:rFonts w:hint="eastAsia" w:ascii="宋体" w:hAnsi="宋体" w:cs="宋体"/>
                      <w:color w:val="auto"/>
                      <w:szCs w:val="21"/>
                      <w:lang w:bidi="ar"/>
                    </w:rPr>
                    <w:t>赛程、赛事综合服务，带动</w:t>
                  </w:r>
                  <w:r>
                    <w:rPr>
                      <w:rFonts w:hint="eastAsia" w:ascii="宋体" w:hAnsi="宋体" w:cs="宋体"/>
                      <w:color w:val="auto"/>
                      <w:kern w:val="0"/>
                      <w:szCs w:val="21"/>
                      <w:lang w:bidi="ar"/>
                    </w:rPr>
                    <w:t>“桂马奔腾·总有一款适合你”马拉松系列赛</w:t>
                  </w:r>
                  <w:r>
                    <w:rPr>
                      <w:rFonts w:hint="eastAsia" w:ascii="宋体" w:hAnsi="宋体" w:cs="宋体"/>
                      <w:color w:val="auto"/>
                      <w:szCs w:val="21"/>
                      <w:lang w:bidi="ar"/>
                    </w:rPr>
                    <w:t>事热度。并在社交媒体平台上植入广西体彩信息。共2人次，单条时长2分钟以上；</w:t>
                  </w:r>
                </w:p>
                <w:p w14:paraId="40FAA75C">
                  <w:pPr>
                    <w:pStyle w:val="12"/>
                    <w:snapToGrid w:val="0"/>
                    <w:spacing w:line="360" w:lineRule="exact"/>
                    <w:ind w:firstLine="420" w:firstLineChars="200"/>
                    <w:jc w:val="left"/>
                    <w:outlineLvl w:val="0"/>
                    <w:rPr>
                      <w:rFonts w:hint="eastAsia" w:hAnsi="宋体" w:cs="宋体"/>
                      <w:color w:val="auto"/>
                      <w:sz w:val="21"/>
                      <w:lang w:bidi="ar"/>
                    </w:rPr>
                  </w:pPr>
                  <w:r>
                    <w:rPr>
                      <w:rFonts w:hint="eastAsia" w:hAnsi="宋体" w:cs="宋体"/>
                      <w:color w:val="auto"/>
                      <w:sz w:val="21"/>
                      <w:lang w:bidi="ar"/>
                    </w:rPr>
                    <w:t>（5）推荐中央级媒体的海外平台不少于3个语种对“桂马奔腾·总有一款适合你”马拉松系列赛进行传播。</w:t>
                  </w:r>
                </w:p>
                <w:p w14:paraId="6AF35560">
                  <w:pPr>
                    <w:pStyle w:val="12"/>
                    <w:spacing w:line="360" w:lineRule="exact"/>
                    <w:ind w:firstLine="420" w:firstLineChars="200"/>
                    <w:outlineLvl w:val="0"/>
                    <w:rPr>
                      <w:rFonts w:hint="eastAsia" w:hAnsi="宋体" w:cs="宋体"/>
                      <w:color w:val="auto"/>
                      <w:sz w:val="21"/>
                      <w:lang w:bidi="ar"/>
                    </w:rPr>
                  </w:pPr>
                  <w:r>
                    <w:rPr>
                      <w:rFonts w:hint="eastAsia" w:hAnsi="宋体" w:cs="宋体"/>
                      <w:color w:val="auto"/>
                      <w:sz w:val="21"/>
                      <w:lang w:bidi="ar"/>
                    </w:rPr>
                    <w:t>（6）结合赛事热点，策划并制作5条以上高水准AIGC融媒体产品，如海报、短视频、海报等。视频原创率须达50% 以上。（注:视频原创是指完全由运营团队完成创意、拍摄、生成、剪辑、渲染等全部工作。）</w:t>
                  </w:r>
                </w:p>
                <w:p w14:paraId="141F45BB">
                  <w:pPr>
                    <w:pStyle w:val="7"/>
                    <w:spacing w:line="360" w:lineRule="exact"/>
                    <w:ind w:left="0" w:firstLine="420" w:firstLineChars="200"/>
                    <w:outlineLvl w:val="0"/>
                    <w:rPr>
                      <w:rFonts w:hint="eastAsia" w:ascii="宋体" w:hAnsi="宋体" w:cs="宋体"/>
                      <w:color w:val="auto"/>
                      <w:szCs w:val="21"/>
                    </w:rPr>
                  </w:pPr>
                  <w:r>
                    <w:rPr>
                      <w:rFonts w:hint="eastAsia" w:ascii="宋体" w:hAnsi="宋体" w:cs="宋体"/>
                      <w:color w:val="auto"/>
                      <w:kern w:val="0"/>
                      <w:szCs w:val="21"/>
                      <w:lang w:bidi="ar"/>
                    </w:rPr>
                    <w:t>（7）所有赛事传播内容植入体彩信息，宣传曝光量不低于3000万次。</w:t>
                  </w:r>
                </w:p>
              </w:tc>
            </w:tr>
            <w:bookmarkEnd w:id="35"/>
            <w:tr w14:paraId="0D4F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00" w:hRule="atLeast"/>
                <w:jc w:val="center"/>
              </w:trPr>
              <w:tc>
                <w:tcPr>
                  <w:tcW w:w="528" w:type="dxa"/>
                  <w:vMerge w:val="continue"/>
                  <w:vAlign w:val="center"/>
                </w:tcPr>
                <w:p w14:paraId="609FBE0A">
                  <w:pPr>
                    <w:widowControl/>
                    <w:snapToGrid w:val="0"/>
                    <w:spacing w:line="360" w:lineRule="exact"/>
                    <w:jc w:val="center"/>
                    <w:rPr>
                      <w:rFonts w:hint="eastAsia" w:ascii="宋体" w:hAnsi="宋体" w:cs="宋体"/>
                      <w:color w:val="auto"/>
                      <w:kern w:val="0"/>
                      <w:szCs w:val="21"/>
                      <w:lang w:bidi="ar"/>
                    </w:rPr>
                  </w:pPr>
                </w:p>
              </w:tc>
              <w:tc>
                <w:tcPr>
                  <w:tcW w:w="883" w:type="dxa"/>
                  <w:vMerge w:val="continue"/>
                  <w:vAlign w:val="center"/>
                </w:tcPr>
                <w:p w14:paraId="6B4A7E57">
                  <w:pPr>
                    <w:widowControl/>
                    <w:snapToGrid w:val="0"/>
                    <w:spacing w:line="360" w:lineRule="exact"/>
                    <w:jc w:val="center"/>
                    <w:rPr>
                      <w:rFonts w:hint="eastAsia" w:ascii="宋体" w:hAnsi="宋体" w:cs="宋体"/>
                      <w:color w:val="auto"/>
                      <w:kern w:val="0"/>
                      <w:szCs w:val="21"/>
                      <w:lang w:bidi="ar"/>
                    </w:rPr>
                  </w:pPr>
                </w:p>
              </w:tc>
              <w:tc>
                <w:tcPr>
                  <w:tcW w:w="5179" w:type="dxa"/>
                  <w:vMerge w:val="continue"/>
                  <w:vAlign w:val="center"/>
                </w:tcPr>
                <w:p w14:paraId="23DDC159">
                  <w:pPr>
                    <w:widowControl/>
                    <w:snapToGrid w:val="0"/>
                    <w:spacing w:line="360" w:lineRule="exact"/>
                    <w:jc w:val="left"/>
                    <w:rPr>
                      <w:rFonts w:hint="eastAsia" w:ascii="宋体" w:hAnsi="宋体" w:cs="宋体"/>
                      <w:color w:val="auto"/>
                      <w:kern w:val="0"/>
                      <w:szCs w:val="21"/>
                      <w:lang w:bidi="ar"/>
                    </w:rPr>
                  </w:pPr>
                </w:p>
              </w:tc>
            </w:tr>
            <w:tr w14:paraId="53A9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34C9743F">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883" w:type="dxa"/>
                  <w:vAlign w:val="center"/>
                </w:tcPr>
                <w:p w14:paraId="2F7D5F4B">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广西匹克球超级联赛传播</w:t>
                  </w:r>
                </w:p>
              </w:tc>
              <w:tc>
                <w:tcPr>
                  <w:tcW w:w="5179" w:type="dxa"/>
                  <w:vAlign w:val="center"/>
                </w:tcPr>
                <w:p w14:paraId="77BD81E1">
                  <w:pPr>
                    <w:pStyle w:val="2"/>
                    <w:widowControl/>
                    <w:numPr>
                      <w:ilvl w:val="0"/>
                      <w:numId w:val="1"/>
                    </w:numPr>
                    <w:snapToGrid w:val="0"/>
                    <w:spacing w:after="0" w:line="360" w:lineRule="exact"/>
                    <w:ind w:firstLine="420" w:firstLineChars="200"/>
                    <w:jc w:val="left"/>
                    <w:outlineLvl w:val="0"/>
                    <w:rPr>
                      <w:rFonts w:hint="eastAsia" w:ascii="宋体" w:hAnsi="宋体" w:cs="宋体"/>
                      <w:color w:val="auto"/>
                      <w:szCs w:val="21"/>
                      <w:lang w:bidi="ar"/>
                    </w:rPr>
                  </w:pPr>
                  <w:r>
                    <w:rPr>
                      <w:rFonts w:hint="eastAsia" w:ascii="宋体" w:hAnsi="宋体" w:cs="宋体"/>
                      <w:color w:val="auto"/>
                      <w:szCs w:val="21"/>
                      <w:lang w:bidi="ar"/>
                    </w:rPr>
                    <w:t>在中央级媒体上搭建</w:t>
                  </w:r>
                  <w:r>
                    <w:rPr>
                      <w:rFonts w:hint="eastAsia" w:ascii="宋体" w:hAnsi="宋体" w:cs="宋体"/>
                      <w:color w:val="auto"/>
                      <w:kern w:val="0"/>
                      <w:szCs w:val="21"/>
                      <w:lang w:bidi="ar"/>
                    </w:rPr>
                    <w:t>广西</w:t>
                  </w:r>
                  <w:r>
                    <w:rPr>
                      <w:rFonts w:hint="eastAsia" w:ascii="宋体" w:hAnsi="宋体" w:cs="宋体"/>
                      <w:color w:val="auto"/>
                      <w:szCs w:val="21"/>
                      <w:lang w:bidi="ar"/>
                    </w:rPr>
                    <w:t>匹克球超级联赛网络专题，涵盖赛事全周期，传播匹克球联赛系列赛事，及时赛事最新动态（推广栏目不少于3个，推广期不少于3个月，集纳信息超过60条）；</w:t>
                  </w:r>
                </w:p>
                <w:p w14:paraId="3C2C9970">
                  <w:pPr>
                    <w:pStyle w:val="2"/>
                    <w:widowControl/>
                    <w:snapToGrid w:val="0"/>
                    <w:spacing w:after="0" w:line="360" w:lineRule="exact"/>
                    <w:ind w:firstLine="420" w:firstLineChars="200"/>
                    <w:jc w:val="left"/>
                    <w:outlineLvl w:val="0"/>
                    <w:rPr>
                      <w:rFonts w:hint="eastAsia" w:ascii="宋体" w:hAnsi="宋体" w:cs="宋体"/>
                      <w:color w:val="auto"/>
                      <w:szCs w:val="21"/>
                      <w:lang w:bidi="ar"/>
                    </w:rPr>
                  </w:pPr>
                  <w:r>
                    <w:rPr>
                      <w:rFonts w:hint="eastAsia" w:ascii="宋体" w:hAnsi="宋体" w:cs="宋体"/>
                      <w:color w:val="auto"/>
                      <w:szCs w:val="21"/>
                      <w:lang w:bidi="ar"/>
                    </w:rPr>
                    <w:t>（2）在中央级媒体抖音号上发布匹克球相关视频广告。账号粉丝大于6000万；邀请高校负责人、教练、运动员、运营方/品牌方，达人等赛事嘉宾，录制预热短视频，借势传播。</w:t>
                  </w:r>
                </w:p>
                <w:p w14:paraId="16072B8A">
                  <w:pPr>
                    <w:pStyle w:val="2"/>
                    <w:widowControl/>
                    <w:snapToGrid w:val="0"/>
                    <w:spacing w:after="0" w:line="360" w:lineRule="exact"/>
                    <w:ind w:firstLine="420" w:firstLineChars="200"/>
                    <w:jc w:val="left"/>
                    <w:outlineLvl w:val="0"/>
                    <w:rPr>
                      <w:rFonts w:hint="eastAsia" w:ascii="宋体" w:hAnsi="宋体" w:cs="宋体"/>
                      <w:color w:val="auto"/>
                      <w:szCs w:val="21"/>
                      <w:lang w:bidi="ar"/>
                    </w:rPr>
                  </w:pPr>
                  <w:r>
                    <w:rPr>
                      <w:rFonts w:hint="eastAsia" w:ascii="宋体" w:hAnsi="宋体" w:cs="宋体"/>
                      <w:color w:val="auto"/>
                      <w:szCs w:val="21"/>
                      <w:lang w:bidi="ar"/>
                    </w:rPr>
                    <w:t>（3）在中央级媒体的首页发布广告。展示赛事的影响力和特色，突出匹克球运动在广西的推广成果。</w:t>
                  </w:r>
                </w:p>
                <w:p w14:paraId="2C1E1C69">
                  <w:pPr>
                    <w:pStyle w:val="2"/>
                    <w:widowControl/>
                    <w:snapToGrid w:val="0"/>
                    <w:spacing w:after="0" w:line="360" w:lineRule="exact"/>
                    <w:ind w:firstLine="420" w:firstLineChars="200"/>
                    <w:jc w:val="left"/>
                    <w:outlineLvl w:val="0"/>
                    <w:rPr>
                      <w:rFonts w:hint="eastAsia" w:ascii="宋体" w:hAnsi="宋体" w:cs="宋体"/>
                      <w:color w:val="auto"/>
                      <w:szCs w:val="21"/>
                      <w:lang w:bidi="ar"/>
                    </w:rPr>
                  </w:pPr>
                  <w:r>
                    <w:rPr>
                      <w:rFonts w:hint="eastAsia" w:ascii="宋体" w:hAnsi="宋体" w:cs="宋体"/>
                      <w:color w:val="auto"/>
                      <w:szCs w:val="21"/>
                      <w:lang w:bidi="ar"/>
                    </w:rPr>
                    <w:t>（4）开展体彩乐小星探访体验活动，邀请网红达人（粉丝100万以上）2名，体验匹克球运动，向海内外网友展现这项新兴运动如何快速上手，助力匹克球热力出圈，吸引更多的国内外爱好者来广西打卡匹克球运动。共2人次，单条时长2分钟以上；</w:t>
                  </w:r>
                </w:p>
                <w:p w14:paraId="1A34A25E">
                  <w:pPr>
                    <w:pStyle w:val="2"/>
                    <w:widowControl/>
                    <w:snapToGrid w:val="0"/>
                    <w:spacing w:after="0" w:line="360" w:lineRule="exact"/>
                    <w:ind w:firstLine="420" w:firstLineChars="200"/>
                    <w:jc w:val="left"/>
                    <w:outlineLvl w:val="0"/>
                    <w:rPr>
                      <w:rFonts w:hint="eastAsia" w:ascii="宋体" w:hAnsi="宋体" w:cs="宋体"/>
                      <w:color w:val="auto"/>
                      <w:szCs w:val="21"/>
                      <w:lang w:bidi="ar"/>
                    </w:rPr>
                  </w:pPr>
                  <w:r>
                    <w:rPr>
                      <w:rFonts w:hint="eastAsia" w:ascii="宋体" w:hAnsi="宋体" w:cs="宋体"/>
                      <w:color w:val="auto"/>
                      <w:szCs w:val="21"/>
                      <w:lang w:bidi="ar"/>
                    </w:rPr>
                    <w:t>（5）推荐中央级媒体的海外平台不少于3个语种对</w:t>
                  </w:r>
                  <w:r>
                    <w:rPr>
                      <w:rFonts w:hint="eastAsia" w:ascii="宋体" w:hAnsi="宋体" w:cs="宋体"/>
                      <w:color w:val="auto"/>
                      <w:kern w:val="0"/>
                      <w:szCs w:val="21"/>
                      <w:lang w:bidi="ar"/>
                    </w:rPr>
                    <w:t>广西匹克球超级联赛</w:t>
                  </w:r>
                  <w:r>
                    <w:rPr>
                      <w:rFonts w:hint="eastAsia" w:ascii="宋体" w:hAnsi="宋体" w:cs="宋体"/>
                      <w:color w:val="auto"/>
                      <w:szCs w:val="21"/>
                      <w:lang w:bidi="ar"/>
                    </w:rPr>
                    <w:t>进行传播。</w:t>
                  </w:r>
                </w:p>
                <w:p w14:paraId="7045A8CB">
                  <w:pPr>
                    <w:pStyle w:val="2"/>
                    <w:widowControl/>
                    <w:snapToGrid w:val="0"/>
                    <w:spacing w:after="0" w:line="360" w:lineRule="exact"/>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（6）结合赛事热点，策划并制作5条以上高水准AIGC融媒体产品，如海报、短视频、海报等。视频原创率须达50% 以上。（注:视频原创是指完全由运营团队完成创意、拍摄、生成、剪辑、渲染等全部工作。） </w:t>
                  </w:r>
                </w:p>
                <w:p w14:paraId="3B6959E0">
                  <w:pPr>
                    <w:pStyle w:val="2"/>
                    <w:widowControl/>
                    <w:snapToGrid w:val="0"/>
                    <w:spacing w:after="0"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（7）所有赛事传播内容植入体彩信息，宣传曝光量不低于3000万次。</w:t>
                  </w:r>
                </w:p>
              </w:tc>
            </w:tr>
            <w:tr w14:paraId="5986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2FD2EB97">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883" w:type="dxa"/>
                  <w:vAlign w:val="center"/>
                </w:tcPr>
                <w:p w14:paraId="49A4BAAD">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广西青少年足球甲级联赛传播</w:t>
                  </w:r>
                </w:p>
              </w:tc>
              <w:tc>
                <w:tcPr>
                  <w:tcW w:w="5179" w:type="dxa"/>
                  <w:vAlign w:val="center"/>
                </w:tcPr>
                <w:p w14:paraId="4F9A48E0">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1）在中央级媒体上搭建广西青少年足球甲级联赛网络专题，涵盖赛事全周期，对设区市联赛和自治区总决赛及新闻发布会、开赛仪式进行宣传、转播，集纳最新动态（推广栏目不少于3个，推广期不少于3个月，集纳信息超过60条）；赛事信息平台上包括14个设区市联赛和自治区总决赛的赛程、进球排行榜、各队积分等信息，实时更新。</w:t>
                  </w:r>
                </w:p>
                <w:p w14:paraId="6CEAA4E5">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（2）各设区市联赛的第一场比赛和相关重要场次及自治区总决赛需要实地宣传，包括精彩比赛视频等。</w:t>
                  </w:r>
                </w:p>
                <w:p w14:paraId="00C4D823">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（3）在中央级媒体微博主账号搭建微博话题页面，展现广西青少年足球甲级联赛训练和赛事的融合故事。账号粉丝大于8000万，话题传播量大于500万，话题内容符合社会主流价值、网友及微博特性；</w:t>
                  </w:r>
                </w:p>
                <w:p w14:paraId="1AA45C68">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（4）在中央级媒体视频号发布视频广告并置顶，账号粉丝大于1500万；</w:t>
                  </w:r>
                </w:p>
                <w:p w14:paraId="2E79C345">
                  <w:pPr>
                    <w:pStyle w:val="12"/>
                    <w:spacing w:line="360" w:lineRule="exact"/>
                    <w:ind w:firstLine="420" w:firstLineChars="200"/>
                    <w:outlineLvl w:val="0"/>
                    <w:rPr>
                      <w:color w:val="auto"/>
                    </w:rPr>
                  </w:pPr>
                  <w:r>
                    <w:rPr>
                      <w:rFonts w:hint="eastAsia" w:hAnsi="宋体" w:cs="宋体"/>
                      <w:color w:val="auto"/>
                      <w:sz w:val="21"/>
                      <w:lang w:bidi="ar"/>
                    </w:rPr>
                    <w:t>（5）结合赛事热点，策划并制作5条以上高水准AIGC融媒体产品，如海报、短视频、海报等。视频原创率须达50% 以上。（注:视频原创是指完全由运营团队完成创意、拍摄、生成、剪辑、渲染等全部工作。）</w:t>
                  </w:r>
                </w:p>
                <w:p w14:paraId="104509F8">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（6）在中央级媒体的</w:t>
                  </w:r>
                  <w:r>
                    <w:rPr>
                      <w:rFonts w:hint="eastAsia" w:ascii="宋体" w:hAnsi="宋体" w:cs="宋体"/>
                      <w:color w:val="auto"/>
                      <w:szCs w:val="21"/>
                      <w:lang w:bidi="ar"/>
                    </w:rPr>
                    <w:t>第三方平台账号</w:t>
                  </w:r>
                  <w:r>
                    <w:rPr>
                      <w:rFonts w:hint="eastAsia" w:ascii="宋体" w:hAnsi="宋体" w:cs="宋体"/>
                      <w:color w:val="auto"/>
                      <w:kern w:val="0"/>
                      <w:szCs w:val="21"/>
                      <w:lang w:bidi="ar"/>
                    </w:rPr>
                    <w:t>上</w:t>
                  </w:r>
                  <w:r>
                    <w:rPr>
                      <w:rFonts w:hint="eastAsia" w:ascii="宋体" w:hAnsi="宋体" w:cs="宋体"/>
                      <w:color w:val="auto"/>
                      <w:szCs w:val="21"/>
                      <w:lang w:bidi="ar"/>
                    </w:rPr>
                    <w:t xml:space="preserve">分发广告 </w:t>
                  </w:r>
                  <w:r>
                    <w:rPr>
                      <w:rFonts w:hint="eastAsia" w:ascii="宋体" w:hAnsi="宋体" w:cs="宋体"/>
                      <w:color w:val="auto"/>
                      <w:kern w:val="0"/>
                      <w:szCs w:val="21"/>
                      <w:lang w:bidi="ar"/>
                    </w:rPr>
                    <w:t>，信息传播不少于10条（平台帐号可重复）。对广西青少年足球甲级联赛进行预热和持续跟进传播，并植入广西体彩相关信息。</w:t>
                  </w:r>
                </w:p>
                <w:p w14:paraId="439C2D66">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（7）所有赛事传播内容植入体彩信息，宣传曝光量不低于3000万次。</w:t>
                  </w:r>
                </w:p>
              </w:tc>
            </w:tr>
            <w:tr w14:paraId="4C1E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149E40BF">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883" w:type="dxa"/>
                  <w:vAlign w:val="center"/>
                </w:tcPr>
                <w:p w14:paraId="1626ADB1">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广西县级足球超级联赛传播</w:t>
                  </w:r>
                </w:p>
              </w:tc>
              <w:tc>
                <w:tcPr>
                  <w:tcW w:w="5179" w:type="dxa"/>
                  <w:vAlign w:val="center"/>
                </w:tcPr>
                <w:p w14:paraId="64E20BA8">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1）在中央级媒体上搭建广西县级足球超级联赛网络专题，涵盖赛事全周期，对开幕式/揭幕战、分区赛和自治区总决赛进行宣传、转播，集纳最新动态（推广栏目不少于3个，推广期不少于5个月，集纳信息超过60条）；</w:t>
                  </w:r>
                </w:p>
                <w:p w14:paraId="4EE61A40">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（2）根据参赛队伍情况，并结合实际，挖掘每支队伍特色，制造宣传话题/造梗/槽点，宣传内容正能量、积极性；</w:t>
                  </w:r>
                </w:p>
                <w:p w14:paraId="6C89EA81">
                  <w:pPr>
                    <w:pStyle w:val="12"/>
                    <w:snapToGrid w:val="0"/>
                    <w:spacing w:line="360" w:lineRule="exact"/>
                    <w:ind w:firstLine="420" w:firstLineChars="200"/>
                    <w:jc w:val="left"/>
                    <w:outlineLvl w:val="0"/>
                    <w:rPr>
                      <w:rFonts w:hint="eastAsia" w:hAnsi="宋体" w:cs="宋体"/>
                      <w:color w:val="auto"/>
                      <w:sz w:val="21"/>
                      <w:lang w:bidi="ar"/>
                    </w:rPr>
                  </w:pPr>
                  <w:r>
                    <w:rPr>
                      <w:rFonts w:hint="eastAsia" w:hAnsi="宋体" w:cs="宋体"/>
                      <w:color w:val="auto"/>
                      <w:sz w:val="21"/>
                      <w:lang w:bidi="ar"/>
                    </w:rPr>
                    <w:t>（3）推荐中央级媒体的海外平台不少于3种语言对县超进行传播。</w:t>
                  </w:r>
                </w:p>
                <w:p w14:paraId="01F64E3A">
                  <w:pPr>
                    <w:pStyle w:val="12"/>
                    <w:spacing w:line="360" w:lineRule="exact"/>
                    <w:ind w:firstLine="420" w:firstLineChars="200"/>
                    <w:outlineLvl w:val="0"/>
                    <w:rPr>
                      <w:rFonts w:hint="eastAsia" w:hAnsi="宋体" w:cs="宋体"/>
                      <w:color w:val="auto"/>
                      <w:sz w:val="21"/>
                      <w:lang w:bidi="ar"/>
                    </w:rPr>
                  </w:pPr>
                  <w:r>
                    <w:rPr>
                      <w:rFonts w:hint="eastAsia" w:hAnsi="宋体" w:cs="宋体"/>
                      <w:color w:val="auto"/>
                      <w:sz w:val="21"/>
                      <w:lang w:bidi="ar"/>
                    </w:rPr>
                    <w:t>（4）结合赛事热点，策划并制作5条以上高水准AIGC融媒体产品，如海报、短视频、海报等。视频原创率须达50% 以上。（注:视频原创是指完全由运营团队完成创意、拍摄、生成、剪辑、渲染等全部工作。）</w:t>
                  </w:r>
                </w:p>
                <w:p w14:paraId="6123C82E">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（5）揭幕战/开幕式、自治区总决赛需要实地宣传，分区赛可选择性宣传，挑选有精彩内容或比赛故事的视频等。</w:t>
                  </w:r>
                </w:p>
                <w:p w14:paraId="34C386FF">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（6）在中央级媒体的</w:t>
                  </w:r>
                  <w:r>
                    <w:rPr>
                      <w:rFonts w:hint="eastAsia" w:ascii="宋体" w:hAnsi="宋体" w:cs="宋体"/>
                      <w:color w:val="auto"/>
                      <w:szCs w:val="21"/>
                      <w:lang w:bidi="ar"/>
                    </w:rPr>
                    <w:t>第三方平台账号</w:t>
                  </w:r>
                  <w:r>
                    <w:rPr>
                      <w:rFonts w:hint="eastAsia" w:ascii="宋体" w:hAnsi="宋体" w:cs="宋体"/>
                      <w:color w:val="auto"/>
                      <w:kern w:val="0"/>
                      <w:szCs w:val="21"/>
                      <w:lang w:bidi="ar"/>
                    </w:rPr>
                    <w:t>上</w:t>
                  </w:r>
                  <w:r>
                    <w:rPr>
                      <w:rFonts w:hint="eastAsia" w:ascii="宋体" w:hAnsi="宋体" w:cs="宋体"/>
                      <w:color w:val="auto"/>
                      <w:szCs w:val="21"/>
                      <w:lang w:bidi="ar"/>
                    </w:rPr>
                    <w:t xml:space="preserve">分发广告 </w:t>
                  </w:r>
                  <w:r>
                    <w:rPr>
                      <w:rFonts w:hint="eastAsia" w:ascii="宋体" w:hAnsi="宋体" w:cs="宋体"/>
                      <w:color w:val="auto"/>
                      <w:kern w:val="0"/>
                      <w:szCs w:val="21"/>
                      <w:lang w:bidi="ar"/>
                    </w:rPr>
                    <w:t>，信息传播不少于10条（平台帐号可重复）。对广西县级足球超级联赛进行预热和持续跟进传播，并植入广西体彩相关信息。</w:t>
                  </w:r>
                </w:p>
              </w:tc>
            </w:tr>
            <w:tr w14:paraId="71B3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52B4BD89">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szCs w:val="21"/>
                    </w:rPr>
                    <w:t>5</w:t>
                  </w:r>
                </w:p>
                <w:p w14:paraId="7AD80895">
                  <w:pPr>
                    <w:widowControl/>
                    <w:snapToGrid w:val="0"/>
                    <w:spacing w:line="360" w:lineRule="exact"/>
                    <w:jc w:val="center"/>
                    <w:textAlignment w:val="center"/>
                    <w:rPr>
                      <w:rFonts w:hint="eastAsia" w:ascii="宋体" w:hAnsi="宋体" w:cs="宋体"/>
                      <w:color w:val="auto"/>
                      <w:kern w:val="0"/>
                      <w:szCs w:val="21"/>
                      <w:lang w:bidi="ar"/>
                    </w:rPr>
                  </w:pPr>
                </w:p>
              </w:tc>
              <w:tc>
                <w:tcPr>
                  <w:tcW w:w="883" w:type="dxa"/>
                  <w:vAlign w:val="center"/>
                </w:tcPr>
                <w:p w14:paraId="4CCE37D6">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广西万村篮球赛传播</w:t>
                  </w:r>
                </w:p>
              </w:tc>
              <w:tc>
                <w:tcPr>
                  <w:tcW w:w="5179" w:type="dxa"/>
                  <w:vAlign w:val="center"/>
                </w:tcPr>
                <w:p w14:paraId="1E40E263">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1）在中央级媒体上搭建广西万村篮球赛网络专题，涵盖赛事全周期，对开幕式、市级赛和自治区总决赛进行宣传、转播，集纳最新动态（推广栏目不少于3个，推广期不少于3个月，集纳信息超过60条）；专题信息包括开幕式、14个设区市市级赛和自治区总决赛的动态信息，实时更新。</w:t>
                  </w:r>
                </w:p>
                <w:p w14:paraId="3A39BB0B">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（2）相关重要场次及自治区总决赛需要实地宣传，包括精彩比赛视频等。</w:t>
                  </w:r>
                </w:p>
                <w:p w14:paraId="53C96EFC">
                  <w:pPr>
                    <w:widowControl/>
                    <w:snapToGrid w:val="0"/>
                    <w:spacing w:line="360" w:lineRule="exact"/>
                    <w:ind w:firstLine="420" w:firstLineChars="200"/>
                    <w:jc w:val="left"/>
                    <w:outlineLvl w:val="0"/>
                    <w:rPr>
                      <w:rFonts w:hint="eastAsia" w:ascii="宋体" w:hAnsi="宋体" w:cs="宋体"/>
                      <w:color w:val="auto"/>
                      <w:kern w:val="0"/>
                      <w:szCs w:val="21"/>
                      <w:lang w:bidi="ar"/>
                    </w:rPr>
                  </w:pPr>
                  <w:r>
                    <w:rPr>
                      <w:rFonts w:hint="eastAsia" w:ascii="宋体" w:hAnsi="宋体" w:cs="宋体"/>
                      <w:color w:val="auto"/>
                      <w:kern w:val="0"/>
                      <w:szCs w:val="21"/>
                      <w:lang w:bidi="ar"/>
                    </w:rPr>
                    <w:t>（3）在中央级媒体的</w:t>
                  </w:r>
                  <w:r>
                    <w:rPr>
                      <w:rFonts w:hint="eastAsia" w:ascii="宋体" w:hAnsi="宋体" w:cs="宋体"/>
                      <w:color w:val="auto"/>
                      <w:szCs w:val="21"/>
                      <w:lang w:bidi="ar"/>
                    </w:rPr>
                    <w:t>第三方平台账号</w:t>
                  </w:r>
                  <w:r>
                    <w:rPr>
                      <w:rFonts w:hint="eastAsia" w:ascii="宋体" w:hAnsi="宋体" w:cs="宋体"/>
                      <w:color w:val="auto"/>
                      <w:kern w:val="0"/>
                      <w:szCs w:val="21"/>
                      <w:lang w:bidi="ar"/>
                    </w:rPr>
                    <w:t>上</w:t>
                  </w:r>
                  <w:r>
                    <w:rPr>
                      <w:rFonts w:hint="eastAsia" w:ascii="宋体" w:hAnsi="宋体" w:cs="宋体"/>
                      <w:color w:val="auto"/>
                      <w:szCs w:val="21"/>
                      <w:lang w:bidi="ar"/>
                    </w:rPr>
                    <w:t xml:space="preserve">分发广告 </w:t>
                  </w:r>
                  <w:r>
                    <w:rPr>
                      <w:rFonts w:hint="eastAsia" w:ascii="宋体" w:hAnsi="宋体" w:cs="宋体"/>
                      <w:color w:val="auto"/>
                      <w:kern w:val="0"/>
                      <w:szCs w:val="21"/>
                      <w:lang w:bidi="ar"/>
                    </w:rPr>
                    <w:t>，信息传播不少于10条（平台帐号可重复）。对广西万村篮球赛进行预热和持续跟进传播，并植入广西体彩相关信息。</w:t>
                  </w:r>
                </w:p>
              </w:tc>
            </w:tr>
            <w:tr w14:paraId="06C3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120764AF">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w:t>
                  </w:r>
                </w:p>
              </w:tc>
              <w:tc>
                <w:tcPr>
                  <w:tcW w:w="883" w:type="dxa"/>
                  <w:vAlign w:val="center"/>
                </w:tcPr>
                <w:p w14:paraId="40AE3643">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传播能力要求</w:t>
                  </w:r>
                </w:p>
              </w:tc>
              <w:tc>
                <w:tcPr>
                  <w:tcW w:w="5179" w:type="dxa"/>
                  <w:vAlign w:val="center"/>
                </w:tcPr>
                <w:p w14:paraId="76647404">
                  <w:pPr>
                    <w:widowControl/>
                    <w:snapToGrid w:val="0"/>
                    <w:spacing w:line="360" w:lineRule="exact"/>
                    <w:ind w:firstLine="420" w:firstLineChars="200"/>
                    <w:jc w:val="left"/>
                    <w:textAlignment w:val="top"/>
                    <w:rPr>
                      <w:rFonts w:hint="eastAsia" w:ascii="宋体" w:hAnsi="宋体" w:cs="宋体"/>
                      <w:color w:val="auto"/>
                      <w:szCs w:val="21"/>
                    </w:rPr>
                  </w:pPr>
                  <w:r>
                    <w:rPr>
                      <w:rFonts w:hint="eastAsia" w:ascii="宋体" w:hAnsi="宋体" w:cs="宋体"/>
                      <w:color w:val="auto"/>
                      <w:szCs w:val="21"/>
                      <w:lang w:bidi="ar"/>
                    </w:rPr>
                    <w:t>具有优秀的海内外传播能力，能通过中央级媒体平台，以多语种、多形式对广西六大重点赛事进行传播，全面覆盖全球受众，显著提升传播热度。</w:t>
                  </w:r>
                </w:p>
              </w:tc>
            </w:tr>
            <w:tr w14:paraId="579E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1B308BBC">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7</w:t>
                  </w:r>
                </w:p>
              </w:tc>
              <w:tc>
                <w:tcPr>
                  <w:tcW w:w="883" w:type="dxa"/>
                  <w:vAlign w:val="center"/>
                </w:tcPr>
                <w:p w14:paraId="306D600C">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保密</w:t>
                  </w:r>
                </w:p>
                <w:p w14:paraId="6F0A8167">
                  <w:pPr>
                    <w:widowControl/>
                    <w:snapToGrid w:val="0"/>
                    <w:spacing w:line="36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制度</w:t>
                  </w:r>
                </w:p>
              </w:tc>
              <w:tc>
                <w:tcPr>
                  <w:tcW w:w="5179" w:type="dxa"/>
                  <w:vAlign w:val="center"/>
                </w:tcPr>
                <w:p w14:paraId="01132C7B">
                  <w:pPr>
                    <w:widowControl/>
                    <w:snapToGrid w:val="0"/>
                    <w:spacing w:line="360" w:lineRule="exact"/>
                    <w:ind w:firstLine="420" w:firstLineChars="200"/>
                    <w:jc w:val="left"/>
                    <w:textAlignment w:val="top"/>
                    <w:rPr>
                      <w:rFonts w:hint="eastAsia" w:ascii="宋体" w:hAnsi="宋体" w:cs="宋体"/>
                      <w:color w:val="auto"/>
                      <w:szCs w:val="21"/>
                    </w:rPr>
                  </w:pPr>
                  <w:r>
                    <w:rPr>
                      <w:rFonts w:hint="eastAsia" w:ascii="宋体" w:hAnsi="宋体" w:cs="宋体"/>
                      <w:color w:val="auto"/>
                      <w:szCs w:val="21"/>
                    </w:rPr>
                    <w:t>建立相应的保密工作机制，切实依法保守国家秘密，签订保密承诺书。严格遵守广西体彩各项管理规定，对工作中可能接触到的业务资料等内容应严格保密，不得扩散、泄露，包括在合同期结束后承诺保密义务。</w:t>
                  </w:r>
                </w:p>
              </w:tc>
            </w:tr>
            <w:tr w14:paraId="3F3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528" w:type="dxa"/>
                  <w:vAlign w:val="center"/>
                </w:tcPr>
                <w:p w14:paraId="6734655C">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8</w:t>
                  </w:r>
                </w:p>
              </w:tc>
              <w:tc>
                <w:tcPr>
                  <w:tcW w:w="883" w:type="dxa"/>
                  <w:vAlign w:val="center"/>
                </w:tcPr>
                <w:p w14:paraId="60216AF6">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制作</w:t>
                  </w:r>
                </w:p>
                <w:p w14:paraId="7D1158D3">
                  <w:pPr>
                    <w:widowControl/>
                    <w:snapToGrid w:val="0"/>
                    <w:spacing w:line="36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专报</w:t>
                  </w:r>
                </w:p>
              </w:tc>
              <w:tc>
                <w:tcPr>
                  <w:tcW w:w="5179" w:type="dxa"/>
                  <w:vAlign w:val="center"/>
                </w:tcPr>
                <w:p w14:paraId="1D89815A">
                  <w:pPr>
                    <w:widowControl/>
                    <w:snapToGrid w:val="0"/>
                    <w:spacing w:line="360" w:lineRule="exact"/>
                    <w:ind w:firstLine="420" w:firstLineChars="200"/>
                    <w:jc w:val="left"/>
                    <w:textAlignment w:val="top"/>
                    <w:rPr>
                      <w:rFonts w:hint="eastAsia" w:ascii="宋体" w:hAnsi="宋体" w:cs="宋体"/>
                      <w:color w:val="auto"/>
                      <w:szCs w:val="21"/>
                    </w:rPr>
                  </w:pPr>
                  <w:r>
                    <w:rPr>
                      <w:rFonts w:hint="eastAsia" w:ascii="宋体" w:hAnsi="宋体" w:cs="宋体"/>
                      <w:color w:val="auto"/>
                      <w:szCs w:val="21"/>
                      <w:lang w:bidi="ar"/>
                    </w:rPr>
                    <w:t>为“桂马奔腾·总有一款适合你”马拉松系列赛事传播、广西匹克球超级联赛传播、广西青少年足球甲级联赛传播、</w:t>
                  </w:r>
                  <w:r>
                    <w:rPr>
                      <w:rFonts w:hint="eastAsia" w:ascii="宋体" w:hAnsi="宋体" w:cs="宋体"/>
                      <w:color w:val="auto"/>
                      <w:kern w:val="0"/>
                      <w:szCs w:val="21"/>
                      <w:lang w:bidi="ar"/>
                    </w:rPr>
                    <w:t>广西县级足球超级联赛传播、广西万村篮球赛传播</w:t>
                  </w:r>
                  <w:r>
                    <w:rPr>
                      <w:rFonts w:hint="eastAsia" w:ascii="宋体" w:hAnsi="宋体" w:cs="宋体"/>
                      <w:color w:val="auto"/>
                      <w:szCs w:val="21"/>
                      <w:lang w:bidi="ar"/>
                    </w:rPr>
                    <w:t>等活动制作工作专报，从落地实效、传播数据、央媒推广等维度进行归纳。按流程及广西体彩要求进行报送。</w:t>
                  </w:r>
                </w:p>
              </w:tc>
            </w:tr>
          </w:tbl>
          <w:p w14:paraId="4EAFF734">
            <w:pPr>
              <w:snapToGrid w:val="0"/>
              <w:spacing w:line="400" w:lineRule="exact"/>
              <w:rPr>
                <w:rFonts w:hint="eastAsia" w:ascii="宋体" w:hAnsi="宋体" w:cs="宋体"/>
                <w:color w:val="auto"/>
                <w:szCs w:val="21"/>
              </w:rPr>
            </w:pPr>
          </w:p>
        </w:tc>
        <w:tc>
          <w:tcPr>
            <w:tcW w:w="992" w:type="dxa"/>
            <w:tcBorders>
              <w:top w:val="single" w:color="auto" w:sz="4" w:space="0"/>
              <w:left w:val="single" w:color="auto" w:sz="4" w:space="0"/>
              <w:right w:val="single" w:color="auto" w:sz="4" w:space="0"/>
            </w:tcBorders>
          </w:tcPr>
          <w:p w14:paraId="4FAB5BAF">
            <w:pPr>
              <w:widowControl/>
              <w:spacing w:line="356"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租赁和商务服务业</w:t>
            </w:r>
          </w:p>
        </w:tc>
      </w:tr>
      <w:tr w14:paraId="4058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57" w:type="dxa"/>
            <w:gridSpan w:val="5"/>
            <w:tcBorders>
              <w:top w:val="single" w:color="auto" w:sz="4" w:space="0"/>
              <w:left w:val="single" w:color="auto" w:sz="4" w:space="0"/>
              <w:right w:val="single" w:color="auto" w:sz="4" w:space="0"/>
            </w:tcBorders>
            <w:vAlign w:val="center"/>
          </w:tcPr>
          <w:p w14:paraId="39BA6F9A">
            <w:pPr>
              <w:spacing w:line="356"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商务要求表</w:t>
            </w:r>
          </w:p>
        </w:tc>
      </w:tr>
      <w:tr w14:paraId="7A3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vAlign w:val="center"/>
          </w:tcPr>
          <w:p w14:paraId="15B72550">
            <w:pPr>
              <w:tabs>
                <w:tab w:val="center" w:pos="4153"/>
                <w:tab w:val="right" w:pos="8306"/>
              </w:tabs>
              <w:snapToGrid w:val="0"/>
              <w:spacing w:line="400" w:lineRule="exact"/>
              <w:jc w:val="center"/>
              <w:rPr>
                <w:rFonts w:hint="eastAsia" w:ascii="宋体" w:hAnsi="宋体" w:cs="宋体"/>
                <w:b/>
                <w:color w:val="auto"/>
                <w:szCs w:val="21"/>
              </w:rPr>
            </w:pPr>
            <w:r>
              <w:rPr>
                <w:rFonts w:hint="eastAsia" w:ascii="宋体" w:hAnsi="宋体" w:cs="宋体"/>
                <w:b/>
                <w:color w:val="auto"/>
                <w:szCs w:val="21"/>
              </w:rPr>
              <w:t>竞标报价</w:t>
            </w:r>
          </w:p>
        </w:tc>
        <w:tc>
          <w:tcPr>
            <w:tcW w:w="8504" w:type="dxa"/>
            <w:gridSpan w:val="3"/>
            <w:tcBorders>
              <w:top w:val="single" w:color="auto" w:sz="4" w:space="0"/>
              <w:left w:val="single" w:color="auto" w:sz="4" w:space="0"/>
              <w:right w:val="single" w:color="auto" w:sz="4" w:space="0"/>
            </w:tcBorders>
            <w:vAlign w:val="center"/>
          </w:tcPr>
          <w:p w14:paraId="2E1F3612">
            <w:pPr>
              <w:widowControl/>
              <w:spacing w:line="400" w:lineRule="exact"/>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本项目报价包含但不限于以下部分：</w:t>
            </w:r>
            <w:r>
              <w:rPr>
                <w:rFonts w:hint="eastAsia" w:ascii="宋体" w:hAnsi="宋体" w:cs="宋体"/>
                <w:color w:val="auto"/>
                <w:szCs w:val="21"/>
                <w:shd w:val="clear" w:color="auto" w:fill="FFFFFF"/>
              </w:rPr>
              <w:tab/>
            </w:r>
          </w:p>
          <w:p w14:paraId="7E6A195E">
            <w:pPr>
              <w:widowControl/>
              <w:spacing w:line="400" w:lineRule="exact"/>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1.服务的价格；</w:t>
            </w:r>
          </w:p>
          <w:p w14:paraId="475C1A44">
            <w:pPr>
              <w:widowControl/>
              <w:spacing w:line="400" w:lineRule="exact"/>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2.必要的保险费用和各项税金；</w:t>
            </w:r>
          </w:p>
          <w:p w14:paraId="33688AEE">
            <w:pPr>
              <w:widowControl/>
              <w:spacing w:line="400" w:lineRule="exact"/>
              <w:jc w:val="left"/>
              <w:rPr>
                <w:rFonts w:hint="eastAsia" w:ascii="宋体" w:hAnsi="宋体" w:cs="宋体"/>
                <w:color w:val="auto"/>
                <w:kern w:val="0"/>
                <w:szCs w:val="21"/>
                <w:lang w:bidi="ar"/>
              </w:rPr>
            </w:pPr>
            <w:r>
              <w:rPr>
                <w:rFonts w:hint="eastAsia" w:ascii="宋体" w:hAnsi="宋体" w:cs="宋体"/>
                <w:color w:val="auto"/>
                <w:kern w:val="0"/>
                <w:szCs w:val="21"/>
                <w:lang w:bidi="ar"/>
              </w:rPr>
              <w:t>3.场地布置、器材、赛事传播、接待费（包括食宿及交通费）、人工费（含工作人员补助）、活动策划执行费、医务人员及急救药品费、以及实施过程中的应预见和不可预见的费用等；</w:t>
            </w:r>
          </w:p>
          <w:p w14:paraId="4CA69956">
            <w:pPr>
              <w:widowControl/>
              <w:spacing w:line="400" w:lineRule="exact"/>
              <w:jc w:val="left"/>
              <w:rPr>
                <w:rFonts w:hint="eastAsia" w:ascii="宋体" w:hAnsi="宋体" w:cs="宋体"/>
                <w:color w:val="auto"/>
                <w:kern w:val="0"/>
                <w:szCs w:val="21"/>
                <w:lang w:bidi="ar"/>
              </w:rPr>
            </w:pPr>
            <w:r>
              <w:rPr>
                <w:rFonts w:hint="eastAsia" w:ascii="宋体" w:hAnsi="宋体" w:cs="宋体"/>
                <w:color w:val="auto"/>
                <w:kern w:val="0"/>
                <w:szCs w:val="21"/>
                <w:lang w:bidi="ar"/>
              </w:rPr>
              <w:t>4.该项目全程服务过程中所发生的一切费用由成交供应商自行负责，成交供应商需满足采购人对本项目服务提出的有关需求所需的一切费用；</w:t>
            </w:r>
          </w:p>
          <w:p w14:paraId="2E556005">
            <w:pPr>
              <w:widowControl/>
              <w:spacing w:line="400" w:lineRule="exact"/>
              <w:jc w:val="left"/>
              <w:rPr>
                <w:rFonts w:hint="eastAsia" w:ascii="宋体" w:hAnsi="宋体" w:cs="宋体"/>
                <w:color w:val="auto"/>
                <w:kern w:val="0"/>
                <w:szCs w:val="21"/>
                <w:lang w:bidi="ar"/>
              </w:rPr>
            </w:pPr>
            <w:r>
              <w:rPr>
                <w:rFonts w:hint="eastAsia" w:ascii="宋体" w:hAnsi="宋体" w:cs="宋体"/>
                <w:color w:val="auto"/>
                <w:kern w:val="0"/>
                <w:szCs w:val="21"/>
                <w:lang w:bidi="ar"/>
              </w:rPr>
              <w:t>5.包含所产生的采购代理服务费；</w:t>
            </w:r>
          </w:p>
          <w:p w14:paraId="1C516940">
            <w:pPr>
              <w:widowControl/>
              <w:spacing w:line="400" w:lineRule="exact"/>
              <w:jc w:val="left"/>
              <w:rPr>
                <w:rFonts w:hint="eastAsia" w:ascii="宋体" w:hAnsi="宋体" w:cs="宋体"/>
                <w:color w:val="auto"/>
                <w:kern w:val="0"/>
                <w:szCs w:val="21"/>
                <w:lang w:bidi="ar"/>
              </w:rPr>
            </w:pPr>
            <w:r>
              <w:rPr>
                <w:rFonts w:hint="eastAsia" w:ascii="宋体" w:hAnsi="宋体" w:cs="宋体"/>
                <w:color w:val="auto"/>
                <w:kern w:val="0"/>
                <w:szCs w:val="21"/>
                <w:lang w:bidi="ar"/>
              </w:rPr>
              <w:t>6.磋商文件所要求的相关服务，以及合同约定的所有责任、义务和一般风险等费用。</w:t>
            </w:r>
          </w:p>
        </w:tc>
      </w:tr>
      <w:tr w14:paraId="2438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vAlign w:val="center"/>
          </w:tcPr>
          <w:p w14:paraId="6EB983B9">
            <w:pPr>
              <w:tabs>
                <w:tab w:val="center" w:pos="4153"/>
                <w:tab w:val="right" w:pos="8306"/>
              </w:tabs>
              <w:snapToGrid w:val="0"/>
              <w:spacing w:line="400" w:lineRule="exact"/>
              <w:jc w:val="center"/>
              <w:rPr>
                <w:rFonts w:hint="eastAsia" w:ascii="宋体" w:hAnsi="宋体" w:cs="宋体"/>
                <w:b/>
                <w:bCs/>
                <w:color w:val="auto"/>
                <w:kern w:val="0"/>
                <w:szCs w:val="21"/>
              </w:rPr>
            </w:pPr>
            <w:r>
              <w:rPr>
                <w:rFonts w:hint="eastAsia" w:ascii="宋体" w:hAnsi="宋体" w:cs="宋体"/>
                <w:b/>
                <w:color w:val="auto"/>
                <w:szCs w:val="21"/>
              </w:rPr>
              <w:t>合同签订</w:t>
            </w:r>
          </w:p>
        </w:tc>
        <w:tc>
          <w:tcPr>
            <w:tcW w:w="8504" w:type="dxa"/>
            <w:gridSpan w:val="3"/>
            <w:tcBorders>
              <w:top w:val="single" w:color="auto" w:sz="4" w:space="0"/>
              <w:left w:val="single" w:color="auto" w:sz="4" w:space="0"/>
              <w:right w:val="single" w:color="auto" w:sz="4" w:space="0"/>
            </w:tcBorders>
            <w:vAlign w:val="center"/>
          </w:tcPr>
          <w:p w14:paraId="5DFF3FA0">
            <w:pPr>
              <w:tabs>
                <w:tab w:val="center" w:pos="4153"/>
                <w:tab w:val="right" w:pos="8306"/>
              </w:tabs>
              <w:snapToGrid w:val="0"/>
              <w:spacing w:line="400" w:lineRule="exact"/>
              <w:rPr>
                <w:rFonts w:hint="eastAsia" w:ascii="宋体" w:hAnsi="宋体" w:cs="宋体"/>
                <w:b/>
                <w:bCs/>
                <w:color w:val="auto"/>
                <w:kern w:val="0"/>
                <w:szCs w:val="21"/>
              </w:rPr>
            </w:pPr>
            <w:r>
              <w:rPr>
                <w:rFonts w:hint="eastAsia" w:ascii="宋体" w:hAnsi="宋体" w:cs="宋体"/>
                <w:color w:val="auto"/>
                <w:kern w:val="0"/>
                <w:szCs w:val="21"/>
              </w:rPr>
              <w:t>自成交公告发出之日起25个日历日内。</w:t>
            </w:r>
          </w:p>
        </w:tc>
      </w:tr>
      <w:tr w14:paraId="674F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vAlign w:val="center"/>
          </w:tcPr>
          <w:p w14:paraId="2F656CAE">
            <w:pPr>
              <w:tabs>
                <w:tab w:val="center" w:pos="4153"/>
                <w:tab w:val="right" w:pos="8306"/>
              </w:tabs>
              <w:snapToGrid w:val="0"/>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标准、规范</w:t>
            </w:r>
          </w:p>
        </w:tc>
        <w:tc>
          <w:tcPr>
            <w:tcW w:w="8504" w:type="dxa"/>
            <w:gridSpan w:val="3"/>
            <w:tcBorders>
              <w:top w:val="single" w:color="auto" w:sz="4" w:space="0"/>
              <w:left w:val="single" w:color="auto" w:sz="4" w:space="0"/>
              <w:right w:val="single" w:color="auto" w:sz="4" w:space="0"/>
            </w:tcBorders>
            <w:vAlign w:val="center"/>
          </w:tcPr>
          <w:p w14:paraId="6107121F">
            <w:pPr>
              <w:widowControl/>
              <w:spacing w:line="400" w:lineRule="exac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2C8F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vAlign w:val="center"/>
          </w:tcPr>
          <w:p w14:paraId="5F4ACE89">
            <w:pPr>
              <w:tabs>
                <w:tab w:val="center" w:pos="4153"/>
                <w:tab w:val="right" w:pos="8306"/>
              </w:tabs>
              <w:snapToGrid w:val="0"/>
              <w:spacing w:line="400" w:lineRule="exact"/>
              <w:jc w:val="center"/>
              <w:rPr>
                <w:rFonts w:hint="eastAsia" w:ascii="宋体" w:hAnsi="宋体" w:cs="宋体"/>
                <w:b/>
                <w:color w:val="auto"/>
                <w:szCs w:val="21"/>
              </w:rPr>
            </w:pPr>
            <w:r>
              <w:rPr>
                <w:rFonts w:hint="eastAsia" w:ascii="宋体" w:hAnsi="宋体" w:cs="宋体"/>
                <w:b/>
                <w:color w:val="auto"/>
                <w:szCs w:val="21"/>
              </w:rPr>
              <w:t>合同履约期限（服务期限）</w:t>
            </w:r>
          </w:p>
        </w:tc>
        <w:tc>
          <w:tcPr>
            <w:tcW w:w="8504" w:type="dxa"/>
            <w:gridSpan w:val="3"/>
            <w:tcBorders>
              <w:top w:val="single" w:color="auto" w:sz="4" w:space="0"/>
              <w:left w:val="single" w:color="auto" w:sz="4" w:space="0"/>
              <w:right w:val="single" w:color="auto" w:sz="4" w:space="0"/>
            </w:tcBorders>
            <w:vAlign w:val="center"/>
          </w:tcPr>
          <w:p w14:paraId="53E252CE">
            <w:pPr>
              <w:widowControl/>
              <w:spacing w:line="400" w:lineRule="exac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自合同签订生效之日起一年内。</w:t>
            </w:r>
          </w:p>
        </w:tc>
      </w:tr>
      <w:tr w14:paraId="67F4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vAlign w:val="center"/>
          </w:tcPr>
          <w:p w14:paraId="1CBC88AC">
            <w:pPr>
              <w:widowControl/>
              <w:spacing w:line="400" w:lineRule="exact"/>
              <w:jc w:val="center"/>
              <w:rPr>
                <w:rFonts w:hint="eastAsia" w:ascii="宋体" w:hAnsi="宋体" w:cs="宋体"/>
                <w:b/>
                <w:color w:val="auto"/>
                <w:szCs w:val="21"/>
              </w:rPr>
            </w:pPr>
            <w:r>
              <w:rPr>
                <w:rFonts w:hint="eastAsia" w:ascii="宋体" w:hAnsi="宋体" w:cs="宋体"/>
                <w:b/>
                <w:color w:val="auto"/>
                <w:szCs w:val="21"/>
              </w:rPr>
              <w:t>服务地点</w:t>
            </w:r>
          </w:p>
        </w:tc>
        <w:tc>
          <w:tcPr>
            <w:tcW w:w="8504" w:type="dxa"/>
            <w:gridSpan w:val="3"/>
            <w:tcBorders>
              <w:top w:val="single" w:color="auto" w:sz="4" w:space="0"/>
              <w:left w:val="single" w:color="auto" w:sz="4" w:space="0"/>
              <w:right w:val="single" w:color="auto" w:sz="4" w:space="0"/>
            </w:tcBorders>
            <w:vAlign w:val="center"/>
          </w:tcPr>
          <w:p w14:paraId="07D3EB41">
            <w:pPr>
              <w:widowControl/>
              <w:spacing w:line="400" w:lineRule="exact"/>
              <w:rPr>
                <w:rFonts w:hint="eastAsia" w:ascii="宋体" w:hAnsi="宋体" w:cs="宋体"/>
                <w:color w:val="auto"/>
                <w:szCs w:val="21"/>
                <w:shd w:val="clear" w:color="auto" w:fill="FFFFFF"/>
              </w:rPr>
            </w:pPr>
            <w:r>
              <w:rPr>
                <w:rFonts w:hint="eastAsia" w:ascii="宋体" w:hAnsi="宋体" w:cs="宋体"/>
                <w:color w:val="auto"/>
                <w:szCs w:val="21"/>
              </w:rPr>
              <w:t>采购人指定地点。</w:t>
            </w:r>
          </w:p>
        </w:tc>
      </w:tr>
      <w:tr w14:paraId="21F7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bottom w:val="single" w:color="auto" w:sz="4" w:space="0"/>
              <w:right w:val="single" w:color="auto" w:sz="4" w:space="0"/>
            </w:tcBorders>
            <w:vAlign w:val="center"/>
          </w:tcPr>
          <w:p w14:paraId="37A8DF77">
            <w:pPr>
              <w:tabs>
                <w:tab w:val="center" w:pos="4153"/>
                <w:tab w:val="right" w:pos="8306"/>
              </w:tabs>
              <w:snapToGrid w:val="0"/>
              <w:spacing w:line="400" w:lineRule="exact"/>
              <w:jc w:val="center"/>
              <w:rPr>
                <w:rFonts w:hint="eastAsia" w:ascii="宋体" w:hAnsi="宋体" w:cs="宋体"/>
                <w:b/>
                <w:bCs/>
                <w:color w:val="auto"/>
                <w:kern w:val="0"/>
                <w:szCs w:val="21"/>
              </w:rPr>
            </w:pPr>
            <w:r>
              <w:rPr>
                <w:rFonts w:hint="eastAsia" w:ascii="宋体" w:hAnsi="宋体" w:cs="宋体"/>
                <w:b/>
                <w:color w:val="auto"/>
                <w:szCs w:val="21"/>
              </w:rPr>
              <w:t>付款方式</w:t>
            </w:r>
          </w:p>
        </w:tc>
        <w:tc>
          <w:tcPr>
            <w:tcW w:w="8504" w:type="dxa"/>
            <w:gridSpan w:val="3"/>
            <w:tcBorders>
              <w:top w:val="single" w:color="auto" w:sz="4" w:space="0"/>
              <w:left w:val="single" w:color="auto" w:sz="4" w:space="0"/>
              <w:bottom w:val="single" w:color="auto" w:sz="4" w:space="0"/>
              <w:right w:val="single" w:color="auto" w:sz="4" w:space="0"/>
            </w:tcBorders>
            <w:vAlign w:val="center"/>
          </w:tcPr>
          <w:p w14:paraId="6491AE8C">
            <w:pPr>
              <w:widowControl/>
              <w:spacing w:line="400" w:lineRule="exac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1.第一次付款时间：合同正式签订后30个工作日内，乙方向甲方开具增值税普通发票后，甲方向乙方支付合同首款，即合同总金额的30%；</w:t>
            </w:r>
          </w:p>
          <w:p w14:paraId="43E2144A">
            <w:pPr>
              <w:widowControl/>
              <w:spacing w:line="400" w:lineRule="exact"/>
              <w:rPr>
                <w:rFonts w:hint="eastAsia" w:ascii="宋体" w:hAnsi="宋体" w:cs="宋体"/>
                <w:color w:val="auto"/>
                <w:szCs w:val="21"/>
                <w:shd w:val="clear" w:color="auto" w:fill="FFFFFF"/>
              </w:rPr>
            </w:pPr>
            <w:r>
              <w:rPr>
                <w:rFonts w:ascii="宋体" w:hAnsi="宋体" w:cs="宋体"/>
                <w:color w:val="auto"/>
                <w:szCs w:val="21"/>
                <w:shd w:val="clear" w:color="auto" w:fill="FFFFFF"/>
              </w:rPr>
              <w:t>2.第二次付款时间：合同进度超80%时并经验收合格后，支付第二期服务费为合同金额的50%</w:t>
            </w:r>
            <w:r>
              <w:rPr>
                <w:rFonts w:hint="eastAsia" w:ascii="宋体" w:hAnsi="宋体" w:cs="宋体"/>
                <w:color w:val="auto"/>
                <w:szCs w:val="21"/>
                <w:shd w:val="clear" w:color="auto" w:fill="FFFFFF"/>
              </w:rPr>
              <w:t>；</w:t>
            </w:r>
          </w:p>
          <w:p w14:paraId="53313625">
            <w:pPr>
              <w:widowControl/>
              <w:spacing w:line="400" w:lineRule="exac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3.尾款付款时间：在合作期满后，甲方验收合格后的15个工作日内支付乙方合同尾款，即合同总金额的20%；若甲方验收不合格，则从尾款中扣除相应款项，乙方向甲方开具增值税普通发票。</w:t>
            </w:r>
          </w:p>
        </w:tc>
      </w:tr>
      <w:tr w14:paraId="6BE8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vAlign w:val="center"/>
          </w:tcPr>
          <w:p w14:paraId="1DA4630E">
            <w:pPr>
              <w:tabs>
                <w:tab w:val="center" w:pos="4153"/>
                <w:tab w:val="right" w:pos="8306"/>
              </w:tabs>
              <w:snapToGrid w:val="0"/>
              <w:spacing w:line="400" w:lineRule="exact"/>
              <w:jc w:val="center"/>
              <w:rPr>
                <w:rFonts w:hint="eastAsia" w:ascii="宋体" w:hAnsi="宋体" w:cs="宋体"/>
                <w:b/>
                <w:bCs/>
                <w:color w:val="auto"/>
                <w:kern w:val="0"/>
                <w:szCs w:val="21"/>
              </w:rPr>
            </w:pPr>
            <w:r>
              <w:rPr>
                <w:rFonts w:hint="eastAsia" w:ascii="宋体" w:hAnsi="宋体" w:cs="宋体"/>
                <w:b/>
                <w:color w:val="auto"/>
                <w:szCs w:val="21"/>
              </w:rPr>
              <w:t>服务要求</w:t>
            </w:r>
          </w:p>
        </w:tc>
        <w:tc>
          <w:tcPr>
            <w:tcW w:w="8504" w:type="dxa"/>
            <w:gridSpan w:val="3"/>
            <w:tcBorders>
              <w:top w:val="single" w:color="auto" w:sz="4" w:space="0"/>
              <w:left w:val="single" w:color="auto" w:sz="4" w:space="0"/>
              <w:right w:val="single" w:color="auto" w:sz="4" w:space="0"/>
            </w:tcBorders>
            <w:vAlign w:val="center"/>
          </w:tcPr>
          <w:p w14:paraId="4678BF11">
            <w:pPr>
              <w:widowControl/>
              <w:spacing w:line="400" w:lineRule="exact"/>
              <w:rPr>
                <w:rFonts w:hint="eastAsia" w:ascii="宋体" w:hAnsi="宋体" w:cs="宋体"/>
                <w:bCs/>
                <w:color w:val="auto"/>
                <w:szCs w:val="21"/>
              </w:rPr>
            </w:pPr>
            <w:r>
              <w:rPr>
                <w:rFonts w:hint="eastAsia" w:ascii="宋体" w:hAnsi="宋体" w:cs="宋体"/>
                <w:bCs/>
                <w:color w:val="auto"/>
                <w:szCs w:val="21"/>
              </w:rPr>
              <w:t>1.成交供应商在进行项目实施以前，需根据采购人的要求，进一步制定详细的服务方案，经采购人审核后才可实施；实际不达标，审核未通过的，</w:t>
            </w:r>
            <w:r>
              <w:rPr>
                <w:rFonts w:hint="eastAsia" w:ascii="宋体" w:hAnsi="宋体" w:cs="宋体"/>
                <w:color w:val="auto"/>
                <w:szCs w:val="21"/>
              </w:rPr>
              <w:t>根据与采购人协商的意见进行项目实施的调整</w:t>
            </w:r>
            <w:r>
              <w:rPr>
                <w:rFonts w:hint="eastAsia" w:ascii="宋体" w:hAnsi="宋体" w:cs="宋体"/>
                <w:bCs/>
                <w:color w:val="auto"/>
                <w:szCs w:val="21"/>
              </w:rPr>
              <w:t>，否则将取消成交供应商承办资格并追溯相关权责。</w:t>
            </w:r>
          </w:p>
          <w:p w14:paraId="2146C4BF">
            <w:pPr>
              <w:widowControl/>
              <w:spacing w:line="400" w:lineRule="exact"/>
              <w:rPr>
                <w:rFonts w:hint="eastAsia" w:ascii="宋体" w:hAnsi="宋体" w:cs="宋体"/>
                <w:bCs/>
                <w:color w:val="auto"/>
                <w:szCs w:val="21"/>
              </w:rPr>
            </w:pPr>
            <w:r>
              <w:rPr>
                <w:rFonts w:hint="eastAsia" w:ascii="宋体" w:hAnsi="宋体" w:cs="宋体"/>
                <w:bCs/>
                <w:color w:val="auto"/>
                <w:szCs w:val="21"/>
              </w:rPr>
              <w:t>2.实施方案应包括实施细节、进度计划等方面。</w:t>
            </w:r>
          </w:p>
          <w:p w14:paraId="32F6977F">
            <w:pPr>
              <w:widowControl/>
              <w:spacing w:line="400" w:lineRule="exact"/>
              <w:rPr>
                <w:rFonts w:hint="eastAsia" w:ascii="宋体" w:hAnsi="宋体" w:cs="宋体"/>
                <w:bCs/>
                <w:color w:val="auto"/>
                <w:szCs w:val="21"/>
              </w:rPr>
            </w:pPr>
            <w:r>
              <w:rPr>
                <w:rFonts w:hint="eastAsia" w:ascii="宋体" w:hAnsi="宋体" w:cs="宋体"/>
                <w:bCs/>
                <w:color w:val="auto"/>
                <w:szCs w:val="21"/>
              </w:rPr>
              <w:t>3.具体实施过程中，方案可进行细节调整，与采购人协商同意后更改。</w:t>
            </w:r>
          </w:p>
          <w:p w14:paraId="391EC13F">
            <w:pPr>
              <w:widowControl/>
              <w:spacing w:line="400" w:lineRule="exact"/>
              <w:rPr>
                <w:rFonts w:hint="eastAsia" w:ascii="宋体" w:hAnsi="宋体" w:cs="宋体"/>
                <w:bCs/>
                <w:color w:val="auto"/>
                <w:szCs w:val="21"/>
              </w:rPr>
            </w:pPr>
            <w:r>
              <w:rPr>
                <w:rFonts w:hint="eastAsia" w:ascii="宋体" w:hAnsi="宋体" w:cs="宋体"/>
                <w:bCs/>
                <w:color w:val="auto"/>
                <w:szCs w:val="21"/>
              </w:rPr>
              <w:t>4.项目实施要求：成交供应商在签署合同后，应完成磋商文件当中规定的各项任务。</w:t>
            </w:r>
          </w:p>
        </w:tc>
      </w:tr>
      <w:tr w14:paraId="0D78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vAlign w:val="center"/>
          </w:tcPr>
          <w:p w14:paraId="4EAF12EE">
            <w:pPr>
              <w:tabs>
                <w:tab w:val="center" w:pos="4153"/>
                <w:tab w:val="right" w:pos="8306"/>
              </w:tabs>
              <w:snapToGrid w:val="0"/>
              <w:spacing w:line="400" w:lineRule="exact"/>
              <w:jc w:val="center"/>
              <w:rPr>
                <w:rFonts w:hint="eastAsia" w:ascii="宋体" w:hAnsi="宋体" w:cs="宋体"/>
                <w:b/>
                <w:bCs/>
                <w:color w:val="auto"/>
                <w:kern w:val="0"/>
                <w:szCs w:val="21"/>
              </w:rPr>
            </w:pPr>
            <w:r>
              <w:rPr>
                <w:rFonts w:hint="eastAsia" w:ascii="宋体" w:hAnsi="宋体" w:cs="宋体"/>
                <w:b/>
                <w:color w:val="auto"/>
                <w:szCs w:val="21"/>
              </w:rPr>
              <w:t>其它要求</w:t>
            </w:r>
          </w:p>
        </w:tc>
        <w:tc>
          <w:tcPr>
            <w:tcW w:w="8504" w:type="dxa"/>
            <w:gridSpan w:val="3"/>
            <w:vAlign w:val="center"/>
          </w:tcPr>
          <w:p w14:paraId="2D761831">
            <w:pPr>
              <w:widowControl/>
              <w:spacing w:line="400" w:lineRule="exact"/>
              <w:rPr>
                <w:rFonts w:hint="eastAsia" w:ascii="宋体" w:hAnsi="宋体" w:cs="宋体"/>
                <w:color w:val="auto"/>
                <w:szCs w:val="21"/>
              </w:rPr>
            </w:pPr>
            <w:r>
              <w:rPr>
                <w:rFonts w:hint="eastAsia" w:ascii="宋体" w:hAnsi="宋体" w:cs="宋体"/>
                <w:color w:val="auto"/>
                <w:szCs w:val="21"/>
              </w:rPr>
              <w:t>1.如当年赛事因为不可抗力导致举办时间不明确，采购人书面确定赛事项目可以举办后，成交供应商进行赛事传播筹备工作。</w:t>
            </w:r>
          </w:p>
          <w:p w14:paraId="268AE093">
            <w:pPr>
              <w:widowControl/>
              <w:spacing w:line="400" w:lineRule="exact"/>
              <w:rPr>
                <w:rFonts w:hint="eastAsia" w:ascii="宋体" w:hAnsi="宋体" w:cs="宋体"/>
                <w:color w:val="auto"/>
                <w:szCs w:val="21"/>
              </w:rPr>
            </w:pPr>
            <w:r>
              <w:rPr>
                <w:rFonts w:hint="eastAsia" w:ascii="宋体" w:hAnsi="宋体" w:cs="宋体"/>
                <w:color w:val="auto"/>
                <w:szCs w:val="21"/>
              </w:rPr>
              <w:t>2.如在赛事传播筹备期间，遇突发事件不得不中止暂停办赛的，成交供应商应立即无条件中止暂停赛事传播筹备工作，赛事传播工作相应顺延执行，造成不可弥补损失的，由成交供应商与采购人协商解决。</w:t>
            </w:r>
          </w:p>
          <w:p w14:paraId="38D639E6">
            <w:pPr>
              <w:widowControl/>
              <w:spacing w:line="400" w:lineRule="exact"/>
              <w:rPr>
                <w:rFonts w:hint="eastAsia" w:ascii="宋体" w:hAnsi="宋体" w:cs="宋体"/>
                <w:b/>
                <w:bCs/>
                <w:color w:val="auto"/>
                <w:kern w:val="0"/>
                <w:szCs w:val="21"/>
              </w:rPr>
            </w:pPr>
            <w:r>
              <w:rPr>
                <w:rFonts w:hint="eastAsia" w:ascii="宋体" w:hAnsi="宋体" w:cs="宋体"/>
                <w:color w:val="auto"/>
                <w:szCs w:val="21"/>
              </w:rPr>
              <w:t>3.如赛事因为不可抗力，不得不中止暂停办赛的，合同期限相应顺延执行。</w:t>
            </w:r>
          </w:p>
        </w:tc>
      </w:tr>
    </w:tbl>
    <w:p w14:paraId="50860345">
      <w:pPr>
        <w:rPr>
          <w:color w:val="auto"/>
        </w:rPr>
      </w:pPr>
      <w:r>
        <w:rPr>
          <w:rFonts w:hint="eastAsia"/>
          <w:color w:val="auto"/>
        </w:rPr>
        <w:br w:type="page"/>
      </w:r>
    </w:p>
    <w:p w14:paraId="40383DF1">
      <w:pPr>
        <w:pStyle w:val="3"/>
        <w:spacing w:before="0" w:after="0" w:line="240" w:lineRule="auto"/>
        <w:jc w:val="center"/>
        <w:rPr>
          <w:color w:val="auto"/>
        </w:rPr>
      </w:pPr>
      <w:r>
        <w:rPr>
          <w:rFonts w:hint="eastAsia"/>
          <w:color w:val="auto"/>
        </w:rPr>
        <w:t>第四章  评审程序、评审方法和评审标准</w:t>
      </w:r>
      <w:bookmarkEnd w:id="34"/>
    </w:p>
    <w:p w14:paraId="48AD1227">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329E4693">
      <w:pPr>
        <w:spacing w:line="360" w:lineRule="auto"/>
        <w:ind w:firstLine="482" w:firstLineChars="200"/>
        <w:rPr>
          <w:rFonts w:hint="eastAsia" w:ascii="黑体" w:hAnsi="黑体" w:eastAsia="黑体" w:cs="宋体"/>
          <w:b/>
          <w:bCs/>
          <w:color w:val="auto"/>
          <w:sz w:val="24"/>
        </w:rPr>
      </w:pPr>
    </w:p>
    <w:p w14:paraId="7D06382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72A57706">
      <w:pPr>
        <w:snapToGrid w:val="0"/>
        <w:spacing w:line="360" w:lineRule="auto"/>
        <w:ind w:firstLine="420" w:firstLineChars="200"/>
        <w:rPr>
          <w:rFonts w:hint="eastAsia"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50D42461">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（1）查询渠道：</w:t>
      </w:r>
      <w:r>
        <w:rPr>
          <w:rFonts w:ascii="宋体" w:hAnsi="宋体" w:cs="宋体"/>
          <w:color w:val="auto"/>
          <w:szCs w:val="21"/>
        </w:rPr>
        <w:t>“信用中国”网站（www.creditchina.gov.cn）、中国政府采购网（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cs="宋体"/>
          <w:color w:val="auto"/>
        </w:rPr>
        <w:t>www.ccgp.gov.cn</w:t>
      </w:r>
      <w:r>
        <w:rPr>
          <w:rFonts w:cs="宋体"/>
          <w:color w:val="auto"/>
        </w:rPr>
        <w:fldChar w:fldCharType="end"/>
      </w:r>
      <w:r>
        <w:rPr>
          <w:rFonts w:ascii="宋体" w:hAnsi="宋体" w:cs="宋体"/>
          <w:color w:val="auto"/>
          <w:szCs w:val="21"/>
        </w:rPr>
        <w:t>）</w:t>
      </w:r>
    </w:p>
    <w:p w14:paraId="7584792C">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（2）信用查询截止时点：</w:t>
      </w:r>
      <w:r>
        <w:rPr>
          <w:rFonts w:ascii="宋体" w:hAnsi="宋体" w:cs="宋体"/>
          <w:color w:val="auto"/>
          <w:szCs w:val="21"/>
        </w:rPr>
        <w:t>资格审查结束前</w:t>
      </w:r>
    </w:p>
    <w:p w14:paraId="76298850">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（3）查询记录和证据留存方式：将查询网站中的查询记录截图并作为评审资料保存。</w:t>
      </w:r>
    </w:p>
    <w:p w14:paraId="325F64AB">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0A5B47D">
      <w:pPr>
        <w:snapToGrid w:val="0"/>
        <w:spacing w:line="360" w:lineRule="auto"/>
        <w:ind w:firstLine="420" w:firstLineChars="200"/>
        <w:jc w:val="left"/>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4009D403">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54173E3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1AB9EC7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（2）响应文件的资格证明文件缺少任一项“供应商须知前附表”资格证明文件规定的“必须提供”的文件资料的；</w:t>
      </w:r>
    </w:p>
    <w:p w14:paraId="69B165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（3）响应文件中的资格证明文件出现任一项不符合“供应商须知前附表”资格证明文件规定的“必须提供”的文件资料要求或者无效的；</w:t>
      </w:r>
    </w:p>
    <w:p w14:paraId="557F6D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149AD0C2">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124752B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553DA8DF">
      <w:pPr>
        <w:spacing w:line="360" w:lineRule="auto"/>
        <w:ind w:firstLine="420" w:firstLineChars="200"/>
        <w:rPr>
          <w:rFonts w:hint="eastAsia" w:ascii="宋体" w:hAnsi="宋体" w:cs="宋体"/>
          <w:color w:val="auto"/>
          <w:szCs w:val="21"/>
        </w:rPr>
      </w:pPr>
      <w:bookmarkStart w:id="36"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36"/>
    <w:p w14:paraId="39846427">
      <w:pPr>
        <w:spacing w:line="360" w:lineRule="auto"/>
        <w:ind w:firstLine="420" w:firstLineChars="200"/>
        <w:rPr>
          <w:rFonts w:hint="eastAsia"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0310A6">
      <w:pPr>
        <w:spacing w:line="360" w:lineRule="auto"/>
        <w:ind w:firstLine="420" w:firstLineChars="200"/>
        <w:rPr>
          <w:rFonts w:hint="eastAsia"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cs="宋体"/>
          <w:color w:val="auto"/>
          <w:spacing w:val="-6"/>
          <w:szCs w:val="21"/>
        </w:rPr>
        <w:t>。供应商为自然人的，必须由本人签字并附其身份证明。</w:t>
      </w:r>
    </w:p>
    <w:p w14:paraId="3BA27A09">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63307A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55E8666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4FAE7AB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73A719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C8CD4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71BC34B9">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5C3F92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在评审时，如发现下列情形之一的，将被视为响应文件无效响应处理：</w:t>
      </w:r>
    </w:p>
    <w:p w14:paraId="0DF429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6AD5A0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207AE4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258F99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10EEEB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4）响应文件中的报价商务技术文件出现任一项不符合“供应商须知前附表”中“必须提供”或者“委托时必须提供”文件资料要求的规定或者提供的报价商务技术文件无效。</w:t>
      </w:r>
    </w:p>
    <w:p w14:paraId="38CF4E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5）商务条款中标“▲”的条款发生负偏离或者允许负偏离的条款数超过“供应商须知前附表”规定项数的；</w:t>
      </w:r>
    </w:p>
    <w:p w14:paraId="0409FD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0E4134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7676DF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495965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059E5C1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27409C34">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1）技术要求中标“▲”的条款发生负偏离或允许负偏离的条款数超过“供应商须知前附表”规定项数的；</w:t>
      </w:r>
    </w:p>
    <w:p w14:paraId="74B53E4B">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2）虚假竞标，或者出现其他情形而导致被磋商小组认定无效；</w:t>
      </w:r>
    </w:p>
    <w:p w14:paraId="6823C76B">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37"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37"/>
    </w:p>
    <w:p w14:paraId="3FA63D98">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4）响应文件标注的项目名称或者项目编号与磋商文件标注的项目名称或者项目编号不一致的；</w:t>
      </w:r>
    </w:p>
    <w:p w14:paraId="6795D5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w:t>
      </w:r>
      <w:r>
        <w:rPr>
          <w:rFonts w:hint="eastAsia" w:ascii="宋体" w:hAnsi="宋体"/>
          <w:color w:val="auto"/>
          <w:szCs w:val="21"/>
        </w:rPr>
        <w:t>竞争性磋商文件明确不允许分包，响应文件拟分包的；</w:t>
      </w:r>
    </w:p>
    <w:p w14:paraId="7A277F97">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6）未响应磋商文件实质性要求；</w:t>
      </w:r>
    </w:p>
    <w:p w14:paraId="5856BB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17）法律、法规和磋商文件规定的其他无效情形。</w:t>
      </w:r>
    </w:p>
    <w:p w14:paraId="125634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102956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1CEE7F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04A84B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753610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4）最后报价超过所竞标分标规定的采购预算金额或者最高限价的（如本项目公布了最高限价）；</w:t>
      </w:r>
      <w:bookmarkStart w:id="38" w:name="_Hlk42596405"/>
      <w:r>
        <w:rPr>
          <w:rFonts w:hint="eastAsia" w:ascii="宋体" w:hAnsi="宋体" w:cs="宋体"/>
          <w:color w:val="auto"/>
          <w:szCs w:val="21"/>
        </w:rPr>
        <w:t xml:space="preserve"> </w:t>
      </w:r>
      <w:bookmarkEnd w:id="38"/>
    </w:p>
    <w:p w14:paraId="64BE0B5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5）修正后的报价，供应商不确认的；或者经供应商确认修正后的最后报价超过所竞标分标规定的采购预算金额或者最高限价（如本项目公布了最高限价）；</w:t>
      </w:r>
    </w:p>
    <w:p w14:paraId="69C581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5910E7EA">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789DEB6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5D5D9242">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69C0C9E9">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40EEAFB">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对磋商文件作出的实质性变动是磋商文件的有效组成部分，由磋商小组及时以电子磋商记录形式同时通知所有参加磋商的供应商。</w:t>
      </w:r>
    </w:p>
    <w:p w14:paraId="6B5951E8">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5CA8305C">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3B5415A9">
      <w:pPr>
        <w:tabs>
          <w:tab w:val="left" w:pos="283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6</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14:paraId="23CFBEE0">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3DA5FFA">
      <w:pPr>
        <w:spacing w:line="360" w:lineRule="auto"/>
        <w:ind w:firstLine="482" w:firstLineChars="200"/>
        <w:rPr>
          <w:rFonts w:hint="eastAsia"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1BA0FA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磋商文件能够详细列明采购标的的技术、服务要求的，磋商结束后，由磋商小组要求所有继续参加磋商的供应商在规定时间内以电子文件形式提交最后报价，除本章第3.7、</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09B2E93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2FA95B0A">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rPr>
        <w:t>本章第3.</w:t>
      </w:r>
      <w:r>
        <w:rPr>
          <w:rFonts w:hint="eastAsia"/>
          <w:color w:val="auto"/>
        </w:rPr>
        <w:t>7</w:t>
      </w:r>
      <w:r>
        <w:rPr>
          <w:color w:val="auto"/>
        </w:rPr>
        <w:t>条情形的，</w:t>
      </w:r>
      <w:r>
        <w:rPr>
          <w:rFonts w:hint="eastAsia" w:ascii="宋体" w:hAnsi="宋体" w:cs="宋体"/>
          <w:color w:val="auto"/>
          <w:szCs w:val="21"/>
        </w:rPr>
        <w:t>提交最后报价的供应商可以为2家。</w:t>
      </w:r>
    </w:p>
    <w:p w14:paraId="0F165EBC">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683D0C70">
      <w:pPr>
        <w:spacing w:line="360" w:lineRule="auto"/>
        <w:ind w:firstLine="420" w:firstLineChars="200"/>
        <w:rPr>
          <w:rFonts w:hint="eastAsia"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w:t>
      </w:r>
    </w:p>
    <w:p w14:paraId="09132318">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磋商小组收齐某一分标最后报价后或达到规定时间后统一开启，磋商小组对最后报价进行有效性、完整性和响应程度的审查。</w:t>
      </w:r>
    </w:p>
    <w:p w14:paraId="3E36139B">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3B9AEA84">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经供应商确认修正后的最后报价作为评审及签订合同的依据。</w:t>
      </w:r>
    </w:p>
    <w:p w14:paraId="41238F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9</w:t>
      </w:r>
      <w:r>
        <w:rPr>
          <w:rFonts w:hint="eastAsia" w:ascii="宋体" w:hAnsi="宋体" w:cs="宋体"/>
          <w:color w:val="auto"/>
          <w:szCs w:val="21"/>
        </w:rPr>
        <w:t>供应商出现最后报价按无效响应处理或者响应文件按无效响应处理时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0C38F7F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.10</w:t>
      </w:r>
      <w:r>
        <w:rPr>
          <w:rFonts w:hint="eastAsia" w:ascii="宋体" w:hAnsi="宋体" w:cs="宋体"/>
          <w:color w:val="auto"/>
          <w:szCs w:val="21"/>
        </w:rPr>
        <w:t>最后报价结束后，磋商小组不得再与供应商进行任何形式的商谈。</w:t>
      </w:r>
    </w:p>
    <w:p w14:paraId="008E465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6D2CDECD">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6D6C59F4">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70C3D834">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244A38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4E70135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3CA1BDAD">
      <w:pPr>
        <w:spacing w:line="360" w:lineRule="auto"/>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评标价为供应商的最后报价进行政策性扣除后的价格，评标价只是作为评审时使用。最终成交供应商的成交金额等于最后报价（如有修正，以确认修正后的最后报价为准）。</w:t>
      </w:r>
    </w:p>
    <w:p w14:paraId="23F678FB">
      <w:pPr>
        <w:spacing w:line="360" w:lineRule="auto"/>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hint="eastAsia" w:ascii="宋体" w:hAnsi="宋体" w:cs="宋体"/>
          <w:color w:val="auto"/>
          <w:szCs w:val="21"/>
        </w:rPr>
        <w:t>3.7、</w:t>
      </w:r>
      <w:r>
        <w:rPr>
          <w:rFonts w:ascii="宋体" w:hAnsi="宋体" w:cs="宋体"/>
          <w:color w:val="auto"/>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418BF493">
      <w:pPr>
        <w:spacing w:line="360" w:lineRule="auto"/>
        <w:ind w:firstLine="420" w:firstLineChars="200"/>
        <w:rPr>
          <w:rFonts w:hint="eastAsia"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327881">
      <w:pPr>
        <w:rPr>
          <w:rFonts w:hint="eastAsia" w:ascii="宋体" w:hAnsi="宋体"/>
          <w:b/>
          <w:color w:val="auto"/>
          <w:sz w:val="32"/>
          <w:szCs w:val="32"/>
        </w:rPr>
      </w:pPr>
      <w:r>
        <w:rPr>
          <w:rFonts w:ascii="宋体" w:hAnsi="宋体"/>
          <w:b/>
          <w:color w:val="auto"/>
          <w:sz w:val="32"/>
          <w:szCs w:val="32"/>
        </w:rPr>
        <w:br w:type="page"/>
      </w:r>
    </w:p>
    <w:p w14:paraId="7845C32D">
      <w:pPr>
        <w:spacing w:line="360" w:lineRule="auto"/>
        <w:jc w:val="center"/>
        <w:rPr>
          <w:rFonts w:hint="eastAsia" w:ascii="宋体" w:hAnsi="宋体"/>
          <w:b/>
          <w:color w:val="auto"/>
          <w:sz w:val="32"/>
          <w:szCs w:val="32"/>
        </w:rPr>
      </w:pPr>
      <w:r>
        <w:rPr>
          <w:rFonts w:hint="eastAsia" w:ascii="宋体" w:hAnsi="宋体"/>
          <w:b/>
          <w:color w:val="auto"/>
          <w:sz w:val="32"/>
          <w:szCs w:val="32"/>
        </w:rPr>
        <w:t>二、评审标准</w:t>
      </w:r>
    </w:p>
    <w:tbl>
      <w:tblPr>
        <w:tblStyle w:val="22"/>
        <w:tblpPr w:leftFromText="180" w:rightFromText="180" w:vertAnchor="text" w:horzAnchor="page" w:tblpX="1301" w:tblpY="919"/>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03"/>
        <w:gridCol w:w="785"/>
        <w:gridCol w:w="1918"/>
        <w:gridCol w:w="5350"/>
      </w:tblGrid>
      <w:tr w14:paraId="6EBF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Align w:val="center"/>
          </w:tcPr>
          <w:p w14:paraId="275D9F25">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序号</w:t>
            </w:r>
          </w:p>
        </w:tc>
        <w:tc>
          <w:tcPr>
            <w:tcW w:w="1003" w:type="dxa"/>
            <w:vAlign w:val="center"/>
          </w:tcPr>
          <w:p w14:paraId="4DAF036A">
            <w:pPr>
              <w:adjustRightInd w:val="0"/>
              <w:spacing w:line="400" w:lineRule="exact"/>
              <w:jc w:val="center"/>
              <w:textAlignment w:val="baseline"/>
              <w:rPr>
                <w:rFonts w:hint="eastAsia" w:ascii="宋体" w:hAnsi="宋体" w:cs="宋体"/>
                <w:color w:val="auto"/>
                <w:szCs w:val="21"/>
              </w:rPr>
            </w:pPr>
            <w:r>
              <w:rPr>
                <w:rFonts w:hint="eastAsia" w:ascii="宋体" w:hAnsi="宋体" w:cs="宋体"/>
                <w:b/>
                <w:color w:val="auto"/>
                <w:szCs w:val="21"/>
              </w:rPr>
              <w:t>评审因素</w:t>
            </w:r>
          </w:p>
        </w:tc>
        <w:tc>
          <w:tcPr>
            <w:tcW w:w="785" w:type="dxa"/>
            <w:vAlign w:val="center"/>
          </w:tcPr>
          <w:p w14:paraId="4E22E375">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分值</w:t>
            </w:r>
          </w:p>
        </w:tc>
        <w:tc>
          <w:tcPr>
            <w:tcW w:w="7268" w:type="dxa"/>
            <w:gridSpan w:val="2"/>
            <w:vAlign w:val="center"/>
          </w:tcPr>
          <w:p w14:paraId="2B7CD333">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评标标准</w:t>
            </w:r>
          </w:p>
        </w:tc>
      </w:tr>
      <w:tr w14:paraId="5B77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Align w:val="center"/>
          </w:tcPr>
          <w:p w14:paraId="356B3FEF">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1</w:t>
            </w:r>
          </w:p>
        </w:tc>
        <w:tc>
          <w:tcPr>
            <w:tcW w:w="1003" w:type="dxa"/>
            <w:vAlign w:val="center"/>
          </w:tcPr>
          <w:p w14:paraId="6E8089C4">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报价</w:t>
            </w:r>
          </w:p>
        </w:tc>
        <w:tc>
          <w:tcPr>
            <w:tcW w:w="785" w:type="dxa"/>
            <w:vAlign w:val="center"/>
          </w:tcPr>
          <w:p w14:paraId="54320B27">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20分</w:t>
            </w:r>
          </w:p>
        </w:tc>
        <w:tc>
          <w:tcPr>
            <w:tcW w:w="7268" w:type="dxa"/>
            <w:gridSpan w:val="2"/>
            <w:vAlign w:val="center"/>
          </w:tcPr>
          <w:p w14:paraId="1EE2C730">
            <w:pPr>
              <w:pStyle w:val="12"/>
              <w:spacing w:line="400" w:lineRule="exact"/>
              <w:rPr>
                <w:rFonts w:hint="eastAsia" w:hAnsi="宋体" w:cs="宋体"/>
                <w:b/>
                <w:bCs/>
                <w:color w:val="auto"/>
                <w:kern w:val="2"/>
                <w:sz w:val="21"/>
              </w:rPr>
            </w:pPr>
            <w:r>
              <w:rPr>
                <w:rFonts w:hint="eastAsia" w:hAnsi="宋体" w:cs="宋体"/>
                <w:b/>
                <w:bCs/>
                <w:color w:val="auto"/>
                <w:kern w:val="2"/>
                <w:sz w:val="21"/>
              </w:rPr>
              <w:t>一、政府采购政策扣除</w:t>
            </w:r>
          </w:p>
          <w:p w14:paraId="7D00451D">
            <w:pPr>
              <w:pStyle w:val="12"/>
              <w:spacing w:line="400" w:lineRule="exact"/>
              <w:ind w:firstLine="420" w:firstLineChars="200"/>
              <w:rPr>
                <w:rFonts w:hint="eastAsia" w:hAnsi="宋体" w:cs="宋体"/>
                <w:bCs/>
                <w:color w:val="auto"/>
                <w:kern w:val="2"/>
                <w:sz w:val="21"/>
              </w:rPr>
            </w:pPr>
            <w:r>
              <w:rPr>
                <w:rFonts w:hint="eastAsia" w:hAnsi="宋体" w:cs="宋体"/>
                <w:bCs/>
                <w:color w:val="auto"/>
                <w:kern w:val="2"/>
                <w:sz w:val="21"/>
              </w:rPr>
              <w:t>1.根据《政府采购促进中小企业发展管理办法》的规定，供应商属于《政府采购促进中小企业发展管理办法》规定的小微企业的，对竞标报价给予10%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用扣除后的价格参加评审。符合上述规定对报价给予扣除的，扣除后的价格为评标价，即评标价=最后报价×（1 - 扣除比例）；不符合上述给予扣除情形的，评标价=竞标报价。</w:t>
            </w:r>
          </w:p>
          <w:p w14:paraId="0E687115">
            <w:pPr>
              <w:pStyle w:val="12"/>
              <w:spacing w:line="400" w:lineRule="exact"/>
              <w:ind w:firstLine="420" w:firstLineChars="200"/>
              <w:rPr>
                <w:rFonts w:hint="eastAsia" w:hAnsi="宋体" w:cs="宋体"/>
                <w:bCs/>
                <w:color w:val="auto"/>
                <w:kern w:val="2"/>
                <w:sz w:val="21"/>
              </w:rPr>
            </w:pPr>
            <w:r>
              <w:rPr>
                <w:rFonts w:hint="eastAsia" w:hAnsi="宋体" w:cs="宋体"/>
                <w:bCs/>
                <w:color w:val="auto"/>
                <w:kern w:val="2"/>
                <w:sz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7C6FCBB">
            <w:pPr>
              <w:pStyle w:val="12"/>
              <w:spacing w:line="400" w:lineRule="exact"/>
              <w:ind w:firstLine="420" w:firstLineChars="200"/>
              <w:outlineLvl w:val="0"/>
              <w:rPr>
                <w:rFonts w:hint="eastAsia" w:hAnsi="宋体" w:cs="宋体"/>
                <w:color w:val="auto"/>
                <w:sz w:val="21"/>
              </w:rPr>
            </w:pPr>
            <w:r>
              <w:rPr>
                <w:rFonts w:hint="eastAsia" w:hAnsi="宋体" w:cs="宋体"/>
                <w:bCs/>
                <w:color w:val="auto"/>
                <w:kern w:val="2"/>
                <w:sz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7DA846E">
            <w:pPr>
              <w:pStyle w:val="12"/>
              <w:spacing w:line="400" w:lineRule="exact"/>
              <w:outlineLvl w:val="0"/>
              <w:rPr>
                <w:rFonts w:hint="eastAsia" w:hAnsi="宋体" w:cs="宋体"/>
                <w:b/>
                <w:color w:val="auto"/>
                <w:sz w:val="21"/>
              </w:rPr>
            </w:pPr>
            <w:r>
              <w:rPr>
                <w:rFonts w:hint="eastAsia" w:hAnsi="宋体" w:cs="宋体"/>
                <w:b/>
                <w:color w:val="auto"/>
                <w:sz w:val="21"/>
              </w:rPr>
              <w:t>二、报价分（满分20分）</w:t>
            </w:r>
          </w:p>
          <w:p w14:paraId="6517120D">
            <w:pPr>
              <w:pStyle w:val="12"/>
              <w:spacing w:line="400" w:lineRule="exact"/>
              <w:ind w:firstLine="420" w:firstLineChars="200"/>
              <w:rPr>
                <w:rFonts w:hint="eastAsia" w:hAnsi="宋体" w:cs="宋体"/>
                <w:bCs/>
                <w:color w:val="auto"/>
                <w:sz w:val="21"/>
              </w:rPr>
            </w:pPr>
            <w:r>
              <w:rPr>
                <w:rFonts w:hint="eastAsia" w:hAnsi="宋体" w:cs="宋体"/>
                <w:color w:val="auto"/>
                <w:sz w:val="21"/>
              </w:rPr>
              <w:t>1、</w:t>
            </w:r>
            <w:r>
              <w:rPr>
                <w:rFonts w:hint="eastAsia" w:hAnsi="宋体" w:cs="宋体"/>
                <w:bCs/>
                <w:color w:val="auto"/>
                <w:sz w:val="21"/>
              </w:rPr>
              <w:t>报价分采用低价优先法计算，满足磋商文件要求且评标价最低的有效供应商的评标价为评标基准价，其报价分为满分。</w:t>
            </w:r>
          </w:p>
          <w:p w14:paraId="411C6F5D">
            <w:pPr>
              <w:pStyle w:val="12"/>
              <w:spacing w:line="400" w:lineRule="exact"/>
              <w:ind w:firstLine="420" w:firstLineChars="200"/>
              <w:rPr>
                <w:rFonts w:hint="eastAsia" w:hAnsi="宋体" w:cs="宋体"/>
                <w:bCs/>
                <w:color w:val="auto"/>
                <w:sz w:val="21"/>
              </w:rPr>
            </w:pPr>
            <w:r>
              <w:rPr>
                <w:rFonts w:hint="eastAsia" w:hAnsi="宋体" w:cs="宋体"/>
                <w:bCs/>
                <w:color w:val="auto"/>
                <w:sz w:val="21"/>
              </w:rPr>
              <w:t>2、其他供应商的价格分统一按照下列公式计算：</w:t>
            </w:r>
          </w:p>
          <w:p w14:paraId="7AE9192D">
            <w:pPr>
              <w:pStyle w:val="12"/>
              <w:spacing w:line="400" w:lineRule="exact"/>
              <w:rPr>
                <w:rFonts w:hint="eastAsia" w:hAnsi="宋体" w:cs="宋体"/>
                <w:bCs/>
                <w:color w:val="auto"/>
                <w:kern w:val="2"/>
                <w:sz w:val="21"/>
              </w:rPr>
            </w:pPr>
            <w:r>
              <w:rPr>
                <w:rFonts w:hint="eastAsia" w:hAnsi="宋体" w:cs="宋体"/>
                <w:bCs/>
                <w:color w:val="auto"/>
                <w:sz w:val="21"/>
              </w:rPr>
              <w:t>某有效供应商的报价分=（评标基准价／某有效供应商评标价）×20分</w:t>
            </w:r>
          </w:p>
        </w:tc>
      </w:tr>
      <w:tr w14:paraId="75F1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restart"/>
            <w:vAlign w:val="center"/>
          </w:tcPr>
          <w:p w14:paraId="1BB71F88">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2</w:t>
            </w:r>
          </w:p>
        </w:tc>
        <w:tc>
          <w:tcPr>
            <w:tcW w:w="1003" w:type="dxa"/>
            <w:vMerge w:val="restart"/>
            <w:vAlign w:val="center"/>
          </w:tcPr>
          <w:p w14:paraId="5B416166">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技术分</w:t>
            </w:r>
          </w:p>
        </w:tc>
        <w:tc>
          <w:tcPr>
            <w:tcW w:w="785" w:type="dxa"/>
            <w:vMerge w:val="restart"/>
            <w:vAlign w:val="center"/>
          </w:tcPr>
          <w:p w14:paraId="76425A59">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74分</w:t>
            </w:r>
          </w:p>
        </w:tc>
        <w:tc>
          <w:tcPr>
            <w:tcW w:w="1918" w:type="dxa"/>
            <w:vAlign w:val="center"/>
          </w:tcPr>
          <w:p w14:paraId="6A90EF6E">
            <w:pPr>
              <w:spacing w:line="400" w:lineRule="exact"/>
              <w:rPr>
                <w:rFonts w:hint="eastAsia" w:ascii="宋体" w:hAnsi="宋体" w:cs="宋体"/>
                <w:color w:val="auto"/>
                <w:szCs w:val="21"/>
              </w:rPr>
            </w:pPr>
            <w:r>
              <w:rPr>
                <w:rFonts w:hint="eastAsia" w:ascii="宋体" w:hAnsi="宋体" w:cs="宋体"/>
                <w:color w:val="auto"/>
                <w:szCs w:val="21"/>
              </w:rPr>
              <w:t>（1）项目背景的理解（满分12分）</w:t>
            </w:r>
          </w:p>
          <w:p w14:paraId="553E4CC4">
            <w:pPr>
              <w:snapToGrid w:val="0"/>
              <w:spacing w:line="400" w:lineRule="exact"/>
              <w:jc w:val="center"/>
              <w:rPr>
                <w:rFonts w:hint="eastAsia" w:ascii="宋体" w:hAnsi="宋体" w:cs="宋体"/>
                <w:bCs/>
                <w:color w:val="auto"/>
                <w:szCs w:val="21"/>
              </w:rPr>
            </w:pPr>
          </w:p>
        </w:tc>
        <w:tc>
          <w:tcPr>
            <w:tcW w:w="5350" w:type="dxa"/>
            <w:vAlign w:val="center"/>
          </w:tcPr>
          <w:p w14:paraId="5213D41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一档（0分）：未提供项目背景的理解阐述的或理解不正确或理解有重大偏差的；</w:t>
            </w:r>
          </w:p>
          <w:p w14:paraId="5DBB7A5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二档（4分）：有项目背景的理解阐述，对项目的背景、特性、相关政策阐述不完整；</w:t>
            </w:r>
          </w:p>
          <w:p w14:paraId="7C5190E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三档（8分）：有项目背景的理解阐述，对项目的背景、特性、相关政策阐述完整，但理解不到位；</w:t>
            </w:r>
          </w:p>
          <w:p w14:paraId="6031EA2D">
            <w:pPr>
              <w:spacing w:line="400" w:lineRule="exact"/>
              <w:ind w:firstLine="420" w:firstLineChars="200"/>
              <w:rPr>
                <w:rFonts w:hint="eastAsia" w:ascii="宋体" w:hAnsi="宋体" w:cs="宋体"/>
                <w:bCs/>
                <w:color w:val="auto"/>
                <w:kern w:val="0"/>
                <w:szCs w:val="21"/>
              </w:rPr>
            </w:pPr>
            <w:r>
              <w:rPr>
                <w:rFonts w:hint="eastAsia" w:ascii="宋体" w:hAnsi="宋体" w:cs="宋体"/>
                <w:color w:val="auto"/>
                <w:szCs w:val="21"/>
              </w:rPr>
              <w:t>四档（12分）：有项目背景的理解阐述，对项目的背景、特性、相关政策阐述完整且理解到位，利于活动组织方案的准确定位和执行导向。</w:t>
            </w:r>
          </w:p>
        </w:tc>
      </w:tr>
      <w:tr w14:paraId="0285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5577BE46">
            <w:pPr>
              <w:adjustRightInd w:val="0"/>
              <w:spacing w:line="400" w:lineRule="exact"/>
              <w:jc w:val="center"/>
              <w:textAlignment w:val="baseline"/>
              <w:rPr>
                <w:rFonts w:hint="eastAsia" w:ascii="宋体" w:hAnsi="宋体" w:cs="宋体"/>
                <w:b/>
                <w:color w:val="auto"/>
                <w:szCs w:val="21"/>
              </w:rPr>
            </w:pPr>
          </w:p>
        </w:tc>
        <w:tc>
          <w:tcPr>
            <w:tcW w:w="1003" w:type="dxa"/>
            <w:vMerge w:val="continue"/>
            <w:vAlign w:val="center"/>
          </w:tcPr>
          <w:p w14:paraId="6DCB6E5A">
            <w:pPr>
              <w:adjustRightInd w:val="0"/>
              <w:spacing w:line="400" w:lineRule="exact"/>
              <w:jc w:val="center"/>
              <w:textAlignment w:val="baseline"/>
              <w:rPr>
                <w:rFonts w:hint="eastAsia" w:ascii="宋体" w:hAnsi="宋体" w:cs="宋体"/>
                <w:b/>
                <w:color w:val="auto"/>
                <w:szCs w:val="21"/>
              </w:rPr>
            </w:pPr>
          </w:p>
        </w:tc>
        <w:tc>
          <w:tcPr>
            <w:tcW w:w="785" w:type="dxa"/>
            <w:vMerge w:val="continue"/>
            <w:vAlign w:val="center"/>
          </w:tcPr>
          <w:p w14:paraId="30555441">
            <w:pPr>
              <w:adjustRightInd w:val="0"/>
              <w:spacing w:line="400" w:lineRule="exact"/>
              <w:jc w:val="center"/>
              <w:textAlignment w:val="baseline"/>
              <w:rPr>
                <w:rFonts w:hint="eastAsia" w:ascii="宋体" w:hAnsi="宋体" w:cs="宋体"/>
                <w:b/>
                <w:color w:val="auto"/>
                <w:szCs w:val="21"/>
              </w:rPr>
            </w:pPr>
          </w:p>
        </w:tc>
        <w:tc>
          <w:tcPr>
            <w:tcW w:w="1918" w:type="dxa"/>
            <w:vAlign w:val="center"/>
          </w:tcPr>
          <w:p w14:paraId="548E0845">
            <w:pPr>
              <w:spacing w:line="400" w:lineRule="exact"/>
              <w:rPr>
                <w:rFonts w:hint="eastAsia" w:ascii="宋体" w:hAnsi="宋体" w:cs="宋体"/>
                <w:color w:val="auto"/>
                <w:szCs w:val="21"/>
              </w:rPr>
            </w:pPr>
            <w:r>
              <w:rPr>
                <w:rFonts w:hint="eastAsia" w:ascii="宋体" w:hAnsi="宋体" w:cs="宋体"/>
                <w:color w:val="auto"/>
                <w:szCs w:val="21"/>
              </w:rPr>
              <w:t>（2）项目执行的重点难点分析（满分12分）</w:t>
            </w:r>
          </w:p>
          <w:p w14:paraId="67E023EB">
            <w:pPr>
              <w:snapToGrid w:val="0"/>
              <w:spacing w:line="400" w:lineRule="exact"/>
              <w:jc w:val="center"/>
              <w:rPr>
                <w:rFonts w:hint="eastAsia" w:ascii="宋体" w:hAnsi="宋体" w:cs="宋体"/>
                <w:bCs/>
                <w:color w:val="auto"/>
                <w:szCs w:val="21"/>
              </w:rPr>
            </w:pPr>
          </w:p>
        </w:tc>
        <w:tc>
          <w:tcPr>
            <w:tcW w:w="5350" w:type="dxa"/>
            <w:vAlign w:val="center"/>
          </w:tcPr>
          <w:p w14:paraId="1CCEDAF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一档（0分）：未提供项目执行的重点难点分析的或分析不正确或分析有重大偏差的；</w:t>
            </w:r>
          </w:p>
          <w:p w14:paraId="46B230F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二档（4分）：有项目执行的重点难点分析，但分析有偏差，未能准确把握本项目执行的重点难点的；</w:t>
            </w:r>
          </w:p>
          <w:p w14:paraId="3D0D05F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三档（8分）：有项目执行的重点难点分析，执行的重点难点分析准确，但缺乏相应的解决方案和措施或相应的解决方案和措施考虑不周全有缺陷的；</w:t>
            </w:r>
          </w:p>
          <w:p w14:paraId="37A9A759">
            <w:pPr>
              <w:spacing w:line="400" w:lineRule="exact"/>
              <w:ind w:firstLine="420" w:firstLineChars="200"/>
              <w:rPr>
                <w:rFonts w:hint="eastAsia" w:ascii="宋体" w:hAnsi="宋体" w:cs="宋体"/>
                <w:bCs/>
                <w:color w:val="auto"/>
                <w:spacing w:val="-2"/>
                <w:szCs w:val="21"/>
              </w:rPr>
            </w:pPr>
            <w:r>
              <w:rPr>
                <w:rFonts w:hint="eastAsia" w:ascii="宋体" w:hAnsi="宋体" w:cs="宋体"/>
                <w:color w:val="auto"/>
                <w:szCs w:val="21"/>
              </w:rPr>
              <w:t>四档（12分）：有项目执行的重点难点分析，项目执行的重点难点分析准确到位，且有相应的解决方案和措施，措施方案可行、考虑周全，对项目的开展保障性高的。</w:t>
            </w:r>
          </w:p>
        </w:tc>
      </w:tr>
      <w:tr w14:paraId="46A6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62644D9B">
            <w:pPr>
              <w:adjustRightInd w:val="0"/>
              <w:spacing w:line="400" w:lineRule="exact"/>
              <w:jc w:val="center"/>
              <w:textAlignment w:val="baseline"/>
              <w:rPr>
                <w:rFonts w:hint="eastAsia" w:ascii="宋体" w:hAnsi="宋体" w:cs="宋体"/>
                <w:b/>
                <w:color w:val="auto"/>
                <w:szCs w:val="21"/>
              </w:rPr>
            </w:pPr>
          </w:p>
        </w:tc>
        <w:tc>
          <w:tcPr>
            <w:tcW w:w="1003" w:type="dxa"/>
            <w:vMerge w:val="continue"/>
            <w:vAlign w:val="center"/>
          </w:tcPr>
          <w:p w14:paraId="3D021C23">
            <w:pPr>
              <w:adjustRightInd w:val="0"/>
              <w:spacing w:line="400" w:lineRule="exact"/>
              <w:jc w:val="center"/>
              <w:textAlignment w:val="baseline"/>
              <w:rPr>
                <w:rFonts w:hint="eastAsia" w:ascii="宋体" w:hAnsi="宋体" w:cs="宋体"/>
                <w:b/>
                <w:color w:val="auto"/>
                <w:szCs w:val="21"/>
              </w:rPr>
            </w:pPr>
          </w:p>
        </w:tc>
        <w:tc>
          <w:tcPr>
            <w:tcW w:w="785" w:type="dxa"/>
            <w:vMerge w:val="continue"/>
            <w:vAlign w:val="center"/>
          </w:tcPr>
          <w:p w14:paraId="14FE399E">
            <w:pPr>
              <w:adjustRightInd w:val="0"/>
              <w:spacing w:line="400" w:lineRule="exact"/>
              <w:jc w:val="center"/>
              <w:textAlignment w:val="baseline"/>
              <w:rPr>
                <w:rFonts w:hint="eastAsia" w:ascii="宋体" w:hAnsi="宋体" w:cs="宋体"/>
                <w:b/>
                <w:color w:val="auto"/>
                <w:szCs w:val="21"/>
              </w:rPr>
            </w:pPr>
          </w:p>
        </w:tc>
        <w:tc>
          <w:tcPr>
            <w:tcW w:w="1918" w:type="dxa"/>
            <w:vAlign w:val="center"/>
          </w:tcPr>
          <w:p w14:paraId="77F52023">
            <w:pPr>
              <w:snapToGrid w:val="0"/>
              <w:spacing w:line="400" w:lineRule="exact"/>
              <w:jc w:val="center"/>
              <w:rPr>
                <w:rFonts w:hint="eastAsia" w:ascii="宋体" w:hAnsi="宋体" w:cs="宋体"/>
                <w:bCs/>
                <w:color w:val="auto"/>
                <w:szCs w:val="21"/>
              </w:rPr>
            </w:pPr>
            <w:r>
              <w:rPr>
                <w:rFonts w:hint="eastAsia" w:ascii="宋体" w:hAnsi="宋体" w:cs="宋体"/>
                <w:bCs/>
                <w:color w:val="auto"/>
                <w:szCs w:val="21"/>
              </w:rPr>
              <w:t>（3）赛事传播方案（30分）</w:t>
            </w:r>
          </w:p>
        </w:tc>
        <w:tc>
          <w:tcPr>
            <w:tcW w:w="5350" w:type="dxa"/>
            <w:vAlign w:val="center"/>
          </w:tcPr>
          <w:p w14:paraId="11DED255">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一档（10分）：供应商提交的服务方案对广西体彩公益金赛事品牌传播年采购项目理解模糊，内容简单或存在不完整情况；</w:t>
            </w:r>
          </w:p>
          <w:p w14:paraId="2C37C4D9">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方案虽包含“桂马奔腾・总有一款适合你”马拉松系列赛事、广西匹克球超级联赛、广西青少年足球甲级联赛、</w:t>
            </w:r>
            <w:r>
              <w:rPr>
                <w:rFonts w:hint="eastAsia" w:ascii="宋体" w:hAnsi="宋体" w:cs="宋体"/>
                <w:color w:val="auto"/>
                <w:kern w:val="0"/>
                <w:szCs w:val="21"/>
                <w:lang w:bidi="ar"/>
              </w:rPr>
              <w:t>广西县级足球超级联赛、广西万村篮球赛</w:t>
            </w:r>
            <w:r>
              <w:rPr>
                <w:rFonts w:hint="eastAsia" w:ascii="宋体" w:hAnsi="宋体" w:cs="宋体"/>
                <w:bCs/>
                <w:color w:val="auto"/>
                <w:szCs w:val="21"/>
              </w:rPr>
              <w:t>（以下简称“五项赛事”）的网络传播、风险防范措施及应急处理措施，但仅达到与实际需求基本吻合的程度。​</w:t>
            </w:r>
          </w:p>
          <w:p w14:paraId="7287749F">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二档（20分）：供应商提交的服务方案对广西体彩公益金赛事品牌传播年项目理解基本完整，能清晰描述项目核心需求。</w:t>
            </w:r>
          </w:p>
          <w:p w14:paraId="5191F604">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方案涵盖五项赛事的网络专题建设、国内传播、央媒传播、达人参与等内容，且对各项实施内容阐述清晰，承诺的数据具备切实可行性，工作安排合理，风险防范及应急处理措施可落地执行，与实际需求的吻合度较高。</w:t>
            </w:r>
          </w:p>
          <w:p w14:paraId="6797D3D6">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三档（30分）：供应商提交的服务方案对广西体彩赛事品牌传播年项目理解清晰透彻，不仅包含五项赛事的网络专题建设、国内传播、达人参与合作、央媒社交媒体支持、AIGC 内容制作等全维度内容，还能从多个层面详细分析实施方案细节；方案整体阐述详实，承诺的数据切实可行，风险防范措施及应急处理措施完善且可落地，与项目需求的吻合度极高，同时能深入理解并契合自治区关于体育赛事传播的相关要求，并能够根据采购人宣传需求提供服务。</w:t>
            </w:r>
          </w:p>
        </w:tc>
      </w:tr>
      <w:tr w14:paraId="07E5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04DB500C">
            <w:pPr>
              <w:adjustRightInd w:val="0"/>
              <w:spacing w:line="400" w:lineRule="exact"/>
              <w:jc w:val="center"/>
              <w:textAlignment w:val="baseline"/>
              <w:rPr>
                <w:rFonts w:hint="eastAsia" w:ascii="宋体" w:hAnsi="宋体" w:cs="宋体"/>
                <w:b/>
                <w:color w:val="auto"/>
                <w:szCs w:val="21"/>
              </w:rPr>
            </w:pPr>
          </w:p>
        </w:tc>
        <w:tc>
          <w:tcPr>
            <w:tcW w:w="1003" w:type="dxa"/>
            <w:vMerge w:val="continue"/>
            <w:vAlign w:val="center"/>
          </w:tcPr>
          <w:p w14:paraId="6C9A90F5">
            <w:pPr>
              <w:adjustRightInd w:val="0"/>
              <w:spacing w:line="400" w:lineRule="exact"/>
              <w:jc w:val="center"/>
              <w:textAlignment w:val="baseline"/>
              <w:rPr>
                <w:rFonts w:hint="eastAsia" w:ascii="宋体" w:hAnsi="宋体" w:cs="宋体"/>
                <w:b/>
                <w:color w:val="auto"/>
                <w:szCs w:val="21"/>
              </w:rPr>
            </w:pPr>
          </w:p>
        </w:tc>
        <w:tc>
          <w:tcPr>
            <w:tcW w:w="785" w:type="dxa"/>
            <w:vMerge w:val="continue"/>
            <w:vAlign w:val="center"/>
          </w:tcPr>
          <w:p w14:paraId="00B7F47A">
            <w:pPr>
              <w:adjustRightInd w:val="0"/>
              <w:spacing w:line="400" w:lineRule="exact"/>
              <w:jc w:val="center"/>
              <w:textAlignment w:val="baseline"/>
              <w:rPr>
                <w:rFonts w:hint="eastAsia" w:ascii="宋体" w:hAnsi="宋体" w:cs="宋体"/>
                <w:b/>
                <w:color w:val="auto"/>
                <w:szCs w:val="21"/>
              </w:rPr>
            </w:pPr>
          </w:p>
        </w:tc>
        <w:tc>
          <w:tcPr>
            <w:tcW w:w="1918" w:type="dxa"/>
            <w:vAlign w:val="center"/>
          </w:tcPr>
          <w:p w14:paraId="2C2AAE55">
            <w:pPr>
              <w:snapToGrid w:val="0"/>
              <w:spacing w:line="400" w:lineRule="exact"/>
              <w:jc w:val="center"/>
              <w:rPr>
                <w:rFonts w:hint="eastAsia" w:ascii="宋体" w:hAnsi="宋体" w:cs="宋体"/>
                <w:bCs/>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AI内容生产能力（10分）</w:t>
            </w:r>
          </w:p>
        </w:tc>
        <w:tc>
          <w:tcPr>
            <w:tcW w:w="5350" w:type="dxa"/>
            <w:vAlign w:val="center"/>
          </w:tcPr>
          <w:p w14:paraId="7C6ECDB1">
            <w:pPr>
              <w:spacing w:line="400" w:lineRule="exact"/>
              <w:rPr>
                <w:rFonts w:hint="eastAsia" w:ascii="宋体" w:hAnsi="宋体" w:cs="宋体"/>
                <w:bCs/>
                <w:color w:val="auto"/>
                <w:szCs w:val="21"/>
              </w:rPr>
            </w:pPr>
            <w:r>
              <w:rPr>
                <w:rFonts w:hint="eastAsia" w:ascii="宋体" w:hAnsi="宋体" w:cs="宋体"/>
                <w:bCs/>
                <w:color w:val="auto"/>
                <w:szCs w:val="21"/>
              </w:rPr>
              <w:t>具有AI短视频原创能力及实施经验（满分10分）：</w:t>
            </w:r>
          </w:p>
          <w:p w14:paraId="41D5EA56">
            <w:pPr>
              <w:spacing w:line="400" w:lineRule="exact"/>
              <w:rPr>
                <w:rFonts w:hint="eastAsia" w:ascii="宋体" w:hAnsi="宋体" w:cs="宋体"/>
                <w:bCs/>
                <w:color w:val="auto"/>
                <w:szCs w:val="21"/>
              </w:rPr>
            </w:pPr>
            <w:r>
              <w:rPr>
                <w:rFonts w:hint="eastAsia" w:ascii="宋体" w:hAnsi="宋体" w:cs="宋体"/>
                <w:bCs/>
                <w:color w:val="auto"/>
                <w:szCs w:val="21"/>
              </w:rPr>
              <w:t>（1）提供原创社交媒体AI内容创作案例10个（阅读10万+以上，近2年内，短视频上需标注由AI生成或制作），得10分；</w:t>
            </w:r>
          </w:p>
          <w:p w14:paraId="468BBE2F">
            <w:pPr>
              <w:spacing w:line="400" w:lineRule="exact"/>
              <w:rPr>
                <w:rFonts w:hint="eastAsia" w:ascii="宋体" w:hAnsi="宋体" w:cs="宋体"/>
                <w:bCs/>
                <w:color w:val="auto"/>
                <w:szCs w:val="21"/>
              </w:rPr>
            </w:pPr>
            <w:r>
              <w:rPr>
                <w:rFonts w:hint="eastAsia" w:ascii="宋体" w:hAnsi="宋体" w:cs="宋体"/>
                <w:bCs/>
                <w:color w:val="auto"/>
                <w:szCs w:val="21"/>
              </w:rPr>
              <w:t>（2）提供原创社交媒体AI内容创作案例5个（阅读10万+以上，近2年内，短视频上需标注由AI生成或制作），得5分；</w:t>
            </w:r>
          </w:p>
          <w:p w14:paraId="7A0BDBD9">
            <w:pPr>
              <w:spacing w:line="400" w:lineRule="exact"/>
              <w:rPr>
                <w:rFonts w:hint="eastAsia" w:ascii="宋体" w:hAnsi="宋体" w:cs="宋体"/>
                <w:bCs/>
                <w:color w:val="auto"/>
                <w:szCs w:val="21"/>
              </w:rPr>
            </w:pPr>
            <w:r>
              <w:rPr>
                <w:rFonts w:hint="eastAsia" w:ascii="宋体" w:hAnsi="宋体" w:cs="宋体"/>
                <w:bCs/>
                <w:color w:val="auto"/>
                <w:szCs w:val="21"/>
              </w:rPr>
              <w:t>（3）有相关创作能力及经验描述，但案例数据＜5个，得1分；</w:t>
            </w:r>
          </w:p>
          <w:p w14:paraId="33FE1EAD">
            <w:pPr>
              <w:spacing w:line="400" w:lineRule="exact"/>
              <w:rPr>
                <w:rFonts w:hint="eastAsia" w:ascii="宋体" w:hAnsi="宋体" w:cs="宋体"/>
                <w:bCs/>
                <w:color w:val="auto"/>
                <w:szCs w:val="21"/>
              </w:rPr>
            </w:pPr>
            <w:r>
              <w:rPr>
                <w:rFonts w:hint="eastAsia" w:ascii="宋体" w:hAnsi="宋体" w:cs="宋体"/>
                <w:bCs/>
                <w:color w:val="auto"/>
                <w:szCs w:val="21"/>
              </w:rPr>
              <w:t>（4）无相关创作能力及经验描述，得0分。</w:t>
            </w:r>
          </w:p>
          <w:p w14:paraId="36EB9CA7">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注：需提供团队介绍及案例数据截图。</w:t>
            </w:r>
          </w:p>
        </w:tc>
      </w:tr>
      <w:tr w14:paraId="397A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0BD08E77">
            <w:pPr>
              <w:adjustRightInd w:val="0"/>
              <w:spacing w:line="400" w:lineRule="exact"/>
              <w:jc w:val="center"/>
              <w:textAlignment w:val="baseline"/>
              <w:rPr>
                <w:rFonts w:hint="eastAsia" w:ascii="宋体" w:hAnsi="宋体" w:cs="宋体"/>
                <w:b/>
                <w:color w:val="auto"/>
                <w:szCs w:val="21"/>
              </w:rPr>
            </w:pPr>
          </w:p>
        </w:tc>
        <w:tc>
          <w:tcPr>
            <w:tcW w:w="1003" w:type="dxa"/>
            <w:vMerge w:val="continue"/>
            <w:vAlign w:val="center"/>
          </w:tcPr>
          <w:p w14:paraId="5AF60FA5">
            <w:pPr>
              <w:adjustRightInd w:val="0"/>
              <w:spacing w:line="400" w:lineRule="exact"/>
              <w:jc w:val="center"/>
              <w:textAlignment w:val="baseline"/>
              <w:rPr>
                <w:rFonts w:hint="eastAsia" w:ascii="宋体" w:hAnsi="宋体" w:cs="宋体"/>
                <w:b/>
                <w:color w:val="auto"/>
                <w:szCs w:val="21"/>
              </w:rPr>
            </w:pPr>
          </w:p>
        </w:tc>
        <w:tc>
          <w:tcPr>
            <w:tcW w:w="785" w:type="dxa"/>
            <w:vMerge w:val="continue"/>
            <w:vAlign w:val="center"/>
          </w:tcPr>
          <w:p w14:paraId="2CC3116C">
            <w:pPr>
              <w:adjustRightInd w:val="0"/>
              <w:spacing w:line="400" w:lineRule="exact"/>
              <w:jc w:val="center"/>
              <w:textAlignment w:val="baseline"/>
              <w:rPr>
                <w:rFonts w:hint="eastAsia" w:ascii="宋体" w:hAnsi="宋体" w:cs="宋体"/>
                <w:b/>
                <w:color w:val="auto"/>
                <w:szCs w:val="21"/>
              </w:rPr>
            </w:pPr>
          </w:p>
        </w:tc>
        <w:tc>
          <w:tcPr>
            <w:tcW w:w="1918" w:type="dxa"/>
            <w:vAlign w:val="center"/>
          </w:tcPr>
          <w:p w14:paraId="528025F7">
            <w:pPr>
              <w:spacing w:line="400" w:lineRule="exact"/>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5</w:t>
            </w:r>
            <w:r>
              <w:rPr>
                <w:rFonts w:hint="eastAsia" w:ascii="宋体" w:hAnsi="宋体" w:cs="宋体"/>
                <w:bCs/>
                <w:color w:val="auto"/>
                <w:szCs w:val="21"/>
                <w:lang w:eastAsia="zh-CN"/>
              </w:rPr>
              <w:t>）</w:t>
            </w:r>
            <w:r>
              <w:rPr>
                <w:rFonts w:hint="eastAsia" w:ascii="宋体" w:hAnsi="宋体" w:cs="宋体"/>
                <w:bCs/>
                <w:color w:val="auto"/>
                <w:szCs w:val="21"/>
              </w:rPr>
              <w:t>传播能力（10分）</w:t>
            </w:r>
          </w:p>
        </w:tc>
        <w:tc>
          <w:tcPr>
            <w:tcW w:w="5350" w:type="dxa"/>
          </w:tcPr>
          <w:p w14:paraId="193D4462">
            <w:pPr>
              <w:spacing w:line="400" w:lineRule="exact"/>
              <w:rPr>
                <w:rFonts w:hint="eastAsia" w:ascii="宋体" w:hAnsi="宋体" w:cs="宋体"/>
                <w:bCs/>
                <w:color w:val="auto"/>
                <w:szCs w:val="21"/>
              </w:rPr>
            </w:pPr>
            <w:r>
              <w:rPr>
                <w:rFonts w:hint="eastAsia" w:ascii="宋体" w:hAnsi="宋体" w:cs="宋体"/>
                <w:bCs/>
                <w:color w:val="auto"/>
                <w:szCs w:val="21"/>
              </w:rPr>
              <w:t>具有中央级媒体社交媒体资源整合能力（满分10分）：</w:t>
            </w:r>
          </w:p>
          <w:p w14:paraId="5E751A4C">
            <w:pPr>
              <w:spacing w:line="400" w:lineRule="exact"/>
              <w:rPr>
                <w:rFonts w:hint="eastAsia" w:ascii="宋体" w:hAnsi="宋体" w:cs="宋体"/>
                <w:bCs/>
                <w:color w:val="auto"/>
                <w:szCs w:val="21"/>
              </w:rPr>
            </w:pPr>
            <w:r>
              <w:rPr>
                <w:rFonts w:hint="eastAsia" w:ascii="宋体" w:hAnsi="宋体" w:cs="宋体"/>
                <w:bCs/>
                <w:color w:val="auto"/>
                <w:szCs w:val="21"/>
              </w:rPr>
              <w:t>（1）社交媒体账号累计粉丝数1.5亿以上得10分；</w:t>
            </w:r>
          </w:p>
          <w:p w14:paraId="4D7EC660">
            <w:pPr>
              <w:spacing w:line="400" w:lineRule="exact"/>
              <w:rPr>
                <w:rFonts w:hint="eastAsia" w:ascii="宋体" w:hAnsi="宋体" w:cs="宋体"/>
                <w:bCs/>
                <w:color w:val="auto"/>
                <w:szCs w:val="21"/>
              </w:rPr>
            </w:pPr>
            <w:r>
              <w:rPr>
                <w:rFonts w:hint="eastAsia" w:ascii="宋体" w:hAnsi="宋体" w:cs="宋体"/>
                <w:bCs/>
                <w:color w:val="auto"/>
                <w:szCs w:val="21"/>
              </w:rPr>
              <w:t>（2）社交媒体账号累计粉丝数1亿-1.5亿得7分；</w:t>
            </w:r>
          </w:p>
          <w:p w14:paraId="138D38E1">
            <w:pPr>
              <w:spacing w:line="400" w:lineRule="exact"/>
              <w:rPr>
                <w:rFonts w:hint="eastAsia" w:ascii="宋体" w:hAnsi="宋体" w:cs="宋体"/>
                <w:bCs/>
                <w:color w:val="auto"/>
                <w:szCs w:val="21"/>
              </w:rPr>
            </w:pPr>
            <w:r>
              <w:rPr>
                <w:rFonts w:hint="eastAsia" w:ascii="宋体" w:hAnsi="宋体" w:cs="宋体"/>
                <w:bCs/>
                <w:color w:val="auto"/>
                <w:szCs w:val="21"/>
              </w:rPr>
              <w:t>（3）社交媒体账号累计粉丝数5千万-1亿得4分；</w:t>
            </w:r>
          </w:p>
          <w:p w14:paraId="2BCBC7B6">
            <w:pPr>
              <w:spacing w:line="400" w:lineRule="exact"/>
              <w:rPr>
                <w:rFonts w:hint="eastAsia" w:ascii="宋体" w:hAnsi="宋体" w:cs="宋体"/>
                <w:bCs/>
                <w:color w:val="auto"/>
                <w:szCs w:val="21"/>
              </w:rPr>
            </w:pPr>
            <w:r>
              <w:rPr>
                <w:rFonts w:hint="eastAsia" w:ascii="宋体" w:hAnsi="宋体" w:cs="宋体"/>
                <w:bCs/>
                <w:color w:val="auto"/>
                <w:szCs w:val="21"/>
              </w:rPr>
              <w:t>（4）社交媒体账号累计粉丝数5千万以下不得分；</w:t>
            </w:r>
          </w:p>
          <w:p w14:paraId="43B95EE5">
            <w:pPr>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注：社交媒体整合数据为同名称账号微博、微信、抖音、视频号粉丝数总计；需提供近1年社交媒体号截图证明，否则不得分。</w:t>
            </w:r>
          </w:p>
        </w:tc>
      </w:tr>
      <w:tr w14:paraId="7FA6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572" w:type="dxa"/>
            <w:vAlign w:val="center"/>
          </w:tcPr>
          <w:p w14:paraId="21E2CFD8">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3</w:t>
            </w:r>
          </w:p>
        </w:tc>
        <w:tc>
          <w:tcPr>
            <w:tcW w:w="1003" w:type="dxa"/>
            <w:vAlign w:val="center"/>
          </w:tcPr>
          <w:p w14:paraId="154C49BE">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商务分</w:t>
            </w:r>
          </w:p>
        </w:tc>
        <w:tc>
          <w:tcPr>
            <w:tcW w:w="785" w:type="dxa"/>
            <w:vAlign w:val="center"/>
          </w:tcPr>
          <w:p w14:paraId="2AB5C150">
            <w:pPr>
              <w:adjustRightInd w:val="0"/>
              <w:spacing w:line="400" w:lineRule="exact"/>
              <w:jc w:val="center"/>
              <w:textAlignment w:val="baseline"/>
              <w:rPr>
                <w:rFonts w:hint="eastAsia" w:ascii="宋体" w:hAnsi="宋体" w:cs="宋体"/>
                <w:b/>
                <w:color w:val="auto"/>
                <w:szCs w:val="21"/>
              </w:rPr>
            </w:pPr>
            <w:r>
              <w:rPr>
                <w:rFonts w:hint="eastAsia" w:ascii="宋体" w:hAnsi="宋体" w:cs="宋体"/>
                <w:b/>
                <w:color w:val="auto"/>
                <w:szCs w:val="21"/>
              </w:rPr>
              <w:t>6分</w:t>
            </w:r>
          </w:p>
        </w:tc>
        <w:tc>
          <w:tcPr>
            <w:tcW w:w="1918" w:type="dxa"/>
            <w:vAlign w:val="center"/>
          </w:tcPr>
          <w:p w14:paraId="19C5D1E3">
            <w:pPr>
              <w:adjustRightInd w:val="0"/>
              <w:snapToGrid w:val="0"/>
              <w:spacing w:line="400" w:lineRule="exact"/>
              <w:jc w:val="center"/>
              <w:textAlignment w:val="baseline"/>
              <w:rPr>
                <w:rFonts w:hint="eastAsia" w:ascii="宋体" w:hAnsi="宋体" w:cs="宋体"/>
                <w:bCs/>
                <w:color w:val="auto"/>
                <w:szCs w:val="21"/>
              </w:rPr>
            </w:pPr>
            <w:r>
              <w:rPr>
                <w:rFonts w:hint="eastAsia" w:ascii="宋体" w:hAnsi="宋体" w:cs="宋体"/>
                <w:color w:val="auto"/>
                <w:szCs w:val="21"/>
              </w:rPr>
              <w:t>（客观）</w:t>
            </w:r>
            <w:r>
              <w:rPr>
                <w:rFonts w:hint="eastAsia" w:ascii="宋体" w:hAnsi="宋体" w:cs="宋体"/>
                <w:bCs/>
                <w:color w:val="auto"/>
                <w:szCs w:val="21"/>
              </w:rPr>
              <w:t>业绩分</w:t>
            </w:r>
          </w:p>
          <w:p w14:paraId="5511B14E">
            <w:pPr>
              <w:adjustRightInd w:val="0"/>
              <w:snapToGrid w:val="0"/>
              <w:spacing w:line="400" w:lineRule="exact"/>
              <w:jc w:val="center"/>
              <w:textAlignment w:val="baseline"/>
              <w:rPr>
                <w:rFonts w:hint="eastAsia" w:ascii="宋体" w:hAnsi="宋体" w:cs="宋体"/>
                <w:bCs/>
                <w:color w:val="auto"/>
                <w:szCs w:val="21"/>
              </w:rPr>
            </w:pPr>
            <w:r>
              <w:rPr>
                <w:rFonts w:hint="eastAsia" w:ascii="宋体" w:hAnsi="宋体" w:cs="宋体"/>
                <w:bCs/>
                <w:color w:val="auto"/>
                <w:szCs w:val="21"/>
              </w:rPr>
              <w:t>（6分）</w:t>
            </w:r>
          </w:p>
        </w:tc>
        <w:tc>
          <w:tcPr>
            <w:tcW w:w="5350" w:type="dxa"/>
            <w:vAlign w:val="center"/>
          </w:tcPr>
          <w:p w14:paraId="22CBCDE3">
            <w:pPr>
              <w:adjustRightInd w:val="0"/>
              <w:snapToGrid w:val="0"/>
              <w:spacing w:line="400" w:lineRule="exact"/>
              <w:textAlignment w:val="baseline"/>
              <w:rPr>
                <w:rFonts w:hint="eastAsia" w:ascii="宋体" w:hAnsi="宋体" w:cs="宋体"/>
                <w:bCs/>
                <w:color w:val="auto"/>
                <w:szCs w:val="21"/>
              </w:rPr>
            </w:pPr>
            <w:r>
              <w:rPr>
                <w:rFonts w:hint="eastAsia" w:ascii="宋体" w:hAnsi="宋体" w:cs="宋体"/>
                <w:bCs/>
                <w:color w:val="auto"/>
                <w:szCs w:val="21"/>
              </w:rPr>
              <w:t>2022年以来</w:t>
            </w:r>
            <w:r>
              <w:rPr>
                <w:rFonts w:hint="eastAsia" w:ascii="宋体" w:hAnsi="宋体" w:cs="宋体"/>
                <w:color w:val="auto"/>
                <w:szCs w:val="21"/>
              </w:rPr>
              <w:t>，竞标人完成同类项目业绩的，每提供一份合同书或中标通知书，以及符合同类业绩范围要求的其它必要证明材料复印件得</w:t>
            </w:r>
            <w:r>
              <w:rPr>
                <w:rFonts w:hint="eastAsia" w:ascii="宋体" w:hAnsi="宋体" w:cs="宋体"/>
                <w:bCs/>
                <w:color w:val="auto"/>
                <w:szCs w:val="21"/>
              </w:rPr>
              <w:t>2</w:t>
            </w:r>
            <w:r>
              <w:rPr>
                <w:rFonts w:hint="eastAsia" w:ascii="宋体" w:hAnsi="宋体" w:cs="宋体"/>
                <w:color w:val="auto"/>
                <w:szCs w:val="21"/>
              </w:rPr>
              <w:t>分，满分6分。</w:t>
            </w:r>
          </w:p>
        </w:tc>
      </w:tr>
      <w:tr w14:paraId="2163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5"/>
            <w:vAlign w:val="center"/>
          </w:tcPr>
          <w:p w14:paraId="27346DC4">
            <w:pPr>
              <w:pStyle w:val="12"/>
              <w:spacing w:line="400" w:lineRule="exact"/>
              <w:rPr>
                <w:rFonts w:hint="eastAsia" w:hAnsi="宋体" w:cs="宋体"/>
                <w:bCs/>
                <w:color w:val="auto"/>
                <w:kern w:val="2"/>
                <w:sz w:val="21"/>
              </w:rPr>
            </w:pPr>
            <w:r>
              <w:rPr>
                <w:rFonts w:hint="eastAsia" w:hAnsi="宋体" w:cs="宋体"/>
                <w:b/>
                <w:bCs/>
                <w:color w:val="auto"/>
                <w:kern w:val="2"/>
                <w:sz w:val="21"/>
              </w:rPr>
              <w:t>总得分=1+2+3。</w:t>
            </w:r>
          </w:p>
        </w:tc>
      </w:tr>
    </w:tbl>
    <w:p w14:paraId="0A8CA38E">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p w14:paraId="506B3728">
      <w:pPr>
        <w:pStyle w:val="12"/>
        <w:spacing w:line="400" w:lineRule="exact"/>
        <w:ind w:firstLine="499" w:firstLineChars="238"/>
        <w:rPr>
          <w:rFonts w:hint="eastAsia" w:hAnsi="宋体" w:cs="宋体"/>
          <w:color w:val="auto"/>
          <w:sz w:val="21"/>
        </w:rPr>
      </w:pPr>
      <w:r>
        <w:rPr>
          <w:rFonts w:hAnsi="宋体"/>
          <w:bCs/>
          <w:color w:val="auto"/>
          <w:sz w:val="21"/>
        </w:rPr>
        <w:t>7.</w:t>
      </w:r>
      <w:r>
        <w:rPr>
          <w:rFonts w:hint="eastAsia" w:hAnsi="宋体"/>
          <w:bCs/>
          <w:color w:val="auto"/>
          <w:sz w:val="21"/>
        </w:rPr>
        <w:t>由磋商小组根据综合评分情况，按照评审得分由高到低顺序推荐3名及以上成交候选供应商，并编写评审报告。符合本章第</w:t>
      </w:r>
      <w:r>
        <w:rPr>
          <w:rFonts w:hint="eastAsia" w:hAnsi="宋体" w:cs="宋体"/>
          <w:color w:val="auto"/>
          <w:sz w:val="21"/>
        </w:rPr>
        <w:t>3.7、</w:t>
      </w:r>
      <w:r>
        <w:rPr>
          <w:rFonts w:hAnsi="宋体" w:cs="宋体"/>
          <w:color w:val="auto"/>
          <w:sz w:val="21"/>
        </w:rPr>
        <w:t>4.3</w:t>
      </w:r>
      <w:r>
        <w:rPr>
          <w:rFonts w:hint="eastAsia" w:hAnsi="宋体"/>
          <w:bCs/>
          <w:color w:val="auto"/>
          <w:sz w:val="21"/>
        </w:rPr>
        <w:t>条情形的，可以推荐2家成交候选供应商。评审得分相同的，按照最后报价（不计算价格折扣）由低到高的顺序推荐。评审得分且最后报价（不计算价格折扣）相同的，按照技术指标优劣顺序推荐（</w:t>
      </w:r>
      <w:r>
        <w:rPr>
          <w:rFonts w:hint="eastAsia" w:hAnsi="宋体"/>
          <w:color w:val="auto"/>
          <w:sz w:val="21"/>
        </w:rPr>
        <w:t>按综合评分中服务水平、后续服务、履约能力得分高低依次确定</w:t>
      </w:r>
      <w:r>
        <w:rPr>
          <w:rFonts w:hint="eastAsia" w:hAnsi="宋体"/>
          <w:bCs/>
          <w:color w:val="auto"/>
          <w:sz w:val="21"/>
        </w:rPr>
        <w:t>）。</w:t>
      </w:r>
      <w:r>
        <w:rPr>
          <w:rFonts w:hint="eastAsia" w:hAnsi="宋体" w:cs="宋体"/>
          <w:color w:val="auto"/>
          <w:sz w:val="21"/>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3C2FD8B1">
      <w:pPr>
        <w:spacing w:line="360" w:lineRule="auto"/>
        <w:ind w:firstLine="420" w:firstLineChars="200"/>
        <w:rPr>
          <w:rFonts w:hint="eastAsia" w:ascii="宋体" w:hAnsi="宋体" w:cs="宋体"/>
          <w:snapToGrid w:val="0"/>
          <w:color w:val="auto"/>
          <w:kern w:val="0"/>
          <w:szCs w:val="21"/>
        </w:rPr>
      </w:pPr>
    </w:p>
    <w:p w14:paraId="1298CC01">
      <w:pPr>
        <w:rPr>
          <w:rFonts w:hint="eastAsia" w:ascii="宋体" w:hAnsi="宋体" w:cs="宋体"/>
          <w:color w:val="auto"/>
        </w:rPr>
      </w:pPr>
      <w:r>
        <w:rPr>
          <w:rFonts w:hint="eastAsia" w:ascii="宋体" w:hAnsi="宋体" w:cs="宋体"/>
          <w:color w:val="auto"/>
        </w:rPr>
        <w:br w:type="page"/>
      </w:r>
    </w:p>
    <w:p w14:paraId="0AD703B4">
      <w:pPr>
        <w:pStyle w:val="2"/>
        <w:rPr>
          <w:color w:val="auto"/>
        </w:rPr>
      </w:pPr>
    </w:p>
    <w:p w14:paraId="75B5D2D9">
      <w:pPr>
        <w:pStyle w:val="14"/>
        <w:rPr>
          <w:color w:val="auto"/>
        </w:rPr>
      </w:pPr>
    </w:p>
    <w:p w14:paraId="5B66D374">
      <w:pPr>
        <w:pStyle w:val="3"/>
        <w:jc w:val="center"/>
        <w:rPr>
          <w:color w:val="auto"/>
        </w:rPr>
      </w:pPr>
      <w:bookmarkStart w:id="39" w:name="_Toc74323460"/>
    </w:p>
    <w:p w14:paraId="12CAF677">
      <w:pPr>
        <w:pStyle w:val="3"/>
        <w:jc w:val="center"/>
        <w:rPr>
          <w:color w:val="auto"/>
        </w:rPr>
      </w:pPr>
    </w:p>
    <w:p w14:paraId="0F5DE73C">
      <w:pPr>
        <w:pStyle w:val="3"/>
        <w:jc w:val="center"/>
        <w:rPr>
          <w:color w:val="auto"/>
        </w:rPr>
      </w:pPr>
    </w:p>
    <w:p w14:paraId="207C9E86">
      <w:pPr>
        <w:pStyle w:val="3"/>
        <w:jc w:val="center"/>
        <w:rPr>
          <w:color w:val="auto"/>
        </w:rPr>
      </w:pPr>
      <w:r>
        <w:rPr>
          <w:rFonts w:hint="eastAsia"/>
          <w:color w:val="auto"/>
        </w:rPr>
        <w:t>第五章 响应文件格式</w:t>
      </w:r>
      <w:bookmarkEnd w:id="39"/>
    </w:p>
    <w:p w14:paraId="67DA3738">
      <w:pPr>
        <w:spacing w:line="240" w:lineRule="atLeast"/>
        <w:rPr>
          <w:rFonts w:hint="eastAsia" w:ascii="宋体" w:hAnsi="宋体"/>
          <w:b/>
          <w:color w:val="auto"/>
          <w:sz w:val="32"/>
          <w:szCs w:val="32"/>
        </w:rPr>
      </w:pPr>
    </w:p>
    <w:p w14:paraId="3985568E">
      <w:pPr>
        <w:spacing w:line="240" w:lineRule="atLeast"/>
        <w:rPr>
          <w:rFonts w:hint="eastAsia" w:ascii="宋体" w:hAnsi="宋体"/>
          <w:b/>
          <w:color w:val="auto"/>
          <w:sz w:val="32"/>
          <w:szCs w:val="32"/>
        </w:rPr>
      </w:pPr>
    </w:p>
    <w:p w14:paraId="4B565F0D">
      <w:pPr>
        <w:spacing w:line="240" w:lineRule="atLeast"/>
        <w:rPr>
          <w:rFonts w:hint="eastAsia" w:ascii="宋体" w:hAnsi="宋体"/>
          <w:b/>
          <w:color w:val="auto"/>
          <w:sz w:val="32"/>
          <w:szCs w:val="32"/>
        </w:rPr>
      </w:pPr>
    </w:p>
    <w:p w14:paraId="4B894AEA">
      <w:pPr>
        <w:spacing w:line="240" w:lineRule="atLeast"/>
        <w:rPr>
          <w:rFonts w:hint="eastAsia" w:ascii="宋体" w:hAnsi="宋体"/>
          <w:b/>
          <w:color w:val="auto"/>
          <w:sz w:val="32"/>
          <w:szCs w:val="32"/>
        </w:rPr>
      </w:pPr>
    </w:p>
    <w:p w14:paraId="6D0BE100">
      <w:pPr>
        <w:spacing w:line="240" w:lineRule="atLeast"/>
        <w:rPr>
          <w:rFonts w:hint="eastAsia" w:ascii="宋体" w:hAnsi="宋体"/>
          <w:b/>
          <w:color w:val="auto"/>
          <w:sz w:val="32"/>
          <w:szCs w:val="32"/>
        </w:rPr>
      </w:pPr>
    </w:p>
    <w:p w14:paraId="7BC3AFB6">
      <w:pPr>
        <w:spacing w:line="240" w:lineRule="atLeast"/>
        <w:rPr>
          <w:rFonts w:hint="eastAsia" w:ascii="宋体" w:hAnsi="宋体"/>
          <w:b/>
          <w:color w:val="auto"/>
          <w:sz w:val="32"/>
          <w:szCs w:val="32"/>
        </w:rPr>
      </w:pPr>
    </w:p>
    <w:p w14:paraId="1D38DCEB">
      <w:pPr>
        <w:spacing w:line="240" w:lineRule="atLeast"/>
        <w:rPr>
          <w:rFonts w:hint="eastAsia" w:ascii="宋体" w:hAnsi="宋体"/>
          <w:b/>
          <w:color w:val="auto"/>
          <w:sz w:val="32"/>
          <w:szCs w:val="32"/>
        </w:rPr>
      </w:pPr>
    </w:p>
    <w:p w14:paraId="297FEA54">
      <w:pPr>
        <w:spacing w:line="240" w:lineRule="atLeast"/>
        <w:rPr>
          <w:rFonts w:hint="eastAsia" w:ascii="宋体" w:hAnsi="宋体"/>
          <w:b/>
          <w:color w:val="auto"/>
          <w:sz w:val="32"/>
          <w:szCs w:val="32"/>
        </w:rPr>
      </w:pPr>
    </w:p>
    <w:p w14:paraId="2B4D72E1">
      <w:pPr>
        <w:spacing w:line="240" w:lineRule="atLeast"/>
        <w:rPr>
          <w:rFonts w:hint="eastAsia" w:ascii="宋体" w:hAnsi="宋体"/>
          <w:b/>
          <w:color w:val="auto"/>
          <w:sz w:val="32"/>
          <w:szCs w:val="32"/>
        </w:rPr>
      </w:pPr>
    </w:p>
    <w:p w14:paraId="553CFDD3">
      <w:pPr>
        <w:spacing w:line="240" w:lineRule="atLeast"/>
        <w:rPr>
          <w:rFonts w:hint="eastAsia" w:ascii="仿宋_GB2312" w:hAnsi="仿宋_GB2312" w:eastAsia="仿宋_GB2312" w:cs="仿宋_GB2312"/>
          <w:bCs/>
          <w:color w:val="auto"/>
          <w:sz w:val="32"/>
          <w:szCs w:val="32"/>
        </w:rPr>
      </w:pPr>
    </w:p>
    <w:p w14:paraId="1FE26A8F">
      <w:pPr>
        <w:rPr>
          <w:b/>
          <w:color w:val="auto"/>
          <w:sz w:val="32"/>
          <w:szCs w:val="32"/>
        </w:rPr>
      </w:pPr>
      <w:bookmarkStart w:id="40" w:name="_Toc71365925"/>
      <w:bookmarkStart w:id="41" w:name="_Toc35611438"/>
      <w:bookmarkStart w:id="42" w:name="_Toc31723070"/>
      <w:bookmarkStart w:id="43" w:name="_Toc31728084"/>
      <w:bookmarkStart w:id="44" w:name="_Toc35611516"/>
      <w:bookmarkStart w:id="45" w:name="_Toc44229899"/>
    </w:p>
    <w:p w14:paraId="4C1EC0CC">
      <w:pPr>
        <w:rPr>
          <w:b/>
          <w:color w:val="auto"/>
          <w:sz w:val="32"/>
          <w:szCs w:val="32"/>
        </w:rPr>
      </w:pPr>
    </w:p>
    <w:p w14:paraId="52D72B93">
      <w:pPr>
        <w:rPr>
          <w:b/>
          <w:color w:val="auto"/>
          <w:sz w:val="32"/>
          <w:szCs w:val="32"/>
        </w:rPr>
      </w:pPr>
      <w:r>
        <w:rPr>
          <w:rFonts w:hint="eastAsia"/>
          <w:b/>
          <w:color w:val="auto"/>
          <w:sz w:val="32"/>
          <w:szCs w:val="32"/>
        </w:rPr>
        <w:br w:type="page"/>
      </w:r>
    </w:p>
    <w:p w14:paraId="23AF7B99">
      <w:pPr>
        <w:rPr>
          <w:b/>
          <w:color w:val="auto"/>
          <w:sz w:val="32"/>
          <w:szCs w:val="32"/>
        </w:rPr>
      </w:pPr>
      <w:r>
        <w:rPr>
          <w:rFonts w:hint="eastAsia"/>
          <w:b/>
          <w:color w:val="auto"/>
          <w:sz w:val="32"/>
          <w:szCs w:val="32"/>
        </w:rPr>
        <w:t>一、资格证明文件格式</w:t>
      </w:r>
      <w:bookmarkEnd w:id="40"/>
      <w:bookmarkEnd w:id="41"/>
      <w:bookmarkEnd w:id="42"/>
      <w:bookmarkEnd w:id="43"/>
      <w:bookmarkEnd w:id="44"/>
      <w:bookmarkEnd w:id="45"/>
    </w:p>
    <w:p w14:paraId="1E256437">
      <w:pPr>
        <w:snapToGrid w:val="0"/>
        <w:spacing w:before="156"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1B825E56">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7369C03D">
      <w:pPr>
        <w:snapToGrid w:val="0"/>
        <w:spacing w:before="156" w:beforeLines="50" w:after="50"/>
        <w:rPr>
          <w:rFonts w:hint="eastAsia" w:ascii="宋体" w:hAnsi="宋体"/>
          <w:color w:val="auto"/>
          <w:sz w:val="24"/>
          <w:szCs w:val="20"/>
        </w:rPr>
      </w:pPr>
    </w:p>
    <w:p w14:paraId="3B00CA70">
      <w:pPr>
        <w:snapToGrid w:val="0"/>
        <w:spacing w:before="156" w:beforeLines="50" w:after="50"/>
        <w:jc w:val="center"/>
        <w:rPr>
          <w:rFonts w:hint="eastAsia"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28630248">
      <w:pPr>
        <w:snapToGrid w:val="0"/>
        <w:spacing w:before="156" w:beforeLines="50" w:after="50"/>
        <w:jc w:val="center"/>
        <w:rPr>
          <w:rFonts w:hint="eastAsia" w:ascii="方正小标宋简体" w:hAnsi="方正小标宋简体" w:eastAsia="方正小标宋简体" w:cs="方正小标宋简体"/>
          <w:bCs/>
          <w:color w:val="auto"/>
          <w:sz w:val="44"/>
          <w:szCs w:val="44"/>
        </w:rPr>
      </w:pPr>
    </w:p>
    <w:p w14:paraId="795B4497">
      <w:pPr>
        <w:snapToGrid w:val="0"/>
        <w:spacing w:before="156" w:beforeLines="50" w:after="50"/>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资  格  证  明  文  件</w:t>
      </w:r>
    </w:p>
    <w:p w14:paraId="3D635D27">
      <w:pPr>
        <w:snapToGrid w:val="0"/>
        <w:spacing w:before="156" w:beforeLines="50" w:after="50"/>
        <w:rPr>
          <w:rFonts w:hint="eastAsia" w:ascii="宋体" w:hAnsi="宋体"/>
          <w:bCs/>
          <w:color w:val="auto"/>
          <w:sz w:val="24"/>
          <w:szCs w:val="20"/>
        </w:rPr>
      </w:pPr>
    </w:p>
    <w:p w14:paraId="27F9643B">
      <w:pPr>
        <w:snapToGrid w:val="0"/>
        <w:spacing w:before="156" w:beforeLines="50" w:after="50"/>
        <w:rPr>
          <w:rFonts w:hint="eastAsia" w:ascii="宋体" w:hAnsi="宋体"/>
          <w:bCs/>
          <w:color w:val="auto"/>
          <w:sz w:val="24"/>
          <w:szCs w:val="20"/>
        </w:rPr>
      </w:pPr>
    </w:p>
    <w:p w14:paraId="2586F4B7">
      <w:pPr>
        <w:snapToGrid w:val="0"/>
        <w:spacing w:before="156" w:beforeLines="50" w:after="50"/>
        <w:rPr>
          <w:rFonts w:hint="eastAsia" w:ascii="宋体" w:hAnsi="宋体"/>
          <w:bCs/>
          <w:color w:val="auto"/>
          <w:sz w:val="24"/>
          <w:szCs w:val="20"/>
        </w:rPr>
      </w:pPr>
    </w:p>
    <w:p w14:paraId="4566DCAF">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162CF500">
      <w:pPr>
        <w:snapToGrid w:val="0"/>
        <w:spacing w:before="156" w:beforeLines="50" w:after="50"/>
        <w:ind w:firstLine="720" w:firstLineChars="225"/>
        <w:rPr>
          <w:rFonts w:hint="eastAsia" w:ascii="宋体" w:hAnsi="宋体" w:cs="仿宋_GB2312"/>
          <w:bCs/>
          <w:color w:val="auto"/>
          <w:sz w:val="32"/>
          <w:szCs w:val="32"/>
        </w:rPr>
      </w:pPr>
    </w:p>
    <w:p w14:paraId="55BFC928">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3994DA4D">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1E877C7D">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w:t>
      </w:r>
    </w:p>
    <w:p w14:paraId="4EBF89F2">
      <w:pPr>
        <w:snapToGrid w:val="0"/>
        <w:spacing w:before="156" w:beforeLines="50" w:after="50"/>
        <w:ind w:firstLine="720" w:firstLineChars="225"/>
        <w:rPr>
          <w:rFonts w:hint="eastAsia" w:ascii="宋体" w:hAnsi="宋体" w:cs="仿宋_GB2312"/>
          <w:bCs/>
          <w:color w:val="auto"/>
          <w:sz w:val="32"/>
          <w:szCs w:val="32"/>
        </w:rPr>
      </w:pPr>
    </w:p>
    <w:p w14:paraId="251BEE25">
      <w:pPr>
        <w:pStyle w:val="6"/>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3B8BC421">
      <w:pPr>
        <w:pStyle w:val="6"/>
        <w:snapToGrid w:val="0"/>
        <w:spacing w:before="50" w:after="50"/>
        <w:ind w:firstLine="720" w:firstLineChars="225"/>
        <w:rPr>
          <w:rFonts w:hint="eastAsia" w:ascii="宋体" w:hAnsi="宋体" w:cs="仿宋_GB2312"/>
          <w:bCs/>
          <w:color w:val="auto"/>
          <w:sz w:val="32"/>
          <w:szCs w:val="32"/>
        </w:rPr>
      </w:pPr>
    </w:p>
    <w:p w14:paraId="7BEFF2C9">
      <w:pPr>
        <w:pStyle w:val="6"/>
        <w:snapToGrid w:val="0"/>
        <w:spacing w:before="50" w:after="50"/>
        <w:ind w:firstLine="720" w:firstLineChars="225"/>
        <w:rPr>
          <w:rFonts w:hint="eastAsia" w:ascii="宋体" w:hAnsi="宋体" w:cs="仿宋_GB2312"/>
          <w:bCs/>
          <w:color w:val="auto"/>
          <w:sz w:val="32"/>
          <w:szCs w:val="32"/>
        </w:rPr>
      </w:pPr>
    </w:p>
    <w:p w14:paraId="3F421031">
      <w:pPr>
        <w:pStyle w:val="6"/>
        <w:snapToGrid w:val="0"/>
        <w:spacing w:before="50" w:after="50"/>
        <w:ind w:firstLine="1280" w:firstLineChars="400"/>
        <w:rPr>
          <w:rFonts w:hint="eastAsia" w:ascii="宋体" w:hAnsi="宋体" w:cs="仿宋_GB2312"/>
          <w:bCs/>
          <w:color w:val="auto"/>
          <w:sz w:val="32"/>
          <w:szCs w:val="32"/>
        </w:rPr>
      </w:pPr>
    </w:p>
    <w:p w14:paraId="6473F55A">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4F985775">
      <w:pPr>
        <w:snapToGrid w:val="0"/>
        <w:spacing w:before="156" w:beforeLines="50" w:after="50" w:line="360" w:lineRule="auto"/>
        <w:ind w:left="142"/>
        <w:jc w:val="left"/>
        <w:rPr>
          <w:rFonts w:hint="eastAsia"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22601493">
      <w:pPr>
        <w:snapToGrid w:val="0"/>
        <w:spacing w:line="360" w:lineRule="auto"/>
        <w:rPr>
          <w:rFonts w:hint="eastAsia" w:asciiTheme="minorEastAsia" w:hAnsiTheme="minorEastAsia" w:eastAsiaTheme="minorEastAsia" w:cstheme="minorEastAsia"/>
          <w:color w:val="auto"/>
          <w:szCs w:val="21"/>
        </w:rPr>
      </w:pPr>
    </w:p>
    <w:p w14:paraId="5B02028C">
      <w:pPr>
        <w:snapToGrid w:val="0"/>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color w:val="auto"/>
          <w:kern w:val="0"/>
          <w:sz w:val="24"/>
        </w:rPr>
        <w:t>……………………………………………………………………………………（页码）</w:t>
      </w:r>
    </w:p>
    <w:p w14:paraId="7728A912">
      <w:pPr>
        <w:snapToGrid w:val="0"/>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2、供应商依法缴纳税收的相关材料</w:t>
      </w:r>
      <w:r>
        <w:rPr>
          <w:rFonts w:hint="eastAsia" w:ascii="宋体" w:hAnsi="宋体" w:cs="宋体"/>
          <w:color w:val="auto"/>
          <w:kern w:val="0"/>
          <w:sz w:val="24"/>
        </w:rPr>
        <w:t>………………………………………………（页码）</w:t>
      </w:r>
    </w:p>
    <w:p w14:paraId="6DEB0D2D">
      <w:pPr>
        <w:snapToGrid w:val="0"/>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3、供应商依法缴纳社会保障资金的相关材料</w:t>
      </w:r>
      <w:r>
        <w:rPr>
          <w:rFonts w:hint="eastAsia" w:ascii="宋体" w:hAnsi="宋体" w:cs="宋体"/>
          <w:color w:val="auto"/>
          <w:kern w:val="0"/>
          <w:sz w:val="24"/>
        </w:rPr>
        <w:t>……………………………………（页码）</w:t>
      </w:r>
    </w:p>
    <w:p w14:paraId="6D655814">
      <w:pPr>
        <w:snapToGrid w:val="0"/>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4、供应商财务状况报告</w:t>
      </w:r>
      <w:r>
        <w:rPr>
          <w:rFonts w:hint="eastAsia" w:ascii="宋体" w:hAnsi="宋体" w:cs="宋体"/>
          <w:color w:val="auto"/>
          <w:kern w:val="0"/>
          <w:sz w:val="24"/>
        </w:rPr>
        <w:t>……………………………………………………………（页码）</w:t>
      </w:r>
    </w:p>
    <w:p w14:paraId="63F0E449">
      <w:pPr>
        <w:snapToGrid w:val="0"/>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5、供应商直接控股、管理关系信息表</w:t>
      </w:r>
      <w:r>
        <w:rPr>
          <w:rFonts w:hint="eastAsia" w:ascii="宋体" w:hAnsi="宋体" w:cs="宋体"/>
          <w:color w:val="auto"/>
          <w:kern w:val="0"/>
          <w:sz w:val="24"/>
        </w:rPr>
        <w:t>……………………………………………（页码）</w:t>
      </w:r>
    </w:p>
    <w:p w14:paraId="2B72A973">
      <w:pPr>
        <w:snapToGrid w:val="0"/>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6、竞标声明</w:t>
      </w:r>
      <w:r>
        <w:rPr>
          <w:rFonts w:hint="eastAsia" w:ascii="宋体" w:hAnsi="宋体" w:cs="宋体"/>
          <w:color w:val="auto"/>
          <w:kern w:val="0"/>
          <w:sz w:val="24"/>
        </w:rPr>
        <w:t>…………………………………………………………………………（页码）</w:t>
      </w:r>
    </w:p>
    <w:p w14:paraId="68DB6DF4">
      <w:pPr>
        <w:snapToGrid w:val="0"/>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7、除磋商文件规定必须提供以外，供应商认为需要提供的其他证明材料</w:t>
      </w:r>
      <w:r>
        <w:rPr>
          <w:rFonts w:hint="eastAsia" w:ascii="宋体" w:hAnsi="宋体" w:cs="宋体"/>
          <w:color w:val="auto"/>
          <w:kern w:val="0"/>
          <w:sz w:val="24"/>
        </w:rPr>
        <w:t>……………………………………………（页码）</w:t>
      </w:r>
    </w:p>
    <w:p w14:paraId="451606ED">
      <w:pPr>
        <w:pStyle w:val="2"/>
        <w:rPr>
          <w:b/>
          <w:bCs/>
          <w:color w:val="auto"/>
        </w:rPr>
      </w:pPr>
    </w:p>
    <w:p w14:paraId="79149167">
      <w:pPr>
        <w:spacing w:line="360" w:lineRule="auto"/>
        <w:rPr>
          <w:rFonts w:hint="eastAsia" w:ascii="宋体" w:hAnsi="宋体" w:cs="宋体"/>
          <w:b/>
          <w:bCs/>
          <w:color w:val="auto"/>
          <w:sz w:val="24"/>
        </w:rPr>
      </w:pPr>
    </w:p>
    <w:p w14:paraId="251B1E6C">
      <w:pPr>
        <w:spacing w:line="360" w:lineRule="auto"/>
        <w:rPr>
          <w:rFonts w:hint="eastAsia" w:ascii="宋体" w:hAnsi="宋体" w:cs="宋体"/>
          <w:b/>
          <w:bCs/>
          <w:color w:val="auto"/>
          <w:sz w:val="24"/>
        </w:rPr>
      </w:pPr>
      <w:r>
        <w:rPr>
          <w:rFonts w:hint="eastAsia" w:ascii="宋体" w:hAnsi="宋体" w:cs="宋体"/>
          <w:b/>
          <w:bCs/>
          <w:color w:val="auto"/>
          <w:sz w:val="24"/>
        </w:rPr>
        <w:t>注：以上目录是编制供应商响应文件的基本格式要求，各供应商可根据自身情况进一步细化。</w:t>
      </w:r>
    </w:p>
    <w:p w14:paraId="1C6ACE68">
      <w:pPr>
        <w:snapToGrid w:val="0"/>
        <w:spacing w:before="156" w:beforeLines="50" w:after="50" w:line="360" w:lineRule="auto"/>
        <w:ind w:firstLine="645"/>
        <w:rPr>
          <w:rFonts w:hint="eastAsia" w:ascii="宋体" w:hAnsi="宋体"/>
          <w:color w:val="auto"/>
          <w:sz w:val="32"/>
          <w:szCs w:val="32"/>
        </w:rPr>
      </w:pPr>
    </w:p>
    <w:p w14:paraId="487D35F6">
      <w:pPr>
        <w:snapToGrid w:val="0"/>
        <w:spacing w:before="156" w:beforeLines="50" w:after="50"/>
        <w:rPr>
          <w:rFonts w:hint="eastAsia" w:ascii="宋体" w:hAnsi="宋体"/>
          <w:color w:val="auto"/>
          <w:sz w:val="24"/>
          <w:szCs w:val="20"/>
        </w:rPr>
      </w:pPr>
      <w:r>
        <w:rPr>
          <w:rFonts w:ascii="宋体" w:hAnsi="宋体"/>
          <w:color w:val="auto"/>
          <w:sz w:val="24"/>
          <w:szCs w:val="20"/>
        </w:rPr>
        <w:t xml:space="preserve"> </w:t>
      </w:r>
    </w:p>
    <w:p w14:paraId="068BF177">
      <w:pPr>
        <w:spacing w:line="300" w:lineRule="auto"/>
        <w:rPr>
          <w:rFonts w:hint="eastAsia" w:ascii="宋体" w:hAnsi="宋体"/>
          <w:color w:val="auto"/>
          <w:szCs w:val="21"/>
        </w:rPr>
      </w:pPr>
    </w:p>
    <w:p w14:paraId="41BB2691">
      <w:pPr>
        <w:spacing w:line="300" w:lineRule="auto"/>
        <w:rPr>
          <w:rFonts w:hint="eastAsia" w:ascii="宋体" w:hAnsi="宋体"/>
          <w:color w:val="auto"/>
          <w:szCs w:val="21"/>
        </w:rPr>
      </w:pPr>
    </w:p>
    <w:p w14:paraId="43C35554">
      <w:pPr>
        <w:spacing w:line="300" w:lineRule="auto"/>
        <w:rPr>
          <w:rFonts w:hint="eastAsia" w:ascii="宋体" w:hAnsi="宋体"/>
          <w:color w:val="auto"/>
          <w:szCs w:val="21"/>
        </w:rPr>
      </w:pPr>
    </w:p>
    <w:p w14:paraId="37AD4A63">
      <w:pPr>
        <w:spacing w:line="300" w:lineRule="auto"/>
        <w:rPr>
          <w:rFonts w:hint="eastAsia" w:ascii="宋体" w:hAnsi="宋体"/>
          <w:color w:val="auto"/>
          <w:szCs w:val="21"/>
        </w:rPr>
      </w:pPr>
    </w:p>
    <w:p w14:paraId="0E0B8DC3">
      <w:pPr>
        <w:spacing w:line="300" w:lineRule="auto"/>
        <w:rPr>
          <w:rFonts w:hint="eastAsia" w:ascii="宋体" w:hAnsi="宋体"/>
          <w:color w:val="auto"/>
          <w:szCs w:val="21"/>
        </w:rPr>
      </w:pPr>
    </w:p>
    <w:p w14:paraId="6C4A247D">
      <w:pPr>
        <w:spacing w:line="300" w:lineRule="auto"/>
        <w:rPr>
          <w:rFonts w:hint="eastAsia" w:ascii="宋体" w:hAnsi="宋体"/>
          <w:color w:val="auto"/>
          <w:szCs w:val="21"/>
        </w:rPr>
      </w:pPr>
    </w:p>
    <w:p w14:paraId="7366C784">
      <w:pPr>
        <w:spacing w:line="300" w:lineRule="auto"/>
        <w:rPr>
          <w:rFonts w:hint="eastAsia" w:ascii="宋体" w:hAnsi="宋体"/>
          <w:color w:val="auto"/>
          <w:szCs w:val="21"/>
        </w:rPr>
      </w:pPr>
    </w:p>
    <w:p w14:paraId="490119C0">
      <w:pPr>
        <w:spacing w:line="300" w:lineRule="auto"/>
        <w:rPr>
          <w:rFonts w:hint="eastAsia" w:ascii="宋体" w:hAnsi="宋体"/>
          <w:color w:val="auto"/>
          <w:szCs w:val="21"/>
        </w:rPr>
      </w:pPr>
    </w:p>
    <w:p w14:paraId="4A45ABE6">
      <w:pPr>
        <w:spacing w:line="300" w:lineRule="auto"/>
        <w:rPr>
          <w:rFonts w:hint="eastAsia" w:ascii="宋体" w:hAnsi="宋体"/>
          <w:color w:val="auto"/>
          <w:szCs w:val="21"/>
        </w:rPr>
      </w:pPr>
    </w:p>
    <w:p w14:paraId="6DE06587">
      <w:pPr>
        <w:spacing w:line="300" w:lineRule="auto"/>
        <w:rPr>
          <w:rFonts w:hint="eastAsia" w:ascii="宋体" w:hAnsi="宋体"/>
          <w:color w:val="auto"/>
          <w:szCs w:val="21"/>
        </w:rPr>
      </w:pPr>
    </w:p>
    <w:p w14:paraId="54A3D71D">
      <w:pPr>
        <w:spacing w:line="300" w:lineRule="auto"/>
        <w:rPr>
          <w:rFonts w:hint="eastAsia" w:ascii="宋体" w:hAnsi="宋体"/>
          <w:color w:val="auto"/>
          <w:szCs w:val="21"/>
        </w:rPr>
      </w:pPr>
    </w:p>
    <w:p w14:paraId="2C80631B">
      <w:pPr>
        <w:spacing w:line="300" w:lineRule="auto"/>
        <w:rPr>
          <w:rFonts w:hint="eastAsia" w:ascii="宋体" w:hAnsi="宋体"/>
          <w:color w:val="auto"/>
          <w:szCs w:val="21"/>
        </w:rPr>
      </w:pPr>
    </w:p>
    <w:p w14:paraId="5466C80B">
      <w:pPr>
        <w:numPr>
          <w:ilvl w:val="0"/>
          <w:numId w:val="2"/>
        </w:numPr>
        <w:spacing w:line="320" w:lineRule="exact"/>
        <w:jc w:val="left"/>
        <w:rPr>
          <w:rFonts w:hint="eastAsia" w:ascii="宋体" w:hAnsi="宋体"/>
          <w:b/>
          <w:color w:val="auto"/>
          <w:sz w:val="32"/>
          <w:szCs w:val="32"/>
        </w:rPr>
      </w:pPr>
      <w:r>
        <w:rPr>
          <w:rFonts w:ascii="宋体" w:hAnsi="宋体"/>
          <w:color w:val="auto"/>
          <w:szCs w:val="21"/>
        </w:rPr>
        <w:br w:type="page"/>
      </w:r>
      <w:r>
        <w:rPr>
          <w:rFonts w:hint="eastAsia" w:ascii="宋体" w:hAnsi="宋体"/>
          <w:b/>
          <w:color w:val="auto"/>
          <w:sz w:val="32"/>
          <w:szCs w:val="32"/>
        </w:rPr>
        <w:t>供应商为法人或者其他组织的，证明文件为其营业执照复印件（如营业执照或者事业单位法人证书或者执业许可证等）；供应商为自然人的，证明文件为其身份证复印件。</w:t>
      </w:r>
    </w:p>
    <w:p w14:paraId="0615218C">
      <w:pPr>
        <w:spacing w:line="320" w:lineRule="exact"/>
        <w:ind w:left="160"/>
        <w:jc w:val="left"/>
        <w:rPr>
          <w:rFonts w:hint="eastAsia" w:ascii="宋体" w:hAnsi="宋体"/>
          <w:b/>
          <w:color w:val="auto"/>
          <w:sz w:val="32"/>
          <w:szCs w:val="32"/>
        </w:rPr>
      </w:pPr>
    </w:p>
    <w:p w14:paraId="73B49946">
      <w:pPr>
        <w:spacing w:line="360" w:lineRule="auto"/>
        <w:ind w:firstLine="602" w:firstLineChars="200"/>
        <w:rPr>
          <w:rFonts w:hint="eastAsia" w:ascii="宋体" w:hAnsi="宋体" w:cs="宋体"/>
          <w:b/>
          <w:color w:val="auto"/>
          <w:kern w:val="0"/>
          <w:sz w:val="30"/>
          <w:szCs w:val="30"/>
        </w:rPr>
      </w:pPr>
    </w:p>
    <w:p w14:paraId="72691314">
      <w:pPr>
        <w:autoSpaceDE w:val="0"/>
        <w:autoSpaceDN w:val="0"/>
        <w:spacing w:line="360" w:lineRule="auto"/>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440DE1D3">
      <w:pPr>
        <w:autoSpaceDE w:val="0"/>
        <w:autoSpaceDN w:val="0"/>
        <w:spacing w:line="360" w:lineRule="auto"/>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639D235B">
      <w:pPr>
        <w:spacing w:line="320" w:lineRule="exact"/>
        <w:ind w:left="160"/>
        <w:jc w:val="left"/>
        <w:rPr>
          <w:rFonts w:hint="eastAsia" w:ascii="宋体" w:hAnsi="宋体"/>
          <w:b/>
          <w:color w:val="auto"/>
          <w:sz w:val="32"/>
          <w:szCs w:val="32"/>
        </w:rPr>
      </w:pPr>
    </w:p>
    <w:p w14:paraId="1E6253BF">
      <w:pPr>
        <w:spacing w:line="320" w:lineRule="exact"/>
        <w:ind w:left="160"/>
        <w:jc w:val="left"/>
        <w:rPr>
          <w:rFonts w:hint="eastAsia" w:ascii="宋体" w:hAnsi="宋体"/>
          <w:b/>
          <w:color w:val="auto"/>
          <w:sz w:val="32"/>
          <w:szCs w:val="32"/>
        </w:rPr>
      </w:pPr>
    </w:p>
    <w:p w14:paraId="3D337943">
      <w:pPr>
        <w:spacing w:line="320" w:lineRule="exact"/>
        <w:ind w:left="160"/>
        <w:jc w:val="left"/>
        <w:rPr>
          <w:rFonts w:hint="eastAsia" w:ascii="宋体" w:hAnsi="宋体"/>
          <w:b/>
          <w:color w:val="auto"/>
          <w:sz w:val="32"/>
          <w:szCs w:val="32"/>
        </w:rPr>
      </w:pPr>
      <w:r>
        <w:rPr>
          <w:rFonts w:hint="eastAsia" w:ascii="宋体" w:hAnsi="宋体"/>
          <w:b/>
          <w:color w:val="auto"/>
          <w:sz w:val="32"/>
          <w:szCs w:val="32"/>
        </w:rPr>
        <w:t>2、供应商依法缴纳税收的相关材料</w:t>
      </w:r>
    </w:p>
    <w:p w14:paraId="7ABFE5FD">
      <w:pPr>
        <w:pStyle w:val="2"/>
        <w:rPr>
          <w:color w:val="auto"/>
        </w:rPr>
      </w:pPr>
    </w:p>
    <w:p w14:paraId="2EE71545">
      <w:pPr>
        <w:spacing w:line="360" w:lineRule="auto"/>
        <w:ind w:firstLine="602" w:firstLineChars="200"/>
        <w:rPr>
          <w:rFonts w:hint="eastAsia" w:ascii="宋体" w:hAnsi="宋体" w:cs="宋体"/>
          <w:b/>
          <w:color w:val="auto"/>
          <w:kern w:val="0"/>
          <w:sz w:val="30"/>
          <w:szCs w:val="30"/>
        </w:rPr>
      </w:pPr>
    </w:p>
    <w:p w14:paraId="7227C35E">
      <w:pPr>
        <w:autoSpaceDE w:val="0"/>
        <w:autoSpaceDN w:val="0"/>
        <w:spacing w:line="360" w:lineRule="auto"/>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7A7EDC0A">
      <w:pPr>
        <w:autoSpaceDE w:val="0"/>
        <w:autoSpaceDN w:val="0"/>
        <w:spacing w:line="360" w:lineRule="auto"/>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6FCC653D">
      <w:pPr>
        <w:rPr>
          <w:color w:val="auto"/>
        </w:rPr>
      </w:pPr>
    </w:p>
    <w:p w14:paraId="0F54CDDF">
      <w:pPr>
        <w:rPr>
          <w:color w:val="auto"/>
        </w:rPr>
      </w:pPr>
    </w:p>
    <w:p w14:paraId="436AAF77">
      <w:pPr>
        <w:pStyle w:val="2"/>
        <w:rPr>
          <w:color w:val="auto"/>
        </w:rPr>
      </w:pPr>
    </w:p>
    <w:p w14:paraId="6EDA3EB2">
      <w:pPr>
        <w:spacing w:line="320" w:lineRule="exact"/>
        <w:jc w:val="left"/>
        <w:rPr>
          <w:rFonts w:hint="eastAsia" w:ascii="宋体" w:hAnsi="宋体"/>
          <w:b/>
          <w:color w:val="auto"/>
          <w:sz w:val="32"/>
          <w:szCs w:val="32"/>
        </w:rPr>
      </w:pPr>
      <w:r>
        <w:rPr>
          <w:rFonts w:hint="eastAsia" w:ascii="宋体" w:hAnsi="宋体"/>
          <w:b/>
          <w:color w:val="auto"/>
          <w:sz w:val="32"/>
          <w:szCs w:val="32"/>
        </w:rPr>
        <w:t>3、供应商依法缴纳社会保障资金的相关材料</w:t>
      </w:r>
    </w:p>
    <w:p w14:paraId="45A42408">
      <w:pPr>
        <w:spacing w:line="320" w:lineRule="exact"/>
        <w:jc w:val="left"/>
        <w:rPr>
          <w:rFonts w:hint="eastAsia" w:ascii="宋体" w:hAnsi="宋体"/>
          <w:b/>
          <w:color w:val="auto"/>
          <w:sz w:val="32"/>
          <w:szCs w:val="32"/>
        </w:rPr>
      </w:pPr>
    </w:p>
    <w:p w14:paraId="45071A00">
      <w:pPr>
        <w:spacing w:line="320" w:lineRule="exact"/>
        <w:jc w:val="left"/>
        <w:rPr>
          <w:rFonts w:hint="eastAsia" w:ascii="宋体" w:hAnsi="宋体"/>
          <w:b/>
          <w:color w:val="auto"/>
          <w:sz w:val="32"/>
          <w:szCs w:val="32"/>
        </w:rPr>
      </w:pPr>
    </w:p>
    <w:p w14:paraId="3C7D5CB3">
      <w:pPr>
        <w:spacing w:line="360" w:lineRule="auto"/>
        <w:ind w:firstLine="602" w:firstLineChars="200"/>
        <w:rPr>
          <w:rFonts w:hint="eastAsia" w:ascii="宋体" w:hAnsi="宋体" w:cs="宋体"/>
          <w:b/>
          <w:color w:val="auto"/>
          <w:kern w:val="0"/>
          <w:sz w:val="30"/>
          <w:szCs w:val="30"/>
        </w:rPr>
      </w:pPr>
    </w:p>
    <w:p w14:paraId="305A0BAE">
      <w:pPr>
        <w:autoSpaceDE w:val="0"/>
        <w:autoSpaceDN w:val="0"/>
        <w:spacing w:line="360" w:lineRule="auto"/>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097EE516">
      <w:pPr>
        <w:autoSpaceDE w:val="0"/>
        <w:autoSpaceDN w:val="0"/>
        <w:spacing w:line="360" w:lineRule="auto"/>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64272C6B">
      <w:pPr>
        <w:pStyle w:val="2"/>
        <w:rPr>
          <w:color w:val="auto"/>
        </w:rPr>
      </w:pPr>
    </w:p>
    <w:p w14:paraId="4DE00440">
      <w:pPr>
        <w:spacing w:line="320" w:lineRule="exact"/>
        <w:jc w:val="left"/>
        <w:rPr>
          <w:rFonts w:hint="eastAsia" w:ascii="宋体" w:hAnsi="宋体"/>
          <w:b/>
          <w:color w:val="auto"/>
          <w:sz w:val="32"/>
          <w:szCs w:val="32"/>
        </w:rPr>
      </w:pPr>
    </w:p>
    <w:p w14:paraId="260FDD00">
      <w:pPr>
        <w:spacing w:line="320" w:lineRule="exact"/>
        <w:jc w:val="left"/>
        <w:rPr>
          <w:rFonts w:hint="eastAsia" w:ascii="宋体" w:hAnsi="宋体"/>
          <w:b/>
          <w:color w:val="auto"/>
          <w:sz w:val="32"/>
          <w:szCs w:val="32"/>
        </w:rPr>
      </w:pPr>
      <w:r>
        <w:rPr>
          <w:rFonts w:hint="eastAsia" w:ascii="宋体" w:hAnsi="宋体"/>
          <w:b/>
          <w:color w:val="auto"/>
          <w:sz w:val="32"/>
          <w:szCs w:val="32"/>
        </w:rPr>
        <w:t>4、供应商财务状况报告</w:t>
      </w:r>
    </w:p>
    <w:p w14:paraId="499E02FF">
      <w:pPr>
        <w:pStyle w:val="2"/>
        <w:rPr>
          <w:color w:val="auto"/>
        </w:rPr>
      </w:pPr>
    </w:p>
    <w:p w14:paraId="4DE5BABE">
      <w:pPr>
        <w:spacing w:line="360" w:lineRule="auto"/>
        <w:ind w:firstLine="602" w:firstLineChars="200"/>
        <w:rPr>
          <w:rFonts w:hint="eastAsia" w:ascii="宋体" w:hAnsi="宋体" w:cs="宋体"/>
          <w:b/>
          <w:color w:val="auto"/>
          <w:kern w:val="0"/>
          <w:sz w:val="30"/>
          <w:szCs w:val="30"/>
        </w:rPr>
      </w:pPr>
    </w:p>
    <w:p w14:paraId="0139D728">
      <w:pPr>
        <w:autoSpaceDE w:val="0"/>
        <w:autoSpaceDN w:val="0"/>
        <w:spacing w:line="360" w:lineRule="auto"/>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22FFBBA0">
      <w:pPr>
        <w:autoSpaceDE w:val="0"/>
        <w:autoSpaceDN w:val="0"/>
        <w:spacing w:line="360" w:lineRule="auto"/>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47CDB567">
      <w:pPr>
        <w:rPr>
          <w:color w:val="auto"/>
        </w:rPr>
      </w:pPr>
    </w:p>
    <w:p w14:paraId="39B51250">
      <w:pPr>
        <w:rPr>
          <w:color w:val="auto"/>
        </w:rPr>
      </w:pPr>
    </w:p>
    <w:p w14:paraId="728C59C8">
      <w:pPr>
        <w:wordWrap w:val="0"/>
        <w:spacing w:before="156" w:beforeLines="50" w:after="50" w:line="320" w:lineRule="exact"/>
        <w:ind w:right="482" w:firstLine="210" w:firstLineChars="100"/>
        <w:contextualSpacing/>
        <w:jc w:val="center"/>
        <w:rPr>
          <w:rFonts w:hint="eastAsia" w:ascii="宋体" w:hAnsi="宋体"/>
          <w:color w:val="auto"/>
          <w:szCs w:val="21"/>
        </w:rPr>
      </w:pPr>
    </w:p>
    <w:p w14:paraId="0D5D3BE1">
      <w:pPr>
        <w:rPr>
          <w:rFonts w:hint="eastAsia" w:ascii="宋体" w:hAnsi="宋体"/>
          <w:b/>
          <w:color w:val="auto"/>
          <w:sz w:val="32"/>
          <w:szCs w:val="32"/>
        </w:rPr>
      </w:pPr>
      <w:r>
        <w:rPr>
          <w:rFonts w:hint="eastAsia" w:ascii="宋体" w:hAnsi="宋体"/>
          <w:b/>
          <w:color w:val="auto"/>
          <w:sz w:val="32"/>
          <w:szCs w:val="32"/>
        </w:rPr>
        <w:br w:type="page"/>
      </w:r>
    </w:p>
    <w:p w14:paraId="4CCEE1B5">
      <w:pPr>
        <w:spacing w:line="320" w:lineRule="exact"/>
        <w:jc w:val="left"/>
        <w:rPr>
          <w:rFonts w:hint="eastAsia" w:ascii="宋体" w:hAnsi="宋体"/>
          <w:b/>
          <w:color w:val="auto"/>
          <w:sz w:val="32"/>
          <w:szCs w:val="32"/>
        </w:rPr>
      </w:pPr>
      <w:r>
        <w:rPr>
          <w:rFonts w:hint="eastAsia" w:ascii="宋体" w:hAnsi="宋体"/>
          <w:b/>
          <w:color w:val="auto"/>
          <w:sz w:val="32"/>
          <w:szCs w:val="32"/>
        </w:rPr>
        <w:t>5、供应商直接控股、管理关系信息表</w:t>
      </w:r>
    </w:p>
    <w:p w14:paraId="37B5B4B8">
      <w:pPr>
        <w:snapToGrid w:val="0"/>
        <w:spacing w:before="156" w:beforeLines="50" w:after="50" w:line="360" w:lineRule="auto"/>
        <w:jc w:val="center"/>
        <w:rPr>
          <w:rFonts w:hint="eastAsia" w:ascii="宋体" w:hAnsi="宋体"/>
          <w:b/>
          <w:color w:val="auto"/>
          <w:sz w:val="24"/>
        </w:rPr>
      </w:pPr>
    </w:p>
    <w:p w14:paraId="50E2DA1F">
      <w:pPr>
        <w:spacing w:line="360" w:lineRule="auto"/>
        <w:contextualSpacing/>
        <w:jc w:val="center"/>
        <w:rPr>
          <w:rFonts w:hint="eastAsia" w:ascii="宋体" w:hAnsi="宋体"/>
          <w:b/>
          <w:color w:val="auto"/>
          <w:sz w:val="32"/>
          <w:szCs w:val="32"/>
        </w:rPr>
      </w:pPr>
      <w:r>
        <w:rPr>
          <w:rFonts w:hint="eastAsia" w:ascii="宋体" w:hAnsi="宋体"/>
          <w:b/>
          <w:color w:val="auto"/>
          <w:sz w:val="32"/>
          <w:szCs w:val="32"/>
        </w:rPr>
        <w:t>供应商直接控股股东信息表</w:t>
      </w:r>
    </w:p>
    <w:p w14:paraId="29D6CAF4">
      <w:pPr>
        <w:spacing w:line="360" w:lineRule="auto"/>
        <w:contextualSpacing/>
        <w:jc w:val="center"/>
        <w:rPr>
          <w:rFonts w:hint="eastAsia" w:ascii="宋体" w:hAnsi="宋体"/>
          <w:b/>
          <w:color w:val="auto"/>
          <w:sz w:val="24"/>
        </w:rPr>
      </w:pPr>
    </w:p>
    <w:tbl>
      <w:tblPr>
        <w:tblStyle w:val="2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96ED2F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34B780">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708090">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011711">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DE994E">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AC0CAB">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3CA0812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A01536">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5A9D65">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5115E">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882FB8">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9B873F">
            <w:pPr>
              <w:widowControl/>
              <w:spacing w:line="360" w:lineRule="auto"/>
              <w:contextualSpacing/>
              <w:jc w:val="center"/>
              <w:rPr>
                <w:rFonts w:hint="eastAsia" w:ascii="宋体" w:hAnsi="宋体" w:cs="宋体"/>
                <w:color w:val="auto"/>
                <w:kern w:val="0"/>
                <w:sz w:val="24"/>
              </w:rPr>
            </w:pPr>
          </w:p>
        </w:tc>
      </w:tr>
      <w:tr w14:paraId="48C6C44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88C74E">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52F65E">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C257E2">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B22383">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92B16">
            <w:pPr>
              <w:widowControl/>
              <w:spacing w:line="360" w:lineRule="auto"/>
              <w:contextualSpacing/>
              <w:jc w:val="center"/>
              <w:rPr>
                <w:rFonts w:hint="eastAsia" w:ascii="宋体" w:hAnsi="宋体" w:cs="宋体"/>
                <w:color w:val="auto"/>
                <w:kern w:val="0"/>
                <w:sz w:val="24"/>
              </w:rPr>
            </w:pPr>
          </w:p>
        </w:tc>
      </w:tr>
      <w:tr w14:paraId="68410FF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65D1F6">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3473E1">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4E4A58">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86D002">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E6C5DB">
            <w:pPr>
              <w:widowControl/>
              <w:spacing w:line="360" w:lineRule="auto"/>
              <w:contextualSpacing/>
              <w:jc w:val="center"/>
              <w:rPr>
                <w:rFonts w:hint="eastAsia" w:ascii="宋体" w:hAnsi="宋体" w:cs="宋体"/>
                <w:color w:val="auto"/>
                <w:kern w:val="0"/>
                <w:sz w:val="24"/>
              </w:rPr>
            </w:pPr>
          </w:p>
        </w:tc>
      </w:tr>
      <w:tr w14:paraId="57781CA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0E536B">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A2FDCB">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EF515A">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10C63B">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91ABCA">
            <w:pPr>
              <w:widowControl/>
              <w:spacing w:line="360" w:lineRule="auto"/>
              <w:contextualSpacing/>
              <w:jc w:val="center"/>
              <w:rPr>
                <w:rFonts w:hint="eastAsia" w:ascii="宋体" w:hAnsi="宋体" w:cs="宋体"/>
                <w:color w:val="auto"/>
                <w:kern w:val="0"/>
                <w:sz w:val="24"/>
              </w:rPr>
            </w:pPr>
          </w:p>
        </w:tc>
      </w:tr>
    </w:tbl>
    <w:p w14:paraId="35F01C51">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577B2D9C">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919FE0">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0CAF24ED">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3.供应商不存在直接控股股东的，则填“无”。</w:t>
      </w:r>
    </w:p>
    <w:p w14:paraId="362855B1">
      <w:pPr>
        <w:snapToGrid w:val="0"/>
        <w:spacing w:line="360" w:lineRule="auto"/>
        <w:jc w:val="left"/>
        <w:rPr>
          <w:rFonts w:hint="eastAsia" w:ascii="宋体" w:hAnsi="宋体" w:cs="宋体"/>
          <w:color w:val="auto"/>
          <w:sz w:val="24"/>
        </w:rPr>
      </w:pPr>
    </w:p>
    <w:p w14:paraId="446C269E">
      <w:pPr>
        <w:snapToGrid w:val="0"/>
        <w:spacing w:line="360" w:lineRule="auto"/>
        <w:jc w:val="left"/>
        <w:rPr>
          <w:rFonts w:hint="eastAsia" w:ascii="宋体" w:hAnsi="宋体" w:cs="宋体"/>
          <w:color w:val="auto"/>
          <w:sz w:val="24"/>
        </w:rPr>
      </w:pPr>
    </w:p>
    <w:p w14:paraId="04124189">
      <w:pPr>
        <w:snapToGrid w:val="0"/>
        <w:spacing w:line="360" w:lineRule="auto"/>
        <w:jc w:val="left"/>
        <w:rPr>
          <w:rFonts w:hint="eastAsia" w:ascii="宋体" w:hAnsi="宋体" w:cs="宋体"/>
          <w:color w:val="auto"/>
          <w:sz w:val="24"/>
        </w:rPr>
      </w:pPr>
    </w:p>
    <w:p w14:paraId="4B68D8D8">
      <w:pPr>
        <w:snapToGrid w:val="0"/>
        <w:spacing w:before="156" w:beforeLines="50" w:line="360" w:lineRule="auto"/>
        <w:ind w:right="480" w:firstLine="3480" w:firstLineChars="1450"/>
        <w:rPr>
          <w:rFonts w:hint="eastAsia" w:ascii="宋体" w:hAnsi="宋体" w:cs="宋体"/>
          <w:color w:val="auto"/>
          <w:sz w:val="24"/>
          <w:u w:val="single"/>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p>
    <w:p w14:paraId="1053B987">
      <w:pPr>
        <w:snapToGrid w:val="0"/>
        <w:spacing w:before="156" w:beforeLines="50" w:after="50" w:line="360" w:lineRule="auto"/>
        <w:ind w:right="480" w:firstLine="3480" w:firstLineChars="1450"/>
        <w:rPr>
          <w:rFonts w:hint="eastAsia" w:ascii="宋体" w:hAnsi="宋体" w:cs="宋体"/>
          <w:color w:val="auto"/>
          <w:sz w:val="24"/>
          <w:u w:val="single"/>
        </w:rPr>
      </w:pPr>
      <w:r>
        <w:rPr>
          <w:rFonts w:hint="eastAsia" w:ascii="宋体" w:hAnsi="宋体" w:cs="宋体"/>
          <w:color w:val="auto"/>
          <w:sz w:val="24"/>
        </w:rPr>
        <w:t>供应商（电子签章）：</w:t>
      </w:r>
      <w:r>
        <w:rPr>
          <w:rFonts w:hint="eastAsia" w:ascii="宋体" w:hAnsi="宋体" w:cs="宋体"/>
          <w:color w:val="auto"/>
          <w:sz w:val="24"/>
          <w:u w:val="single"/>
        </w:rPr>
        <w:t xml:space="preserve">                           </w:t>
      </w:r>
    </w:p>
    <w:p w14:paraId="77012876">
      <w:pPr>
        <w:snapToGrid w:val="0"/>
        <w:spacing w:before="156" w:beforeLines="50" w:after="50" w:line="360" w:lineRule="auto"/>
        <w:ind w:right="480" w:firstLine="5280" w:firstLineChars="2200"/>
        <w:rPr>
          <w:rFonts w:hint="eastAsia" w:ascii="宋体" w:hAnsi="宋体" w:cs="宋体"/>
          <w:color w:val="auto"/>
          <w:sz w:val="28"/>
          <w:szCs w:val="28"/>
        </w:rPr>
      </w:pPr>
      <w:r>
        <w:rPr>
          <w:rFonts w:hint="eastAsia" w:ascii="宋体" w:hAnsi="宋体" w:cs="宋体"/>
          <w:color w:val="auto"/>
          <w:sz w:val="24"/>
        </w:rPr>
        <w:t>年    月    日</w:t>
      </w:r>
    </w:p>
    <w:p w14:paraId="027A2E75">
      <w:pPr>
        <w:snapToGrid w:val="0"/>
        <w:jc w:val="center"/>
        <w:rPr>
          <w:rFonts w:hint="eastAsia" w:ascii="宋体" w:hAnsi="宋体"/>
          <w:b/>
          <w:color w:val="auto"/>
          <w:sz w:val="28"/>
          <w:szCs w:val="28"/>
        </w:rPr>
      </w:pPr>
      <w:r>
        <w:rPr>
          <w:rFonts w:ascii="宋体" w:hAnsi="宋体"/>
          <w:b/>
          <w:color w:val="auto"/>
          <w:sz w:val="28"/>
          <w:szCs w:val="28"/>
        </w:rPr>
        <w:br w:type="page"/>
      </w:r>
    </w:p>
    <w:p w14:paraId="2454EE16">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供应商直接管理关系信息表</w:t>
      </w:r>
    </w:p>
    <w:p w14:paraId="693E8295">
      <w:pPr>
        <w:snapToGrid w:val="0"/>
        <w:spacing w:line="360" w:lineRule="auto"/>
        <w:jc w:val="center"/>
        <w:rPr>
          <w:rFonts w:hint="eastAsia" w:ascii="宋体" w:hAnsi="宋体"/>
          <w:b/>
          <w:color w:val="auto"/>
          <w:sz w:val="24"/>
        </w:rPr>
      </w:pPr>
    </w:p>
    <w:tbl>
      <w:tblPr>
        <w:tblStyle w:val="2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AD297B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246EA4">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B53B41">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AF16DD">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0CE5A4">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1E283F9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46C0E">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821DB1">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B9E983">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403B1B">
            <w:pPr>
              <w:widowControl/>
              <w:spacing w:line="360" w:lineRule="auto"/>
              <w:contextualSpacing/>
              <w:jc w:val="center"/>
              <w:rPr>
                <w:rFonts w:hint="eastAsia" w:ascii="宋体" w:hAnsi="宋体" w:cs="宋体"/>
                <w:color w:val="auto"/>
                <w:kern w:val="0"/>
                <w:sz w:val="24"/>
              </w:rPr>
            </w:pPr>
          </w:p>
        </w:tc>
      </w:tr>
      <w:tr w14:paraId="1D70C9F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1C7A52">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8D55EF">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2689DD">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83CD89">
            <w:pPr>
              <w:widowControl/>
              <w:spacing w:line="360" w:lineRule="auto"/>
              <w:contextualSpacing/>
              <w:jc w:val="center"/>
              <w:rPr>
                <w:rFonts w:hint="eastAsia" w:ascii="宋体" w:hAnsi="宋体" w:cs="宋体"/>
                <w:color w:val="auto"/>
                <w:kern w:val="0"/>
                <w:sz w:val="24"/>
              </w:rPr>
            </w:pPr>
          </w:p>
        </w:tc>
      </w:tr>
      <w:tr w14:paraId="68BAE23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01410F">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2989A1">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91D3A2">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0C825">
            <w:pPr>
              <w:widowControl/>
              <w:spacing w:line="360" w:lineRule="auto"/>
              <w:contextualSpacing/>
              <w:jc w:val="center"/>
              <w:rPr>
                <w:rFonts w:hint="eastAsia" w:ascii="宋体" w:hAnsi="宋体" w:cs="宋体"/>
                <w:color w:val="auto"/>
                <w:kern w:val="0"/>
                <w:sz w:val="24"/>
              </w:rPr>
            </w:pPr>
          </w:p>
        </w:tc>
      </w:tr>
      <w:tr w14:paraId="6187D97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847F30">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104B46">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24996A">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1E614F">
            <w:pPr>
              <w:widowControl/>
              <w:spacing w:line="360" w:lineRule="auto"/>
              <w:contextualSpacing/>
              <w:jc w:val="center"/>
              <w:rPr>
                <w:rFonts w:hint="eastAsia" w:ascii="宋体" w:hAnsi="宋体" w:cs="宋体"/>
                <w:color w:val="auto"/>
                <w:kern w:val="0"/>
                <w:sz w:val="24"/>
              </w:rPr>
            </w:pPr>
          </w:p>
        </w:tc>
      </w:tr>
    </w:tbl>
    <w:p w14:paraId="33AE3B77">
      <w:pPr>
        <w:spacing w:line="360" w:lineRule="auto"/>
        <w:contextualSpacing/>
        <w:jc w:val="left"/>
        <w:rPr>
          <w:rFonts w:hint="eastAsia" w:ascii="宋体" w:hAnsi="宋体"/>
          <w:color w:val="auto"/>
          <w:sz w:val="24"/>
        </w:rPr>
      </w:pPr>
      <w:r>
        <w:rPr>
          <w:rFonts w:hint="eastAsia" w:ascii="宋体" w:hAnsi="宋体"/>
          <w:color w:val="auto"/>
          <w:sz w:val="24"/>
        </w:rPr>
        <w:t>注：</w:t>
      </w:r>
    </w:p>
    <w:p w14:paraId="3E2C1587">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3C42B8F4">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66BE4B78">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3.供应商不存在直接管理关系的，则填“无”。</w:t>
      </w:r>
    </w:p>
    <w:p w14:paraId="2D622AD6">
      <w:pPr>
        <w:spacing w:line="360" w:lineRule="auto"/>
        <w:contextualSpacing/>
        <w:jc w:val="left"/>
        <w:rPr>
          <w:rFonts w:hint="eastAsia" w:ascii="宋体" w:hAnsi="宋体"/>
          <w:color w:val="auto"/>
          <w:sz w:val="24"/>
        </w:rPr>
      </w:pPr>
    </w:p>
    <w:p w14:paraId="2A123154">
      <w:pPr>
        <w:spacing w:line="360" w:lineRule="auto"/>
        <w:contextualSpacing/>
        <w:jc w:val="left"/>
        <w:rPr>
          <w:rFonts w:hint="eastAsia" w:ascii="宋体" w:hAnsi="宋体"/>
          <w:color w:val="auto"/>
          <w:sz w:val="24"/>
        </w:rPr>
      </w:pPr>
    </w:p>
    <w:p w14:paraId="16FB3856">
      <w:pPr>
        <w:spacing w:line="360" w:lineRule="auto"/>
        <w:contextualSpacing/>
        <w:jc w:val="left"/>
        <w:rPr>
          <w:color w:val="auto"/>
          <w:sz w:val="24"/>
        </w:rPr>
      </w:pPr>
    </w:p>
    <w:p w14:paraId="3EAD0665">
      <w:pPr>
        <w:spacing w:line="360" w:lineRule="auto"/>
        <w:contextualSpacing/>
        <w:jc w:val="left"/>
        <w:rPr>
          <w:color w:val="auto"/>
          <w:sz w:val="24"/>
        </w:rPr>
      </w:pPr>
    </w:p>
    <w:p w14:paraId="0EDB31A7">
      <w:pPr>
        <w:spacing w:line="360" w:lineRule="auto"/>
        <w:contextualSpacing/>
        <w:jc w:val="left"/>
        <w:rPr>
          <w:color w:val="auto"/>
          <w:sz w:val="24"/>
        </w:rPr>
      </w:pPr>
    </w:p>
    <w:p w14:paraId="0A0C88CC">
      <w:pPr>
        <w:spacing w:line="360" w:lineRule="auto"/>
        <w:contextualSpacing/>
        <w:jc w:val="left"/>
        <w:rPr>
          <w:rFonts w:hint="eastAsia" w:ascii="宋体" w:hAnsi="宋体"/>
          <w:color w:val="auto"/>
          <w:sz w:val="24"/>
        </w:rPr>
      </w:pPr>
    </w:p>
    <w:p w14:paraId="1DE8A545">
      <w:pPr>
        <w:spacing w:line="360" w:lineRule="auto"/>
        <w:ind w:right="480" w:firstLine="3360" w:firstLineChars="1400"/>
        <w:contextualSpacing/>
        <w:rPr>
          <w:rFonts w:hint="eastAsia" w:ascii="宋体" w:hAnsi="宋体"/>
          <w:color w:val="auto"/>
          <w:sz w:val="24"/>
          <w:u w:val="single"/>
        </w:rPr>
      </w:pPr>
      <w:r>
        <w:rPr>
          <w:rFonts w:hint="eastAsia" w:ascii="宋体" w:hAnsi="宋体"/>
          <w:color w:val="auto"/>
          <w:sz w:val="24"/>
        </w:rPr>
        <w:t>法定代表人或者委托代理人签字：</w:t>
      </w:r>
      <w:r>
        <w:rPr>
          <w:rFonts w:hint="eastAsia" w:ascii="宋体" w:hAnsi="宋体"/>
          <w:color w:val="auto"/>
          <w:sz w:val="24"/>
          <w:u w:val="single"/>
        </w:rPr>
        <w:t xml:space="preserve">               </w:t>
      </w:r>
    </w:p>
    <w:p w14:paraId="01191386">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w:t>
      </w:r>
      <w:r>
        <w:rPr>
          <w:rFonts w:hint="eastAsia" w:ascii="宋体" w:hAnsi="宋体" w:cs="宋体"/>
          <w:color w:val="auto"/>
          <w:sz w:val="24"/>
        </w:rPr>
        <w:t>电子签章</w:t>
      </w:r>
      <w:r>
        <w:rPr>
          <w:rFonts w:hint="eastAsia" w:ascii="宋体" w:hAnsi="宋体"/>
          <w:color w:val="auto"/>
          <w:sz w:val="24"/>
        </w:rPr>
        <w:t>）：</w:t>
      </w:r>
      <w:r>
        <w:rPr>
          <w:rFonts w:hint="eastAsia" w:ascii="宋体" w:hAnsi="宋体"/>
          <w:color w:val="auto"/>
          <w:sz w:val="24"/>
          <w:u w:val="single"/>
        </w:rPr>
        <w:t xml:space="preserve">                </w:t>
      </w:r>
    </w:p>
    <w:p w14:paraId="3A0EABC9">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年    月    日</w:t>
      </w:r>
    </w:p>
    <w:p w14:paraId="5FE10906">
      <w:pPr>
        <w:spacing w:line="320" w:lineRule="exact"/>
        <w:jc w:val="center"/>
        <w:rPr>
          <w:rFonts w:hint="eastAsia"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6、竞标声明</w:t>
      </w:r>
    </w:p>
    <w:p w14:paraId="572409AA">
      <w:pPr>
        <w:spacing w:line="320" w:lineRule="exact"/>
        <w:jc w:val="center"/>
        <w:rPr>
          <w:rFonts w:hint="eastAsia" w:ascii="宋体" w:hAnsi="宋体"/>
          <w:color w:val="auto"/>
          <w:sz w:val="24"/>
          <w:szCs w:val="20"/>
        </w:rPr>
      </w:pPr>
    </w:p>
    <w:p w14:paraId="1C939A79">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6599D40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5967A94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78D593A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348E7AD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590B1F4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1ABD030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（1）将按磋商文件的约定履行合同责任和义务；</w:t>
      </w:r>
    </w:p>
    <w:p w14:paraId="602ACC0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（2）已详细审查全部磋商文件，包括澄清或者更正公告（如有）；</w:t>
      </w:r>
    </w:p>
    <w:p w14:paraId="64E2459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（3）同意提供按照贵方可能要求的与磋商有关的一切数据或者资料；</w:t>
      </w:r>
    </w:p>
    <w:p w14:paraId="5794A74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（4）响应磋商文件规定的竞标有效期。</w:t>
      </w:r>
    </w:p>
    <w:p w14:paraId="7CE1CDBE">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7D9EDD6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52A050C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6B4770C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2EBD782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35B63F9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2BB14C4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4BC83F3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C2F2C9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CEEC2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5547918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A7BD31">
      <w:pPr>
        <w:pStyle w:val="12"/>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7F11DB03">
      <w:pPr>
        <w:pStyle w:val="12"/>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6B0BF69A">
      <w:pPr>
        <w:pStyle w:val="11"/>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帐号：</w:t>
      </w:r>
      <w:r>
        <w:rPr>
          <w:rFonts w:hint="eastAsia" w:ascii="宋体" w:hAnsi="宋体" w:cs="宋体"/>
          <w:color w:val="auto"/>
          <w:sz w:val="24"/>
          <w:u w:val="single"/>
        </w:rPr>
        <w:t xml:space="preserve">                               </w:t>
      </w:r>
    </w:p>
    <w:p w14:paraId="45005D2B">
      <w:pPr>
        <w:pStyle w:val="11"/>
        <w:tabs>
          <w:tab w:val="left" w:pos="939"/>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3A0311C3">
      <w:pPr>
        <w:pStyle w:val="11"/>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特此承诺。</w:t>
      </w:r>
    </w:p>
    <w:p w14:paraId="22CD4932">
      <w:pPr>
        <w:pStyle w:val="11"/>
        <w:tabs>
          <w:tab w:val="left" w:pos="939"/>
        </w:tabs>
        <w:spacing w:line="360" w:lineRule="auto"/>
        <w:ind w:left="0" w:leftChars="0" w:firstLine="482" w:firstLineChars="200"/>
        <w:rPr>
          <w:rFonts w:hint="eastAsia" w:ascii="宋体" w:hAnsi="宋体" w:cs="宋体"/>
          <w:b/>
          <w:color w:val="auto"/>
          <w:sz w:val="24"/>
        </w:rPr>
      </w:pPr>
      <w:r>
        <w:rPr>
          <w:rFonts w:hint="eastAsia" w:ascii="宋体" w:hAnsi="宋体" w:cs="宋体"/>
          <w:b/>
          <w:color w:val="auto"/>
          <w:sz w:val="24"/>
        </w:rPr>
        <w:t>注：如为联合体竞标，盖章处须加盖联合体各方公章并由联合体各方法定代表人签署，否则其响应文件按无效响应处理。</w:t>
      </w:r>
    </w:p>
    <w:p w14:paraId="387DD776">
      <w:pPr>
        <w:pStyle w:val="11"/>
        <w:tabs>
          <w:tab w:val="left" w:pos="939"/>
        </w:tabs>
        <w:spacing w:line="360" w:lineRule="auto"/>
        <w:ind w:left="0" w:leftChars="0" w:firstLine="480" w:firstLineChars="200"/>
        <w:rPr>
          <w:rFonts w:hint="eastAsia" w:ascii="宋体" w:hAnsi="宋体" w:cs="宋体"/>
          <w:color w:val="auto"/>
          <w:sz w:val="24"/>
        </w:rPr>
      </w:pPr>
    </w:p>
    <w:p w14:paraId="4EBF8A9B">
      <w:pPr>
        <w:spacing w:line="360" w:lineRule="auto"/>
        <w:ind w:firstLine="4320" w:firstLineChars="1800"/>
        <w:contextualSpacing/>
        <w:rPr>
          <w:color w:val="auto"/>
          <w:sz w:val="24"/>
        </w:rPr>
      </w:pPr>
      <w:r>
        <w:rPr>
          <w:rFonts w:hint="eastAsia"/>
          <w:color w:val="auto"/>
          <w:sz w:val="24"/>
        </w:rPr>
        <w:t>法定代表人（签字或者盖章）：</w:t>
      </w:r>
      <w:r>
        <w:rPr>
          <w:rFonts w:hint="eastAsia"/>
          <w:color w:val="auto"/>
          <w:sz w:val="24"/>
          <w:u w:val="single"/>
        </w:rPr>
        <w:t xml:space="preserve">                             </w:t>
      </w:r>
      <w:r>
        <w:rPr>
          <w:rFonts w:hint="eastAsia"/>
          <w:color w:val="auto"/>
          <w:sz w:val="24"/>
        </w:rPr>
        <w:t xml:space="preserve">                                     </w:t>
      </w:r>
    </w:p>
    <w:p w14:paraId="253533C0">
      <w:pPr>
        <w:spacing w:line="360" w:lineRule="auto"/>
        <w:ind w:firstLine="4320" w:firstLineChars="1800"/>
        <w:contextualSpacing/>
        <w:rPr>
          <w:rFonts w:hint="eastAsia" w:ascii="宋体" w:hAnsi="宋体" w:cs="宋体"/>
          <w:color w:val="auto"/>
          <w:sz w:val="24"/>
          <w:u w:val="single"/>
        </w:rPr>
      </w:pPr>
      <w:r>
        <w:rPr>
          <w:rFonts w:hint="eastAsia"/>
          <w:color w:val="auto"/>
          <w:sz w:val="24"/>
        </w:rPr>
        <w:t>供应商（</w:t>
      </w:r>
      <w:r>
        <w:rPr>
          <w:rFonts w:hint="eastAsia" w:ascii="宋体" w:hAnsi="宋体" w:cs="宋体"/>
          <w:color w:val="auto"/>
          <w:sz w:val="24"/>
        </w:rPr>
        <w:t>电子签章</w:t>
      </w:r>
      <w:r>
        <w:rPr>
          <w:rFonts w:hint="eastAsia"/>
          <w:color w:val="auto"/>
          <w:sz w:val="24"/>
        </w:rPr>
        <w:t>）：</w:t>
      </w:r>
      <w:r>
        <w:rPr>
          <w:rFonts w:hint="eastAsia"/>
          <w:color w:val="auto"/>
          <w:sz w:val="24"/>
          <w:u w:val="single"/>
        </w:rPr>
        <w:t xml:space="preserve">                               </w:t>
      </w:r>
      <w:r>
        <w:rPr>
          <w:rFonts w:hint="eastAsia"/>
          <w:color w:val="auto"/>
          <w:sz w:val="24"/>
        </w:rPr>
        <w:t xml:space="preserve">       </w:t>
      </w:r>
      <w:r>
        <w:rPr>
          <w:rFonts w:hint="eastAsia" w:ascii="宋体" w:hAnsi="宋体" w:cs="宋体"/>
          <w:color w:val="auto"/>
          <w:sz w:val="24"/>
        </w:rPr>
        <w:t xml:space="preserve">    </w:t>
      </w:r>
    </w:p>
    <w:p w14:paraId="050F259E">
      <w:pPr>
        <w:spacing w:line="360" w:lineRule="auto"/>
        <w:ind w:right="480" w:firstLine="240" w:firstLineChars="100"/>
        <w:contextualSpacing/>
        <w:jc w:val="center"/>
        <w:rPr>
          <w:color w:val="auto"/>
          <w:sz w:val="24"/>
        </w:rPr>
      </w:pPr>
      <w:r>
        <w:rPr>
          <w:rFonts w:hint="eastAsia" w:ascii="宋体" w:hAnsi="宋体" w:cs="宋体"/>
          <w:color w:val="auto"/>
          <w:sz w:val="24"/>
        </w:rPr>
        <w:t xml:space="preserve">                                                  </w:t>
      </w:r>
      <w:r>
        <w:rPr>
          <w:rFonts w:hint="eastAsia"/>
          <w:color w:val="auto"/>
          <w:sz w:val="24"/>
        </w:rPr>
        <w:t xml:space="preserve"> 年    月    日</w:t>
      </w:r>
    </w:p>
    <w:p w14:paraId="3122E236">
      <w:pPr>
        <w:pStyle w:val="6"/>
        <w:overflowPunct w:val="0"/>
        <w:spacing w:line="520" w:lineRule="exact"/>
        <w:ind w:right="480" w:firstLine="321" w:firstLineChars="100"/>
        <w:contextualSpacing/>
        <w:jc w:val="center"/>
        <w:rPr>
          <w:rFonts w:hint="eastAsia" w:ascii="宋体" w:hAnsi="宋体"/>
          <w:b/>
          <w:bCs/>
          <w:color w:val="auto"/>
          <w:sz w:val="32"/>
          <w:szCs w:val="32"/>
        </w:rPr>
      </w:pPr>
    </w:p>
    <w:p w14:paraId="224CF3DB">
      <w:pPr>
        <w:snapToGrid w:val="0"/>
        <w:spacing w:before="156" w:beforeLines="50" w:after="50" w:line="360" w:lineRule="auto"/>
        <w:ind w:right="480"/>
        <w:rPr>
          <w:rFonts w:hint="eastAsia" w:ascii="宋体" w:hAnsi="宋体"/>
          <w:b/>
          <w:color w:val="auto"/>
          <w:sz w:val="32"/>
          <w:szCs w:val="32"/>
        </w:rPr>
      </w:pPr>
      <w:r>
        <w:rPr>
          <w:rFonts w:ascii="宋体" w:hAnsi="宋体"/>
          <w:b/>
          <w:bCs/>
          <w:color w:val="auto"/>
          <w:sz w:val="32"/>
          <w:szCs w:val="32"/>
        </w:rPr>
        <w:br w:type="page"/>
      </w:r>
      <w:r>
        <w:rPr>
          <w:rFonts w:hint="eastAsia" w:ascii="宋体" w:hAnsi="宋体"/>
          <w:b/>
          <w:bCs/>
          <w:color w:val="auto"/>
          <w:sz w:val="32"/>
          <w:szCs w:val="32"/>
        </w:rPr>
        <w:t>二、</w:t>
      </w:r>
      <w:r>
        <w:rPr>
          <w:rFonts w:hint="eastAsia" w:ascii="宋体" w:hAnsi="宋体"/>
          <w:b/>
          <w:color w:val="auto"/>
          <w:sz w:val="32"/>
          <w:szCs w:val="32"/>
        </w:rPr>
        <w:t>报价商务技术文件格式</w:t>
      </w:r>
    </w:p>
    <w:p w14:paraId="7D33E1E9">
      <w:pPr>
        <w:snapToGrid w:val="0"/>
        <w:spacing w:before="156" w:beforeLines="50" w:after="50" w:line="360" w:lineRule="auto"/>
        <w:jc w:val="left"/>
        <w:rPr>
          <w:rFonts w:hint="eastAsia" w:ascii="宋体" w:hAnsi="宋体"/>
          <w:b/>
          <w:color w:val="auto"/>
          <w:sz w:val="32"/>
          <w:szCs w:val="32"/>
        </w:rPr>
      </w:pPr>
      <w:r>
        <w:rPr>
          <w:rFonts w:hint="eastAsia" w:ascii="宋体" w:hAnsi="宋体"/>
          <w:b/>
          <w:color w:val="auto"/>
          <w:sz w:val="32"/>
          <w:szCs w:val="32"/>
        </w:rPr>
        <w:t>1.报价商务技术文件封面格式</w:t>
      </w:r>
    </w:p>
    <w:p w14:paraId="4A6EA12E">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112A2D2B">
      <w:pPr>
        <w:snapToGrid w:val="0"/>
        <w:spacing w:before="156" w:beforeLines="50" w:after="50"/>
        <w:rPr>
          <w:rFonts w:hint="eastAsia" w:ascii="宋体" w:hAnsi="宋体"/>
          <w:color w:val="auto"/>
          <w:sz w:val="24"/>
          <w:szCs w:val="20"/>
        </w:rPr>
      </w:pPr>
    </w:p>
    <w:p w14:paraId="1A137ABA">
      <w:pPr>
        <w:snapToGrid w:val="0"/>
        <w:spacing w:before="156" w:beforeLines="50" w:after="50"/>
        <w:jc w:val="center"/>
        <w:rPr>
          <w:rFonts w:hint="eastAsia"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7857FC92">
      <w:pPr>
        <w:snapToGrid w:val="0"/>
        <w:spacing w:before="156" w:beforeLines="50" w:after="50"/>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报  价  商  务  技  术  文  件</w:t>
      </w:r>
    </w:p>
    <w:p w14:paraId="6281666C">
      <w:pPr>
        <w:snapToGrid w:val="0"/>
        <w:spacing w:before="156" w:beforeLines="50" w:after="50"/>
        <w:rPr>
          <w:rFonts w:hint="eastAsia" w:ascii="宋体" w:hAnsi="宋体"/>
          <w:bCs/>
          <w:color w:val="auto"/>
          <w:sz w:val="24"/>
          <w:szCs w:val="20"/>
        </w:rPr>
      </w:pPr>
    </w:p>
    <w:p w14:paraId="194320F7">
      <w:pPr>
        <w:snapToGrid w:val="0"/>
        <w:spacing w:before="156" w:beforeLines="50" w:after="50"/>
        <w:rPr>
          <w:rFonts w:hint="eastAsia" w:ascii="宋体" w:hAnsi="宋体"/>
          <w:bCs/>
          <w:color w:val="auto"/>
          <w:sz w:val="24"/>
          <w:szCs w:val="20"/>
        </w:rPr>
      </w:pPr>
    </w:p>
    <w:p w14:paraId="3F547481">
      <w:pPr>
        <w:snapToGrid w:val="0"/>
        <w:spacing w:before="156" w:beforeLines="50" w:after="50"/>
        <w:rPr>
          <w:rFonts w:hint="eastAsia" w:ascii="宋体" w:hAnsi="宋体"/>
          <w:bCs/>
          <w:color w:val="auto"/>
          <w:sz w:val="24"/>
          <w:szCs w:val="20"/>
        </w:rPr>
      </w:pPr>
    </w:p>
    <w:p w14:paraId="26064B5C">
      <w:pPr>
        <w:snapToGrid w:val="0"/>
        <w:spacing w:before="156" w:beforeLines="50" w:after="50"/>
        <w:rPr>
          <w:rFonts w:hint="eastAsia" w:ascii="宋体" w:hAnsi="宋体"/>
          <w:bCs/>
          <w:color w:val="auto"/>
          <w:sz w:val="24"/>
          <w:szCs w:val="20"/>
        </w:rPr>
      </w:pPr>
    </w:p>
    <w:p w14:paraId="5A85E1BC">
      <w:pPr>
        <w:snapToGrid w:val="0"/>
        <w:spacing w:before="156" w:beforeLines="50" w:after="50"/>
        <w:rPr>
          <w:rFonts w:hint="eastAsia" w:ascii="宋体" w:hAnsi="宋体"/>
          <w:bCs/>
          <w:color w:val="auto"/>
          <w:sz w:val="24"/>
          <w:szCs w:val="20"/>
        </w:rPr>
      </w:pPr>
    </w:p>
    <w:p w14:paraId="5D31D6EA">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5C0EC53E">
      <w:pPr>
        <w:snapToGrid w:val="0"/>
        <w:spacing w:before="156" w:beforeLines="50" w:after="50"/>
        <w:ind w:firstLine="720" w:firstLineChars="225"/>
        <w:rPr>
          <w:rFonts w:hint="eastAsia" w:ascii="宋体" w:hAnsi="宋体" w:cs="仿宋_GB2312"/>
          <w:bCs/>
          <w:color w:val="auto"/>
          <w:sz w:val="32"/>
          <w:szCs w:val="32"/>
        </w:rPr>
      </w:pPr>
    </w:p>
    <w:p w14:paraId="3DB1CD7D">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692518D0">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4F35CCB0">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w:t>
      </w:r>
    </w:p>
    <w:p w14:paraId="5DFA4FB5">
      <w:pPr>
        <w:snapToGrid w:val="0"/>
        <w:spacing w:before="156" w:beforeLines="50" w:after="50"/>
        <w:ind w:firstLine="720" w:firstLineChars="225"/>
        <w:rPr>
          <w:rFonts w:hint="eastAsia" w:ascii="宋体" w:hAnsi="宋体" w:cs="仿宋_GB2312"/>
          <w:bCs/>
          <w:color w:val="auto"/>
          <w:sz w:val="32"/>
          <w:szCs w:val="32"/>
        </w:rPr>
      </w:pPr>
    </w:p>
    <w:p w14:paraId="66D0AF70">
      <w:pPr>
        <w:pStyle w:val="6"/>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EE74FF9">
      <w:pPr>
        <w:pStyle w:val="6"/>
        <w:snapToGrid w:val="0"/>
        <w:spacing w:before="50" w:after="50"/>
        <w:ind w:firstLine="720" w:firstLineChars="225"/>
        <w:rPr>
          <w:rFonts w:hint="eastAsia" w:ascii="宋体" w:hAnsi="宋体" w:cs="仿宋_GB2312"/>
          <w:bCs/>
          <w:color w:val="auto"/>
          <w:sz w:val="32"/>
          <w:szCs w:val="32"/>
        </w:rPr>
      </w:pPr>
    </w:p>
    <w:p w14:paraId="3AF40010">
      <w:pPr>
        <w:pStyle w:val="6"/>
        <w:snapToGrid w:val="0"/>
        <w:spacing w:before="50" w:after="50"/>
        <w:ind w:firstLine="720" w:firstLineChars="225"/>
        <w:rPr>
          <w:rFonts w:hint="eastAsia" w:ascii="宋体" w:hAnsi="宋体" w:cs="仿宋_GB2312"/>
          <w:bCs/>
          <w:color w:val="auto"/>
          <w:sz w:val="32"/>
          <w:szCs w:val="32"/>
        </w:rPr>
      </w:pPr>
    </w:p>
    <w:p w14:paraId="3DB34259">
      <w:pPr>
        <w:pStyle w:val="6"/>
        <w:snapToGrid w:val="0"/>
        <w:spacing w:before="50" w:after="50"/>
        <w:ind w:firstLine="1280" w:firstLineChars="400"/>
        <w:rPr>
          <w:rFonts w:hint="eastAsia" w:ascii="宋体" w:hAnsi="宋体" w:cs="仿宋_GB2312"/>
          <w:bCs/>
          <w:color w:val="auto"/>
          <w:sz w:val="32"/>
          <w:szCs w:val="32"/>
        </w:rPr>
      </w:pPr>
    </w:p>
    <w:p w14:paraId="210536B0">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600FB60F">
      <w:pPr>
        <w:snapToGrid w:val="0"/>
        <w:spacing w:before="156" w:beforeLines="50" w:after="50" w:line="360" w:lineRule="auto"/>
        <w:ind w:left="142"/>
        <w:jc w:val="left"/>
        <w:rPr>
          <w:rFonts w:hint="eastAsia"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2.报价商务技术文件目录</w:t>
      </w:r>
    </w:p>
    <w:p w14:paraId="55C83929">
      <w:pPr>
        <w:spacing w:line="360" w:lineRule="auto"/>
        <w:rPr>
          <w:rFonts w:hint="eastAsia" w:asciiTheme="minorEastAsia" w:hAnsiTheme="minorEastAsia" w:eastAsiaTheme="minorEastAsia" w:cstheme="minorEastAsia"/>
          <w:color w:val="auto"/>
          <w:szCs w:val="21"/>
        </w:rPr>
      </w:pPr>
    </w:p>
    <w:p w14:paraId="7D45C051">
      <w:pPr>
        <w:spacing w:line="360" w:lineRule="auto"/>
        <w:rPr>
          <w:rFonts w:hint="eastAsia" w:ascii="宋体" w:hAnsi="宋体" w:cs="宋体"/>
          <w:color w:val="auto"/>
          <w:kern w:val="0"/>
          <w:sz w:val="24"/>
        </w:rPr>
      </w:pPr>
      <w:r>
        <w:rPr>
          <w:rFonts w:hint="eastAsia" w:asciiTheme="minorEastAsia" w:hAnsiTheme="minorEastAsia" w:eastAsiaTheme="minorEastAsia" w:cstheme="minorEastAsia"/>
          <w:color w:val="auto"/>
          <w:sz w:val="24"/>
        </w:rPr>
        <w:t>1、无串通竞标行为的承诺函</w:t>
      </w:r>
      <w:r>
        <w:rPr>
          <w:rFonts w:hint="eastAsia" w:ascii="宋体" w:hAnsi="宋体" w:cs="宋体"/>
          <w:color w:val="auto"/>
          <w:kern w:val="0"/>
          <w:sz w:val="24"/>
        </w:rPr>
        <w:t>……………………………………………………（页码）</w:t>
      </w:r>
    </w:p>
    <w:p w14:paraId="77EFEF3D">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2、竞标报价表</w:t>
      </w:r>
      <w:r>
        <w:rPr>
          <w:rFonts w:hint="eastAsia" w:ascii="宋体" w:hAnsi="宋体" w:cs="宋体"/>
          <w:color w:val="auto"/>
          <w:kern w:val="0"/>
          <w:sz w:val="24"/>
        </w:rPr>
        <w:t>……………………………………………………………………（页码）</w:t>
      </w:r>
    </w:p>
    <w:p w14:paraId="4AB9F544">
      <w:pPr>
        <w:pStyle w:val="2"/>
        <w:rPr>
          <w:b/>
          <w:bCs/>
          <w:color w:val="auto"/>
          <w:sz w:val="24"/>
        </w:rPr>
      </w:pPr>
      <w:r>
        <w:rPr>
          <w:rFonts w:hint="eastAsia"/>
          <w:color w:val="auto"/>
          <w:sz w:val="24"/>
        </w:rPr>
        <w:t>3、中小企业声明函</w:t>
      </w:r>
      <w:r>
        <w:rPr>
          <w:rFonts w:hint="eastAsia" w:ascii="宋体" w:hAnsi="宋体" w:cs="宋体"/>
          <w:color w:val="auto"/>
          <w:kern w:val="0"/>
          <w:sz w:val="24"/>
        </w:rPr>
        <w:t>………………………………………………………………（页码）</w:t>
      </w:r>
    </w:p>
    <w:p w14:paraId="5B030027">
      <w:pPr>
        <w:snapToGrid w:val="0"/>
        <w:spacing w:line="360" w:lineRule="auto"/>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4、法定代表人身份证明及法定代表人有效身份证正反面复印件</w:t>
      </w:r>
      <w:r>
        <w:rPr>
          <w:rFonts w:hint="eastAsia" w:ascii="宋体" w:hAnsi="宋体" w:cs="宋体"/>
          <w:color w:val="auto"/>
          <w:kern w:val="0"/>
          <w:sz w:val="24"/>
        </w:rPr>
        <w:t>……………（页码）</w:t>
      </w:r>
    </w:p>
    <w:p w14:paraId="1D29B8D4">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5、授权委托书及委托代理人有效身份证正反面复印件</w:t>
      </w:r>
      <w:r>
        <w:rPr>
          <w:rFonts w:hint="eastAsia" w:ascii="宋体" w:hAnsi="宋体" w:cs="宋体"/>
          <w:color w:val="auto"/>
          <w:kern w:val="0"/>
          <w:sz w:val="24"/>
        </w:rPr>
        <w:t>………………………（页码）</w:t>
      </w:r>
    </w:p>
    <w:p w14:paraId="64A45CA1">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6、磋商保证金提交凭证</w:t>
      </w:r>
      <w:r>
        <w:rPr>
          <w:rFonts w:hint="eastAsia" w:ascii="宋体" w:hAnsi="宋体" w:cs="宋体"/>
          <w:color w:val="auto"/>
          <w:kern w:val="0"/>
          <w:sz w:val="24"/>
        </w:rPr>
        <w:t>…………………………………………………………（页码）</w:t>
      </w:r>
    </w:p>
    <w:p w14:paraId="10826E7F">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7、商务要求偏离表</w:t>
      </w:r>
      <w:r>
        <w:rPr>
          <w:rFonts w:hint="eastAsia" w:ascii="宋体" w:hAnsi="宋体" w:cs="宋体"/>
          <w:color w:val="auto"/>
          <w:kern w:val="0"/>
          <w:sz w:val="24"/>
        </w:rPr>
        <w:t>………………………………………………………………（页码）</w:t>
      </w:r>
    </w:p>
    <w:p w14:paraId="76D5C817">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8、服务方案</w:t>
      </w:r>
      <w:r>
        <w:rPr>
          <w:rFonts w:hint="eastAsia" w:ascii="宋体" w:hAnsi="宋体" w:cs="宋体"/>
          <w:color w:val="auto"/>
          <w:kern w:val="0"/>
          <w:sz w:val="24"/>
        </w:rPr>
        <w:t>………………………………………………………………………（页码）</w:t>
      </w:r>
    </w:p>
    <w:p w14:paraId="0269FEE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9、技术要求偏离表</w:t>
      </w:r>
      <w:r>
        <w:rPr>
          <w:rFonts w:hint="eastAsia" w:ascii="宋体" w:hAnsi="宋体" w:cs="宋体"/>
          <w:color w:val="auto"/>
          <w:kern w:val="0"/>
          <w:sz w:val="24"/>
        </w:rPr>
        <w:t>………………………………………………………………（页码）</w:t>
      </w:r>
    </w:p>
    <w:p w14:paraId="3765017E">
      <w:pPr>
        <w:pStyle w:val="2"/>
        <w:rPr>
          <w:b/>
          <w:bCs/>
          <w:color w:val="auto"/>
          <w:sz w:val="24"/>
        </w:rPr>
      </w:pPr>
      <w:r>
        <w:rPr>
          <w:rFonts w:hint="eastAsia" w:asciiTheme="minorEastAsia" w:hAnsiTheme="minorEastAsia" w:eastAsiaTheme="minorEastAsia" w:cstheme="minorEastAsia"/>
          <w:color w:val="auto"/>
          <w:sz w:val="24"/>
        </w:rPr>
        <w:t>10、项目实施人员一览表</w:t>
      </w:r>
      <w:r>
        <w:rPr>
          <w:rFonts w:hint="eastAsia" w:ascii="宋体" w:hAnsi="宋体" w:cs="宋体"/>
          <w:color w:val="auto"/>
          <w:kern w:val="0"/>
          <w:sz w:val="24"/>
        </w:rPr>
        <w:t>………………………………………………………（页码）</w:t>
      </w:r>
    </w:p>
    <w:p w14:paraId="38F7183E">
      <w:pPr>
        <w:pStyle w:val="2"/>
        <w:rPr>
          <w:b/>
          <w:bCs/>
          <w:color w:val="auto"/>
          <w:sz w:val="24"/>
        </w:rPr>
      </w:pPr>
      <w:r>
        <w:rPr>
          <w:rFonts w:hint="eastAsia" w:asciiTheme="minorEastAsia" w:hAnsiTheme="minorEastAsia" w:eastAsiaTheme="minorEastAsia" w:cstheme="minorEastAsia"/>
          <w:color w:val="auto"/>
          <w:sz w:val="24"/>
        </w:rPr>
        <w:t>11、对应采购需求的技术要求、商务要求提供的其他文件资料</w:t>
      </w:r>
      <w:r>
        <w:rPr>
          <w:rFonts w:hint="eastAsia" w:ascii="宋体" w:hAnsi="宋体" w:cs="宋体"/>
          <w:color w:val="auto"/>
          <w:kern w:val="0"/>
          <w:sz w:val="24"/>
        </w:rPr>
        <w:t>……………………………………………………（页码）</w:t>
      </w:r>
    </w:p>
    <w:p w14:paraId="7A69C85A">
      <w:pPr>
        <w:pStyle w:val="2"/>
        <w:rPr>
          <w:b/>
          <w:bCs/>
          <w:color w:val="auto"/>
          <w:sz w:val="24"/>
        </w:rPr>
      </w:pPr>
      <w:r>
        <w:rPr>
          <w:rFonts w:hint="eastAsia" w:asciiTheme="minorEastAsia" w:hAnsiTheme="minorEastAsia" w:eastAsiaTheme="minorEastAsia" w:cstheme="minorEastAsia"/>
          <w:color w:val="auto"/>
          <w:sz w:val="24"/>
        </w:rPr>
        <w:t>12、供应商认为需要提供的其他有关资料</w:t>
      </w:r>
      <w:r>
        <w:rPr>
          <w:rFonts w:hint="eastAsia" w:ascii="宋体" w:hAnsi="宋体" w:cs="宋体"/>
          <w:color w:val="auto"/>
          <w:kern w:val="0"/>
          <w:sz w:val="24"/>
        </w:rPr>
        <w:t>……………………………………（页码）</w:t>
      </w:r>
    </w:p>
    <w:p w14:paraId="47382FFD">
      <w:pPr>
        <w:snapToGrid w:val="0"/>
        <w:spacing w:before="156" w:beforeLines="50" w:after="50" w:line="360" w:lineRule="auto"/>
        <w:ind w:firstLine="640" w:firstLineChars="200"/>
        <w:rPr>
          <w:rFonts w:hint="eastAsia" w:ascii="宋体" w:hAnsi="宋体"/>
          <w:color w:val="auto"/>
          <w:sz w:val="32"/>
          <w:szCs w:val="32"/>
        </w:rPr>
      </w:pPr>
    </w:p>
    <w:p w14:paraId="5195CA29">
      <w:pPr>
        <w:spacing w:line="400" w:lineRule="exact"/>
        <w:rPr>
          <w:rFonts w:hint="eastAsia" w:ascii="仿宋_GB2312" w:hAnsi="仿宋_GB2312" w:eastAsia="仿宋_GB2312" w:cs="仿宋_GB2312"/>
          <w:color w:val="auto"/>
          <w:sz w:val="32"/>
          <w:szCs w:val="32"/>
        </w:rPr>
      </w:pPr>
    </w:p>
    <w:p w14:paraId="7A796B25">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1、无串通竞标行为的承诺函</w:t>
      </w:r>
    </w:p>
    <w:p w14:paraId="1F106BFF">
      <w:pPr>
        <w:spacing w:line="360" w:lineRule="auto"/>
        <w:ind w:firstLine="640" w:firstLineChars="200"/>
        <w:contextualSpacing/>
        <w:rPr>
          <w:rFonts w:hint="eastAsia" w:ascii="仿宋_GB2312" w:hAnsi="仿宋_GB2312" w:eastAsia="仿宋_GB2312" w:cs="仿宋_GB2312"/>
          <w:color w:val="auto"/>
          <w:sz w:val="32"/>
          <w:szCs w:val="32"/>
        </w:rPr>
      </w:pPr>
    </w:p>
    <w:p w14:paraId="540BCB5C">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一、我方承诺无下列相互串通竞标的情形：</w:t>
      </w:r>
    </w:p>
    <w:p w14:paraId="63856B5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 xml:space="preserve">1.不同供应商的响应文件由同一单位或者个人编制； </w:t>
      </w:r>
    </w:p>
    <w:p w14:paraId="1073465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2.不同供应商委托同一单位或者个人办理竞标事宜；</w:t>
      </w:r>
    </w:p>
    <w:p w14:paraId="315F374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3.不同供应商的响应文件载明的项目管理员为同一个人；</w:t>
      </w:r>
    </w:p>
    <w:p w14:paraId="2CD7677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5EA8480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78E0C0B5">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614DE37A">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041CA5C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5A0F75D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1E2890B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1543E37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687A2E2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3249C43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52FA673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6B55DFD9">
      <w:pPr>
        <w:spacing w:line="360" w:lineRule="auto"/>
        <w:ind w:firstLine="480" w:firstLineChars="200"/>
        <w:contextualSpacing/>
        <w:rPr>
          <w:rFonts w:hint="eastAsia" w:ascii="宋体" w:hAnsi="宋体" w:cs="仿宋_GB2312"/>
          <w:color w:val="auto"/>
          <w:sz w:val="24"/>
        </w:rPr>
      </w:pPr>
    </w:p>
    <w:p w14:paraId="58797D3E">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47C6A5A4">
      <w:pPr>
        <w:spacing w:line="360" w:lineRule="auto"/>
        <w:contextualSpacing/>
        <w:rPr>
          <w:rFonts w:hint="eastAsia" w:ascii="宋体" w:hAnsi="宋体" w:cs="仿宋_GB2312"/>
          <w:color w:val="auto"/>
          <w:sz w:val="24"/>
        </w:rPr>
      </w:pPr>
    </w:p>
    <w:p w14:paraId="2ACD508F">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w:t>
      </w:r>
      <w:r>
        <w:rPr>
          <w:rFonts w:hint="eastAsia" w:ascii="宋体" w:hAnsi="宋体" w:cs="宋体"/>
          <w:color w:val="auto"/>
          <w:sz w:val="24"/>
        </w:rPr>
        <w:t>电子签章</w:t>
      </w:r>
      <w:r>
        <w:rPr>
          <w:rFonts w:hint="eastAsia" w:ascii="宋体" w:hAnsi="宋体" w:cs="仿宋_GB2312"/>
          <w:color w:val="auto"/>
          <w:sz w:val="24"/>
        </w:rPr>
        <w:t>）：</w:t>
      </w:r>
    </w:p>
    <w:p w14:paraId="21983878">
      <w:pPr>
        <w:spacing w:line="360" w:lineRule="auto"/>
        <w:ind w:firstLine="480" w:firstLineChars="200"/>
        <w:contextualSpacing/>
        <w:jc w:val="center"/>
        <w:rPr>
          <w:rFonts w:hint="eastAsia"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67BB281C">
      <w:pPr>
        <w:spacing w:line="52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2、竞  标  报  价  表</w:t>
      </w:r>
    </w:p>
    <w:p w14:paraId="11FEB62E">
      <w:pPr>
        <w:spacing w:line="440" w:lineRule="exact"/>
        <w:jc w:val="center"/>
        <w:rPr>
          <w:rFonts w:hint="eastAsia" w:ascii="方正小标宋简体" w:hAnsi="方正小标宋简体" w:eastAsia="方正小标宋简体" w:cs="方正小标宋简体"/>
          <w:bCs/>
          <w:color w:val="auto"/>
          <w:sz w:val="32"/>
          <w:szCs w:val="32"/>
        </w:rPr>
      </w:pPr>
    </w:p>
    <w:p w14:paraId="739FCDC9">
      <w:pPr>
        <w:spacing w:line="360" w:lineRule="auto"/>
        <w:contextualSpacing/>
        <w:rPr>
          <w:rFonts w:hint="eastAsia"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54A6985F">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分标（如有）：</w:t>
      </w:r>
      <w:r>
        <w:rPr>
          <w:rFonts w:hint="eastAsia" w:ascii="宋体" w:hAnsi="宋体" w:cs="仿宋_GB2312"/>
          <w:color w:val="auto"/>
          <w:sz w:val="24"/>
          <w:u w:val="single"/>
        </w:rPr>
        <w:t xml:space="preserve">                                         </w:t>
      </w:r>
    </w:p>
    <w:p w14:paraId="16305433">
      <w:pPr>
        <w:spacing w:line="360" w:lineRule="auto"/>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571ADA47">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单位：元</w:t>
      </w:r>
    </w:p>
    <w:tbl>
      <w:tblPr>
        <w:tblStyle w:val="22"/>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902"/>
        <w:gridCol w:w="993"/>
        <w:gridCol w:w="1533"/>
        <w:gridCol w:w="1184"/>
        <w:gridCol w:w="1184"/>
      </w:tblGrid>
      <w:tr w14:paraId="4A90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C34C703">
            <w:pPr>
              <w:spacing w:line="360" w:lineRule="auto"/>
              <w:contextualSpacing/>
              <w:jc w:val="center"/>
              <w:rPr>
                <w:rFonts w:hint="eastAsia" w:ascii="宋体" w:hAnsi="宋体" w:cs="仿宋_GB2312"/>
                <w:color w:val="auto"/>
                <w:sz w:val="24"/>
              </w:rPr>
            </w:pPr>
            <w:r>
              <w:rPr>
                <w:rFonts w:ascii="宋体" w:hAnsi="宋体" w:cs="仿宋_GB2312"/>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FC3832C">
            <w:pPr>
              <w:spacing w:line="360" w:lineRule="auto"/>
              <w:contextualSpacing/>
              <w:jc w:val="center"/>
              <w:rPr>
                <w:rFonts w:hint="eastAsia" w:ascii="宋体" w:hAnsi="宋体" w:cs="仿宋_GB2312"/>
                <w:color w:val="auto"/>
                <w:sz w:val="24"/>
              </w:rPr>
            </w:pPr>
            <w:r>
              <w:rPr>
                <w:rFonts w:ascii="宋体" w:hAnsi="宋体" w:cs="仿宋_GB2312"/>
                <w:color w:val="auto"/>
                <w:sz w:val="24"/>
              </w:rPr>
              <w:t>服务名称</w:t>
            </w:r>
          </w:p>
        </w:tc>
        <w:tc>
          <w:tcPr>
            <w:tcW w:w="902" w:type="dxa"/>
            <w:tcBorders>
              <w:top w:val="single" w:color="auto" w:sz="4" w:space="0"/>
              <w:left w:val="single" w:color="auto" w:sz="4" w:space="0"/>
              <w:bottom w:val="single" w:color="auto" w:sz="4" w:space="0"/>
              <w:right w:val="single" w:color="auto" w:sz="4" w:space="0"/>
            </w:tcBorders>
            <w:vAlign w:val="center"/>
          </w:tcPr>
          <w:p w14:paraId="1A8C1AF5">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0BF2F908">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单位</w:t>
            </w:r>
          </w:p>
        </w:tc>
        <w:tc>
          <w:tcPr>
            <w:tcW w:w="1533" w:type="dxa"/>
            <w:tcBorders>
              <w:top w:val="single" w:color="auto" w:sz="4" w:space="0"/>
              <w:left w:val="single" w:color="auto" w:sz="4" w:space="0"/>
              <w:bottom w:val="single" w:color="auto" w:sz="4" w:space="0"/>
              <w:right w:val="single" w:color="auto" w:sz="4" w:space="0"/>
            </w:tcBorders>
            <w:vAlign w:val="center"/>
          </w:tcPr>
          <w:p w14:paraId="03485B16">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09DB10CB">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341FFF43">
            <w:pPr>
              <w:spacing w:line="360" w:lineRule="auto"/>
              <w:contextualSpacing/>
              <w:jc w:val="center"/>
              <w:rPr>
                <w:rFonts w:hint="eastAsia" w:ascii="宋体" w:hAnsi="宋体" w:cs="仿宋_GB2312"/>
                <w:color w:val="auto"/>
                <w:sz w:val="24"/>
              </w:rPr>
            </w:pPr>
            <w:r>
              <w:rPr>
                <w:rFonts w:ascii="宋体" w:hAnsi="宋体" w:cs="仿宋_GB2312"/>
                <w:color w:val="auto"/>
                <w:sz w:val="24"/>
              </w:rPr>
              <w:t>备注</w:t>
            </w:r>
          </w:p>
        </w:tc>
      </w:tr>
      <w:tr w14:paraId="3FF8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15A168E">
            <w:pPr>
              <w:spacing w:line="360" w:lineRule="auto"/>
              <w:contextualSpacing/>
              <w:jc w:val="center"/>
              <w:rPr>
                <w:rFonts w:hint="eastAsia" w:ascii="宋体" w:hAnsi="宋体" w:cs="仿宋_GB2312"/>
                <w:color w:val="auto"/>
                <w:sz w:val="24"/>
              </w:rPr>
            </w:pPr>
            <w:r>
              <w:rPr>
                <w:rFonts w:ascii="宋体" w:hAnsi="宋体" w:cs="仿宋_GB2312"/>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18200654">
            <w:pPr>
              <w:spacing w:line="360" w:lineRule="auto"/>
              <w:contextualSpacing/>
              <w:jc w:val="center"/>
              <w:rPr>
                <w:rFonts w:hint="eastAsia" w:ascii="宋体" w:hAnsi="宋体" w:cs="仿宋_GB2312"/>
                <w:color w:val="auto"/>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1F9F7599">
            <w:pPr>
              <w:spacing w:line="360" w:lineRule="auto"/>
              <w:contextualSpacing/>
              <w:jc w:val="center"/>
              <w:rPr>
                <w:rFonts w:hint="eastAsia" w:ascii="宋体" w:hAnsi="宋体" w:cs="仿宋_GB2312"/>
                <w:color w:val="auto"/>
                <w:sz w:val="24"/>
              </w:rPr>
            </w:pPr>
          </w:p>
        </w:tc>
        <w:tc>
          <w:tcPr>
            <w:tcW w:w="993" w:type="dxa"/>
            <w:tcBorders>
              <w:top w:val="single" w:color="auto" w:sz="4" w:space="0"/>
              <w:left w:val="single" w:color="auto" w:sz="4" w:space="0"/>
              <w:bottom w:val="single" w:color="auto" w:sz="4" w:space="0"/>
              <w:right w:val="single" w:color="auto" w:sz="4" w:space="0"/>
            </w:tcBorders>
          </w:tcPr>
          <w:p w14:paraId="436F2115">
            <w:pPr>
              <w:spacing w:line="360" w:lineRule="auto"/>
              <w:contextualSpacing/>
              <w:rPr>
                <w:rFonts w:hint="eastAsia" w:ascii="宋体" w:hAnsi="宋体" w:cs="仿宋_GB2312"/>
                <w:color w:val="auto"/>
                <w:sz w:val="24"/>
              </w:rPr>
            </w:pPr>
          </w:p>
        </w:tc>
        <w:tc>
          <w:tcPr>
            <w:tcW w:w="1533" w:type="dxa"/>
            <w:tcBorders>
              <w:top w:val="single" w:color="auto" w:sz="4" w:space="0"/>
              <w:left w:val="single" w:color="auto" w:sz="4" w:space="0"/>
              <w:bottom w:val="single" w:color="auto" w:sz="4" w:space="0"/>
              <w:right w:val="single" w:color="auto" w:sz="4" w:space="0"/>
            </w:tcBorders>
          </w:tcPr>
          <w:p w14:paraId="19550CCE">
            <w:pPr>
              <w:spacing w:line="360" w:lineRule="auto"/>
              <w:contextualSpacing/>
              <w:rPr>
                <w:rFonts w:hint="eastAsia" w:ascii="宋体" w:hAnsi="宋体" w:cs="仿宋_GB2312"/>
                <w:color w:val="auto"/>
                <w:sz w:val="24"/>
              </w:rPr>
            </w:pPr>
          </w:p>
        </w:tc>
        <w:tc>
          <w:tcPr>
            <w:tcW w:w="1184" w:type="dxa"/>
            <w:tcBorders>
              <w:top w:val="single" w:color="auto" w:sz="4" w:space="0"/>
              <w:left w:val="single" w:color="auto" w:sz="4" w:space="0"/>
              <w:bottom w:val="single" w:color="auto" w:sz="4" w:space="0"/>
              <w:right w:val="single" w:color="auto" w:sz="4" w:space="0"/>
            </w:tcBorders>
          </w:tcPr>
          <w:p w14:paraId="6ED8FD12">
            <w:pPr>
              <w:spacing w:line="360" w:lineRule="auto"/>
              <w:contextualSpacing/>
              <w:rPr>
                <w:rFonts w:hint="eastAsia" w:ascii="宋体" w:hAnsi="宋体" w:cs="仿宋_GB2312"/>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15718B43">
            <w:pPr>
              <w:spacing w:line="360" w:lineRule="auto"/>
              <w:contextualSpacing/>
              <w:rPr>
                <w:rFonts w:hint="eastAsia" w:ascii="宋体" w:hAnsi="宋体" w:cs="仿宋_GB2312"/>
                <w:color w:val="auto"/>
                <w:sz w:val="24"/>
              </w:rPr>
            </w:pPr>
          </w:p>
        </w:tc>
      </w:tr>
      <w:tr w14:paraId="615D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3044FAFB">
            <w:pPr>
              <w:spacing w:line="360" w:lineRule="auto"/>
              <w:contextualSpacing/>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4F9121D7">
      <w:pPr>
        <w:spacing w:line="360" w:lineRule="auto"/>
        <w:contextualSpacing/>
        <w:jc w:val="left"/>
        <w:rPr>
          <w:rFonts w:hint="eastAsia" w:ascii="宋体" w:hAnsi="宋体" w:cs="仿宋_GB2312"/>
          <w:color w:val="auto"/>
          <w:sz w:val="24"/>
        </w:rPr>
      </w:pPr>
    </w:p>
    <w:p w14:paraId="0DCC03DC">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 xml:space="preserve">注: </w:t>
      </w:r>
    </w:p>
    <w:p w14:paraId="66BCBEB9">
      <w:pPr>
        <w:spacing w:line="360" w:lineRule="auto"/>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1.供应商的报价表必须由法定代表人或者委托代理人签字并加盖供应商公章，</w:t>
      </w:r>
      <w:r>
        <w:rPr>
          <w:rFonts w:hint="eastAsia" w:ascii="宋体" w:hAnsi="宋体" w:cs="仿宋_GB2312"/>
          <w:b/>
          <w:color w:val="auto"/>
          <w:sz w:val="24"/>
        </w:rPr>
        <w:t>否则其响应文件按无效响应处理</w:t>
      </w:r>
      <w:r>
        <w:rPr>
          <w:rFonts w:hint="eastAsia" w:ascii="宋体" w:hAnsi="宋体" w:cs="仿宋_GB2312"/>
          <w:color w:val="auto"/>
          <w:sz w:val="24"/>
        </w:rPr>
        <w:t>。</w:t>
      </w:r>
    </w:p>
    <w:p w14:paraId="71EDBB10">
      <w:pPr>
        <w:spacing w:line="360" w:lineRule="auto"/>
        <w:ind w:firstLine="480" w:firstLineChars="200"/>
        <w:contextualSpacing/>
        <w:jc w:val="left"/>
        <w:rPr>
          <w:rFonts w:hint="eastAsia"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报价一经涂改，应在涂改处加盖供应商公章或者由法定代表人或者委托代理人签字后加盖公章</w:t>
      </w:r>
      <w:r>
        <w:rPr>
          <w:rFonts w:hint="eastAsia" w:ascii="宋体" w:hAnsi="宋体" w:cs="仿宋_GB2312"/>
          <w:b/>
          <w:color w:val="auto"/>
          <w:sz w:val="24"/>
        </w:rPr>
        <w:t>，否则其响应文件按无效响应处理。</w:t>
      </w:r>
    </w:p>
    <w:p w14:paraId="482E3851">
      <w:pPr>
        <w:spacing w:line="360" w:lineRule="auto"/>
        <w:ind w:right="-817" w:rightChars="-389"/>
        <w:contextualSpacing/>
        <w:rPr>
          <w:rFonts w:hint="eastAsia" w:ascii="宋体" w:hAnsi="宋体" w:cs="仿宋_GB2312"/>
          <w:color w:val="auto"/>
          <w:sz w:val="24"/>
        </w:rPr>
      </w:pPr>
    </w:p>
    <w:p w14:paraId="30335DA8">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                    </w:t>
      </w:r>
    </w:p>
    <w:p w14:paraId="3D9CD4E4">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供应商（</w:t>
      </w:r>
      <w:r>
        <w:rPr>
          <w:rFonts w:hint="eastAsia" w:ascii="宋体" w:hAnsi="宋体" w:cs="宋体"/>
          <w:color w:val="auto"/>
          <w:sz w:val="24"/>
        </w:rPr>
        <w:t>电子签章</w:t>
      </w:r>
      <w:r>
        <w:rPr>
          <w:rFonts w:hint="eastAsia" w:ascii="宋体" w:hAnsi="宋体" w:cs="仿宋_GB2312"/>
          <w:color w:val="auto"/>
          <w:sz w:val="24"/>
        </w:rPr>
        <w:t xml:space="preserve">）：      </w:t>
      </w:r>
    </w:p>
    <w:p w14:paraId="44A00705">
      <w:pPr>
        <w:spacing w:line="360" w:lineRule="auto"/>
        <w:ind w:right="-817" w:rightChars="-389" w:firstLine="4080" w:firstLineChars="1700"/>
        <w:contextualSpacing/>
        <w:rPr>
          <w:rFonts w:hint="eastAsia" w:ascii="宋体" w:hAnsi="宋体" w:cs="仿宋_GB2312"/>
          <w:b/>
          <w:color w:val="auto"/>
          <w:sz w:val="24"/>
        </w:rPr>
      </w:pPr>
      <w:r>
        <w:rPr>
          <w:rFonts w:hint="eastAsia" w:ascii="宋体" w:hAnsi="宋体" w:cs="仿宋_GB2312"/>
          <w:color w:val="auto"/>
          <w:sz w:val="24"/>
        </w:rPr>
        <w:t>日期：   年   月   日</w:t>
      </w:r>
    </w:p>
    <w:p w14:paraId="4A3A1CA3">
      <w:pPr>
        <w:rPr>
          <w:rFonts w:ascii="宋体" w:hAnsi="Courier New"/>
          <w:b/>
          <w:color w:val="auto"/>
          <w:sz w:val="32"/>
          <w:szCs w:val="32"/>
        </w:rPr>
      </w:pPr>
      <w:r>
        <w:rPr>
          <w:rFonts w:hint="eastAsia" w:ascii="宋体" w:hAnsi="Courier New"/>
          <w:b/>
          <w:color w:val="auto"/>
          <w:sz w:val="32"/>
          <w:szCs w:val="32"/>
        </w:rPr>
        <w:br w:type="page"/>
      </w:r>
    </w:p>
    <w:p w14:paraId="3269808B">
      <w:pPr>
        <w:jc w:val="center"/>
        <w:rPr>
          <w:rFonts w:hint="eastAsia" w:ascii="方正小标宋简体" w:hAnsi="方正小标宋简体" w:eastAsia="方正小标宋简体" w:cs="方正小标宋简体"/>
          <w:color w:val="auto"/>
          <w:sz w:val="44"/>
          <w:szCs w:val="44"/>
        </w:rPr>
      </w:pPr>
      <w:bookmarkStart w:id="46" w:name="_Toc71365926"/>
      <w:r>
        <w:rPr>
          <w:rFonts w:hint="eastAsia" w:ascii="方正小标宋简体" w:hAnsi="方正小标宋简体" w:eastAsia="方正小标宋简体" w:cs="方正小标宋简体"/>
          <w:color w:val="auto"/>
          <w:sz w:val="44"/>
          <w:szCs w:val="44"/>
        </w:rPr>
        <w:t>3、中小企业声明函（服务）</w:t>
      </w:r>
      <w:bookmarkEnd w:id="46"/>
    </w:p>
    <w:p w14:paraId="14751A7B">
      <w:pPr>
        <w:spacing w:before="2" w:line="500" w:lineRule="exact"/>
        <w:ind w:firstLine="708" w:firstLineChars="294"/>
        <w:rPr>
          <w:rFonts w:hint="eastAsia" w:ascii="宋体" w:hAnsi="宋体" w:cs="宋体"/>
          <w:b/>
          <w:bCs/>
          <w:color w:val="auto"/>
          <w:sz w:val="24"/>
        </w:rPr>
      </w:pPr>
    </w:p>
    <w:p w14:paraId="6B85AD2F">
      <w:pPr>
        <w:pStyle w:val="2"/>
        <w:spacing w:line="500" w:lineRule="exact"/>
        <w:ind w:right="142" w:firstLine="705" w:firstLineChars="294"/>
        <w:rPr>
          <w:rFonts w:hint="eastAsia"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服务全部由符合政策要求的中小企业承接。相关企业（含联合体中的中小企业、签订分包意向协议的中小企业）的具体情况如下：</w:t>
      </w:r>
    </w:p>
    <w:p w14:paraId="0251CF60">
      <w:pPr>
        <w:tabs>
          <w:tab w:val="left" w:pos="1384"/>
          <w:tab w:val="left" w:pos="4562"/>
          <w:tab w:val="left" w:pos="6803"/>
        </w:tabs>
        <w:spacing w:before="13" w:line="500" w:lineRule="exact"/>
        <w:ind w:right="142" w:firstLine="772" w:firstLineChars="322"/>
        <w:rPr>
          <w:rFonts w:hint="eastAsia"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w:t>
      </w:r>
      <w:r>
        <w:rPr>
          <w:rFonts w:hint="eastAsia" w:ascii="宋体" w:hAnsi="宋体"/>
          <w:color w:val="auto"/>
          <w:sz w:val="24"/>
          <w:u w:val="single"/>
        </w:rPr>
        <w:t>小型企业、微型企业）</w:t>
      </w:r>
      <w:r>
        <w:rPr>
          <w:rFonts w:hint="eastAsia" w:ascii="宋体" w:hAnsi="宋体"/>
          <w:color w:val="auto"/>
          <w:sz w:val="24"/>
        </w:rPr>
        <w:t>；</w:t>
      </w:r>
    </w:p>
    <w:p w14:paraId="178D4D8D">
      <w:pPr>
        <w:tabs>
          <w:tab w:val="left" w:pos="1065"/>
          <w:tab w:val="left" w:pos="4262"/>
          <w:tab w:val="left" w:pos="6477"/>
        </w:tabs>
        <w:spacing w:before="20" w:line="500" w:lineRule="exact"/>
        <w:ind w:right="84" w:firstLine="772" w:firstLineChars="322"/>
        <w:rPr>
          <w:rFonts w:hint="eastAsia"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w:t>
      </w:r>
      <w:r>
        <w:rPr>
          <w:rFonts w:hint="eastAsia" w:ascii="宋体" w:hAnsi="宋体"/>
          <w:color w:val="auto"/>
          <w:sz w:val="24"/>
          <w:u w:val="single"/>
        </w:rPr>
        <w:t>小型企业、微型企业）</w:t>
      </w:r>
      <w:r>
        <w:rPr>
          <w:rFonts w:hint="eastAsia" w:ascii="宋体" w:hAnsi="宋体"/>
          <w:color w:val="auto"/>
          <w:sz w:val="24"/>
        </w:rPr>
        <w:t>；</w:t>
      </w:r>
    </w:p>
    <w:p w14:paraId="22E4CC21">
      <w:pPr>
        <w:pStyle w:val="2"/>
        <w:spacing w:before="34" w:line="500" w:lineRule="exact"/>
        <w:ind w:right="142" w:firstLine="705" w:firstLineChars="294"/>
        <w:rPr>
          <w:rFonts w:hint="eastAsia" w:ascii="宋体" w:hAnsi="宋体"/>
          <w:color w:val="auto"/>
          <w:sz w:val="24"/>
        </w:rPr>
      </w:pPr>
      <w:r>
        <w:rPr>
          <w:rFonts w:ascii="宋体" w:hAnsi="宋体"/>
          <w:color w:val="auto"/>
          <w:sz w:val="24"/>
        </w:rPr>
        <w:t xml:space="preserve">…… </w:t>
      </w:r>
    </w:p>
    <w:p w14:paraId="3E77D76B">
      <w:pPr>
        <w:pStyle w:val="2"/>
        <w:spacing w:before="34" w:line="500" w:lineRule="exact"/>
        <w:ind w:right="142" w:firstLine="705" w:firstLineChars="294"/>
        <w:rPr>
          <w:rFonts w:hint="eastAsia" w:ascii="宋体" w:hAnsi="宋体"/>
          <w:color w:val="auto"/>
          <w:sz w:val="24"/>
        </w:rPr>
      </w:pPr>
      <w:r>
        <w:rPr>
          <w:rFonts w:ascii="宋体" w:hAnsi="宋体"/>
          <w:color w:val="auto"/>
          <w:sz w:val="24"/>
        </w:rPr>
        <w:t>以上企业，不属于大</w:t>
      </w:r>
      <w:r>
        <w:rPr>
          <w:rFonts w:hint="eastAsia" w:ascii="宋体" w:hAnsi="宋体"/>
          <w:color w:val="auto"/>
          <w:sz w:val="24"/>
        </w:rPr>
        <w:t>中</w:t>
      </w:r>
      <w:r>
        <w:rPr>
          <w:rFonts w:ascii="宋体" w:hAnsi="宋体"/>
          <w:color w:val="auto"/>
          <w:sz w:val="24"/>
        </w:rPr>
        <w:t>企业的分支机构，不存在控股股东为大企业的情形，也不存在与大企业的负责人为同一人的情形。</w:t>
      </w:r>
    </w:p>
    <w:p w14:paraId="168FFE03">
      <w:pPr>
        <w:pStyle w:val="2"/>
        <w:spacing w:before="25" w:line="500" w:lineRule="exact"/>
        <w:ind w:right="142" w:firstLine="705" w:firstLineChars="294"/>
        <w:rPr>
          <w:rFonts w:hint="eastAsia" w:ascii="宋体" w:hAnsi="宋体"/>
          <w:color w:val="auto"/>
          <w:sz w:val="24"/>
        </w:rPr>
      </w:pPr>
      <w:r>
        <w:rPr>
          <w:rFonts w:ascii="宋体" w:hAnsi="宋体"/>
          <w:color w:val="auto"/>
          <w:sz w:val="24"/>
        </w:rPr>
        <w:t>本企业对上述声明内容的真实性负责。如有虚假，将依法承担相应责任。</w:t>
      </w:r>
    </w:p>
    <w:p w14:paraId="2D108046">
      <w:pPr>
        <w:pStyle w:val="2"/>
        <w:spacing w:before="56" w:line="500" w:lineRule="exact"/>
        <w:ind w:right="1808" w:firstLine="705" w:firstLineChars="294"/>
        <w:rPr>
          <w:rFonts w:hint="eastAsia" w:ascii="宋体" w:hAnsi="宋体"/>
          <w:color w:val="auto"/>
          <w:sz w:val="24"/>
        </w:rPr>
      </w:pPr>
    </w:p>
    <w:p w14:paraId="6D15C655">
      <w:pPr>
        <w:pStyle w:val="2"/>
        <w:spacing w:before="56" w:line="500" w:lineRule="exact"/>
        <w:ind w:right="650" w:firstLine="5625" w:firstLineChars="2344"/>
        <w:rPr>
          <w:rFonts w:hint="eastAsia" w:ascii="宋体" w:hAnsi="宋体"/>
          <w:color w:val="auto"/>
          <w:sz w:val="24"/>
        </w:rPr>
      </w:pPr>
      <w:r>
        <w:rPr>
          <w:rFonts w:ascii="宋体" w:hAnsi="宋体"/>
          <w:color w:val="auto"/>
          <w:sz w:val="24"/>
        </w:rPr>
        <w:t xml:space="preserve">企业名称（章）： </w:t>
      </w:r>
    </w:p>
    <w:p w14:paraId="7766A0F6">
      <w:pPr>
        <w:pStyle w:val="2"/>
        <w:spacing w:before="56" w:line="500" w:lineRule="exact"/>
        <w:ind w:right="1808" w:firstLine="5625" w:firstLineChars="2344"/>
        <w:rPr>
          <w:rFonts w:hint="eastAsia" w:ascii="宋体" w:hAnsi="宋体"/>
          <w:color w:val="auto"/>
          <w:sz w:val="24"/>
        </w:rPr>
      </w:pPr>
      <w:r>
        <w:rPr>
          <w:rFonts w:ascii="宋体" w:hAnsi="宋体"/>
          <w:color w:val="auto"/>
          <w:sz w:val="24"/>
        </w:rPr>
        <w:t>日 期：</w:t>
      </w:r>
    </w:p>
    <w:p w14:paraId="373A07C3">
      <w:pPr>
        <w:spacing w:line="520" w:lineRule="exact"/>
        <w:jc w:val="left"/>
        <w:rPr>
          <w:rFonts w:hint="eastAsia" w:ascii="宋体" w:hAnsi="宋体"/>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8488A33">
      <w:pPr>
        <w:rPr>
          <w:rFonts w:hint="eastAsia"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21EA8F82">
      <w:pPr>
        <w:pStyle w:val="12"/>
        <w:jc w:val="left"/>
        <w:rPr>
          <w:rFonts w:hint="eastAsia"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t>附：</w:t>
      </w:r>
    </w:p>
    <w:p w14:paraId="3E9044EB">
      <w:pPr>
        <w:jc w:val="center"/>
        <w:rPr>
          <w:rFonts w:hint="eastAsia" w:ascii="宋体" w:hAnsi="宋体" w:cs="Arial Unicode MS"/>
          <w:color w:val="auto"/>
          <w:sz w:val="44"/>
          <w:szCs w:val="44"/>
        </w:rPr>
      </w:pPr>
      <w:r>
        <w:rPr>
          <w:rFonts w:hint="eastAsia" w:ascii="宋体" w:hAnsi="宋体" w:cs="Arial Unicode MS"/>
          <w:color w:val="auto"/>
          <w:sz w:val="44"/>
          <w:szCs w:val="44"/>
        </w:rPr>
        <w:t>中小微企业划型标准</w:t>
      </w:r>
    </w:p>
    <w:p w14:paraId="3FB0CB48">
      <w:pPr>
        <w:ind w:left="1871"/>
        <w:rPr>
          <w:rFonts w:hint="eastAsia" w:ascii="宋体" w:hAnsi="宋体" w:cs="Arial Unicode MS"/>
          <w:color w:val="auto"/>
          <w:szCs w:val="21"/>
        </w:rPr>
      </w:pPr>
    </w:p>
    <w:tbl>
      <w:tblPr>
        <w:tblStyle w:val="22"/>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31CFBA8D">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C734FCF">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6EC9C36A">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4D5AA63A">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9A7EE7E">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2A750F12">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67D00153">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387C8F2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9346E32">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3B7425C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1D9B3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7C7695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48224CB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66E69F5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53A20DF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D8D636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542B26C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67BA19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FF417D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724487F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4A20491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093CA6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AFF9A0D">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AC590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852FAD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26F2AA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7DC358B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4A2FA32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714C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0C83E62">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7D0E30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469BA9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726ED4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7B694A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11593A0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D736F3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49FE6B">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BB24A9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11E3E5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EE1D85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6935D2C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50E508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0C050F5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07E27D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12CAFFA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0BE8B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8F5B65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0560367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5" w:type="dxa"/>
            <w:tcBorders>
              <w:top w:val="nil"/>
              <w:left w:val="nil"/>
              <w:bottom w:val="single" w:color="auto" w:sz="4" w:space="0"/>
              <w:right w:val="single" w:color="auto" w:sz="4" w:space="0"/>
            </w:tcBorders>
            <w:vAlign w:val="center"/>
          </w:tcPr>
          <w:p w14:paraId="5716429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071994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9297151">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5ECF09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DD5B0B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9E9EFC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5EA0198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3F003C6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299CAB4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B6F744F">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7DCDFF1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2C03A6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38E21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7E976F3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5" w:type="dxa"/>
            <w:tcBorders>
              <w:top w:val="nil"/>
              <w:left w:val="nil"/>
              <w:bottom w:val="single" w:color="auto" w:sz="4" w:space="0"/>
              <w:right w:val="single" w:color="auto" w:sz="4" w:space="0"/>
            </w:tcBorders>
            <w:vAlign w:val="center"/>
          </w:tcPr>
          <w:p w14:paraId="1292ED0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FA3C36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A633B99">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BF24C0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95A79B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EFD040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1B91500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30B6CB5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6DC421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88C882E">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4251426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26E10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389A9C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234319A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603CC84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57E0F0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AE0D862">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ED9E1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7AD94D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932E62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60B514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1DDD8FC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4816BC0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B763A7B">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31AE696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B0F9EC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14A9E1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569EDC5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27782B0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F8237F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B390DC6">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6D230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89F95A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D3E193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025A272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579BCFD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847884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1A8DD3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163A3C9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333A25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EE76E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0F7A58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63B1D50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368A2FE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B44C25F">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7E18C8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2D904F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AA03D1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405563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26CA361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540C28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E5B998F">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4B1F067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0473B3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7B7E4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4C7F62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63BF55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C2B38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73BBC4">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2F7184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C6C5AD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3E53F7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0CC0D13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5C27C13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256EF3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13040E3">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5336018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9E599A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845181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DBA754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53160A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48E8D3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C24026D">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5C7DC35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FBD010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0DE655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1EE323C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0AE093B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D97C4A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BCC85B8">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0032BEA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5C9129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DDA0ED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3178C90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01C56A9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F63ADC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261112C">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0DC73D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453E08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0DA9A4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0D5E59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7795F84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04F917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E0EF62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5F04F80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CAAF1B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506D70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127455E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14104C6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B0E93A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8D373D">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F8CD5E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8F8033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D9F790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49F379C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1C93BEE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7286AE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944612A">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3F5051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76346B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69BAF2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1D9A02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3856BC6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7BF355F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3DBCB53">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214092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5AF89B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A41F61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2F8A78F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6E4F86C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12D59DA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135C95C">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477AA62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74567A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CA58B8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05E7173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0D7314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19D3E76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80DE277">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7B5BE0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248FC3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500E81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1ED42B2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4C88092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3E71661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161F44C">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55E5EE2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0EF748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D56A87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089273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8B1F78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8FCF14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F661962">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2AE891B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372A7CB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3FF0F2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1AF6595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77CE1B5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D5BAAD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5AC08AF4">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279F96E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06CAA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3D1274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19DB9E3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19506C6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00B705BB">
      <w:pPr>
        <w:spacing w:line="360" w:lineRule="auto"/>
        <w:ind w:firstLine="525" w:firstLineChars="250"/>
        <w:rPr>
          <w:rFonts w:hint="eastAsia"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8638CD0">
      <w:pPr>
        <w:spacing w:line="520" w:lineRule="exact"/>
        <w:jc w:val="center"/>
        <w:rPr>
          <w:rFonts w:hint="eastAsia"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6E1DABAD">
      <w:pPr>
        <w:spacing w:line="360" w:lineRule="auto"/>
        <w:contextualSpacing/>
        <w:rPr>
          <w:rFonts w:hint="eastAsia" w:ascii="仿宋_GB2312" w:hAnsi="仿宋_GB2312" w:eastAsia="仿宋_GB2312" w:cs="仿宋_GB2312"/>
          <w:color w:val="auto"/>
          <w:sz w:val="32"/>
          <w:szCs w:val="32"/>
        </w:rPr>
      </w:pPr>
    </w:p>
    <w:p w14:paraId="0350065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300F3A6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53404741">
      <w:pPr>
        <w:spacing w:line="360" w:lineRule="auto"/>
        <w:contextualSpacing/>
        <w:rPr>
          <w:rFonts w:hint="eastAsia" w:ascii="宋体" w:hAnsi="宋体" w:cs="仿宋_GB2312"/>
          <w:color w:val="auto"/>
          <w:sz w:val="24"/>
        </w:rPr>
      </w:pPr>
    </w:p>
    <w:p w14:paraId="63FA5E2E">
      <w:pPr>
        <w:spacing w:line="360" w:lineRule="auto"/>
        <w:contextualSpacing/>
        <w:rPr>
          <w:rFonts w:hint="eastAsia" w:ascii="宋体" w:hAnsi="宋体" w:cs="仿宋_GB2312"/>
          <w:color w:val="auto"/>
          <w:sz w:val="24"/>
        </w:rPr>
      </w:pPr>
    </w:p>
    <w:p w14:paraId="16FBF530">
      <w:pPr>
        <w:spacing w:line="360" w:lineRule="auto"/>
        <w:contextualSpacing/>
        <w:rPr>
          <w:rFonts w:hint="eastAsia" w:ascii="宋体" w:hAnsi="宋体" w:cs="仿宋_GB2312"/>
          <w:color w:val="auto"/>
          <w:sz w:val="24"/>
        </w:rPr>
      </w:pPr>
    </w:p>
    <w:p w14:paraId="5AF9EA2F">
      <w:pPr>
        <w:spacing w:line="360" w:lineRule="auto"/>
        <w:ind w:firstLine="2400" w:firstLineChars="1000"/>
        <w:contextualSpacing/>
        <w:rPr>
          <w:rFonts w:hint="eastAsia" w:ascii="宋体" w:hAnsi="宋体" w:cs="仿宋_GB2312"/>
          <w:color w:val="auto"/>
          <w:sz w:val="24"/>
        </w:rPr>
      </w:pPr>
      <w:r>
        <w:rPr>
          <w:rFonts w:hint="eastAsia" w:ascii="宋体" w:hAnsi="宋体" w:cs="仿宋_GB2312"/>
          <w:color w:val="auto"/>
          <w:sz w:val="24"/>
        </w:rPr>
        <w:t>单位名称（盖章）：</w:t>
      </w:r>
    </w:p>
    <w:p w14:paraId="4099EC4F">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日  期：</w:t>
      </w:r>
    </w:p>
    <w:p w14:paraId="6C0B675E">
      <w:pPr>
        <w:spacing w:line="360" w:lineRule="auto"/>
        <w:contextualSpacing/>
        <w:rPr>
          <w:rFonts w:hint="eastAsia" w:ascii="宋体" w:hAnsi="宋体" w:cs="仿宋_GB2312"/>
          <w:color w:val="auto"/>
          <w:sz w:val="24"/>
        </w:rPr>
      </w:pPr>
    </w:p>
    <w:p w14:paraId="0C8964BB">
      <w:pPr>
        <w:spacing w:line="360" w:lineRule="auto"/>
        <w:contextualSpacing/>
        <w:rPr>
          <w:rFonts w:hint="eastAsia" w:ascii="宋体" w:hAnsi="宋体" w:cs="仿宋_GB2312"/>
          <w:color w:val="auto"/>
          <w:sz w:val="24"/>
        </w:rPr>
      </w:pPr>
    </w:p>
    <w:p w14:paraId="0DEA1CD9">
      <w:pPr>
        <w:spacing w:line="360" w:lineRule="auto"/>
        <w:contextualSpacing/>
        <w:rPr>
          <w:rFonts w:hint="eastAsia" w:ascii="宋体" w:hAnsi="宋体" w:cs="仿宋_GB2312"/>
          <w:color w:val="auto"/>
          <w:sz w:val="24"/>
        </w:rPr>
      </w:pPr>
    </w:p>
    <w:p w14:paraId="69616C2C">
      <w:pPr>
        <w:spacing w:line="360" w:lineRule="auto"/>
        <w:contextualSpacing/>
        <w:rPr>
          <w:rFonts w:hint="eastAsia"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97FCECA">
      <w:pPr>
        <w:spacing w:line="360" w:lineRule="auto"/>
        <w:jc w:val="center"/>
        <w:rPr>
          <w:rFonts w:hint="eastAsia" w:ascii="宋体" w:hAnsi="宋体" w:cs="仿宋_GB2312"/>
          <w:color w:val="auto"/>
          <w:sz w:val="24"/>
        </w:rPr>
      </w:pPr>
      <w:r>
        <w:rPr>
          <w:rFonts w:ascii="宋体" w:hAnsi="宋体" w:cs="仿宋_GB2312"/>
          <w:color w:val="auto"/>
          <w:sz w:val="24"/>
        </w:rPr>
        <w:br w:type="page"/>
      </w:r>
    </w:p>
    <w:p w14:paraId="172D106C">
      <w:pPr>
        <w:spacing w:before="312" w:beforeLines="100" w:after="156" w:afterLines="50" w:line="520" w:lineRule="exact"/>
        <w:ind w:left="540"/>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t>4、法定代表人身份证明</w:t>
      </w:r>
    </w:p>
    <w:p w14:paraId="36DBCE6F">
      <w:pPr>
        <w:spacing w:line="360" w:lineRule="auto"/>
        <w:ind w:left="540"/>
        <w:contextualSpacing/>
        <w:rPr>
          <w:rFonts w:hint="eastAsia" w:ascii="仿宋_GB2312" w:hAnsi="仿宋_GB2312" w:eastAsia="仿宋_GB2312" w:cs="仿宋_GB2312"/>
          <w:color w:val="auto"/>
          <w:sz w:val="32"/>
          <w:szCs w:val="32"/>
        </w:rPr>
      </w:pPr>
    </w:p>
    <w:p w14:paraId="298B51F1">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60D34751">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2463D42E">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24CFB5D0">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4F7EC2E1">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4D07152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23C3EDE3">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2E89DA15">
      <w:pPr>
        <w:spacing w:line="360" w:lineRule="auto"/>
        <w:ind w:left="540"/>
        <w:contextualSpacing/>
        <w:rPr>
          <w:rFonts w:hint="eastAsia" w:ascii="宋体" w:hAnsi="宋体" w:cs="仿宋_GB2312"/>
          <w:color w:val="auto"/>
          <w:sz w:val="24"/>
        </w:rPr>
      </w:pPr>
    </w:p>
    <w:p w14:paraId="79802F71">
      <w:pPr>
        <w:spacing w:line="360" w:lineRule="auto"/>
        <w:ind w:left="540"/>
        <w:contextualSpacing/>
        <w:rPr>
          <w:rFonts w:hint="eastAsia" w:ascii="宋体" w:hAnsi="宋体" w:cs="仿宋_GB2312"/>
          <w:color w:val="auto"/>
          <w:sz w:val="24"/>
        </w:rPr>
      </w:pPr>
    </w:p>
    <w:p w14:paraId="45A8FDC2">
      <w:pPr>
        <w:spacing w:line="360" w:lineRule="auto"/>
        <w:ind w:left="540"/>
        <w:contextualSpacing/>
        <w:rPr>
          <w:rFonts w:hint="eastAsia" w:ascii="宋体" w:hAnsi="宋体" w:cs="仿宋_GB2312"/>
          <w:color w:val="auto"/>
          <w:sz w:val="24"/>
        </w:rPr>
      </w:pPr>
    </w:p>
    <w:p w14:paraId="7F1BD11E">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69325D56">
      <w:pPr>
        <w:spacing w:line="360" w:lineRule="auto"/>
        <w:ind w:left="540"/>
        <w:contextualSpacing/>
        <w:rPr>
          <w:rFonts w:hint="eastAsia" w:ascii="宋体" w:hAnsi="宋体" w:cs="仿宋_GB2312"/>
          <w:color w:val="auto"/>
          <w:sz w:val="24"/>
        </w:rPr>
      </w:pPr>
    </w:p>
    <w:p w14:paraId="4C33ACBE">
      <w:pPr>
        <w:spacing w:line="360" w:lineRule="auto"/>
        <w:ind w:left="540"/>
        <w:contextualSpacing/>
        <w:jc w:val="center"/>
        <w:rPr>
          <w:rFonts w:hint="eastAsia" w:ascii="宋体" w:hAnsi="宋体" w:cs="仿宋_GB2312"/>
          <w:color w:val="auto"/>
          <w:sz w:val="24"/>
        </w:rPr>
      </w:pPr>
      <w:r>
        <w:rPr>
          <w:rFonts w:hint="eastAsia" w:ascii="宋体" w:hAnsi="宋体" w:cs="仿宋_GB2312"/>
          <w:color w:val="auto"/>
          <w:sz w:val="24"/>
        </w:rPr>
        <w:t>供应商（</w:t>
      </w:r>
      <w:r>
        <w:rPr>
          <w:rFonts w:hint="eastAsia" w:ascii="宋体" w:hAnsi="宋体" w:cs="宋体"/>
          <w:color w:val="auto"/>
          <w:sz w:val="24"/>
        </w:rPr>
        <w:t>电子签章</w:t>
      </w:r>
      <w:r>
        <w:rPr>
          <w:rFonts w:hint="eastAsia" w:ascii="宋体" w:hAnsi="宋体" w:cs="仿宋_GB2312"/>
          <w:color w:val="auto"/>
          <w:sz w:val="24"/>
        </w:rPr>
        <w:t>）：</w:t>
      </w:r>
      <w:r>
        <w:rPr>
          <w:rFonts w:hint="eastAsia" w:ascii="宋体" w:hAnsi="宋体" w:cs="仿宋_GB2312"/>
          <w:color w:val="auto"/>
          <w:sz w:val="24"/>
          <w:u w:val="single"/>
        </w:rPr>
        <w:t xml:space="preserve">               </w:t>
      </w:r>
    </w:p>
    <w:p w14:paraId="7576E291">
      <w:pPr>
        <w:spacing w:line="360" w:lineRule="auto"/>
        <w:ind w:firstLine="4080" w:firstLineChars="1700"/>
        <w:contextualSpacing/>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6CDEC3F1">
      <w:pPr>
        <w:spacing w:line="360" w:lineRule="auto"/>
        <w:contextualSpacing/>
        <w:jc w:val="center"/>
        <w:rPr>
          <w:rFonts w:hint="eastAsia" w:ascii="宋体" w:hAnsi="宋体" w:cs="仿宋_GB2312"/>
          <w:b/>
          <w:color w:val="auto"/>
          <w:sz w:val="24"/>
        </w:rPr>
      </w:pPr>
    </w:p>
    <w:p w14:paraId="390FEAB7">
      <w:pPr>
        <w:spacing w:line="360" w:lineRule="auto"/>
        <w:contextualSpacing/>
        <w:jc w:val="left"/>
        <w:rPr>
          <w:rFonts w:hint="eastAsia" w:ascii="宋体" w:hAnsi="宋体" w:cs="仿宋_GB2312"/>
          <w:color w:val="auto"/>
          <w:sz w:val="24"/>
        </w:rPr>
      </w:pPr>
    </w:p>
    <w:p w14:paraId="32AC3331">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1334A7EF">
      <w:pPr>
        <w:adjustRightInd w:val="0"/>
        <w:snapToGrid w:val="0"/>
        <w:spacing w:line="300" w:lineRule="auto"/>
        <w:jc w:val="left"/>
        <w:rPr>
          <w:rFonts w:hint="eastAsia" w:ascii="宋体" w:hAnsi="宋体"/>
          <w:b/>
          <w:color w:val="auto"/>
          <w:szCs w:val="21"/>
        </w:rPr>
      </w:pPr>
    </w:p>
    <w:p w14:paraId="661B3A16">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ascii="方正小标宋简体" w:hAnsi="方正小标宋简体" w:eastAsia="方正小标宋简体" w:cs="方正小标宋简体"/>
          <w:color w:val="auto"/>
          <w:sz w:val="44"/>
          <w:szCs w:val="44"/>
        </w:rPr>
        <w:t xml:space="preserve"> </w:t>
      </w:r>
    </w:p>
    <w:p w14:paraId="3D905C06">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5、授权委托书</w:t>
      </w:r>
    </w:p>
    <w:p w14:paraId="66271996">
      <w:pPr>
        <w:spacing w:line="52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14:paraId="050D6D4E">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6F270CB2">
      <w:pPr>
        <w:spacing w:line="520" w:lineRule="exact"/>
        <w:rPr>
          <w:rFonts w:hint="eastAsia" w:ascii="仿宋_GB2312" w:hAnsi="仿宋_GB2312" w:eastAsia="仿宋_GB2312" w:cs="仿宋_GB2312"/>
          <w:color w:val="auto"/>
          <w:sz w:val="32"/>
          <w:szCs w:val="32"/>
        </w:rPr>
      </w:pPr>
    </w:p>
    <w:p w14:paraId="481EEDD1">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65964D28">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521AD664">
      <w:pPr>
        <w:spacing w:line="360" w:lineRule="auto"/>
        <w:rPr>
          <w:rFonts w:hint="eastAsia" w:ascii="宋体" w:hAnsi="宋体" w:cs="仿宋_GB2312"/>
          <w:color w:val="auto"/>
          <w:sz w:val="24"/>
        </w:rPr>
      </w:pPr>
      <w:r>
        <w:rPr>
          <w:rFonts w:hint="eastAsia" w:ascii="宋体" w:hAnsi="宋体" w:cs="仿宋_GB2312"/>
          <w:color w:val="auto"/>
          <w:sz w:val="24"/>
        </w:rPr>
        <w:t xml:space="preserve">    我方对委托代理人的签字事项负全部责任。</w:t>
      </w:r>
    </w:p>
    <w:p w14:paraId="6A9F9284">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06C4CA24">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468B880A">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附：法定代表人身份证明及委托代理人有效身份证正反面复印件</w:t>
      </w:r>
    </w:p>
    <w:p w14:paraId="71EED3FA">
      <w:pPr>
        <w:spacing w:line="360" w:lineRule="auto"/>
        <w:rPr>
          <w:rFonts w:hint="eastAsia" w:ascii="宋体" w:hAnsi="宋体" w:cs="仿宋_GB2312"/>
          <w:color w:val="auto"/>
          <w:sz w:val="24"/>
        </w:rPr>
      </w:pPr>
    </w:p>
    <w:p w14:paraId="724710AF">
      <w:pPr>
        <w:spacing w:line="360" w:lineRule="auto"/>
        <w:rPr>
          <w:rFonts w:hint="eastAsia" w:ascii="宋体" w:hAnsi="宋体" w:cs="仿宋_GB2312"/>
          <w:color w:val="auto"/>
          <w:sz w:val="24"/>
        </w:rPr>
      </w:pPr>
      <w:r>
        <w:rPr>
          <w:rFonts w:hint="eastAsia" w:ascii="宋体" w:hAnsi="宋体" w:cs="仿宋_GB2312"/>
          <w:color w:val="auto"/>
          <w:sz w:val="24"/>
        </w:rPr>
        <w:t xml:space="preserve">委托代理人（签字）：         法定代表人（签字或者盖章）：                    </w:t>
      </w:r>
    </w:p>
    <w:p w14:paraId="2B57F4F3">
      <w:pPr>
        <w:spacing w:line="360" w:lineRule="auto"/>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685CCCFD">
      <w:pPr>
        <w:spacing w:line="360" w:lineRule="auto"/>
        <w:rPr>
          <w:rFonts w:hint="eastAsia" w:ascii="宋体" w:hAnsi="宋体" w:cs="仿宋_GB2312"/>
          <w:color w:val="auto"/>
          <w:sz w:val="24"/>
        </w:rPr>
      </w:pPr>
      <w:r>
        <w:rPr>
          <w:rFonts w:hint="eastAsia" w:ascii="宋体" w:hAnsi="宋体" w:cs="仿宋_GB2312"/>
          <w:color w:val="auto"/>
          <w:sz w:val="24"/>
        </w:rPr>
        <w:t xml:space="preserve">                                </w:t>
      </w:r>
    </w:p>
    <w:p w14:paraId="4B310763">
      <w:pPr>
        <w:spacing w:line="360" w:lineRule="auto"/>
        <w:rPr>
          <w:rFonts w:hint="eastAsia" w:ascii="宋体" w:hAnsi="宋体" w:cs="仿宋_GB2312"/>
          <w:color w:val="auto"/>
          <w:sz w:val="24"/>
        </w:rPr>
      </w:pPr>
      <w:r>
        <w:rPr>
          <w:rFonts w:hint="eastAsia" w:ascii="宋体" w:hAnsi="宋体" w:cs="仿宋_GB2312"/>
          <w:color w:val="auto"/>
          <w:sz w:val="24"/>
        </w:rPr>
        <w:t xml:space="preserve">                         供应商（</w:t>
      </w:r>
      <w:r>
        <w:rPr>
          <w:rFonts w:hint="eastAsia" w:ascii="宋体" w:hAnsi="宋体" w:cs="宋体"/>
          <w:color w:val="auto"/>
          <w:sz w:val="24"/>
        </w:rPr>
        <w:t>电子签章</w:t>
      </w:r>
      <w:r>
        <w:rPr>
          <w:rFonts w:hint="eastAsia" w:ascii="宋体" w:hAnsi="宋体" w:cs="仿宋_GB2312"/>
          <w:color w:val="auto"/>
          <w:sz w:val="24"/>
        </w:rPr>
        <w:t xml:space="preserve">）：                      </w:t>
      </w:r>
    </w:p>
    <w:p w14:paraId="32F53602">
      <w:pPr>
        <w:spacing w:line="360" w:lineRule="auto"/>
        <w:rPr>
          <w:rFonts w:hint="eastAsia" w:ascii="宋体" w:hAnsi="宋体" w:cs="仿宋_GB2312"/>
          <w:color w:val="auto"/>
          <w:sz w:val="24"/>
        </w:rPr>
      </w:pPr>
      <w:r>
        <w:rPr>
          <w:rFonts w:hint="eastAsia" w:ascii="宋体" w:hAnsi="宋体" w:cs="仿宋_GB2312"/>
          <w:color w:val="auto"/>
          <w:sz w:val="24"/>
        </w:rPr>
        <w:t xml:space="preserve">                                         年    月    日</w:t>
      </w:r>
    </w:p>
    <w:p w14:paraId="0425CACA">
      <w:pPr>
        <w:spacing w:line="360" w:lineRule="auto"/>
        <w:rPr>
          <w:rFonts w:hint="eastAsia" w:ascii="宋体" w:hAnsi="宋体" w:cs="仿宋_GB2312"/>
          <w:color w:val="auto"/>
          <w:sz w:val="24"/>
        </w:rPr>
      </w:pPr>
    </w:p>
    <w:p w14:paraId="38E1559D">
      <w:pPr>
        <w:spacing w:line="360" w:lineRule="auto"/>
        <w:rPr>
          <w:rFonts w:hint="eastAsia" w:ascii="宋体" w:hAnsi="宋体" w:cs="仿宋_GB2312"/>
          <w:color w:val="auto"/>
          <w:sz w:val="24"/>
        </w:rPr>
      </w:pPr>
      <w:r>
        <w:rPr>
          <w:rFonts w:hint="eastAsia" w:ascii="宋体" w:hAnsi="宋体" w:cs="仿宋_GB2312"/>
          <w:color w:val="auto"/>
          <w:sz w:val="24"/>
        </w:rPr>
        <w:t>注：1. 法定代表人必须在授权委托书上亲笔签字或者盖章，委托代理人必须在授权委托书上亲笔签字，</w:t>
      </w:r>
      <w:r>
        <w:rPr>
          <w:rFonts w:hint="eastAsia" w:ascii="宋体" w:hAnsi="宋体" w:cs="仿宋_GB2312"/>
          <w:b/>
          <w:color w:val="auto"/>
          <w:sz w:val="24"/>
        </w:rPr>
        <w:t>否则其响应文件按无效响应处理。</w:t>
      </w:r>
    </w:p>
    <w:p w14:paraId="379E44A6">
      <w:pPr>
        <w:spacing w:line="360" w:lineRule="auto"/>
        <w:ind w:firstLine="480" w:firstLineChars="200"/>
        <w:jc w:val="left"/>
        <w:rPr>
          <w:rFonts w:hint="eastAsia" w:ascii="宋体" w:hAnsi="宋体" w:cs="仿宋_GB2312"/>
          <w:color w:val="auto"/>
          <w:sz w:val="24"/>
        </w:rPr>
      </w:pPr>
      <w:r>
        <w:rPr>
          <w:rFonts w:ascii="宋体" w:hAnsi="宋体" w:cs="仿宋_GB2312"/>
          <w:color w:val="auto"/>
          <w:sz w:val="24"/>
        </w:rPr>
        <w:t>2.</w:t>
      </w:r>
      <w:bookmarkStart w:id="47" w:name="_Hlk65853109"/>
      <w:bookmarkStart w:id="48" w:name="_Hlk65853542"/>
      <w:r>
        <w:rPr>
          <w:rFonts w:hint="eastAsia" w:ascii="宋体" w:hAnsi="宋体" w:cs="仿宋_GB2312"/>
          <w:color w:val="auto"/>
          <w:sz w:val="24"/>
        </w:rPr>
        <w:t>法人、其他组织竞标时“我方”是指“我单位”，自然人竞标时“我方”是指“本人”。</w:t>
      </w:r>
      <w:bookmarkEnd w:id="47"/>
    </w:p>
    <w:bookmarkEnd w:id="48"/>
    <w:p w14:paraId="4DBC5B43">
      <w:pPr>
        <w:spacing w:line="360" w:lineRule="auto"/>
        <w:ind w:firstLine="420" w:firstLineChars="200"/>
        <w:jc w:val="left"/>
        <w:rPr>
          <w:rFonts w:hint="eastAsia" w:ascii="仿宋_GB2312" w:hAnsi="仿宋_GB2312" w:eastAsia="仿宋_GB2312" w:cs="仿宋_GB2312"/>
          <w:color w:val="auto"/>
          <w:szCs w:val="21"/>
        </w:rPr>
      </w:pPr>
    </w:p>
    <w:p w14:paraId="4E05F3B4">
      <w:pPr>
        <w:rPr>
          <w:rFonts w:hint="eastAsia" w:ascii="仿宋_GB2312" w:hAnsi="仿宋_GB2312" w:eastAsia="仿宋_GB2312" w:cs="仿宋_GB2312"/>
          <w:color w:val="auto"/>
          <w:szCs w:val="21"/>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bCs/>
          <w:color w:val="auto"/>
          <w:sz w:val="44"/>
          <w:szCs w:val="44"/>
        </w:rPr>
        <w:t>6、磋商保证金提交凭证</w:t>
      </w:r>
    </w:p>
    <w:p w14:paraId="55631C7A">
      <w:pPr>
        <w:spacing w:line="360" w:lineRule="auto"/>
        <w:ind w:firstLine="602" w:firstLineChars="200"/>
        <w:rPr>
          <w:rFonts w:hint="eastAsia" w:ascii="宋体" w:hAnsi="宋体" w:cs="宋体"/>
          <w:b/>
          <w:color w:val="auto"/>
          <w:kern w:val="0"/>
          <w:sz w:val="30"/>
          <w:szCs w:val="30"/>
        </w:rPr>
      </w:pPr>
    </w:p>
    <w:p w14:paraId="5648573A">
      <w:pPr>
        <w:autoSpaceDE w:val="0"/>
        <w:autoSpaceDN w:val="0"/>
        <w:spacing w:line="360" w:lineRule="auto"/>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30471CEB">
      <w:pPr>
        <w:autoSpaceDE w:val="0"/>
        <w:autoSpaceDN w:val="0"/>
        <w:spacing w:line="360" w:lineRule="auto"/>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332D3CD6">
      <w:pPr>
        <w:spacing w:line="500" w:lineRule="exact"/>
        <w:jc w:val="center"/>
        <w:rPr>
          <w:rFonts w:hint="eastAsia" w:ascii="方正小标宋简体" w:hAnsi="方正小标宋简体" w:eastAsia="方正小标宋简体" w:cs="方正小标宋简体"/>
          <w:bCs/>
          <w:color w:val="auto"/>
          <w:sz w:val="44"/>
          <w:szCs w:val="44"/>
        </w:rPr>
      </w:pPr>
    </w:p>
    <w:p w14:paraId="6983B2EF">
      <w:pPr>
        <w:spacing w:line="500" w:lineRule="exact"/>
        <w:jc w:val="center"/>
        <w:rPr>
          <w:rFonts w:hint="eastAsia" w:ascii="方正小标宋简体" w:hAnsi="方正小标宋简体" w:eastAsia="方正小标宋简体" w:cs="方正小标宋简体"/>
          <w:bCs/>
          <w:color w:val="auto"/>
          <w:sz w:val="44"/>
          <w:szCs w:val="44"/>
        </w:rPr>
      </w:pPr>
    </w:p>
    <w:p w14:paraId="7C7468D1">
      <w:pPr>
        <w:spacing w:line="5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7、商务要求偏离表</w:t>
      </w:r>
    </w:p>
    <w:p w14:paraId="18E60CA5">
      <w:pPr>
        <w:spacing w:line="360" w:lineRule="auto"/>
        <w:contextualSpacing/>
        <w:jc w:val="left"/>
        <w:rPr>
          <w:rFonts w:hint="eastAsia" w:ascii="宋体" w:hAnsi="宋体"/>
          <w:color w:val="auto"/>
          <w:sz w:val="24"/>
        </w:rPr>
      </w:pPr>
    </w:p>
    <w:p w14:paraId="4C7FCD03">
      <w:pPr>
        <w:pStyle w:val="12"/>
        <w:spacing w:line="360" w:lineRule="auto"/>
        <w:contextualSpacing/>
        <w:rPr>
          <w:rFonts w:hint="eastAsia" w:hAnsi="宋体" w:cs="仿宋_GB2312"/>
          <w:color w:val="auto"/>
          <w:sz w:val="24"/>
          <w:szCs w:val="24"/>
        </w:rPr>
      </w:pPr>
      <w:r>
        <w:rPr>
          <w:rFonts w:hint="eastAsia" w:hAnsi="宋体" w:cs="仿宋_GB2312"/>
          <w:color w:val="auto"/>
          <w:sz w:val="24"/>
          <w:szCs w:val="24"/>
        </w:rPr>
        <w:t>所竞分标：</w:t>
      </w:r>
      <w:r>
        <w:rPr>
          <w:rFonts w:hint="eastAsia" w:hAnsi="宋体" w:cs="仿宋_GB2312"/>
          <w:color w:val="auto"/>
          <w:sz w:val="24"/>
          <w:szCs w:val="24"/>
          <w:u w:val="single"/>
        </w:rPr>
        <w:t xml:space="preserve">              </w:t>
      </w:r>
    </w:p>
    <w:p w14:paraId="5DE8D955">
      <w:pPr>
        <w:spacing w:line="360" w:lineRule="auto"/>
        <w:contextualSpacing/>
        <w:jc w:val="left"/>
        <w:rPr>
          <w:rFonts w:hint="eastAsia" w:ascii="宋体" w:hAnsi="宋体" w:cs="仿宋_GB2312"/>
          <w:color w:val="auto"/>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46FA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8E68BA3">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F87CC6C">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7BA2DC4">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C7A8C93">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偏离说明</w:t>
            </w:r>
          </w:p>
        </w:tc>
      </w:tr>
      <w:tr w14:paraId="1386D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7B04247D">
            <w:pPr>
              <w:tabs>
                <w:tab w:val="center" w:pos="4153"/>
                <w:tab w:val="right" w:pos="8306"/>
              </w:tabs>
              <w:snapToGrid w:val="0"/>
              <w:spacing w:line="400" w:lineRule="exact"/>
              <w:jc w:val="center"/>
              <w:rPr>
                <w:rFonts w:hint="eastAsia" w:ascii="宋体" w:hAnsi="宋体"/>
                <w:bCs/>
                <w:color w:val="auto"/>
                <w:sz w:val="24"/>
              </w:rPr>
            </w:pPr>
            <w:r>
              <w:rPr>
                <w:rFonts w:hint="eastAsia" w:ascii="宋体" w:hAnsi="宋体" w:cs="宋体"/>
                <w:bCs/>
                <w:color w:val="auto"/>
                <w:szCs w:val="21"/>
              </w:rPr>
              <w:t>竞标报价</w:t>
            </w:r>
          </w:p>
        </w:tc>
        <w:tc>
          <w:tcPr>
            <w:tcW w:w="2668" w:type="dxa"/>
            <w:tcBorders>
              <w:top w:val="single" w:color="auto" w:sz="4" w:space="0"/>
              <w:left w:val="single" w:color="auto" w:sz="4" w:space="0"/>
              <w:bottom w:val="single" w:color="auto" w:sz="4" w:space="0"/>
              <w:right w:val="single" w:color="auto" w:sz="4" w:space="0"/>
            </w:tcBorders>
            <w:vAlign w:val="center"/>
          </w:tcPr>
          <w:p w14:paraId="68F8CF03">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C2A8CD1">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76908E3">
            <w:pPr>
              <w:spacing w:line="360" w:lineRule="auto"/>
              <w:contextualSpacing/>
              <w:jc w:val="center"/>
              <w:rPr>
                <w:rFonts w:hint="eastAsia" w:ascii="宋体" w:hAnsi="宋体" w:cs="仿宋_GB2312"/>
                <w:color w:val="auto"/>
                <w:sz w:val="24"/>
              </w:rPr>
            </w:pPr>
          </w:p>
        </w:tc>
      </w:tr>
      <w:tr w14:paraId="21102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37638E33">
            <w:pPr>
              <w:tabs>
                <w:tab w:val="center" w:pos="4153"/>
                <w:tab w:val="right" w:pos="8306"/>
              </w:tabs>
              <w:snapToGrid w:val="0"/>
              <w:spacing w:line="400" w:lineRule="exact"/>
              <w:jc w:val="center"/>
              <w:rPr>
                <w:rFonts w:hint="eastAsia" w:ascii="宋体" w:hAnsi="宋体"/>
                <w:bCs/>
                <w:color w:val="auto"/>
                <w:sz w:val="24"/>
              </w:rPr>
            </w:pPr>
            <w:r>
              <w:rPr>
                <w:rFonts w:hint="eastAsia" w:ascii="宋体" w:hAnsi="宋体" w:cs="宋体"/>
                <w:bCs/>
                <w:color w:val="auto"/>
                <w:szCs w:val="21"/>
              </w:rPr>
              <w:t>合同签订</w:t>
            </w:r>
          </w:p>
        </w:tc>
        <w:tc>
          <w:tcPr>
            <w:tcW w:w="2668" w:type="dxa"/>
            <w:tcBorders>
              <w:top w:val="single" w:color="auto" w:sz="4" w:space="0"/>
              <w:left w:val="single" w:color="auto" w:sz="4" w:space="0"/>
              <w:bottom w:val="single" w:color="auto" w:sz="4" w:space="0"/>
              <w:right w:val="single" w:color="auto" w:sz="4" w:space="0"/>
            </w:tcBorders>
            <w:vAlign w:val="center"/>
          </w:tcPr>
          <w:p w14:paraId="01531558">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B668A23">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57CE5142">
            <w:pPr>
              <w:spacing w:line="360" w:lineRule="auto"/>
              <w:ind w:left="43"/>
              <w:contextualSpacing/>
              <w:jc w:val="center"/>
              <w:rPr>
                <w:rFonts w:hint="eastAsia" w:ascii="宋体" w:hAnsi="宋体" w:cs="仿宋_GB2312"/>
                <w:color w:val="auto"/>
                <w:sz w:val="24"/>
              </w:rPr>
            </w:pPr>
          </w:p>
        </w:tc>
      </w:tr>
      <w:tr w14:paraId="1D63C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4FF5D53">
            <w:pPr>
              <w:tabs>
                <w:tab w:val="center" w:pos="4153"/>
                <w:tab w:val="right" w:pos="8306"/>
              </w:tabs>
              <w:snapToGrid w:val="0"/>
              <w:spacing w:line="400" w:lineRule="exact"/>
              <w:jc w:val="center"/>
              <w:rPr>
                <w:rFonts w:hint="eastAsia" w:ascii="宋体" w:hAnsi="宋体" w:cs="仿宋_GB2312"/>
                <w:bCs/>
                <w:color w:val="auto"/>
                <w:sz w:val="24"/>
              </w:rPr>
            </w:pPr>
            <w:r>
              <w:rPr>
                <w:rFonts w:hint="eastAsia" w:ascii="宋体" w:hAnsi="宋体" w:cs="宋体"/>
                <w:bCs/>
                <w:color w:val="auto"/>
                <w:kern w:val="0"/>
                <w:szCs w:val="21"/>
              </w:rPr>
              <w:t>标准、规范</w:t>
            </w:r>
          </w:p>
        </w:tc>
        <w:tc>
          <w:tcPr>
            <w:tcW w:w="2668" w:type="dxa"/>
            <w:tcBorders>
              <w:top w:val="single" w:color="auto" w:sz="4" w:space="0"/>
              <w:left w:val="single" w:color="auto" w:sz="4" w:space="0"/>
              <w:bottom w:val="single" w:color="auto" w:sz="4" w:space="0"/>
              <w:right w:val="single" w:color="auto" w:sz="4" w:space="0"/>
            </w:tcBorders>
            <w:vAlign w:val="center"/>
          </w:tcPr>
          <w:p w14:paraId="53ABF0F9">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64866AA">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229731F2">
            <w:pPr>
              <w:spacing w:line="360" w:lineRule="auto"/>
              <w:contextualSpacing/>
              <w:jc w:val="center"/>
              <w:rPr>
                <w:rFonts w:hint="eastAsia" w:ascii="宋体" w:hAnsi="宋体" w:cs="仿宋_GB2312"/>
                <w:color w:val="auto"/>
                <w:sz w:val="24"/>
              </w:rPr>
            </w:pPr>
          </w:p>
        </w:tc>
      </w:tr>
      <w:tr w14:paraId="64D77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18F6108B">
            <w:pPr>
              <w:tabs>
                <w:tab w:val="left" w:pos="180"/>
                <w:tab w:val="left" w:pos="1620"/>
              </w:tabs>
              <w:spacing w:line="380" w:lineRule="exact"/>
              <w:jc w:val="center"/>
              <w:rPr>
                <w:rFonts w:hint="eastAsia" w:ascii="宋体" w:hAnsi="宋体" w:cs="仿宋"/>
                <w:color w:val="auto"/>
                <w:szCs w:val="21"/>
              </w:rPr>
            </w:pPr>
            <w:r>
              <w:rPr>
                <w:rFonts w:hint="eastAsia" w:ascii="宋体" w:hAnsi="宋体" w:cs="宋体"/>
                <w:b/>
                <w:bCs/>
                <w:color w:val="auto"/>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32E56AA1">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6387CEE">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601D7327">
            <w:pPr>
              <w:spacing w:line="360" w:lineRule="auto"/>
              <w:contextualSpacing/>
              <w:jc w:val="center"/>
              <w:rPr>
                <w:rFonts w:hint="eastAsia" w:ascii="宋体" w:hAnsi="宋体" w:cs="仿宋_GB2312"/>
                <w:color w:val="auto"/>
                <w:sz w:val="24"/>
              </w:rPr>
            </w:pPr>
          </w:p>
        </w:tc>
      </w:tr>
    </w:tbl>
    <w:p w14:paraId="3A07CADD">
      <w:pPr>
        <w:pStyle w:val="9"/>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注：</w:t>
      </w:r>
    </w:p>
    <w:p w14:paraId="57FE563A">
      <w:pPr>
        <w:pStyle w:val="9"/>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1. 说明：应对照磋商文件“第三章 采购需求”中的商务要求逐条作出明确响应，并作出偏离说明。</w:t>
      </w:r>
    </w:p>
    <w:p w14:paraId="533ED605">
      <w:pPr>
        <w:spacing w:line="360" w:lineRule="auto"/>
        <w:contextualSpacing/>
        <w:jc w:val="left"/>
        <w:rPr>
          <w:rFonts w:hint="eastAsia" w:ascii="宋体" w:hAnsi="宋体" w:cs="仿宋_GB2312"/>
          <w:color w:val="auto"/>
          <w:sz w:val="24"/>
          <w:u w:val="single"/>
        </w:rPr>
      </w:pPr>
      <w:r>
        <w:rPr>
          <w:rFonts w:hint="eastAsia" w:ascii="宋体" w:hAnsi="宋体"/>
          <w:color w:val="auto"/>
          <w:kern w:val="0"/>
          <w:sz w:val="24"/>
        </w:rPr>
        <w:t>2.供应商应根据自身的承诺，对照磋商文件要求在“偏离说明”中注明“正偏离”、“负偏离”或者“无偏离”。既不属于“正偏离”也不属于“负偏离”即为“无偏离”。</w:t>
      </w:r>
    </w:p>
    <w:p w14:paraId="2CA56DB0">
      <w:pPr>
        <w:spacing w:line="360" w:lineRule="auto"/>
        <w:ind w:right="-817" w:rightChars="-389"/>
        <w:contextualSpacing/>
        <w:rPr>
          <w:rFonts w:hint="eastAsia" w:ascii="宋体" w:hAnsi="宋体" w:cs="仿宋_GB2312"/>
          <w:color w:val="auto"/>
          <w:sz w:val="24"/>
        </w:rPr>
      </w:pPr>
    </w:p>
    <w:p w14:paraId="616DB3AE">
      <w:pPr>
        <w:spacing w:line="360" w:lineRule="auto"/>
        <w:ind w:right="-817" w:rightChars="-389" w:firstLine="960" w:firstLineChars="4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                    </w:t>
      </w:r>
    </w:p>
    <w:p w14:paraId="489303A3">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供应商（</w:t>
      </w:r>
      <w:r>
        <w:rPr>
          <w:rFonts w:hint="eastAsia" w:ascii="宋体" w:hAnsi="宋体" w:cs="宋体"/>
          <w:color w:val="auto"/>
          <w:sz w:val="24"/>
        </w:rPr>
        <w:t>电子签章</w:t>
      </w:r>
      <w:r>
        <w:rPr>
          <w:rFonts w:hint="eastAsia" w:ascii="宋体" w:hAnsi="宋体" w:cs="仿宋_GB2312"/>
          <w:color w:val="auto"/>
          <w:sz w:val="24"/>
        </w:rPr>
        <w:t xml:space="preserve">）：      </w:t>
      </w:r>
    </w:p>
    <w:p w14:paraId="4AFF4D7F">
      <w:pPr>
        <w:spacing w:line="360" w:lineRule="auto"/>
        <w:ind w:right="-817" w:rightChars="-389" w:firstLine="4080" w:firstLineChars="1700"/>
        <w:contextualSpacing/>
        <w:rPr>
          <w:rFonts w:hint="eastAsia"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3F4CCD57">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006E5209">
      <w:pPr>
        <w:numPr>
          <w:ilvl w:val="0"/>
          <w:numId w:val="3"/>
        </w:numPr>
        <w:adjustRightInd w:val="0"/>
        <w:snapToGrid w:val="0"/>
        <w:spacing w:line="300" w:lineRule="auto"/>
        <w:jc w:val="left"/>
        <w:rPr>
          <w:rFonts w:hint="eastAsia" w:ascii="方正小标宋简体" w:hAnsi="方正小标宋简体" w:eastAsia="方正小标宋简体" w:cs="方正小标宋简体"/>
          <w:bCs/>
          <w:color w:val="auto"/>
          <w:sz w:val="32"/>
          <w:szCs w:val="32"/>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服务方案</w:t>
      </w:r>
      <w:r>
        <w:rPr>
          <w:rFonts w:hint="eastAsia" w:ascii="方正小标宋简体" w:hAnsi="方正小标宋简体" w:eastAsia="方正小标宋简体" w:cs="方正小标宋简体"/>
          <w:bCs/>
          <w:color w:val="auto"/>
          <w:sz w:val="32"/>
          <w:szCs w:val="32"/>
        </w:rPr>
        <w:t>（竞标人自行编制）</w:t>
      </w:r>
    </w:p>
    <w:p w14:paraId="234DC510">
      <w:pPr>
        <w:spacing w:line="360" w:lineRule="auto"/>
        <w:ind w:firstLine="602" w:firstLineChars="200"/>
        <w:rPr>
          <w:rFonts w:hint="eastAsia" w:ascii="宋体" w:hAnsi="宋体" w:cs="宋体"/>
          <w:b/>
          <w:color w:val="auto"/>
          <w:kern w:val="0"/>
          <w:sz w:val="30"/>
          <w:szCs w:val="30"/>
        </w:rPr>
      </w:pPr>
    </w:p>
    <w:p w14:paraId="798DCD94">
      <w:pPr>
        <w:autoSpaceDE w:val="0"/>
        <w:autoSpaceDN w:val="0"/>
        <w:spacing w:line="360" w:lineRule="auto"/>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50149925">
      <w:pPr>
        <w:autoSpaceDE w:val="0"/>
        <w:autoSpaceDN w:val="0"/>
        <w:spacing w:line="360" w:lineRule="auto"/>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4143F1BD">
      <w:pPr>
        <w:autoSpaceDE w:val="0"/>
        <w:autoSpaceDN w:val="0"/>
        <w:spacing w:line="360" w:lineRule="auto"/>
        <w:rPr>
          <w:rFonts w:hint="eastAsia" w:ascii="宋体" w:hAnsi="宋体" w:cs="宋体"/>
          <w:b/>
          <w:color w:val="auto"/>
          <w:szCs w:val="21"/>
        </w:rPr>
      </w:pPr>
    </w:p>
    <w:p w14:paraId="669DBC92">
      <w:pPr>
        <w:autoSpaceDE w:val="0"/>
        <w:autoSpaceDN w:val="0"/>
        <w:spacing w:line="360" w:lineRule="auto"/>
        <w:rPr>
          <w:rFonts w:hint="eastAsia" w:ascii="宋体" w:hAnsi="宋体" w:cs="宋体"/>
          <w:b/>
          <w:color w:val="auto"/>
          <w:szCs w:val="21"/>
        </w:rPr>
      </w:pPr>
      <w:r>
        <w:rPr>
          <w:rFonts w:hint="eastAsia" w:ascii="宋体" w:hAnsi="宋体" w:cs="宋体"/>
          <w:b/>
          <w:color w:val="auto"/>
          <w:szCs w:val="21"/>
        </w:rPr>
        <w:t>附表A：售后服务机构情况表</w:t>
      </w:r>
      <w:r>
        <w:rPr>
          <w:rFonts w:hint="eastAsia" w:ascii="宋体" w:hAnsi="宋体" w:cs="宋体"/>
          <w:color w:val="auto"/>
          <w:szCs w:val="21"/>
        </w:rPr>
        <w:t>（按此格式自制）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6A1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C580FDE">
            <w:pPr>
              <w:autoSpaceDE w:val="0"/>
              <w:autoSpaceDN w:val="0"/>
              <w:spacing w:line="360" w:lineRule="auto"/>
              <w:jc w:val="center"/>
              <w:rPr>
                <w:rFonts w:hint="eastAsia" w:ascii="宋体" w:hAnsi="宋体" w:cs="宋体"/>
                <w:b/>
                <w:color w:val="auto"/>
                <w:szCs w:val="21"/>
              </w:rPr>
            </w:pPr>
            <w:r>
              <w:rPr>
                <w:rFonts w:hint="eastAsia" w:ascii="宋体" w:hAnsi="宋体" w:cs="宋体"/>
                <w:b/>
                <w:color w:val="auto"/>
                <w:szCs w:val="21"/>
              </w:rPr>
              <w:t>序号</w:t>
            </w:r>
          </w:p>
        </w:tc>
        <w:tc>
          <w:tcPr>
            <w:tcW w:w="2340" w:type="dxa"/>
            <w:vAlign w:val="center"/>
          </w:tcPr>
          <w:p w14:paraId="6965A7E4">
            <w:pPr>
              <w:autoSpaceDE w:val="0"/>
              <w:autoSpaceDN w:val="0"/>
              <w:spacing w:line="360" w:lineRule="auto"/>
              <w:jc w:val="center"/>
              <w:rPr>
                <w:rFonts w:hint="eastAsia" w:ascii="宋体" w:hAnsi="宋体" w:cs="宋体"/>
                <w:b/>
                <w:color w:val="auto"/>
                <w:szCs w:val="21"/>
              </w:rPr>
            </w:pPr>
            <w:r>
              <w:rPr>
                <w:rFonts w:hint="eastAsia" w:ascii="宋体" w:hAnsi="宋体" w:cs="宋体"/>
                <w:b/>
                <w:color w:val="auto"/>
                <w:szCs w:val="21"/>
              </w:rPr>
              <w:t>机构名称</w:t>
            </w:r>
          </w:p>
        </w:tc>
        <w:tc>
          <w:tcPr>
            <w:tcW w:w="1095" w:type="dxa"/>
            <w:vAlign w:val="center"/>
          </w:tcPr>
          <w:p w14:paraId="7BE6B369">
            <w:pPr>
              <w:autoSpaceDE w:val="0"/>
              <w:autoSpaceDN w:val="0"/>
              <w:spacing w:line="360" w:lineRule="auto"/>
              <w:jc w:val="center"/>
              <w:rPr>
                <w:rFonts w:hint="eastAsia" w:ascii="宋体" w:hAnsi="宋体" w:cs="宋体"/>
                <w:b/>
                <w:color w:val="auto"/>
                <w:szCs w:val="21"/>
              </w:rPr>
            </w:pPr>
            <w:r>
              <w:rPr>
                <w:rFonts w:hint="eastAsia" w:ascii="宋体" w:hAnsi="宋体" w:cs="宋体"/>
                <w:b/>
                <w:color w:val="auto"/>
                <w:szCs w:val="21"/>
              </w:rPr>
              <w:t>机构性质</w:t>
            </w:r>
          </w:p>
        </w:tc>
        <w:tc>
          <w:tcPr>
            <w:tcW w:w="1245" w:type="dxa"/>
            <w:vAlign w:val="center"/>
          </w:tcPr>
          <w:p w14:paraId="5C7DBE53">
            <w:pPr>
              <w:autoSpaceDE w:val="0"/>
              <w:autoSpaceDN w:val="0"/>
              <w:spacing w:line="360" w:lineRule="auto"/>
              <w:jc w:val="center"/>
              <w:rPr>
                <w:rFonts w:hint="eastAsia" w:ascii="宋体" w:hAnsi="宋体" w:cs="宋体"/>
                <w:b/>
                <w:color w:val="auto"/>
                <w:szCs w:val="21"/>
              </w:rPr>
            </w:pPr>
            <w:r>
              <w:rPr>
                <w:rFonts w:hint="eastAsia" w:ascii="宋体" w:hAnsi="宋体" w:cs="宋体"/>
                <w:b/>
                <w:color w:val="auto"/>
                <w:szCs w:val="21"/>
              </w:rPr>
              <w:t>注册地址</w:t>
            </w:r>
          </w:p>
        </w:tc>
        <w:tc>
          <w:tcPr>
            <w:tcW w:w="1980" w:type="dxa"/>
            <w:vAlign w:val="center"/>
          </w:tcPr>
          <w:p w14:paraId="5EFB67AB">
            <w:pPr>
              <w:autoSpaceDE w:val="0"/>
              <w:autoSpaceDN w:val="0"/>
              <w:spacing w:line="360" w:lineRule="auto"/>
              <w:jc w:val="center"/>
              <w:rPr>
                <w:rFonts w:hint="eastAsia" w:ascii="宋体" w:hAnsi="宋体" w:cs="宋体"/>
                <w:b/>
                <w:color w:val="auto"/>
                <w:szCs w:val="21"/>
              </w:rPr>
            </w:pPr>
            <w:r>
              <w:rPr>
                <w:rFonts w:hint="eastAsia" w:ascii="宋体" w:hAnsi="宋体" w:cs="宋体"/>
                <w:b/>
                <w:color w:val="auto"/>
                <w:szCs w:val="21"/>
              </w:rPr>
              <w:t>货物技术人员数量</w:t>
            </w:r>
          </w:p>
        </w:tc>
        <w:tc>
          <w:tcPr>
            <w:tcW w:w="1260" w:type="dxa"/>
            <w:vAlign w:val="center"/>
          </w:tcPr>
          <w:p w14:paraId="6DC4EC13">
            <w:pPr>
              <w:autoSpaceDE w:val="0"/>
              <w:autoSpaceDN w:val="0"/>
              <w:spacing w:line="360" w:lineRule="auto"/>
              <w:jc w:val="center"/>
              <w:rPr>
                <w:rFonts w:hint="eastAsia" w:ascii="宋体" w:hAnsi="宋体" w:cs="宋体"/>
                <w:b/>
                <w:color w:val="auto"/>
                <w:szCs w:val="21"/>
              </w:rPr>
            </w:pPr>
            <w:r>
              <w:rPr>
                <w:rFonts w:hint="eastAsia" w:ascii="宋体" w:hAnsi="宋体" w:cs="宋体"/>
                <w:b/>
                <w:color w:val="auto"/>
                <w:szCs w:val="21"/>
              </w:rPr>
              <w:t>联系电话</w:t>
            </w:r>
          </w:p>
        </w:tc>
      </w:tr>
      <w:tr w14:paraId="0122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vAlign w:val="center"/>
          </w:tcPr>
          <w:p w14:paraId="70213BB5">
            <w:pPr>
              <w:autoSpaceDE w:val="0"/>
              <w:autoSpaceDN w:val="0"/>
              <w:spacing w:line="360" w:lineRule="auto"/>
              <w:jc w:val="center"/>
              <w:rPr>
                <w:rFonts w:hint="eastAsia" w:ascii="宋体" w:hAnsi="宋体" w:cs="宋体"/>
                <w:color w:val="auto"/>
                <w:szCs w:val="21"/>
              </w:rPr>
            </w:pPr>
          </w:p>
        </w:tc>
        <w:tc>
          <w:tcPr>
            <w:tcW w:w="2340" w:type="dxa"/>
            <w:vAlign w:val="center"/>
          </w:tcPr>
          <w:p w14:paraId="45FC878A">
            <w:pPr>
              <w:autoSpaceDE w:val="0"/>
              <w:autoSpaceDN w:val="0"/>
              <w:spacing w:line="360" w:lineRule="auto"/>
              <w:jc w:val="center"/>
              <w:rPr>
                <w:rFonts w:hint="eastAsia" w:ascii="宋体" w:hAnsi="宋体" w:cs="宋体"/>
                <w:color w:val="auto"/>
                <w:szCs w:val="21"/>
              </w:rPr>
            </w:pPr>
          </w:p>
        </w:tc>
        <w:tc>
          <w:tcPr>
            <w:tcW w:w="1095" w:type="dxa"/>
            <w:vAlign w:val="center"/>
          </w:tcPr>
          <w:p w14:paraId="03E88B7C">
            <w:pPr>
              <w:autoSpaceDE w:val="0"/>
              <w:autoSpaceDN w:val="0"/>
              <w:spacing w:line="360" w:lineRule="auto"/>
              <w:jc w:val="center"/>
              <w:rPr>
                <w:rFonts w:hint="eastAsia" w:ascii="宋体" w:hAnsi="宋体" w:cs="宋体"/>
                <w:color w:val="auto"/>
                <w:szCs w:val="21"/>
              </w:rPr>
            </w:pPr>
          </w:p>
        </w:tc>
        <w:tc>
          <w:tcPr>
            <w:tcW w:w="1245" w:type="dxa"/>
            <w:vAlign w:val="center"/>
          </w:tcPr>
          <w:p w14:paraId="0B3BB911">
            <w:pPr>
              <w:autoSpaceDE w:val="0"/>
              <w:autoSpaceDN w:val="0"/>
              <w:spacing w:line="360" w:lineRule="auto"/>
              <w:jc w:val="center"/>
              <w:rPr>
                <w:rFonts w:hint="eastAsia" w:ascii="宋体" w:hAnsi="宋体" w:cs="宋体"/>
                <w:color w:val="auto"/>
                <w:szCs w:val="21"/>
              </w:rPr>
            </w:pPr>
          </w:p>
        </w:tc>
        <w:tc>
          <w:tcPr>
            <w:tcW w:w="1980" w:type="dxa"/>
            <w:vAlign w:val="center"/>
          </w:tcPr>
          <w:p w14:paraId="0D376A51">
            <w:pPr>
              <w:autoSpaceDE w:val="0"/>
              <w:autoSpaceDN w:val="0"/>
              <w:spacing w:line="360" w:lineRule="auto"/>
              <w:jc w:val="center"/>
              <w:rPr>
                <w:rFonts w:hint="eastAsia" w:ascii="宋体" w:hAnsi="宋体" w:cs="宋体"/>
                <w:color w:val="auto"/>
                <w:szCs w:val="21"/>
              </w:rPr>
            </w:pPr>
          </w:p>
        </w:tc>
        <w:tc>
          <w:tcPr>
            <w:tcW w:w="1260" w:type="dxa"/>
            <w:vAlign w:val="center"/>
          </w:tcPr>
          <w:p w14:paraId="21F64E30">
            <w:pPr>
              <w:autoSpaceDE w:val="0"/>
              <w:autoSpaceDN w:val="0"/>
              <w:spacing w:line="360" w:lineRule="auto"/>
              <w:jc w:val="center"/>
              <w:rPr>
                <w:rFonts w:hint="eastAsia" w:ascii="宋体" w:hAnsi="宋体" w:cs="宋体"/>
                <w:color w:val="auto"/>
                <w:szCs w:val="21"/>
              </w:rPr>
            </w:pPr>
          </w:p>
        </w:tc>
      </w:tr>
      <w:tr w14:paraId="7EBE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1DE6BEE2">
            <w:pPr>
              <w:autoSpaceDE w:val="0"/>
              <w:autoSpaceDN w:val="0"/>
              <w:spacing w:line="360" w:lineRule="auto"/>
              <w:jc w:val="center"/>
              <w:rPr>
                <w:rFonts w:hint="eastAsia" w:ascii="宋体" w:hAnsi="宋体" w:cs="宋体"/>
                <w:color w:val="auto"/>
                <w:szCs w:val="21"/>
              </w:rPr>
            </w:pPr>
          </w:p>
        </w:tc>
        <w:tc>
          <w:tcPr>
            <w:tcW w:w="2340" w:type="dxa"/>
            <w:vAlign w:val="center"/>
          </w:tcPr>
          <w:p w14:paraId="3835A31E">
            <w:pPr>
              <w:autoSpaceDE w:val="0"/>
              <w:autoSpaceDN w:val="0"/>
              <w:spacing w:line="360" w:lineRule="auto"/>
              <w:jc w:val="center"/>
              <w:rPr>
                <w:rFonts w:hint="eastAsia" w:ascii="宋体" w:hAnsi="宋体" w:cs="宋体"/>
                <w:color w:val="auto"/>
                <w:szCs w:val="21"/>
              </w:rPr>
            </w:pPr>
          </w:p>
        </w:tc>
        <w:tc>
          <w:tcPr>
            <w:tcW w:w="1095" w:type="dxa"/>
            <w:vAlign w:val="center"/>
          </w:tcPr>
          <w:p w14:paraId="7CBF9205">
            <w:pPr>
              <w:autoSpaceDE w:val="0"/>
              <w:autoSpaceDN w:val="0"/>
              <w:spacing w:line="360" w:lineRule="auto"/>
              <w:jc w:val="center"/>
              <w:rPr>
                <w:rFonts w:hint="eastAsia" w:ascii="宋体" w:hAnsi="宋体" w:cs="宋体"/>
                <w:color w:val="auto"/>
                <w:szCs w:val="21"/>
              </w:rPr>
            </w:pPr>
          </w:p>
        </w:tc>
        <w:tc>
          <w:tcPr>
            <w:tcW w:w="1245" w:type="dxa"/>
            <w:vAlign w:val="center"/>
          </w:tcPr>
          <w:p w14:paraId="5C51C359">
            <w:pPr>
              <w:autoSpaceDE w:val="0"/>
              <w:autoSpaceDN w:val="0"/>
              <w:spacing w:line="360" w:lineRule="auto"/>
              <w:jc w:val="center"/>
              <w:rPr>
                <w:rFonts w:hint="eastAsia" w:ascii="宋体" w:hAnsi="宋体" w:cs="宋体"/>
                <w:color w:val="auto"/>
                <w:szCs w:val="21"/>
              </w:rPr>
            </w:pPr>
          </w:p>
        </w:tc>
        <w:tc>
          <w:tcPr>
            <w:tcW w:w="1980" w:type="dxa"/>
            <w:vAlign w:val="center"/>
          </w:tcPr>
          <w:p w14:paraId="47C01F26">
            <w:pPr>
              <w:autoSpaceDE w:val="0"/>
              <w:autoSpaceDN w:val="0"/>
              <w:spacing w:line="360" w:lineRule="auto"/>
              <w:jc w:val="center"/>
              <w:rPr>
                <w:rFonts w:hint="eastAsia" w:ascii="宋体" w:hAnsi="宋体" w:cs="宋体"/>
                <w:color w:val="auto"/>
                <w:szCs w:val="21"/>
              </w:rPr>
            </w:pPr>
          </w:p>
        </w:tc>
        <w:tc>
          <w:tcPr>
            <w:tcW w:w="1260" w:type="dxa"/>
            <w:vAlign w:val="center"/>
          </w:tcPr>
          <w:p w14:paraId="3077CB46">
            <w:pPr>
              <w:autoSpaceDE w:val="0"/>
              <w:autoSpaceDN w:val="0"/>
              <w:spacing w:line="360" w:lineRule="auto"/>
              <w:jc w:val="center"/>
              <w:rPr>
                <w:rFonts w:hint="eastAsia" w:ascii="宋体" w:hAnsi="宋体" w:cs="宋体"/>
                <w:color w:val="auto"/>
                <w:szCs w:val="21"/>
              </w:rPr>
            </w:pPr>
          </w:p>
        </w:tc>
      </w:tr>
      <w:tr w14:paraId="09C7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5B300058">
            <w:pPr>
              <w:autoSpaceDE w:val="0"/>
              <w:autoSpaceDN w:val="0"/>
              <w:spacing w:line="360" w:lineRule="auto"/>
              <w:jc w:val="center"/>
              <w:rPr>
                <w:rFonts w:hint="eastAsia" w:ascii="宋体" w:hAnsi="宋体" w:cs="宋体"/>
                <w:color w:val="auto"/>
                <w:szCs w:val="21"/>
              </w:rPr>
            </w:pPr>
          </w:p>
        </w:tc>
        <w:tc>
          <w:tcPr>
            <w:tcW w:w="2340" w:type="dxa"/>
            <w:vAlign w:val="center"/>
          </w:tcPr>
          <w:p w14:paraId="5B8A13B2">
            <w:pPr>
              <w:autoSpaceDE w:val="0"/>
              <w:autoSpaceDN w:val="0"/>
              <w:spacing w:line="360" w:lineRule="auto"/>
              <w:jc w:val="center"/>
              <w:rPr>
                <w:rFonts w:hint="eastAsia" w:ascii="宋体" w:hAnsi="宋体" w:cs="宋体"/>
                <w:color w:val="auto"/>
                <w:szCs w:val="21"/>
              </w:rPr>
            </w:pPr>
          </w:p>
        </w:tc>
        <w:tc>
          <w:tcPr>
            <w:tcW w:w="1095" w:type="dxa"/>
            <w:vAlign w:val="center"/>
          </w:tcPr>
          <w:p w14:paraId="5B228ACC">
            <w:pPr>
              <w:autoSpaceDE w:val="0"/>
              <w:autoSpaceDN w:val="0"/>
              <w:spacing w:line="360" w:lineRule="auto"/>
              <w:jc w:val="center"/>
              <w:rPr>
                <w:rFonts w:hint="eastAsia" w:ascii="宋体" w:hAnsi="宋体" w:cs="宋体"/>
                <w:color w:val="auto"/>
                <w:szCs w:val="21"/>
              </w:rPr>
            </w:pPr>
          </w:p>
        </w:tc>
        <w:tc>
          <w:tcPr>
            <w:tcW w:w="1245" w:type="dxa"/>
            <w:vAlign w:val="center"/>
          </w:tcPr>
          <w:p w14:paraId="5733ACF8">
            <w:pPr>
              <w:autoSpaceDE w:val="0"/>
              <w:autoSpaceDN w:val="0"/>
              <w:spacing w:line="360" w:lineRule="auto"/>
              <w:jc w:val="center"/>
              <w:rPr>
                <w:rFonts w:hint="eastAsia" w:ascii="宋体" w:hAnsi="宋体" w:cs="宋体"/>
                <w:color w:val="auto"/>
                <w:szCs w:val="21"/>
              </w:rPr>
            </w:pPr>
          </w:p>
        </w:tc>
        <w:tc>
          <w:tcPr>
            <w:tcW w:w="1980" w:type="dxa"/>
            <w:vAlign w:val="center"/>
          </w:tcPr>
          <w:p w14:paraId="747F7F68">
            <w:pPr>
              <w:autoSpaceDE w:val="0"/>
              <w:autoSpaceDN w:val="0"/>
              <w:spacing w:line="360" w:lineRule="auto"/>
              <w:jc w:val="center"/>
              <w:rPr>
                <w:rFonts w:hint="eastAsia" w:ascii="宋体" w:hAnsi="宋体" w:cs="宋体"/>
                <w:color w:val="auto"/>
                <w:szCs w:val="21"/>
              </w:rPr>
            </w:pPr>
          </w:p>
        </w:tc>
        <w:tc>
          <w:tcPr>
            <w:tcW w:w="1260" w:type="dxa"/>
            <w:vAlign w:val="center"/>
          </w:tcPr>
          <w:p w14:paraId="5A47A666">
            <w:pPr>
              <w:autoSpaceDE w:val="0"/>
              <w:autoSpaceDN w:val="0"/>
              <w:spacing w:line="360" w:lineRule="auto"/>
              <w:jc w:val="center"/>
              <w:rPr>
                <w:rFonts w:hint="eastAsia" w:ascii="宋体" w:hAnsi="宋体" w:cs="宋体"/>
                <w:color w:val="auto"/>
                <w:szCs w:val="21"/>
              </w:rPr>
            </w:pPr>
          </w:p>
        </w:tc>
      </w:tr>
    </w:tbl>
    <w:p w14:paraId="478721B8">
      <w:pPr>
        <w:autoSpaceDE w:val="0"/>
        <w:autoSpaceDN w:val="0"/>
        <w:spacing w:line="360" w:lineRule="auto"/>
        <w:rPr>
          <w:rFonts w:hint="eastAsia" w:ascii="宋体" w:hAnsi="宋体" w:cs="宋体"/>
          <w:color w:val="auto"/>
          <w:kern w:val="0"/>
          <w:szCs w:val="21"/>
        </w:rPr>
      </w:pPr>
      <w:r>
        <w:rPr>
          <w:rFonts w:hint="eastAsia" w:ascii="宋体" w:hAnsi="宋体" w:cs="宋体"/>
          <w:b/>
          <w:color w:val="auto"/>
          <w:szCs w:val="21"/>
        </w:rPr>
        <w:t>注：关于项目涉及的所有售后服务机构均在本表注明，包括供应商本单位和符合条件的第三方货物机构；</w:t>
      </w:r>
    </w:p>
    <w:p w14:paraId="26257021">
      <w:pPr>
        <w:autoSpaceDE w:val="0"/>
        <w:autoSpaceDN w:val="0"/>
        <w:spacing w:line="360" w:lineRule="auto"/>
        <w:rPr>
          <w:rFonts w:hint="eastAsia" w:ascii="宋体" w:hAnsi="宋体" w:cs="宋体"/>
          <w:color w:val="auto"/>
          <w:kern w:val="0"/>
          <w:szCs w:val="21"/>
        </w:rPr>
      </w:pPr>
      <w:r>
        <w:rPr>
          <w:rFonts w:hint="eastAsia" w:ascii="宋体" w:hAnsi="宋体" w:cs="宋体"/>
          <w:b/>
          <w:color w:val="auto"/>
          <w:kern w:val="0"/>
          <w:szCs w:val="21"/>
        </w:rPr>
        <w:t>附表B：售后服务人员情况表</w:t>
      </w:r>
      <w:r>
        <w:rPr>
          <w:rFonts w:hint="eastAsia" w:ascii="宋体" w:hAnsi="宋体" w:cs="宋体"/>
          <w:color w:val="auto"/>
          <w:szCs w:val="21"/>
        </w:rPr>
        <w:t>（按此格式自制）</w:t>
      </w:r>
    </w:p>
    <w:tbl>
      <w:tblPr>
        <w:tblStyle w:val="22"/>
        <w:tblW w:w="10002" w:type="dxa"/>
        <w:jc w:val="center"/>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18DE9912">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54B6521">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38734CE0">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A58F575">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01CD594F">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3DE7C9F9">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003C17A0">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1C630827">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E3C8E66">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142F92D5">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0020BC91">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2EEA939">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到达现场时间</w:t>
            </w:r>
          </w:p>
        </w:tc>
      </w:tr>
      <w:tr w14:paraId="486C0C4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2EA31395">
            <w:pPr>
              <w:autoSpaceDE w:val="0"/>
              <w:autoSpaceDN w:val="0"/>
              <w:spacing w:line="360" w:lineRule="auto"/>
              <w:jc w:val="center"/>
              <w:rPr>
                <w:rFonts w:hint="eastAsia" w:ascii="宋体" w:hAnsi="宋体" w:cs="宋体"/>
                <w:color w:val="auto"/>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4132FCBB">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5C16599A">
            <w:pPr>
              <w:autoSpaceDE w:val="0"/>
              <w:autoSpaceDN w:val="0"/>
              <w:spacing w:line="360" w:lineRule="auto"/>
              <w:rPr>
                <w:rFonts w:hint="eastAsia" w:ascii="宋体" w:hAnsi="宋体" w:cs="宋体"/>
                <w:color w:val="auto"/>
                <w:szCs w:val="21"/>
              </w:rPr>
            </w:pPr>
          </w:p>
        </w:tc>
        <w:tc>
          <w:tcPr>
            <w:tcW w:w="685" w:type="dxa"/>
            <w:tcBorders>
              <w:top w:val="single" w:color="auto" w:sz="6" w:space="0"/>
              <w:left w:val="single" w:color="auto" w:sz="6" w:space="0"/>
              <w:bottom w:val="single" w:color="auto" w:sz="6" w:space="0"/>
              <w:right w:val="single" w:color="auto" w:sz="6" w:space="0"/>
            </w:tcBorders>
            <w:vAlign w:val="center"/>
          </w:tcPr>
          <w:p w14:paraId="60784C00">
            <w:pPr>
              <w:autoSpaceDE w:val="0"/>
              <w:autoSpaceDN w:val="0"/>
              <w:spacing w:line="360" w:lineRule="auto"/>
              <w:rPr>
                <w:rFonts w:hint="eastAsia" w:ascii="宋体" w:hAnsi="宋体" w:cs="宋体"/>
                <w:color w:val="auto"/>
                <w:szCs w:val="21"/>
              </w:rPr>
            </w:pPr>
          </w:p>
        </w:tc>
        <w:tc>
          <w:tcPr>
            <w:tcW w:w="705" w:type="dxa"/>
            <w:tcBorders>
              <w:top w:val="single" w:color="auto" w:sz="6" w:space="0"/>
              <w:left w:val="single" w:color="auto" w:sz="6" w:space="0"/>
              <w:bottom w:val="single" w:color="auto" w:sz="6" w:space="0"/>
              <w:right w:val="single" w:color="auto" w:sz="6" w:space="0"/>
            </w:tcBorders>
            <w:vAlign w:val="center"/>
          </w:tcPr>
          <w:p w14:paraId="02087ACA">
            <w:pPr>
              <w:autoSpaceDE w:val="0"/>
              <w:autoSpaceDN w:val="0"/>
              <w:spacing w:line="360" w:lineRule="auto"/>
              <w:rPr>
                <w:rFonts w:hint="eastAsia" w:ascii="宋体" w:hAnsi="宋体" w:cs="宋体"/>
                <w:color w:val="auto"/>
                <w:szCs w:val="21"/>
              </w:rPr>
            </w:pPr>
          </w:p>
        </w:tc>
        <w:tc>
          <w:tcPr>
            <w:tcW w:w="1002" w:type="dxa"/>
            <w:tcBorders>
              <w:top w:val="single" w:color="auto" w:sz="6" w:space="0"/>
              <w:left w:val="single" w:color="auto" w:sz="6" w:space="0"/>
              <w:bottom w:val="single" w:color="auto" w:sz="6" w:space="0"/>
              <w:right w:val="single" w:color="auto" w:sz="6" w:space="0"/>
            </w:tcBorders>
            <w:vAlign w:val="center"/>
          </w:tcPr>
          <w:p w14:paraId="1A5B423F">
            <w:pPr>
              <w:autoSpaceDE w:val="0"/>
              <w:autoSpaceDN w:val="0"/>
              <w:spacing w:line="360" w:lineRule="auto"/>
              <w:rPr>
                <w:rFonts w:hint="eastAsia" w:ascii="宋体" w:hAnsi="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3A091A78">
            <w:pPr>
              <w:autoSpaceDE w:val="0"/>
              <w:autoSpaceDN w:val="0"/>
              <w:spacing w:line="360" w:lineRule="auto"/>
              <w:rPr>
                <w:rFonts w:hint="eastAsia" w:ascii="宋体" w:hAnsi="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0A494530">
            <w:pPr>
              <w:autoSpaceDE w:val="0"/>
              <w:autoSpaceDN w:val="0"/>
              <w:spacing w:line="360" w:lineRule="auto"/>
              <w:rPr>
                <w:rFonts w:hint="eastAsia" w:ascii="宋体" w:hAnsi="宋体" w:cs="宋体"/>
                <w:color w:val="auto"/>
                <w:szCs w:val="21"/>
              </w:rPr>
            </w:pPr>
          </w:p>
        </w:tc>
        <w:tc>
          <w:tcPr>
            <w:tcW w:w="1098" w:type="dxa"/>
            <w:tcBorders>
              <w:top w:val="single" w:color="auto" w:sz="6" w:space="0"/>
              <w:left w:val="single" w:color="auto" w:sz="6" w:space="0"/>
              <w:bottom w:val="single" w:color="auto" w:sz="6" w:space="0"/>
              <w:right w:val="single" w:color="auto" w:sz="6" w:space="0"/>
            </w:tcBorders>
            <w:vAlign w:val="center"/>
          </w:tcPr>
          <w:p w14:paraId="37F002E0">
            <w:pPr>
              <w:autoSpaceDE w:val="0"/>
              <w:autoSpaceDN w:val="0"/>
              <w:spacing w:line="360" w:lineRule="auto"/>
              <w:rPr>
                <w:rFonts w:hint="eastAsia" w:ascii="宋体" w:hAnsi="宋体" w:cs="宋体"/>
                <w:color w:val="auto"/>
                <w:szCs w:val="21"/>
              </w:rPr>
            </w:pPr>
          </w:p>
        </w:tc>
        <w:tc>
          <w:tcPr>
            <w:tcW w:w="1062" w:type="dxa"/>
            <w:tcBorders>
              <w:top w:val="single" w:color="auto" w:sz="6" w:space="0"/>
              <w:left w:val="single" w:color="auto" w:sz="6" w:space="0"/>
              <w:bottom w:val="single" w:color="auto" w:sz="6" w:space="0"/>
              <w:right w:val="single" w:color="auto" w:sz="6" w:space="0"/>
            </w:tcBorders>
            <w:vAlign w:val="center"/>
          </w:tcPr>
          <w:p w14:paraId="0DAB2D4F">
            <w:pPr>
              <w:autoSpaceDE w:val="0"/>
              <w:autoSpaceDN w:val="0"/>
              <w:spacing w:line="360" w:lineRule="auto"/>
              <w:rPr>
                <w:rFonts w:hint="eastAsia" w:ascii="宋体" w:hAnsi="宋体" w:cs="宋体"/>
                <w:color w:val="auto"/>
                <w:szCs w:val="21"/>
              </w:rPr>
            </w:pPr>
          </w:p>
        </w:tc>
        <w:tc>
          <w:tcPr>
            <w:tcW w:w="1111" w:type="dxa"/>
            <w:tcBorders>
              <w:top w:val="single" w:color="auto" w:sz="6" w:space="0"/>
              <w:left w:val="single" w:color="auto" w:sz="6" w:space="0"/>
              <w:bottom w:val="single" w:color="auto" w:sz="6" w:space="0"/>
              <w:right w:val="single" w:color="auto" w:sz="6" w:space="0"/>
            </w:tcBorders>
            <w:vAlign w:val="center"/>
          </w:tcPr>
          <w:p w14:paraId="7AF5F2AF">
            <w:pPr>
              <w:autoSpaceDE w:val="0"/>
              <w:autoSpaceDN w:val="0"/>
              <w:spacing w:line="360" w:lineRule="auto"/>
              <w:rPr>
                <w:rFonts w:hint="eastAsia" w:ascii="宋体" w:hAnsi="宋体" w:cs="宋体"/>
                <w:color w:val="auto"/>
                <w:szCs w:val="21"/>
              </w:rPr>
            </w:pPr>
          </w:p>
        </w:tc>
      </w:tr>
      <w:tr w14:paraId="4965908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741EC3A5">
            <w:pPr>
              <w:autoSpaceDE w:val="0"/>
              <w:autoSpaceDN w:val="0"/>
              <w:spacing w:line="360" w:lineRule="auto"/>
              <w:jc w:val="center"/>
              <w:rPr>
                <w:rFonts w:hint="eastAsia" w:ascii="宋体" w:hAnsi="宋体" w:cs="宋体"/>
                <w:color w:val="auto"/>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5B448D52">
            <w:pPr>
              <w:autoSpaceDE w:val="0"/>
              <w:autoSpaceDN w:val="0"/>
              <w:spacing w:line="360" w:lineRule="auto"/>
              <w:jc w:val="center"/>
              <w:rPr>
                <w:rFonts w:hint="eastAsia" w:ascii="宋体" w:hAnsi="宋体" w:cs="宋体"/>
                <w:color w:val="auto"/>
                <w:szCs w:val="21"/>
              </w:rPr>
            </w:pPr>
            <w:r>
              <w:rPr>
                <w:rFonts w:hint="eastAsia" w:ascii="宋体" w:hAnsi="宋体" w:cs="宋体"/>
                <w:color w:val="auto"/>
                <w:szCs w:val="21"/>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6FEE70B5">
            <w:pPr>
              <w:autoSpaceDE w:val="0"/>
              <w:autoSpaceDN w:val="0"/>
              <w:spacing w:line="360" w:lineRule="auto"/>
              <w:rPr>
                <w:rFonts w:hint="eastAsia" w:ascii="宋体" w:hAnsi="宋体" w:cs="宋体"/>
                <w:color w:val="auto"/>
                <w:szCs w:val="21"/>
              </w:rPr>
            </w:pPr>
          </w:p>
        </w:tc>
        <w:tc>
          <w:tcPr>
            <w:tcW w:w="685" w:type="dxa"/>
            <w:tcBorders>
              <w:top w:val="single" w:color="auto" w:sz="6" w:space="0"/>
              <w:left w:val="single" w:color="auto" w:sz="6" w:space="0"/>
              <w:bottom w:val="single" w:color="auto" w:sz="6" w:space="0"/>
              <w:right w:val="single" w:color="auto" w:sz="6" w:space="0"/>
            </w:tcBorders>
            <w:vAlign w:val="center"/>
          </w:tcPr>
          <w:p w14:paraId="2966BB81">
            <w:pPr>
              <w:autoSpaceDE w:val="0"/>
              <w:autoSpaceDN w:val="0"/>
              <w:spacing w:line="360" w:lineRule="auto"/>
              <w:rPr>
                <w:rFonts w:hint="eastAsia" w:ascii="宋体" w:hAnsi="宋体" w:cs="宋体"/>
                <w:color w:val="auto"/>
                <w:szCs w:val="21"/>
              </w:rPr>
            </w:pPr>
          </w:p>
        </w:tc>
        <w:tc>
          <w:tcPr>
            <w:tcW w:w="705" w:type="dxa"/>
            <w:tcBorders>
              <w:top w:val="single" w:color="auto" w:sz="6" w:space="0"/>
              <w:left w:val="single" w:color="auto" w:sz="6" w:space="0"/>
              <w:bottom w:val="single" w:color="auto" w:sz="6" w:space="0"/>
              <w:right w:val="single" w:color="auto" w:sz="6" w:space="0"/>
            </w:tcBorders>
            <w:vAlign w:val="center"/>
          </w:tcPr>
          <w:p w14:paraId="6533FF21">
            <w:pPr>
              <w:autoSpaceDE w:val="0"/>
              <w:autoSpaceDN w:val="0"/>
              <w:spacing w:line="360" w:lineRule="auto"/>
              <w:rPr>
                <w:rFonts w:hint="eastAsia" w:ascii="宋体" w:hAnsi="宋体" w:cs="宋体"/>
                <w:color w:val="auto"/>
                <w:szCs w:val="21"/>
              </w:rPr>
            </w:pPr>
          </w:p>
        </w:tc>
        <w:tc>
          <w:tcPr>
            <w:tcW w:w="1002" w:type="dxa"/>
            <w:tcBorders>
              <w:top w:val="single" w:color="auto" w:sz="6" w:space="0"/>
              <w:left w:val="single" w:color="auto" w:sz="6" w:space="0"/>
              <w:bottom w:val="single" w:color="auto" w:sz="6" w:space="0"/>
              <w:right w:val="single" w:color="auto" w:sz="6" w:space="0"/>
            </w:tcBorders>
            <w:vAlign w:val="center"/>
          </w:tcPr>
          <w:p w14:paraId="16CF88D5">
            <w:pPr>
              <w:autoSpaceDE w:val="0"/>
              <w:autoSpaceDN w:val="0"/>
              <w:spacing w:line="360" w:lineRule="auto"/>
              <w:rPr>
                <w:rFonts w:hint="eastAsia" w:ascii="宋体" w:hAnsi="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32C0FFD0">
            <w:pPr>
              <w:autoSpaceDE w:val="0"/>
              <w:autoSpaceDN w:val="0"/>
              <w:spacing w:line="360" w:lineRule="auto"/>
              <w:rPr>
                <w:rFonts w:hint="eastAsia" w:ascii="宋体" w:hAnsi="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31229D63">
            <w:pPr>
              <w:autoSpaceDE w:val="0"/>
              <w:autoSpaceDN w:val="0"/>
              <w:spacing w:line="360" w:lineRule="auto"/>
              <w:rPr>
                <w:rFonts w:hint="eastAsia" w:ascii="宋体" w:hAnsi="宋体" w:cs="宋体"/>
                <w:color w:val="auto"/>
                <w:szCs w:val="21"/>
              </w:rPr>
            </w:pPr>
          </w:p>
        </w:tc>
        <w:tc>
          <w:tcPr>
            <w:tcW w:w="1098" w:type="dxa"/>
            <w:tcBorders>
              <w:top w:val="single" w:color="auto" w:sz="6" w:space="0"/>
              <w:left w:val="single" w:color="auto" w:sz="6" w:space="0"/>
              <w:bottom w:val="single" w:color="auto" w:sz="6" w:space="0"/>
              <w:right w:val="single" w:color="auto" w:sz="6" w:space="0"/>
            </w:tcBorders>
            <w:vAlign w:val="center"/>
          </w:tcPr>
          <w:p w14:paraId="17FCBC1A">
            <w:pPr>
              <w:autoSpaceDE w:val="0"/>
              <w:autoSpaceDN w:val="0"/>
              <w:spacing w:line="360" w:lineRule="auto"/>
              <w:rPr>
                <w:rFonts w:hint="eastAsia" w:ascii="宋体" w:hAnsi="宋体" w:cs="宋体"/>
                <w:color w:val="auto"/>
                <w:szCs w:val="21"/>
              </w:rPr>
            </w:pPr>
          </w:p>
        </w:tc>
        <w:tc>
          <w:tcPr>
            <w:tcW w:w="1062" w:type="dxa"/>
            <w:tcBorders>
              <w:top w:val="single" w:color="auto" w:sz="6" w:space="0"/>
              <w:left w:val="single" w:color="auto" w:sz="6" w:space="0"/>
              <w:bottom w:val="single" w:color="auto" w:sz="6" w:space="0"/>
              <w:right w:val="single" w:color="auto" w:sz="6" w:space="0"/>
            </w:tcBorders>
            <w:vAlign w:val="center"/>
          </w:tcPr>
          <w:p w14:paraId="55C902D1">
            <w:pPr>
              <w:autoSpaceDE w:val="0"/>
              <w:autoSpaceDN w:val="0"/>
              <w:spacing w:line="360" w:lineRule="auto"/>
              <w:rPr>
                <w:rFonts w:hint="eastAsia" w:ascii="宋体" w:hAnsi="宋体" w:cs="宋体"/>
                <w:color w:val="auto"/>
                <w:szCs w:val="21"/>
              </w:rPr>
            </w:pPr>
          </w:p>
        </w:tc>
        <w:tc>
          <w:tcPr>
            <w:tcW w:w="1111" w:type="dxa"/>
            <w:tcBorders>
              <w:top w:val="single" w:color="auto" w:sz="6" w:space="0"/>
              <w:left w:val="single" w:color="auto" w:sz="6" w:space="0"/>
              <w:bottom w:val="single" w:color="auto" w:sz="6" w:space="0"/>
              <w:right w:val="single" w:color="auto" w:sz="6" w:space="0"/>
            </w:tcBorders>
            <w:vAlign w:val="center"/>
          </w:tcPr>
          <w:p w14:paraId="1B7DEFCF">
            <w:pPr>
              <w:autoSpaceDE w:val="0"/>
              <w:autoSpaceDN w:val="0"/>
              <w:spacing w:line="360" w:lineRule="auto"/>
              <w:rPr>
                <w:rFonts w:hint="eastAsia" w:ascii="宋体" w:hAnsi="宋体" w:cs="宋体"/>
                <w:color w:val="auto"/>
                <w:szCs w:val="21"/>
              </w:rPr>
            </w:pPr>
          </w:p>
        </w:tc>
      </w:tr>
      <w:tr w14:paraId="4C87921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5867151D">
            <w:pPr>
              <w:autoSpaceDE w:val="0"/>
              <w:autoSpaceDN w:val="0"/>
              <w:spacing w:line="360" w:lineRule="auto"/>
              <w:jc w:val="center"/>
              <w:rPr>
                <w:rFonts w:hint="eastAsia" w:ascii="宋体" w:hAnsi="宋体" w:cs="宋体"/>
                <w:color w:val="auto"/>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05A1D39A">
            <w:pPr>
              <w:autoSpaceDE w:val="0"/>
              <w:autoSpaceDN w:val="0"/>
              <w:spacing w:line="360" w:lineRule="auto"/>
              <w:jc w:val="center"/>
              <w:rPr>
                <w:rFonts w:hint="eastAsia" w:ascii="宋体" w:hAnsi="宋体" w:cs="宋体"/>
                <w:color w:val="auto"/>
                <w:szCs w:val="21"/>
              </w:rPr>
            </w:pPr>
          </w:p>
        </w:tc>
        <w:tc>
          <w:tcPr>
            <w:tcW w:w="787" w:type="dxa"/>
            <w:tcBorders>
              <w:top w:val="single" w:color="auto" w:sz="6" w:space="0"/>
              <w:left w:val="single" w:color="auto" w:sz="6" w:space="0"/>
              <w:bottom w:val="single" w:color="auto" w:sz="6" w:space="0"/>
              <w:right w:val="single" w:color="auto" w:sz="6" w:space="0"/>
            </w:tcBorders>
            <w:vAlign w:val="center"/>
          </w:tcPr>
          <w:p w14:paraId="2C3F7B29">
            <w:pPr>
              <w:autoSpaceDE w:val="0"/>
              <w:autoSpaceDN w:val="0"/>
              <w:spacing w:line="360" w:lineRule="auto"/>
              <w:rPr>
                <w:rFonts w:hint="eastAsia" w:ascii="宋体" w:hAnsi="宋体" w:cs="宋体"/>
                <w:color w:val="auto"/>
                <w:szCs w:val="21"/>
              </w:rPr>
            </w:pPr>
          </w:p>
        </w:tc>
        <w:tc>
          <w:tcPr>
            <w:tcW w:w="685" w:type="dxa"/>
            <w:tcBorders>
              <w:top w:val="single" w:color="auto" w:sz="6" w:space="0"/>
              <w:left w:val="single" w:color="auto" w:sz="6" w:space="0"/>
              <w:bottom w:val="single" w:color="auto" w:sz="6" w:space="0"/>
              <w:right w:val="single" w:color="auto" w:sz="6" w:space="0"/>
            </w:tcBorders>
            <w:vAlign w:val="center"/>
          </w:tcPr>
          <w:p w14:paraId="1A64A0EC">
            <w:pPr>
              <w:autoSpaceDE w:val="0"/>
              <w:autoSpaceDN w:val="0"/>
              <w:spacing w:line="360" w:lineRule="auto"/>
              <w:rPr>
                <w:rFonts w:hint="eastAsia" w:ascii="宋体" w:hAnsi="宋体" w:cs="宋体"/>
                <w:color w:val="auto"/>
                <w:szCs w:val="21"/>
              </w:rPr>
            </w:pPr>
          </w:p>
        </w:tc>
        <w:tc>
          <w:tcPr>
            <w:tcW w:w="705" w:type="dxa"/>
            <w:tcBorders>
              <w:top w:val="single" w:color="auto" w:sz="6" w:space="0"/>
              <w:left w:val="single" w:color="auto" w:sz="6" w:space="0"/>
              <w:bottom w:val="single" w:color="auto" w:sz="6" w:space="0"/>
              <w:right w:val="single" w:color="auto" w:sz="6" w:space="0"/>
            </w:tcBorders>
            <w:vAlign w:val="center"/>
          </w:tcPr>
          <w:p w14:paraId="217E4D16">
            <w:pPr>
              <w:autoSpaceDE w:val="0"/>
              <w:autoSpaceDN w:val="0"/>
              <w:spacing w:line="360" w:lineRule="auto"/>
              <w:rPr>
                <w:rFonts w:hint="eastAsia" w:ascii="宋体" w:hAnsi="宋体" w:cs="宋体"/>
                <w:color w:val="auto"/>
                <w:szCs w:val="21"/>
              </w:rPr>
            </w:pPr>
          </w:p>
        </w:tc>
        <w:tc>
          <w:tcPr>
            <w:tcW w:w="1002" w:type="dxa"/>
            <w:tcBorders>
              <w:top w:val="single" w:color="auto" w:sz="6" w:space="0"/>
              <w:left w:val="single" w:color="auto" w:sz="6" w:space="0"/>
              <w:bottom w:val="single" w:color="auto" w:sz="6" w:space="0"/>
              <w:right w:val="single" w:color="auto" w:sz="6" w:space="0"/>
            </w:tcBorders>
            <w:vAlign w:val="center"/>
          </w:tcPr>
          <w:p w14:paraId="0560062F">
            <w:pPr>
              <w:autoSpaceDE w:val="0"/>
              <w:autoSpaceDN w:val="0"/>
              <w:spacing w:line="360" w:lineRule="auto"/>
              <w:rPr>
                <w:rFonts w:hint="eastAsia" w:ascii="宋体" w:hAnsi="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4FD9ED99">
            <w:pPr>
              <w:autoSpaceDE w:val="0"/>
              <w:autoSpaceDN w:val="0"/>
              <w:spacing w:line="360" w:lineRule="auto"/>
              <w:rPr>
                <w:rFonts w:hint="eastAsia" w:ascii="宋体" w:hAnsi="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767CED15">
            <w:pPr>
              <w:autoSpaceDE w:val="0"/>
              <w:autoSpaceDN w:val="0"/>
              <w:spacing w:line="360" w:lineRule="auto"/>
              <w:rPr>
                <w:rFonts w:hint="eastAsia" w:ascii="宋体" w:hAnsi="宋体" w:cs="宋体"/>
                <w:color w:val="auto"/>
                <w:szCs w:val="21"/>
              </w:rPr>
            </w:pPr>
          </w:p>
        </w:tc>
        <w:tc>
          <w:tcPr>
            <w:tcW w:w="1098" w:type="dxa"/>
            <w:tcBorders>
              <w:top w:val="single" w:color="auto" w:sz="6" w:space="0"/>
              <w:left w:val="single" w:color="auto" w:sz="6" w:space="0"/>
              <w:bottom w:val="single" w:color="auto" w:sz="6" w:space="0"/>
              <w:right w:val="single" w:color="auto" w:sz="6" w:space="0"/>
            </w:tcBorders>
            <w:vAlign w:val="center"/>
          </w:tcPr>
          <w:p w14:paraId="31A02B0D">
            <w:pPr>
              <w:autoSpaceDE w:val="0"/>
              <w:autoSpaceDN w:val="0"/>
              <w:spacing w:line="360" w:lineRule="auto"/>
              <w:rPr>
                <w:rFonts w:hint="eastAsia" w:ascii="宋体" w:hAnsi="宋体" w:cs="宋体"/>
                <w:color w:val="auto"/>
                <w:szCs w:val="21"/>
              </w:rPr>
            </w:pPr>
          </w:p>
        </w:tc>
        <w:tc>
          <w:tcPr>
            <w:tcW w:w="1062" w:type="dxa"/>
            <w:tcBorders>
              <w:top w:val="single" w:color="auto" w:sz="6" w:space="0"/>
              <w:left w:val="single" w:color="auto" w:sz="6" w:space="0"/>
              <w:bottom w:val="single" w:color="auto" w:sz="6" w:space="0"/>
              <w:right w:val="single" w:color="auto" w:sz="6" w:space="0"/>
            </w:tcBorders>
            <w:vAlign w:val="center"/>
          </w:tcPr>
          <w:p w14:paraId="68A06544">
            <w:pPr>
              <w:autoSpaceDE w:val="0"/>
              <w:autoSpaceDN w:val="0"/>
              <w:spacing w:line="360" w:lineRule="auto"/>
              <w:rPr>
                <w:rFonts w:hint="eastAsia" w:ascii="宋体" w:hAnsi="宋体" w:cs="宋体"/>
                <w:color w:val="auto"/>
                <w:szCs w:val="21"/>
              </w:rPr>
            </w:pPr>
          </w:p>
        </w:tc>
        <w:tc>
          <w:tcPr>
            <w:tcW w:w="1111" w:type="dxa"/>
            <w:tcBorders>
              <w:top w:val="single" w:color="auto" w:sz="6" w:space="0"/>
              <w:left w:val="single" w:color="auto" w:sz="6" w:space="0"/>
              <w:bottom w:val="single" w:color="auto" w:sz="6" w:space="0"/>
              <w:right w:val="single" w:color="auto" w:sz="6" w:space="0"/>
            </w:tcBorders>
            <w:vAlign w:val="center"/>
          </w:tcPr>
          <w:p w14:paraId="6C59CFD8">
            <w:pPr>
              <w:autoSpaceDE w:val="0"/>
              <w:autoSpaceDN w:val="0"/>
              <w:spacing w:line="360" w:lineRule="auto"/>
              <w:rPr>
                <w:rFonts w:hint="eastAsia" w:ascii="宋体" w:hAnsi="宋体" w:cs="宋体"/>
                <w:color w:val="auto"/>
                <w:szCs w:val="21"/>
              </w:rPr>
            </w:pPr>
          </w:p>
        </w:tc>
      </w:tr>
    </w:tbl>
    <w:p w14:paraId="07FD8475">
      <w:pPr>
        <w:pStyle w:val="21"/>
        <w:ind w:left="0" w:leftChars="0" w:firstLine="0" w:firstLineChars="0"/>
        <w:rPr>
          <w:rFonts w:hint="eastAsia" w:ascii="宋体" w:hAnsi="宋体" w:cs="宋体"/>
          <w:color w:val="auto"/>
          <w:szCs w:val="21"/>
        </w:rPr>
      </w:pPr>
    </w:p>
    <w:p w14:paraId="23CF4423">
      <w:pPr>
        <w:spacing w:line="500" w:lineRule="exact"/>
        <w:rPr>
          <w:rFonts w:hint="eastAsia" w:ascii="宋体" w:hAnsi="宋体" w:cs="宋体"/>
          <w:color w:val="auto"/>
          <w:sz w:val="32"/>
          <w:szCs w:val="32"/>
        </w:rPr>
      </w:pPr>
    </w:p>
    <w:p w14:paraId="6175BF11">
      <w:pPr>
        <w:autoSpaceDE w:val="0"/>
        <w:autoSpaceDN w:val="0"/>
        <w:spacing w:line="360" w:lineRule="auto"/>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7D2FCC88">
      <w:pPr>
        <w:pStyle w:val="2"/>
        <w:ind w:firstLine="6240" w:firstLineChars="2600"/>
        <w:jc w:val="left"/>
        <w:rPr>
          <w:color w:val="auto"/>
        </w:rPr>
      </w:pPr>
      <w:r>
        <w:rPr>
          <w:rFonts w:hint="eastAsia" w:ascii="宋体" w:hAnsi="宋体" w:cs="宋体"/>
          <w:color w:val="auto"/>
          <w:kern w:val="0"/>
          <w:sz w:val="24"/>
          <w:lang w:val="zh-CN"/>
        </w:rPr>
        <w:t>日期：  年  月   日</w:t>
      </w:r>
      <w:r>
        <w:rPr>
          <w:rFonts w:hint="eastAsia" w:ascii="宋体" w:hAnsi="宋体" w:cs="宋体"/>
          <w:b/>
          <w:color w:val="auto"/>
          <w:sz w:val="30"/>
          <w:szCs w:val="30"/>
        </w:rPr>
        <w:br w:type="page"/>
      </w:r>
    </w:p>
    <w:p w14:paraId="2DC68A0C">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9、技术要求偏离表</w:t>
      </w:r>
    </w:p>
    <w:p w14:paraId="34AAC5F4">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1678E215">
      <w:pPr>
        <w:spacing w:line="360" w:lineRule="auto"/>
        <w:contextualSpacing/>
        <w:rPr>
          <w:rFonts w:hint="eastAsia"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3685FB33">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分标号：</w:t>
      </w:r>
      <w:r>
        <w:rPr>
          <w:rFonts w:hint="eastAsia" w:ascii="宋体" w:hAnsi="宋体" w:cs="仿宋_GB2312"/>
          <w:color w:val="auto"/>
          <w:sz w:val="24"/>
          <w:u w:val="single"/>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14:paraId="1235C6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4D029683">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49" w:name="_Toc254970588"/>
            <w:bookmarkStart w:id="50" w:name="_Toc383699906"/>
            <w:bookmarkStart w:id="51" w:name="_Toc373333689"/>
            <w:bookmarkStart w:id="52" w:name="_Toc173211900"/>
            <w:bookmarkStart w:id="53" w:name="_Toc297193185"/>
            <w:bookmarkStart w:id="54" w:name="_Toc173066401"/>
            <w:bookmarkStart w:id="55" w:name="_Toc295404981"/>
            <w:bookmarkStart w:id="56" w:name="_Toc301781611"/>
            <w:bookmarkStart w:id="57" w:name="_Toc254970729"/>
            <w:r>
              <w:rPr>
                <w:rFonts w:hint="eastAsia" w:ascii="宋体" w:hAnsi="宋体" w:eastAsia="宋体" w:cs="仿宋_GB2312"/>
                <w:color w:val="auto"/>
                <w:kern w:val="2"/>
                <w:sz w:val="24"/>
                <w:szCs w:val="24"/>
              </w:rPr>
              <w:t>序号</w:t>
            </w:r>
            <w:bookmarkEnd w:id="49"/>
            <w:bookmarkEnd w:id="50"/>
            <w:bookmarkEnd w:id="51"/>
            <w:bookmarkEnd w:id="52"/>
            <w:bookmarkEnd w:id="53"/>
            <w:bookmarkEnd w:id="54"/>
            <w:bookmarkEnd w:id="55"/>
            <w:bookmarkEnd w:id="56"/>
            <w:bookmarkEnd w:id="57"/>
          </w:p>
        </w:tc>
        <w:tc>
          <w:tcPr>
            <w:tcW w:w="992" w:type="dxa"/>
            <w:tcBorders>
              <w:right w:val="single" w:color="auto" w:sz="4" w:space="0"/>
            </w:tcBorders>
            <w:vAlign w:val="center"/>
          </w:tcPr>
          <w:p w14:paraId="77550843">
            <w:pPr>
              <w:pStyle w:val="10"/>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3292" w:type="dxa"/>
            <w:tcBorders>
              <w:left w:val="single" w:color="auto" w:sz="4" w:space="0"/>
            </w:tcBorders>
            <w:vAlign w:val="center"/>
          </w:tcPr>
          <w:p w14:paraId="142AE907">
            <w:pPr>
              <w:pStyle w:val="10"/>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磋商文件技术要求</w:t>
            </w:r>
          </w:p>
        </w:tc>
        <w:tc>
          <w:tcPr>
            <w:tcW w:w="2962" w:type="dxa"/>
            <w:vAlign w:val="center"/>
          </w:tcPr>
          <w:p w14:paraId="4D3A8098">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58" w:name="_Toc297193187"/>
            <w:bookmarkStart w:id="59" w:name="_Toc173211902"/>
            <w:bookmarkStart w:id="60" w:name="_Toc383699908"/>
            <w:bookmarkStart w:id="61" w:name="_Toc254970731"/>
            <w:bookmarkStart w:id="62" w:name="_Toc373333691"/>
            <w:bookmarkStart w:id="63" w:name="_Toc295404983"/>
            <w:bookmarkStart w:id="64" w:name="_Toc301781613"/>
            <w:bookmarkStart w:id="65" w:name="_Toc173066403"/>
            <w:bookmarkStart w:id="66" w:name="_Toc254970590"/>
            <w:r>
              <w:rPr>
                <w:rFonts w:hint="eastAsia" w:ascii="宋体" w:hAnsi="宋体" w:eastAsia="宋体" w:cs="仿宋_GB2312"/>
                <w:color w:val="auto"/>
                <w:kern w:val="2"/>
                <w:sz w:val="24"/>
                <w:szCs w:val="24"/>
              </w:rPr>
              <w:t>竞标响应</w:t>
            </w:r>
            <w:bookmarkEnd w:id="58"/>
            <w:bookmarkEnd w:id="59"/>
            <w:bookmarkEnd w:id="60"/>
            <w:bookmarkEnd w:id="61"/>
            <w:bookmarkEnd w:id="62"/>
            <w:bookmarkEnd w:id="63"/>
            <w:bookmarkEnd w:id="64"/>
            <w:bookmarkEnd w:id="65"/>
            <w:bookmarkEnd w:id="66"/>
          </w:p>
        </w:tc>
        <w:tc>
          <w:tcPr>
            <w:tcW w:w="1616" w:type="dxa"/>
            <w:vAlign w:val="center"/>
          </w:tcPr>
          <w:p w14:paraId="586412E5">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67" w:name="_Toc295404984"/>
            <w:bookmarkStart w:id="68" w:name="_Toc301781614"/>
            <w:bookmarkStart w:id="69" w:name="_Toc297193188"/>
            <w:bookmarkStart w:id="70" w:name="_Toc254970591"/>
            <w:bookmarkStart w:id="71" w:name="_Toc173211903"/>
            <w:bookmarkStart w:id="72" w:name="_Toc383699909"/>
            <w:bookmarkStart w:id="73" w:name="_Toc373333692"/>
            <w:bookmarkStart w:id="74" w:name="_Toc254970732"/>
            <w:bookmarkStart w:id="75" w:name="_Toc173066404"/>
            <w:r>
              <w:rPr>
                <w:rFonts w:hint="eastAsia" w:ascii="宋体" w:hAnsi="宋体" w:eastAsia="宋体" w:cs="仿宋_GB2312"/>
                <w:color w:val="auto"/>
                <w:kern w:val="2"/>
                <w:sz w:val="24"/>
                <w:szCs w:val="24"/>
              </w:rPr>
              <w:t>偏离</w:t>
            </w:r>
            <w:bookmarkEnd w:id="67"/>
            <w:bookmarkEnd w:id="68"/>
            <w:bookmarkEnd w:id="69"/>
            <w:bookmarkEnd w:id="70"/>
            <w:bookmarkEnd w:id="71"/>
            <w:bookmarkEnd w:id="72"/>
            <w:bookmarkEnd w:id="73"/>
            <w:bookmarkEnd w:id="74"/>
            <w:bookmarkEnd w:id="75"/>
            <w:bookmarkStart w:id="76" w:name="_Toc173211904"/>
            <w:bookmarkStart w:id="77" w:name="_Toc254970592"/>
            <w:bookmarkStart w:id="78" w:name="_Toc383699910"/>
            <w:bookmarkStart w:id="79" w:name="_Toc254970733"/>
            <w:bookmarkStart w:id="80" w:name="_Toc373333693"/>
            <w:bookmarkStart w:id="81" w:name="_Toc295404985"/>
            <w:bookmarkStart w:id="82" w:name="_Toc297193189"/>
            <w:bookmarkStart w:id="83" w:name="_Toc301781615"/>
            <w:bookmarkStart w:id="84" w:name="_Toc173066405"/>
            <w:r>
              <w:rPr>
                <w:rFonts w:hint="eastAsia" w:ascii="宋体" w:hAnsi="宋体" w:eastAsia="宋体" w:cs="仿宋_GB2312"/>
                <w:color w:val="auto"/>
                <w:kern w:val="2"/>
                <w:sz w:val="24"/>
                <w:szCs w:val="24"/>
              </w:rPr>
              <w:t>说明</w:t>
            </w:r>
            <w:bookmarkEnd w:id="76"/>
            <w:bookmarkEnd w:id="77"/>
            <w:bookmarkEnd w:id="78"/>
            <w:bookmarkEnd w:id="79"/>
            <w:bookmarkEnd w:id="80"/>
            <w:bookmarkEnd w:id="81"/>
            <w:bookmarkEnd w:id="82"/>
            <w:bookmarkEnd w:id="83"/>
            <w:bookmarkEnd w:id="84"/>
          </w:p>
        </w:tc>
      </w:tr>
      <w:tr w14:paraId="0447DA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340F6751">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85" w:name="_Toc301781616"/>
            <w:bookmarkStart w:id="86" w:name="_Toc297193190"/>
            <w:bookmarkStart w:id="87" w:name="_Toc173211905"/>
            <w:bookmarkStart w:id="88" w:name="_Toc373333694"/>
            <w:bookmarkStart w:id="89" w:name="_Toc383699911"/>
            <w:bookmarkStart w:id="90" w:name="_Toc173066406"/>
            <w:bookmarkStart w:id="91" w:name="_Toc254970593"/>
            <w:bookmarkStart w:id="92" w:name="_Toc254970734"/>
            <w:bookmarkStart w:id="93" w:name="_Toc295404986"/>
            <w:r>
              <w:rPr>
                <w:rFonts w:hint="eastAsia" w:ascii="宋体" w:hAnsi="宋体" w:eastAsia="宋体" w:cs="仿宋_GB2312"/>
                <w:color w:val="auto"/>
                <w:kern w:val="2"/>
                <w:sz w:val="24"/>
                <w:szCs w:val="24"/>
              </w:rPr>
              <w:t>1</w:t>
            </w:r>
            <w:bookmarkEnd w:id="85"/>
            <w:bookmarkEnd w:id="86"/>
            <w:bookmarkEnd w:id="87"/>
            <w:bookmarkEnd w:id="88"/>
            <w:bookmarkEnd w:id="89"/>
            <w:bookmarkEnd w:id="90"/>
            <w:bookmarkEnd w:id="91"/>
            <w:bookmarkEnd w:id="92"/>
            <w:bookmarkEnd w:id="93"/>
          </w:p>
        </w:tc>
        <w:tc>
          <w:tcPr>
            <w:tcW w:w="992" w:type="dxa"/>
            <w:tcBorders>
              <w:right w:val="single" w:color="auto" w:sz="4" w:space="0"/>
            </w:tcBorders>
            <w:vAlign w:val="center"/>
          </w:tcPr>
          <w:p w14:paraId="4DFB6292">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3292" w:type="dxa"/>
            <w:tcBorders>
              <w:left w:val="single" w:color="auto" w:sz="4" w:space="0"/>
            </w:tcBorders>
            <w:vAlign w:val="center"/>
          </w:tcPr>
          <w:p w14:paraId="40015434">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2962" w:type="dxa"/>
            <w:vAlign w:val="center"/>
          </w:tcPr>
          <w:p w14:paraId="0E082E94">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1616" w:type="dxa"/>
            <w:vAlign w:val="center"/>
          </w:tcPr>
          <w:p w14:paraId="6AEF9584">
            <w:pPr>
              <w:pStyle w:val="10"/>
              <w:spacing w:line="360" w:lineRule="auto"/>
              <w:ind w:firstLine="0" w:firstLineChars="0"/>
              <w:contextualSpacing/>
              <w:jc w:val="center"/>
              <w:rPr>
                <w:rFonts w:hint="eastAsia" w:ascii="宋体" w:hAnsi="宋体" w:eastAsia="宋体" w:cs="仿宋_GB2312"/>
                <w:color w:val="auto"/>
                <w:kern w:val="2"/>
                <w:sz w:val="24"/>
                <w:szCs w:val="24"/>
              </w:rPr>
            </w:pPr>
          </w:p>
        </w:tc>
      </w:tr>
      <w:tr w14:paraId="26417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53898F24">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94" w:name="_Toc254970735"/>
            <w:bookmarkStart w:id="95" w:name="_Toc254970594"/>
            <w:bookmarkStart w:id="96" w:name="_Toc173211906"/>
            <w:bookmarkStart w:id="97" w:name="_Toc301781617"/>
            <w:bookmarkStart w:id="98" w:name="_Toc383699912"/>
            <w:bookmarkStart w:id="99" w:name="_Toc295404987"/>
            <w:bookmarkStart w:id="100" w:name="_Toc173066407"/>
            <w:bookmarkStart w:id="101" w:name="_Toc373333695"/>
            <w:bookmarkStart w:id="102" w:name="_Toc297193191"/>
            <w:r>
              <w:rPr>
                <w:rFonts w:hint="eastAsia" w:ascii="宋体" w:hAnsi="宋体" w:eastAsia="宋体" w:cs="仿宋_GB2312"/>
                <w:color w:val="auto"/>
                <w:kern w:val="2"/>
                <w:sz w:val="24"/>
                <w:szCs w:val="24"/>
              </w:rPr>
              <w:t>2</w:t>
            </w:r>
            <w:bookmarkEnd w:id="94"/>
            <w:bookmarkEnd w:id="95"/>
            <w:bookmarkEnd w:id="96"/>
            <w:bookmarkEnd w:id="97"/>
            <w:bookmarkEnd w:id="98"/>
            <w:bookmarkEnd w:id="99"/>
            <w:bookmarkEnd w:id="100"/>
            <w:bookmarkEnd w:id="101"/>
            <w:bookmarkEnd w:id="102"/>
          </w:p>
        </w:tc>
        <w:tc>
          <w:tcPr>
            <w:tcW w:w="992" w:type="dxa"/>
            <w:tcBorders>
              <w:right w:val="single" w:color="auto" w:sz="4" w:space="0"/>
            </w:tcBorders>
            <w:vAlign w:val="center"/>
          </w:tcPr>
          <w:p w14:paraId="5F454B04">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3292" w:type="dxa"/>
            <w:tcBorders>
              <w:left w:val="single" w:color="auto" w:sz="4" w:space="0"/>
            </w:tcBorders>
            <w:vAlign w:val="center"/>
          </w:tcPr>
          <w:p w14:paraId="005BCAB9">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2962" w:type="dxa"/>
            <w:vAlign w:val="center"/>
          </w:tcPr>
          <w:p w14:paraId="5C7CCEC2">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1616" w:type="dxa"/>
            <w:vAlign w:val="center"/>
          </w:tcPr>
          <w:p w14:paraId="3B14C11E">
            <w:pPr>
              <w:pStyle w:val="10"/>
              <w:spacing w:line="360" w:lineRule="auto"/>
              <w:ind w:firstLine="0" w:firstLineChars="0"/>
              <w:contextualSpacing/>
              <w:jc w:val="center"/>
              <w:rPr>
                <w:rFonts w:hint="eastAsia" w:ascii="宋体" w:hAnsi="宋体" w:eastAsia="宋体" w:cs="仿宋_GB2312"/>
                <w:color w:val="auto"/>
                <w:kern w:val="2"/>
                <w:sz w:val="24"/>
                <w:szCs w:val="24"/>
              </w:rPr>
            </w:pPr>
          </w:p>
        </w:tc>
      </w:tr>
      <w:tr w14:paraId="5AB06B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39C73464">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103" w:name="_Toc383699913"/>
            <w:bookmarkStart w:id="104" w:name="_Toc301781618"/>
            <w:bookmarkStart w:id="105" w:name="_Toc295404988"/>
            <w:bookmarkStart w:id="106" w:name="_Toc254970595"/>
            <w:bookmarkStart w:id="107" w:name="_Toc297193192"/>
            <w:bookmarkStart w:id="108" w:name="_Toc173066408"/>
            <w:bookmarkStart w:id="109" w:name="_Toc254970736"/>
            <w:bookmarkStart w:id="110" w:name="_Toc373333696"/>
            <w:bookmarkStart w:id="111" w:name="_Toc173211907"/>
            <w:r>
              <w:rPr>
                <w:rFonts w:hint="eastAsia" w:ascii="宋体" w:hAnsi="宋体" w:eastAsia="宋体" w:cs="仿宋_GB2312"/>
                <w:color w:val="auto"/>
                <w:kern w:val="2"/>
                <w:sz w:val="24"/>
                <w:szCs w:val="24"/>
              </w:rPr>
              <w:t>3</w:t>
            </w:r>
            <w:bookmarkEnd w:id="103"/>
            <w:bookmarkEnd w:id="104"/>
            <w:bookmarkEnd w:id="105"/>
            <w:bookmarkEnd w:id="106"/>
            <w:bookmarkEnd w:id="107"/>
            <w:bookmarkEnd w:id="108"/>
            <w:bookmarkEnd w:id="109"/>
            <w:bookmarkEnd w:id="110"/>
            <w:bookmarkEnd w:id="111"/>
          </w:p>
        </w:tc>
        <w:tc>
          <w:tcPr>
            <w:tcW w:w="992" w:type="dxa"/>
            <w:tcBorders>
              <w:right w:val="single" w:color="auto" w:sz="4" w:space="0"/>
            </w:tcBorders>
            <w:vAlign w:val="center"/>
          </w:tcPr>
          <w:p w14:paraId="2A31B6F2">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3292" w:type="dxa"/>
            <w:tcBorders>
              <w:left w:val="single" w:color="auto" w:sz="4" w:space="0"/>
            </w:tcBorders>
            <w:vAlign w:val="center"/>
          </w:tcPr>
          <w:p w14:paraId="50443ADA">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2962" w:type="dxa"/>
            <w:vAlign w:val="center"/>
          </w:tcPr>
          <w:p w14:paraId="6492AE56">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1616" w:type="dxa"/>
            <w:vAlign w:val="center"/>
          </w:tcPr>
          <w:p w14:paraId="6A36FDB8">
            <w:pPr>
              <w:pStyle w:val="10"/>
              <w:spacing w:line="360" w:lineRule="auto"/>
              <w:ind w:firstLine="0" w:firstLineChars="0"/>
              <w:contextualSpacing/>
              <w:jc w:val="center"/>
              <w:rPr>
                <w:rFonts w:hint="eastAsia" w:ascii="宋体" w:hAnsi="宋体" w:eastAsia="宋体" w:cs="仿宋_GB2312"/>
                <w:color w:val="auto"/>
                <w:kern w:val="2"/>
                <w:sz w:val="24"/>
                <w:szCs w:val="24"/>
              </w:rPr>
            </w:pPr>
          </w:p>
        </w:tc>
      </w:tr>
      <w:tr w14:paraId="1319A0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3D29A5D6">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112" w:name="_Toc295404989"/>
            <w:bookmarkStart w:id="113" w:name="_Toc254970737"/>
            <w:bookmarkStart w:id="114" w:name="_Toc383699914"/>
            <w:bookmarkStart w:id="115" w:name="_Toc301781619"/>
            <w:bookmarkStart w:id="116" w:name="_Toc254970596"/>
            <w:bookmarkStart w:id="117" w:name="_Toc173211908"/>
            <w:bookmarkStart w:id="118" w:name="_Toc173066409"/>
            <w:bookmarkStart w:id="119" w:name="_Toc373333697"/>
            <w:bookmarkStart w:id="120" w:name="_Toc297193193"/>
            <w:r>
              <w:rPr>
                <w:rFonts w:hint="eastAsia" w:ascii="宋体" w:hAnsi="宋体" w:eastAsia="宋体" w:cs="仿宋_GB2312"/>
                <w:color w:val="auto"/>
                <w:kern w:val="2"/>
                <w:sz w:val="24"/>
                <w:szCs w:val="24"/>
              </w:rPr>
              <w:t>4</w:t>
            </w:r>
            <w:bookmarkEnd w:id="112"/>
            <w:bookmarkEnd w:id="113"/>
            <w:bookmarkEnd w:id="114"/>
            <w:bookmarkEnd w:id="115"/>
            <w:bookmarkEnd w:id="116"/>
            <w:bookmarkEnd w:id="117"/>
            <w:bookmarkEnd w:id="118"/>
            <w:bookmarkEnd w:id="119"/>
            <w:bookmarkEnd w:id="120"/>
          </w:p>
        </w:tc>
        <w:tc>
          <w:tcPr>
            <w:tcW w:w="992" w:type="dxa"/>
            <w:tcBorders>
              <w:right w:val="single" w:color="auto" w:sz="4" w:space="0"/>
            </w:tcBorders>
            <w:vAlign w:val="center"/>
          </w:tcPr>
          <w:p w14:paraId="01CBDFCF">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3292" w:type="dxa"/>
            <w:tcBorders>
              <w:left w:val="single" w:color="auto" w:sz="4" w:space="0"/>
            </w:tcBorders>
            <w:vAlign w:val="center"/>
          </w:tcPr>
          <w:p w14:paraId="0555AC3E">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2962" w:type="dxa"/>
            <w:vAlign w:val="center"/>
          </w:tcPr>
          <w:p w14:paraId="42BD882A">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1616" w:type="dxa"/>
            <w:vAlign w:val="center"/>
          </w:tcPr>
          <w:p w14:paraId="7C1D8238">
            <w:pPr>
              <w:pStyle w:val="10"/>
              <w:spacing w:line="360" w:lineRule="auto"/>
              <w:ind w:firstLine="0" w:firstLineChars="0"/>
              <w:contextualSpacing/>
              <w:jc w:val="center"/>
              <w:rPr>
                <w:rFonts w:hint="eastAsia" w:ascii="宋体" w:hAnsi="宋体" w:eastAsia="宋体" w:cs="仿宋_GB2312"/>
                <w:color w:val="auto"/>
                <w:kern w:val="2"/>
                <w:sz w:val="24"/>
                <w:szCs w:val="24"/>
              </w:rPr>
            </w:pPr>
          </w:p>
        </w:tc>
      </w:tr>
      <w:tr w14:paraId="7FA974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592EEF3E">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121" w:name="_Toc297193194"/>
            <w:bookmarkStart w:id="122" w:name="_Toc295404990"/>
            <w:bookmarkStart w:id="123" w:name="_Toc301781620"/>
            <w:bookmarkStart w:id="124" w:name="_Toc254970738"/>
            <w:bookmarkStart w:id="125" w:name="_Toc383699915"/>
            <w:bookmarkStart w:id="126" w:name="_Toc373333698"/>
            <w:bookmarkStart w:id="127" w:name="_Toc254970597"/>
            <w:bookmarkStart w:id="128" w:name="_Toc173211909"/>
            <w:bookmarkStart w:id="129" w:name="_Toc173066410"/>
            <w:r>
              <w:rPr>
                <w:rFonts w:hint="eastAsia" w:ascii="宋体" w:hAnsi="宋体" w:eastAsia="宋体" w:cs="仿宋_GB2312"/>
                <w:color w:val="auto"/>
                <w:kern w:val="2"/>
                <w:sz w:val="24"/>
                <w:szCs w:val="24"/>
              </w:rPr>
              <w:t>5</w:t>
            </w:r>
            <w:bookmarkEnd w:id="121"/>
            <w:bookmarkEnd w:id="122"/>
            <w:bookmarkEnd w:id="123"/>
            <w:bookmarkEnd w:id="124"/>
            <w:bookmarkEnd w:id="125"/>
            <w:bookmarkEnd w:id="126"/>
            <w:bookmarkEnd w:id="127"/>
            <w:bookmarkEnd w:id="128"/>
            <w:bookmarkEnd w:id="129"/>
          </w:p>
        </w:tc>
        <w:tc>
          <w:tcPr>
            <w:tcW w:w="992" w:type="dxa"/>
            <w:tcBorders>
              <w:right w:val="single" w:color="auto" w:sz="4" w:space="0"/>
            </w:tcBorders>
            <w:vAlign w:val="center"/>
          </w:tcPr>
          <w:p w14:paraId="789D05D2">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3292" w:type="dxa"/>
            <w:tcBorders>
              <w:left w:val="single" w:color="auto" w:sz="4" w:space="0"/>
            </w:tcBorders>
            <w:vAlign w:val="center"/>
          </w:tcPr>
          <w:p w14:paraId="3AF5437F">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2962" w:type="dxa"/>
            <w:vAlign w:val="center"/>
          </w:tcPr>
          <w:p w14:paraId="6E2B42DD">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1616" w:type="dxa"/>
            <w:vAlign w:val="center"/>
          </w:tcPr>
          <w:p w14:paraId="0CB10F6D">
            <w:pPr>
              <w:pStyle w:val="10"/>
              <w:spacing w:line="360" w:lineRule="auto"/>
              <w:ind w:firstLine="0" w:firstLineChars="0"/>
              <w:contextualSpacing/>
              <w:jc w:val="center"/>
              <w:rPr>
                <w:rFonts w:hint="eastAsia" w:ascii="宋体" w:hAnsi="宋体" w:eastAsia="宋体" w:cs="仿宋_GB2312"/>
                <w:color w:val="auto"/>
                <w:kern w:val="2"/>
                <w:sz w:val="24"/>
                <w:szCs w:val="24"/>
              </w:rPr>
            </w:pPr>
          </w:p>
        </w:tc>
      </w:tr>
      <w:tr w14:paraId="57883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2" w:type="dxa"/>
            <w:vAlign w:val="center"/>
          </w:tcPr>
          <w:p w14:paraId="22F5C2FE">
            <w:pPr>
              <w:pStyle w:val="10"/>
              <w:spacing w:line="360" w:lineRule="auto"/>
              <w:ind w:firstLine="0" w:firstLineChars="0"/>
              <w:contextualSpacing/>
              <w:jc w:val="center"/>
              <w:rPr>
                <w:rFonts w:hint="eastAsia" w:ascii="宋体" w:hAnsi="宋体" w:eastAsia="宋体" w:cs="仿宋_GB2312"/>
                <w:color w:val="auto"/>
                <w:kern w:val="2"/>
                <w:sz w:val="24"/>
                <w:szCs w:val="24"/>
              </w:rPr>
            </w:pPr>
            <w:bookmarkStart w:id="130" w:name="_Toc173211914"/>
            <w:bookmarkStart w:id="131" w:name="_Toc373333699"/>
            <w:bookmarkStart w:id="132" w:name="_Toc254970743"/>
            <w:bookmarkStart w:id="133" w:name="_Toc295404991"/>
            <w:bookmarkStart w:id="134" w:name="_Toc301781621"/>
            <w:bookmarkStart w:id="135" w:name="_Toc254970602"/>
            <w:bookmarkStart w:id="136" w:name="_Toc383699916"/>
            <w:bookmarkStart w:id="137" w:name="_Toc173066415"/>
            <w:bookmarkStart w:id="138" w:name="_Toc297193195"/>
            <w:r>
              <w:rPr>
                <w:rFonts w:hint="eastAsia" w:ascii="宋体" w:hAnsi="宋体" w:eastAsia="宋体" w:cs="仿宋_GB2312"/>
                <w:color w:val="auto"/>
                <w:kern w:val="2"/>
                <w:sz w:val="24"/>
                <w:szCs w:val="24"/>
              </w:rPr>
              <w:t>…</w:t>
            </w:r>
            <w:bookmarkEnd w:id="130"/>
            <w:bookmarkEnd w:id="131"/>
            <w:bookmarkEnd w:id="132"/>
            <w:bookmarkEnd w:id="133"/>
            <w:bookmarkEnd w:id="134"/>
            <w:bookmarkEnd w:id="135"/>
            <w:bookmarkEnd w:id="136"/>
            <w:bookmarkEnd w:id="137"/>
            <w:bookmarkEnd w:id="138"/>
          </w:p>
        </w:tc>
        <w:tc>
          <w:tcPr>
            <w:tcW w:w="992" w:type="dxa"/>
            <w:tcBorders>
              <w:right w:val="single" w:color="auto" w:sz="4" w:space="0"/>
            </w:tcBorders>
            <w:vAlign w:val="center"/>
          </w:tcPr>
          <w:p w14:paraId="49464970">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3292" w:type="dxa"/>
            <w:tcBorders>
              <w:left w:val="single" w:color="auto" w:sz="4" w:space="0"/>
            </w:tcBorders>
            <w:vAlign w:val="center"/>
          </w:tcPr>
          <w:p w14:paraId="287C2C40">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2962" w:type="dxa"/>
            <w:vAlign w:val="center"/>
          </w:tcPr>
          <w:p w14:paraId="3EBA4F91">
            <w:pPr>
              <w:pStyle w:val="10"/>
              <w:spacing w:line="360" w:lineRule="auto"/>
              <w:ind w:firstLine="0" w:firstLineChars="0"/>
              <w:contextualSpacing/>
              <w:jc w:val="center"/>
              <w:rPr>
                <w:rFonts w:hint="eastAsia" w:ascii="宋体" w:hAnsi="宋体" w:eastAsia="宋体" w:cs="仿宋_GB2312"/>
                <w:color w:val="auto"/>
                <w:kern w:val="2"/>
                <w:sz w:val="24"/>
                <w:szCs w:val="24"/>
              </w:rPr>
            </w:pPr>
          </w:p>
        </w:tc>
        <w:tc>
          <w:tcPr>
            <w:tcW w:w="1616" w:type="dxa"/>
            <w:tcBorders>
              <w:right w:val="single" w:color="auto" w:sz="4" w:space="0"/>
            </w:tcBorders>
            <w:vAlign w:val="center"/>
          </w:tcPr>
          <w:p w14:paraId="0C8B4FFC">
            <w:pPr>
              <w:pStyle w:val="10"/>
              <w:spacing w:line="360" w:lineRule="auto"/>
              <w:ind w:firstLine="0" w:firstLineChars="0"/>
              <w:contextualSpacing/>
              <w:jc w:val="center"/>
              <w:rPr>
                <w:rFonts w:hint="eastAsia" w:ascii="宋体" w:hAnsi="宋体" w:eastAsia="宋体" w:cs="仿宋_GB2312"/>
                <w:color w:val="auto"/>
                <w:kern w:val="2"/>
                <w:sz w:val="24"/>
                <w:szCs w:val="24"/>
              </w:rPr>
            </w:pPr>
          </w:p>
        </w:tc>
      </w:tr>
    </w:tbl>
    <w:p w14:paraId="1F8CE529">
      <w:pPr>
        <w:adjustRightInd w:val="0"/>
        <w:spacing w:line="360" w:lineRule="auto"/>
        <w:contextualSpacing/>
        <w:rPr>
          <w:rFonts w:hint="eastAsia" w:ascii="宋体" w:hAnsi="宋体" w:cs="仿宋_GB2312"/>
          <w:color w:val="auto"/>
          <w:sz w:val="24"/>
        </w:rPr>
      </w:pPr>
    </w:p>
    <w:p w14:paraId="7B402816">
      <w:pPr>
        <w:pStyle w:val="10"/>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注：</w:t>
      </w:r>
    </w:p>
    <w:p w14:paraId="674EDE28">
      <w:pPr>
        <w:pStyle w:val="10"/>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 采购需求”中的技术要求逐条作出明确响应，并作出偏离说明。</w:t>
      </w:r>
    </w:p>
    <w:p w14:paraId="57ADA2A2">
      <w:pPr>
        <w:pStyle w:val="10"/>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3B451597">
      <w:pPr>
        <w:spacing w:line="360" w:lineRule="auto"/>
        <w:ind w:right="-817" w:rightChars="-389"/>
        <w:contextualSpacing/>
        <w:rPr>
          <w:rFonts w:hint="eastAsia" w:ascii="宋体" w:hAnsi="宋体" w:cs="仿宋_GB2312"/>
          <w:color w:val="auto"/>
          <w:sz w:val="24"/>
        </w:rPr>
      </w:pPr>
    </w:p>
    <w:p w14:paraId="645A1B8B">
      <w:pPr>
        <w:spacing w:line="360" w:lineRule="auto"/>
        <w:ind w:right="-817" w:rightChars="-389" w:firstLine="960" w:firstLineChars="4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                    </w:t>
      </w:r>
    </w:p>
    <w:p w14:paraId="6FDF8D98">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供应商（</w:t>
      </w:r>
      <w:r>
        <w:rPr>
          <w:rFonts w:hint="eastAsia" w:ascii="宋体" w:hAnsi="宋体" w:cs="宋体"/>
          <w:color w:val="auto"/>
          <w:sz w:val="24"/>
        </w:rPr>
        <w:t>电子签章</w:t>
      </w:r>
      <w:r>
        <w:rPr>
          <w:rFonts w:hint="eastAsia" w:ascii="宋体" w:hAnsi="宋体" w:cs="仿宋_GB2312"/>
          <w:color w:val="auto"/>
          <w:sz w:val="24"/>
        </w:rPr>
        <w:t xml:space="preserve">）：      </w:t>
      </w:r>
    </w:p>
    <w:p w14:paraId="6E47E1D9">
      <w:pPr>
        <w:spacing w:line="360" w:lineRule="auto"/>
        <w:ind w:right="-817" w:rightChars="-389" w:firstLine="4080" w:firstLineChars="1700"/>
        <w:contextualSpacing/>
        <w:rPr>
          <w:rFonts w:hint="eastAsia" w:ascii="宋体" w:hAnsi="宋体" w:cs="仿宋_GB2312"/>
          <w:color w:val="auto"/>
          <w:sz w:val="24"/>
        </w:rPr>
      </w:pPr>
      <w:r>
        <w:rPr>
          <w:rFonts w:hint="eastAsia" w:ascii="宋体" w:hAnsi="宋体" w:cs="仿宋_GB2312"/>
          <w:color w:val="auto"/>
          <w:sz w:val="24"/>
        </w:rPr>
        <w:t>日期：   年   月   日</w:t>
      </w:r>
    </w:p>
    <w:p w14:paraId="56B035BF">
      <w:pPr>
        <w:snapToGrid w:val="0"/>
        <w:spacing w:before="156" w:beforeLines="50" w:after="50"/>
        <w:ind w:left="142"/>
        <w:jc w:val="left"/>
        <w:rPr>
          <w:rFonts w:hint="eastAsia" w:ascii="宋体" w:hAnsi="宋体"/>
          <w:b/>
          <w:color w:val="auto"/>
          <w:sz w:val="24"/>
        </w:rPr>
      </w:pPr>
      <w:r>
        <w:rPr>
          <w:rFonts w:ascii="宋体" w:hAnsi="宋体" w:cs="仿宋_GB2312"/>
          <w:color w:val="auto"/>
          <w:sz w:val="24"/>
        </w:rPr>
        <w:br w:type="page"/>
      </w:r>
    </w:p>
    <w:p w14:paraId="410ABA3A">
      <w:pPr>
        <w:spacing w:line="360" w:lineRule="auto"/>
        <w:ind w:left="142"/>
        <w:contextualSpacing/>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10、项目实施人员一览表</w:t>
      </w:r>
    </w:p>
    <w:p w14:paraId="539714BE">
      <w:pPr>
        <w:pStyle w:val="12"/>
        <w:spacing w:line="360" w:lineRule="auto"/>
        <w:contextualSpacing/>
        <w:rPr>
          <w:color w:val="auto"/>
          <w:sz w:val="24"/>
          <w:szCs w:val="24"/>
        </w:rPr>
      </w:pPr>
      <w:r>
        <w:rPr>
          <w:rFonts w:hint="eastAsia"/>
          <w:color w:val="auto"/>
          <w:sz w:val="24"/>
          <w:szCs w:val="24"/>
        </w:rPr>
        <w:t>所竞分标：</w:t>
      </w:r>
      <w:r>
        <w:rPr>
          <w:rFonts w:hint="eastAsia"/>
          <w:color w:val="auto"/>
          <w:sz w:val="24"/>
          <w:szCs w:val="24"/>
          <w:u w:val="single"/>
        </w:rPr>
        <w:t xml:space="preserve">     </w:t>
      </w:r>
      <w:r>
        <w:rPr>
          <w:rFonts w:hint="eastAsia"/>
          <w:color w:val="auto"/>
          <w:sz w:val="24"/>
          <w:szCs w:val="24"/>
        </w:rPr>
        <w:t>分标</w:t>
      </w:r>
    </w:p>
    <w:tbl>
      <w:tblPr>
        <w:tblStyle w:val="22"/>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45"/>
        <w:gridCol w:w="1415"/>
        <w:gridCol w:w="1641"/>
        <w:gridCol w:w="1772"/>
      </w:tblGrid>
      <w:tr w14:paraId="64EB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039669">
            <w:pPr>
              <w:spacing w:line="360" w:lineRule="auto"/>
              <w:contextualSpacing/>
              <w:jc w:val="center"/>
              <w:rPr>
                <w:rFonts w:hint="eastAsia" w:ascii="宋体" w:hAnsi="宋体"/>
                <w:color w:val="auto"/>
                <w:sz w:val="24"/>
                <w:szCs w:val="20"/>
              </w:rPr>
            </w:pPr>
            <w:r>
              <w:rPr>
                <w:rFonts w:hint="eastAsia" w:ascii="宋体" w:hAnsi="宋体"/>
                <w:color w:val="auto"/>
                <w:sz w:val="24"/>
                <w:szCs w:val="20"/>
              </w:rPr>
              <w:t>姓名</w:t>
            </w:r>
          </w:p>
        </w:tc>
        <w:tc>
          <w:tcPr>
            <w:tcW w:w="709" w:type="dxa"/>
            <w:vAlign w:val="center"/>
          </w:tcPr>
          <w:p w14:paraId="32AE2EBC">
            <w:pPr>
              <w:spacing w:line="360" w:lineRule="auto"/>
              <w:contextualSpacing/>
              <w:jc w:val="center"/>
              <w:rPr>
                <w:rFonts w:hint="eastAsia" w:ascii="宋体" w:hAnsi="宋体"/>
                <w:color w:val="auto"/>
                <w:sz w:val="24"/>
                <w:szCs w:val="20"/>
              </w:rPr>
            </w:pPr>
            <w:r>
              <w:rPr>
                <w:rFonts w:hint="eastAsia" w:ascii="宋体" w:hAnsi="宋体"/>
                <w:color w:val="auto"/>
                <w:sz w:val="24"/>
                <w:szCs w:val="20"/>
              </w:rPr>
              <w:t>职务</w:t>
            </w:r>
          </w:p>
        </w:tc>
        <w:tc>
          <w:tcPr>
            <w:tcW w:w="2745" w:type="dxa"/>
            <w:vAlign w:val="center"/>
          </w:tcPr>
          <w:p w14:paraId="5F43AE0C">
            <w:pPr>
              <w:spacing w:line="360" w:lineRule="auto"/>
              <w:contextualSpacing/>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15" w:type="dxa"/>
            <w:vAlign w:val="center"/>
          </w:tcPr>
          <w:p w14:paraId="4278F4B3">
            <w:pPr>
              <w:spacing w:line="360" w:lineRule="auto"/>
              <w:contextualSpacing/>
              <w:jc w:val="center"/>
              <w:rPr>
                <w:rFonts w:hint="eastAsia" w:ascii="宋体" w:hAnsi="宋体"/>
                <w:color w:val="auto"/>
                <w:sz w:val="24"/>
                <w:szCs w:val="20"/>
              </w:rPr>
            </w:pPr>
            <w:r>
              <w:rPr>
                <w:rFonts w:hint="eastAsia" w:ascii="宋体" w:hAnsi="宋体"/>
                <w:color w:val="auto"/>
                <w:sz w:val="24"/>
                <w:szCs w:val="20"/>
              </w:rPr>
              <w:t>证书编号</w:t>
            </w:r>
          </w:p>
        </w:tc>
        <w:tc>
          <w:tcPr>
            <w:tcW w:w="1641" w:type="dxa"/>
            <w:vAlign w:val="center"/>
          </w:tcPr>
          <w:p w14:paraId="355057E9">
            <w:pPr>
              <w:spacing w:line="360" w:lineRule="auto"/>
              <w:contextualSpacing/>
              <w:jc w:val="center"/>
              <w:rPr>
                <w:rFonts w:hint="eastAsia" w:ascii="宋体" w:hAnsi="宋体"/>
                <w:color w:val="auto"/>
                <w:sz w:val="24"/>
                <w:szCs w:val="20"/>
              </w:rPr>
            </w:pPr>
            <w:r>
              <w:rPr>
                <w:rFonts w:hint="eastAsia" w:ascii="宋体" w:hAnsi="宋体"/>
                <w:color w:val="auto"/>
                <w:sz w:val="24"/>
                <w:szCs w:val="20"/>
              </w:rPr>
              <w:t>参加本单位</w:t>
            </w:r>
          </w:p>
          <w:p w14:paraId="66495A29">
            <w:pPr>
              <w:spacing w:line="360" w:lineRule="auto"/>
              <w:contextualSpacing/>
              <w:jc w:val="center"/>
              <w:rPr>
                <w:rFonts w:hint="eastAsia" w:ascii="宋体" w:hAnsi="宋体"/>
                <w:color w:val="auto"/>
                <w:sz w:val="24"/>
                <w:szCs w:val="20"/>
              </w:rPr>
            </w:pPr>
            <w:r>
              <w:rPr>
                <w:rFonts w:hint="eastAsia" w:ascii="宋体" w:hAnsi="宋体"/>
                <w:color w:val="auto"/>
                <w:sz w:val="24"/>
                <w:szCs w:val="20"/>
              </w:rPr>
              <w:t>工作时间</w:t>
            </w:r>
          </w:p>
        </w:tc>
        <w:tc>
          <w:tcPr>
            <w:tcW w:w="1772" w:type="dxa"/>
            <w:vAlign w:val="center"/>
          </w:tcPr>
          <w:p w14:paraId="2714D2E7">
            <w:pPr>
              <w:spacing w:line="360" w:lineRule="auto"/>
              <w:contextualSpacing/>
              <w:jc w:val="center"/>
              <w:rPr>
                <w:rFonts w:hint="eastAsia" w:ascii="宋体" w:hAnsi="宋体"/>
                <w:color w:val="auto"/>
                <w:sz w:val="24"/>
                <w:szCs w:val="20"/>
              </w:rPr>
            </w:pPr>
            <w:r>
              <w:rPr>
                <w:rFonts w:hint="eastAsia" w:ascii="宋体" w:hAnsi="宋体"/>
                <w:color w:val="auto"/>
                <w:sz w:val="24"/>
                <w:szCs w:val="20"/>
              </w:rPr>
              <w:t>劳动合同编号</w:t>
            </w:r>
          </w:p>
        </w:tc>
      </w:tr>
      <w:tr w14:paraId="1201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3EBAA0">
            <w:pPr>
              <w:spacing w:line="360" w:lineRule="auto"/>
              <w:contextualSpacing/>
              <w:jc w:val="center"/>
              <w:rPr>
                <w:rFonts w:hint="eastAsia" w:ascii="宋体" w:hAnsi="宋体"/>
                <w:color w:val="auto"/>
                <w:sz w:val="24"/>
                <w:szCs w:val="20"/>
              </w:rPr>
            </w:pPr>
          </w:p>
        </w:tc>
        <w:tc>
          <w:tcPr>
            <w:tcW w:w="709" w:type="dxa"/>
            <w:vAlign w:val="center"/>
          </w:tcPr>
          <w:p w14:paraId="1E8A6BBC">
            <w:pPr>
              <w:spacing w:line="360" w:lineRule="auto"/>
              <w:contextualSpacing/>
              <w:jc w:val="center"/>
              <w:rPr>
                <w:rFonts w:hint="eastAsia" w:ascii="宋体" w:hAnsi="宋体"/>
                <w:color w:val="auto"/>
                <w:sz w:val="24"/>
                <w:szCs w:val="20"/>
              </w:rPr>
            </w:pPr>
          </w:p>
        </w:tc>
        <w:tc>
          <w:tcPr>
            <w:tcW w:w="2745" w:type="dxa"/>
            <w:vAlign w:val="center"/>
          </w:tcPr>
          <w:p w14:paraId="3F53DC72">
            <w:pPr>
              <w:spacing w:line="360" w:lineRule="auto"/>
              <w:contextualSpacing/>
              <w:jc w:val="center"/>
              <w:rPr>
                <w:rFonts w:hint="eastAsia" w:ascii="宋体" w:hAnsi="宋体"/>
                <w:color w:val="auto"/>
                <w:sz w:val="24"/>
                <w:szCs w:val="20"/>
              </w:rPr>
            </w:pPr>
          </w:p>
        </w:tc>
        <w:tc>
          <w:tcPr>
            <w:tcW w:w="1415" w:type="dxa"/>
            <w:vAlign w:val="center"/>
          </w:tcPr>
          <w:p w14:paraId="0F3CD064">
            <w:pPr>
              <w:spacing w:line="360" w:lineRule="auto"/>
              <w:contextualSpacing/>
              <w:jc w:val="center"/>
              <w:rPr>
                <w:rFonts w:hint="eastAsia" w:ascii="宋体" w:hAnsi="宋体"/>
                <w:color w:val="auto"/>
                <w:sz w:val="24"/>
                <w:szCs w:val="20"/>
              </w:rPr>
            </w:pPr>
          </w:p>
        </w:tc>
        <w:tc>
          <w:tcPr>
            <w:tcW w:w="1641" w:type="dxa"/>
            <w:vAlign w:val="center"/>
          </w:tcPr>
          <w:p w14:paraId="2B13510A">
            <w:pPr>
              <w:spacing w:line="360" w:lineRule="auto"/>
              <w:contextualSpacing/>
              <w:jc w:val="center"/>
              <w:rPr>
                <w:rFonts w:hint="eastAsia" w:ascii="宋体" w:hAnsi="宋体"/>
                <w:color w:val="auto"/>
                <w:sz w:val="24"/>
                <w:szCs w:val="20"/>
              </w:rPr>
            </w:pPr>
          </w:p>
        </w:tc>
        <w:tc>
          <w:tcPr>
            <w:tcW w:w="1772" w:type="dxa"/>
            <w:vAlign w:val="center"/>
          </w:tcPr>
          <w:p w14:paraId="1F18B5C4">
            <w:pPr>
              <w:spacing w:line="360" w:lineRule="auto"/>
              <w:contextualSpacing/>
              <w:jc w:val="center"/>
              <w:rPr>
                <w:rFonts w:hint="eastAsia" w:ascii="宋体" w:hAnsi="宋体"/>
                <w:color w:val="auto"/>
                <w:sz w:val="24"/>
                <w:szCs w:val="20"/>
              </w:rPr>
            </w:pPr>
          </w:p>
        </w:tc>
      </w:tr>
      <w:tr w14:paraId="58DB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C07942">
            <w:pPr>
              <w:spacing w:line="360" w:lineRule="auto"/>
              <w:contextualSpacing/>
              <w:jc w:val="center"/>
              <w:rPr>
                <w:rFonts w:hint="eastAsia" w:ascii="宋体" w:hAnsi="宋体"/>
                <w:color w:val="auto"/>
                <w:sz w:val="24"/>
                <w:szCs w:val="20"/>
              </w:rPr>
            </w:pPr>
          </w:p>
        </w:tc>
        <w:tc>
          <w:tcPr>
            <w:tcW w:w="709" w:type="dxa"/>
            <w:vAlign w:val="center"/>
          </w:tcPr>
          <w:p w14:paraId="2EF8C6BF">
            <w:pPr>
              <w:spacing w:line="360" w:lineRule="auto"/>
              <w:contextualSpacing/>
              <w:jc w:val="center"/>
              <w:rPr>
                <w:rFonts w:hint="eastAsia" w:ascii="宋体" w:hAnsi="宋体"/>
                <w:color w:val="auto"/>
                <w:sz w:val="24"/>
                <w:szCs w:val="20"/>
              </w:rPr>
            </w:pPr>
          </w:p>
        </w:tc>
        <w:tc>
          <w:tcPr>
            <w:tcW w:w="2745" w:type="dxa"/>
            <w:vAlign w:val="center"/>
          </w:tcPr>
          <w:p w14:paraId="18ED6B46">
            <w:pPr>
              <w:spacing w:line="360" w:lineRule="auto"/>
              <w:contextualSpacing/>
              <w:jc w:val="center"/>
              <w:rPr>
                <w:rFonts w:hint="eastAsia" w:ascii="宋体" w:hAnsi="宋体"/>
                <w:color w:val="auto"/>
                <w:sz w:val="24"/>
                <w:szCs w:val="20"/>
              </w:rPr>
            </w:pPr>
          </w:p>
        </w:tc>
        <w:tc>
          <w:tcPr>
            <w:tcW w:w="1415" w:type="dxa"/>
            <w:vAlign w:val="center"/>
          </w:tcPr>
          <w:p w14:paraId="673926C2">
            <w:pPr>
              <w:spacing w:line="360" w:lineRule="auto"/>
              <w:contextualSpacing/>
              <w:jc w:val="center"/>
              <w:rPr>
                <w:rFonts w:hint="eastAsia" w:ascii="宋体" w:hAnsi="宋体"/>
                <w:color w:val="auto"/>
                <w:sz w:val="24"/>
                <w:szCs w:val="20"/>
              </w:rPr>
            </w:pPr>
          </w:p>
        </w:tc>
        <w:tc>
          <w:tcPr>
            <w:tcW w:w="1641" w:type="dxa"/>
            <w:vAlign w:val="center"/>
          </w:tcPr>
          <w:p w14:paraId="1690C183">
            <w:pPr>
              <w:spacing w:line="360" w:lineRule="auto"/>
              <w:contextualSpacing/>
              <w:jc w:val="center"/>
              <w:rPr>
                <w:rFonts w:hint="eastAsia" w:ascii="宋体" w:hAnsi="宋体"/>
                <w:color w:val="auto"/>
                <w:sz w:val="24"/>
                <w:szCs w:val="20"/>
              </w:rPr>
            </w:pPr>
          </w:p>
        </w:tc>
        <w:tc>
          <w:tcPr>
            <w:tcW w:w="1772" w:type="dxa"/>
            <w:vAlign w:val="center"/>
          </w:tcPr>
          <w:p w14:paraId="4A5C7AAF">
            <w:pPr>
              <w:spacing w:line="360" w:lineRule="auto"/>
              <w:contextualSpacing/>
              <w:jc w:val="center"/>
              <w:rPr>
                <w:rFonts w:hint="eastAsia" w:ascii="宋体" w:hAnsi="宋体"/>
                <w:color w:val="auto"/>
                <w:sz w:val="24"/>
                <w:szCs w:val="20"/>
              </w:rPr>
            </w:pPr>
          </w:p>
        </w:tc>
      </w:tr>
      <w:tr w14:paraId="61B4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F13AA5">
            <w:pPr>
              <w:spacing w:line="360" w:lineRule="auto"/>
              <w:contextualSpacing/>
              <w:jc w:val="center"/>
              <w:rPr>
                <w:rFonts w:hint="eastAsia" w:ascii="宋体" w:hAnsi="宋体"/>
                <w:color w:val="auto"/>
                <w:sz w:val="24"/>
                <w:szCs w:val="20"/>
              </w:rPr>
            </w:pPr>
          </w:p>
        </w:tc>
        <w:tc>
          <w:tcPr>
            <w:tcW w:w="709" w:type="dxa"/>
            <w:vAlign w:val="center"/>
          </w:tcPr>
          <w:p w14:paraId="4E63C540">
            <w:pPr>
              <w:spacing w:line="360" w:lineRule="auto"/>
              <w:contextualSpacing/>
              <w:jc w:val="center"/>
              <w:rPr>
                <w:rFonts w:hint="eastAsia" w:ascii="宋体" w:hAnsi="宋体"/>
                <w:color w:val="auto"/>
                <w:sz w:val="24"/>
                <w:szCs w:val="20"/>
              </w:rPr>
            </w:pPr>
          </w:p>
        </w:tc>
        <w:tc>
          <w:tcPr>
            <w:tcW w:w="2745" w:type="dxa"/>
            <w:vAlign w:val="center"/>
          </w:tcPr>
          <w:p w14:paraId="64930516">
            <w:pPr>
              <w:spacing w:line="360" w:lineRule="auto"/>
              <w:contextualSpacing/>
              <w:jc w:val="center"/>
              <w:rPr>
                <w:rFonts w:hint="eastAsia" w:ascii="宋体" w:hAnsi="宋体"/>
                <w:color w:val="auto"/>
                <w:sz w:val="24"/>
                <w:szCs w:val="20"/>
              </w:rPr>
            </w:pPr>
          </w:p>
        </w:tc>
        <w:tc>
          <w:tcPr>
            <w:tcW w:w="1415" w:type="dxa"/>
            <w:vAlign w:val="center"/>
          </w:tcPr>
          <w:p w14:paraId="7736F8DA">
            <w:pPr>
              <w:spacing w:line="360" w:lineRule="auto"/>
              <w:contextualSpacing/>
              <w:jc w:val="center"/>
              <w:rPr>
                <w:rFonts w:hint="eastAsia" w:ascii="宋体" w:hAnsi="宋体"/>
                <w:color w:val="auto"/>
                <w:sz w:val="24"/>
                <w:szCs w:val="20"/>
              </w:rPr>
            </w:pPr>
          </w:p>
        </w:tc>
        <w:tc>
          <w:tcPr>
            <w:tcW w:w="1641" w:type="dxa"/>
            <w:vAlign w:val="center"/>
          </w:tcPr>
          <w:p w14:paraId="12F5B790">
            <w:pPr>
              <w:spacing w:line="360" w:lineRule="auto"/>
              <w:contextualSpacing/>
              <w:jc w:val="center"/>
              <w:rPr>
                <w:rFonts w:hint="eastAsia" w:ascii="宋体" w:hAnsi="宋体"/>
                <w:color w:val="auto"/>
                <w:sz w:val="24"/>
                <w:szCs w:val="20"/>
              </w:rPr>
            </w:pPr>
          </w:p>
        </w:tc>
        <w:tc>
          <w:tcPr>
            <w:tcW w:w="1772" w:type="dxa"/>
            <w:vAlign w:val="center"/>
          </w:tcPr>
          <w:p w14:paraId="778FC63B">
            <w:pPr>
              <w:spacing w:line="360" w:lineRule="auto"/>
              <w:contextualSpacing/>
              <w:jc w:val="center"/>
              <w:rPr>
                <w:rFonts w:hint="eastAsia" w:ascii="宋体" w:hAnsi="宋体"/>
                <w:color w:val="auto"/>
                <w:sz w:val="24"/>
                <w:szCs w:val="20"/>
              </w:rPr>
            </w:pPr>
          </w:p>
        </w:tc>
      </w:tr>
    </w:tbl>
    <w:p w14:paraId="6FE0A671">
      <w:pPr>
        <w:spacing w:line="360" w:lineRule="auto"/>
        <w:contextualSpacing/>
        <w:jc w:val="left"/>
        <w:rPr>
          <w:rFonts w:hint="eastAsia" w:ascii="宋体" w:hAnsi="宋体"/>
          <w:color w:val="auto"/>
          <w:sz w:val="24"/>
          <w:szCs w:val="20"/>
        </w:rPr>
      </w:pPr>
      <w:r>
        <w:rPr>
          <w:rFonts w:hint="eastAsia" w:ascii="宋体" w:hAnsi="宋体"/>
          <w:color w:val="auto"/>
          <w:sz w:val="24"/>
          <w:szCs w:val="20"/>
        </w:rPr>
        <w:t>注：</w:t>
      </w:r>
    </w:p>
    <w:p w14:paraId="185E42E0">
      <w:pPr>
        <w:spacing w:line="360" w:lineRule="auto"/>
        <w:contextualSpacing/>
        <w:jc w:val="left"/>
        <w:rPr>
          <w:rFonts w:hint="eastAsia"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在填写时，如本表格不适合供应商的实际情况，可根据本表格式自行制表填写。</w:t>
      </w:r>
    </w:p>
    <w:p w14:paraId="73384EBC">
      <w:pPr>
        <w:spacing w:line="360" w:lineRule="auto"/>
        <w:contextualSpacing/>
        <w:jc w:val="left"/>
        <w:rPr>
          <w:rFonts w:hint="eastAsia" w:ascii="宋体" w:hAnsi="宋体"/>
          <w:color w:val="auto"/>
          <w:sz w:val="24"/>
          <w:szCs w:val="20"/>
        </w:rPr>
      </w:pPr>
      <w:r>
        <w:rPr>
          <w:rFonts w:ascii="宋体" w:hAnsi="宋体"/>
          <w:color w:val="auto"/>
          <w:sz w:val="24"/>
          <w:szCs w:val="20"/>
        </w:rPr>
        <w:t>2.</w:t>
      </w:r>
      <w:r>
        <w:rPr>
          <w:rFonts w:hint="eastAsia" w:ascii="宋体" w:hAnsi="宋体"/>
          <w:color w:val="auto"/>
          <w:sz w:val="24"/>
          <w:szCs w:val="20"/>
        </w:rPr>
        <w:t>供应商应当附本表所列证书的复印件并加盖供应商公章。</w:t>
      </w:r>
    </w:p>
    <w:p w14:paraId="52316773">
      <w:pPr>
        <w:spacing w:line="360" w:lineRule="auto"/>
        <w:contextualSpacing/>
        <w:rPr>
          <w:rFonts w:hint="eastAsia" w:ascii="宋体" w:hAnsi="宋体"/>
          <w:color w:val="auto"/>
          <w:sz w:val="24"/>
        </w:rPr>
      </w:pPr>
    </w:p>
    <w:p w14:paraId="4C5A8902">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r>
        <w:rPr>
          <w:rFonts w:hint="eastAsia" w:ascii="宋体" w:hAnsi="宋体"/>
          <w:color w:val="auto"/>
          <w:spacing w:val="20"/>
          <w:sz w:val="24"/>
          <w:u w:val="single"/>
        </w:rPr>
        <w:t xml:space="preserve">        </w:t>
      </w:r>
    </w:p>
    <w:p w14:paraId="4846F096">
      <w:pPr>
        <w:spacing w:line="360" w:lineRule="auto"/>
        <w:contextualSpacing/>
        <w:jc w:val="left"/>
        <w:rPr>
          <w:rFonts w:hint="eastAsia" w:ascii="宋体" w:hAnsi="宋体"/>
          <w:color w:val="auto"/>
          <w:sz w:val="24"/>
          <w:szCs w:val="20"/>
        </w:rPr>
      </w:pPr>
      <w:r>
        <w:rPr>
          <w:rFonts w:hint="eastAsia" w:ascii="宋体" w:hAnsi="宋体"/>
          <w:color w:val="auto"/>
          <w:spacing w:val="20"/>
          <w:sz w:val="24"/>
        </w:rPr>
        <w:t>供应商（</w:t>
      </w:r>
      <w:r>
        <w:rPr>
          <w:rFonts w:hint="eastAsia" w:ascii="宋体" w:hAnsi="宋体" w:cs="宋体"/>
          <w:color w:val="auto"/>
          <w:sz w:val="24"/>
        </w:rPr>
        <w:t>电子签章</w:t>
      </w:r>
      <w:r>
        <w:rPr>
          <w:rFonts w:hint="eastAsia" w:ascii="宋体" w:hAnsi="宋体"/>
          <w:color w:val="auto"/>
          <w:spacing w:val="20"/>
          <w:sz w:val="24"/>
        </w:rPr>
        <w:t>）：</w:t>
      </w:r>
      <w:r>
        <w:rPr>
          <w:rFonts w:hint="eastAsia" w:ascii="宋体" w:hAnsi="宋体"/>
          <w:color w:val="auto"/>
          <w:spacing w:val="20"/>
          <w:sz w:val="24"/>
          <w:u w:val="single"/>
        </w:rPr>
        <w:t xml:space="preserve">            </w:t>
      </w: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648882AE">
      <w:pPr>
        <w:snapToGrid w:val="0"/>
        <w:spacing w:before="50" w:after="156" w:afterLines="50"/>
        <w:jc w:val="left"/>
        <w:rPr>
          <w:rFonts w:hint="eastAsia" w:ascii="宋体" w:hAnsi="宋体"/>
          <w:color w:val="auto"/>
          <w:sz w:val="24"/>
          <w:szCs w:val="20"/>
        </w:rPr>
      </w:pPr>
    </w:p>
    <w:p w14:paraId="640A4565">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rPr>
      </w:pPr>
    </w:p>
    <w:p w14:paraId="79151B04">
      <w:pPr>
        <w:spacing w:line="360" w:lineRule="auto"/>
        <w:ind w:left="142"/>
        <w:contextualSpacing/>
        <w:jc w:val="left"/>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11、对应采购需求的技术要求、商务要求提供的其他文件资料</w:t>
      </w:r>
    </w:p>
    <w:p w14:paraId="39BA54CD">
      <w:pPr>
        <w:spacing w:line="360" w:lineRule="auto"/>
        <w:ind w:left="142"/>
        <w:contextualSpacing/>
        <w:jc w:val="left"/>
        <w:rPr>
          <w:rFonts w:hint="eastAsia" w:ascii="方正小标宋简体" w:hAnsi="方正小标宋简体" w:eastAsia="方正小标宋简体" w:cs="方正小标宋简体"/>
          <w:bCs/>
          <w:color w:val="auto"/>
          <w:sz w:val="44"/>
          <w:szCs w:val="44"/>
        </w:rPr>
      </w:pPr>
    </w:p>
    <w:p w14:paraId="3C540920">
      <w:pPr>
        <w:spacing w:line="360" w:lineRule="auto"/>
        <w:ind w:left="142"/>
        <w:contextualSpacing/>
        <w:jc w:val="left"/>
        <w:rPr>
          <w:rFonts w:hint="eastAsia" w:ascii="宋体" w:hAnsi="宋体"/>
          <w:color w:val="auto"/>
          <w:szCs w:val="21"/>
        </w:rPr>
      </w:pPr>
      <w:r>
        <w:rPr>
          <w:rFonts w:hint="eastAsia" w:ascii="方正小标宋简体" w:hAnsi="方正小标宋简体" w:eastAsia="方正小标宋简体" w:cs="方正小标宋简体"/>
          <w:bCs/>
          <w:color w:val="auto"/>
          <w:sz w:val="44"/>
          <w:szCs w:val="44"/>
        </w:rPr>
        <w:t>12、供应商认为需要提供的其他有关资料</w:t>
      </w:r>
      <w:r>
        <w:rPr>
          <w:rFonts w:ascii="宋体" w:hAnsi="宋体"/>
          <w:b/>
          <w:bCs/>
          <w:color w:val="auto"/>
          <w:sz w:val="24"/>
        </w:rPr>
        <w:br w:type="page"/>
      </w:r>
      <w:r>
        <w:rPr>
          <w:rFonts w:hint="eastAsia" w:ascii="方正小标宋简体" w:hAnsi="方正小标宋简体" w:eastAsia="方正小标宋简体" w:cs="方正小标宋简体"/>
          <w:bCs/>
          <w:color w:val="auto"/>
          <w:sz w:val="44"/>
          <w:szCs w:val="44"/>
        </w:rPr>
        <w:t>其他文书、文件格式</w:t>
      </w:r>
    </w:p>
    <w:p w14:paraId="7EEEE37E">
      <w:pPr>
        <w:spacing w:line="360" w:lineRule="auto"/>
        <w:jc w:val="center"/>
        <w:rPr>
          <w:rFonts w:hint="eastAsia"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w:t>
      </w:r>
      <w:r>
        <w:rPr>
          <w:rFonts w:hint="eastAsia" w:ascii="方正小标宋简体" w:hAnsi="方正小标宋简体" w:eastAsia="方正小标宋简体" w:cs="方正小标宋简体"/>
          <w:color w:val="auto"/>
          <w:sz w:val="28"/>
          <w:szCs w:val="28"/>
        </w:rPr>
        <w:t>（格式）</w:t>
      </w:r>
    </w:p>
    <w:p w14:paraId="2D9A54EE">
      <w:pPr>
        <w:pStyle w:val="12"/>
        <w:spacing w:line="440" w:lineRule="exact"/>
        <w:ind w:firstLine="482" w:firstLineChars="200"/>
        <w:contextualSpacing/>
        <w:rPr>
          <w:rFonts w:hint="eastAsia" w:hAnsi="宋体"/>
          <w:b/>
          <w:bCs/>
          <w:color w:val="auto"/>
          <w:sz w:val="24"/>
          <w:szCs w:val="24"/>
        </w:rPr>
      </w:pPr>
      <w:r>
        <w:rPr>
          <w:rFonts w:hint="eastAsia" w:hAnsi="宋体"/>
          <w:b/>
          <w:bCs/>
          <w:color w:val="auto"/>
          <w:sz w:val="24"/>
          <w:szCs w:val="24"/>
        </w:rPr>
        <w:t>一、质疑供应商基本信息：</w:t>
      </w:r>
    </w:p>
    <w:p w14:paraId="14B9078E">
      <w:pPr>
        <w:pStyle w:val="12"/>
        <w:spacing w:line="440" w:lineRule="exact"/>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196384F1">
      <w:pPr>
        <w:pStyle w:val="12"/>
        <w:spacing w:line="440" w:lineRule="exact"/>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9EFC76D">
      <w:pPr>
        <w:pStyle w:val="12"/>
        <w:spacing w:line="440" w:lineRule="exact"/>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1EC26B14">
      <w:pPr>
        <w:pStyle w:val="12"/>
        <w:spacing w:line="440" w:lineRule="exact"/>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2392A6E0">
      <w:pPr>
        <w:pStyle w:val="12"/>
        <w:spacing w:line="440" w:lineRule="exact"/>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C18933A">
      <w:pPr>
        <w:pStyle w:val="12"/>
        <w:spacing w:line="440" w:lineRule="exact"/>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5D4E638">
      <w:pPr>
        <w:pStyle w:val="12"/>
        <w:spacing w:line="440" w:lineRule="exact"/>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3390DD7E">
      <w:pPr>
        <w:pStyle w:val="12"/>
        <w:spacing w:line="440" w:lineRule="exact"/>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578DFADF">
      <w:pPr>
        <w:pStyle w:val="12"/>
        <w:spacing w:line="440" w:lineRule="exact"/>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7CDE1D84">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701F4F5B">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7C344061">
      <w:pPr>
        <w:pStyle w:val="12"/>
        <w:spacing w:line="440" w:lineRule="exact"/>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7B96BFD9">
      <w:pPr>
        <w:pStyle w:val="12"/>
        <w:spacing w:line="440" w:lineRule="exact"/>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614AD659">
      <w:pPr>
        <w:pStyle w:val="12"/>
        <w:spacing w:line="440" w:lineRule="exact"/>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0F0E118A">
      <w:pPr>
        <w:pStyle w:val="12"/>
        <w:spacing w:line="440" w:lineRule="exact"/>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29C3A29E">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514245D0">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767D222A">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39948AC9">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129D1FA8">
      <w:pPr>
        <w:pStyle w:val="12"/>
        <w:spacing w:line="440" w:lineRule="exact"/>
        <w:ind w:left="25" w:leftChars="12" w:firstLine="472" w:firstLineChars="197"/>
        <w:contextualSpacing/>
        <w:rPr>
          <w:rFonts w:hint="eastAsia" w:hAnsi="宋体"/>
          <w:color w:val="auto"/>
          <w:sz w:val="24"/>
          <w:szCs w:val="24"/>
        </w:rPr>
      </w:pPr>
      <w:r>
        <w:rPr>
          <w:rFonts w:hAnsi="宋体"/>
          <w:color w:val="auto"/>
          <w:sz w:val="24"/>
          <w:szCs w:val="24"/>
        </w:rPr>
        <w:t>……</w:t>
      </w:r>
    </w:p>
    <w:p w14:paraId="30D43351">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57C1889C">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36A2AEE0">
      <w:pPr>
        <w:pStyle w:val="12"/>
        <w:spacing w:line="440" w:lineRule="exact"/>
        <w:ind w:left="25" w:leftChars="12" w:firstLine="352" w:firstLineChars="147"/>
        <w:contextualSpacing/>
        <w:rPr>
          <w:rFonts w:hint="eastAsia" w:hAnsi="宋体"/>
          <w:color w:val="auto"/>
          <w:sz w:val="24"/>
          <w:szCs w:val="24"/>
        </w:rPr>
      </w:pPr>
    </w:p>
    <w:p w14:paraId="1A1B97ED">
      <w:pPr>
        <w:pStyle w:val="12"/>
        <w:spacing w:line="440" w:lineRule="exact"/>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2FA01CB1">
      <w:pPr>
        <w:pStyle w:val="12"/>
        <w:spacing w:line="440" w:lineRule="exact"/>
        <w:ind w:firstLine="480" w:firstLineChars="200"/>
        <w:contextualSpacing/>
        <w:rPr>
          <w:rFonts w:hint="eastAsia" w:hAnsi="宋体"/>
          <w:b/>
          <w:color w:val="auto"/>
          <w:sz w:val="24"/>
          <w:szCs w:val="24"/>
        </w:rPr>
      </w:pPr>
      <w:r>
        <w:rPr>
          <w:rFonts w:hint="eastAsia" w:hAnsi="宋体"/>
          <w:color w:val="auto"/>
          <w:sz w:val="24"/>
          <w:szCs w:val="24"/>
        </w:rPr>
        <w:t>日期：</w:t>
      </w:r>
    </w:p>
    <w:p w14:paraId="2C79719E">
      <w:pPr>
        <w:pStyle w:val="12"/>
        <w:spacing w:line="360" w:lineRule="auto"/>
        <w:contextualSpacing/>
        <w:rPr>
          <w:rFonts w:hint="eastAsia" w:hAnsi="宋体"/>
          <w:b/>
          <w:color w:val="auto"/>
          <w:sz w:val="24"/>
          <w:szCs w:val="24"/>
        </w:rPr>
      </w:pPr>
      <w:r>
        <w:rPr>
          <w:rFonts w:hint="eastAsia" w:hAnsi="宋体"/>
          <w:b/>
          <w:color w:val="auto"/>
          <w:sz w:val="24"/>
          <w:szCs w:val="24"/>
        </w:rPr>
        <w:t>说明：</w:t>
      </w:r>
    </w:p>
    <w:p w14:paraId="4A088088">
      <w:pPr>
        <w:pStyle w:val="12"/>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4337BBD8">
      <w:pPr>
        <w:pStyle w:val="12"/>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2E3086">
      <w:pPr>
        <w:pStyle w:val="12"/>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23086377">
      <w:pPr>
        <w:pStyle w:val="12"/>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13DC9D75">
      <w:pPr>
        <w:pStyle w:val="12"/>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1914116">
      <w:pPr>
        <w:pStyle w:val="12"/>
        <w:snapToGrid w:val="0"/>
        <w:rPr>
          <w:b/>
          <w:color w:val="auto"/>
          <w:sz w:val="24"/>
          <w:szCs w:val="24"/>
        </w:rPr>
      </w:pPr>
    </w:p>
    <w:p w14:paraId="0C7AA995">
      <w:pPr>
        <w:rPr>
          <w:color w:val="auto"/>
          <w:sz w:val="32"/>
          <w:szCs w:val="40"/>
        </w:rPr>
      </w:pPr>
    </w:p>
    <w:p w14:paraId="58C882A2">
      <w:pPr>
        <w:rPr>
          <w:color w:val="auto"/>
          <w:sz w:val="32"/>
          <w:szCs w:val="40"/>
        </w:rPr>
      </w:pPr>
    </w:p>
    <w:p w14:paraId="1F4861F6">
      <w:pPr>
        <w:rPr>
          <w:color w:val="auto"/>
          <w:sz w:val="32"/>
          <w:szCs w:val="40"/>
        </w:rPr>
      </w:pPr>
    </w:p>
    <w:p w14:paraId="36E2DD6E">
      <w:pPr>
        <w:rPr>
          <w:color w:val="auto"/>
          <w:sz w:val="32"/>
          <w:szCs w:val="40"/>
        </w:rPr>
      </w:pPr>
    </w:p>
    <w:p w14:paraId="38558E3E">
      <w:pPr>
        <w:rPr>
          <w:color w:val="auto"/>
          <w:sz w:val="32"/>
          <w:szCs w:val="40"/>
        </w:rPr>
      </w:pPr>
    </w:p>
    <w:p w14:paraId="453EACBA">
      <w:pPr>
        <w:rPr>
          <w:color w:val="auto"/>
          <w:sz w:val="32"/>
          <w:szCs w:val="40"/>
        </w:rPr>
      </w:pPr>
    </w:p>
    <w:p w14:paraId="10752AFF">
      <w:pPr>
        <w:rPr>
          <w:color w:val="auto"/>
          <w:sz w:val="32"/>
          <w:szCs w:val="40"/>
        </w:rPr>
      </w:pPr>
    </w:p>
    <w:p w14:paraId="79FF40CA">
      <w:pPr>
        <w:rPr>
          <w:color w:val="auto"/>
          <w:sz w:val="32"/>
          <w:szCs w:val="40"/>
        </w:rPr>
      </w:pPr>
    </w:p>
    <w:p w14:paraId="50658283">
      <w:pPr>
        <w:rPr>
          <w:color w:val="auto"/>
          <w:sz w:val="32"/>
          <w:szCs w:val="40"/>
        </w:rPr>
      </w:pPr>
    </w:p>
    <w:p w14:paraId="614CC29D">
      <w:pPr>
        <w:rPr>
          <w:color w:val="auto"/>
          <w:sz w:val="32"/>
          <w:szCs w:val="40"/>
        </w:rPr>
      </w:pPr>
    </w:p>
    <w:p w14:paraId="58D2F7DF">
      <w:pPr>
        <w:rPr>
          <w:color w:val="auto"/>
          <w:sz w:val="32"/>
          <w:szCs w:val="40"/>
        </w:rPr>
      </w:pPr>
    </w:p>
    <w:p w14:paraId="307C0300">
      <w:pPr>
        <w:rPr>
          <w:color w:val="auto"/>
          <w:sz w:val="32"/>
          <w:szCs w:val="40"/>
        </w:rPr>
      </w:pPr>
    </w:p>
    <w:p w14:paraId="208BDA70">
      <w:pPr>
        <w:rPr>
          <w:color w:val="auto"/>
          <w:sz w:val="32"/>
          <w:szCs w:val="40"/>
        </w:rPr>
      </w:pPr>
    </w:p>
    <w:p w14:paraId="3047C072">
      <w:pPr>
        <w:rPr>
          <w:color w:val="auto"/>
          <w:sz w:val="32"/>
          <w:szCs w:val="40"/>
        </w:rPr>
      </w:pPr>
    </w:p>
    <w:p w14:paraId="4BAEB360">
      <w:pPr>
        <w:spacing w:line="360" w:lineRule="auto"/>
        <w:jc w:val="center"/>
        <w:rPr>
          <w:rFonts w:hint="eastAsia" w:ascii="方正小标宋简体" w:hAnsi="方正小标宋简体" w:eastAsia="方正小标宋简体" w:cs="方正小标宋简体"/>
          <w:color w:val="auto"/>
          <w:sz w:val="24"/>
        </w:rPr>
      </w:pPr>
      <w:r>
        <w:rPr>
          <w:rFonts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投诉书</w:t>
      </w:r>
      <w:r>
        <w:rPr>
          <w:rFonts w:hint="eastAsia" w:ascii="方正小标宋简体" w:hAnsi="方正小标宋简体" w:eastAsia="方正小标宋简体" w:cs="方正小标宋简体"/>
          <w:color w:val="auto"/>
          <w:sz w:val="28"/>
          <w:szCs w:val="28"/>
        </w:rPr>
        <w:t>（格式）</w:t>
      </w:r>
    </w:p>
    <w:p w14:paraId="08243B2D">
      <w:pPr>
        <w:pStyle w:val="12"/>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一、投诉相关主体基本情况：</w:t>
      </w:r>
    </w:p>
    <w:p w14:paraId="70FEE3E5">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7D79AB05">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FA2CF22">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63F12FFA">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6CA87DA">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2CA7D9B">
      <w:pPr>
        <w:pStyle w:val="12"/>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7D415AC1">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F4387D6">
      <w:pPr>
        <w:pStyle w:val="12"/>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6CBF01F8">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76BB7024">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FCA0865">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4B0D325">
      <w:pPr>
        <w:pStyle w:val="12"/>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1EA12516">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27186D06">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6F1B4336">
      <w:pPr>
        <w:pStyle w:val="12"/>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03EE6C20">
      <w:pPr>
        <w:pStyle w:val="12"/>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6CB6C4B0">
      <w:pPr>
        <w:pStyle w:val="12"/>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3AA49590">
      <w:pPr>
        <w:pStyle w:val="12"/>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570A9871">
      <w:pPr>
        <w:pStyle w:val="12"/>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4C870CCE">
      <w:pPr>
        <w:pStyle w:val="12"/>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740307EF">
      <w:pPr>
        <w:pStyle w:val="12"/>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33545882">
      <w:pPr>
        <w:pStyle w:val="12"/>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竞争性磋商文件公告：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5D4304B">
      <w:pPr>
        <w:pStyle w:val="12"/>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784D8881">
      <w:pPr>
        <w:pStyle w:val="12"/>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517AC635">
      <w:pPr>
        <w:pStyle w:val="12"/>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6E12B724">
      <w:pPr>
        <w:pStyle w:val="12"/>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F08E2C0">
      <w:pPr>
        <w:pStyle w:val="12"/>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72EFD78F">
      <w:pPr>
        <w:pStyle w:val="12"/>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762D73CB">
      <w:pPr>
        <w:pStyle w:val="12"/>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48C033D9">
      <w:pPr>
        <w:pStyle w:val="12"/>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1091E47A">
      <w:pPr>
        <w:pStyle w:val="12"/>
        <w:spacing w:line="360" w:lineRule="auto"/>
        <w:ind w:firstLine="480" w:firstLineChars="200"/>
        <w:rPr>
          <w:rFonts w:hint="eastAsia" w:hAnsi="宋体"/>
          <w:color w:val="auto"/>
          <w:sz w:val="24"/>
          <w:szCs w:val="24"/>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47F6CB3A">
      <w:pPr>
        <w:pStyle w:val="12"/>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61DF3EAB">
      <w:pPr>
        <w:pStyle w:val="12"/>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4C7414B7">
      <w:pPr>
        <w:pStyle w:val="12"/>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1C4B8E38">
      <w:pPr>
        <w:pStyle w:val="12"/>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199BB6BD">
      <w:pPr>
        <w:pStyle w:val="12"/>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05BE3393">
      <w:pPr>
        <w:pStyle w:val="12"/>
        <w:spacing w:line="360" w:lineRule="auto"/>
        <w:ind w:left="25" w:leftChars="12" w:firstLine="352" w:firstLineChars="147"/>
        <w:rPr>
          <w:rFonts w:hint="eastAsia" w:hAnsi="宋体"/>
          <w:color w:val="auto"/>
          <w:sz w:val="24"/>
          <w:szCs w:val="24"/>
        </w:rPr>
      </w:pPr>
    </w:p>
    <w:p w14:paraId="6CCD49BE">
      <w:pPr>
        <w:pStyle w:val="12"/>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1A92F8D5">
      <w:pPr>
        <w:pStyle w:val="12"/>
        <w:spacing w:line="360" w:lineRule="auto"/>
        <w:ind w:left="25" w:leftChars="12" w:firstLine="352" w:firstLineChars="147"/>
        <w:rPr>
          <w:rFonts w:hint="eastAsia" w:hAnsi="宋体"/>
          <w:color w:val="auto"/>
          <w:sz w:val="24"/>
          <w:szCs w:val="24"/>
        </w:rPr>
      </w:pPr>
    </w:p>
    <w:p w14:paraId="1360D222">
      <w:pPr>
        <w:pStyle w:val="12"/>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046A1229">
      <w:pPr>
        <w:pStyle w:val="12"/>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 xml:space="preserve">                                                                                 </w:t>
      </w:r>
    </w:p>
    <w:p w14:paraId="74475E06">
      <w:pPr>
        <w:pStyle w:val="12"/>
        <w:snapToGrid w:val="0"/>
        <w:spacing w:line="360" w:lineRule="auto"/>
        <w:rPr>
          <w:rFonts w:hint="eastAsia" w:hAnsi="宋体"/>
          <w:b/>
          <w:color w:val="auto"/>
          <w:sz w:val="24"/>
          <w:szCs w:val="24"/>
        </w:rPr>
      </w:pPr>
      <w:r>
        <w:rPr>
          <w:rFonts w:hint="eastAsia" w:hAnsi="宋体"/>
          <w:b/>
          <w:color w:val="auto"/>
          <w:sz w:val="24"/>
          <w:szCs w:val="24"/>
        </w:rPr>
        <w:t>说明：</w:t>
      </w:r>
    </w:p>
    <w:p w14:paraId="70EEEFAF">
      <w:pPr>
        <w:pStyle w:val="12"/>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196DEECF">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6F33C6">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2A21EBBA">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725D0C45">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76AC9AC4">
      <w:pPr>
        <w:pStyle w:val="12"/>
        <w:spacing w:line="360" w:lineRule="auto"/>
        <w:ind w:left="25" w:leftChars="12" w:firstLine="354" w:firstLineChars="147"/>
        <w:rPr>
          <w:color w:val="auto"/>
        </w:rPr>
      </w:pPr>
      <w:r>
        <w:rPr>
          <w:rFonts w:hint="eastAsia" w:hAnsi="宋体"/>
          <w:b/>
          <w:color w:val="auto"/>
          <w:sz w:val="24"/>
          <w:szCs w:val="24"/>
        </w:rPr>
        <w:t>6.投诉人为法人或者其他组织的，投诉书应由法定代表人、主要负责人，或者其授权代表签字或者盖章，并加盖公章。</w:t>
      </w:r>
      <w:bookmarkStart w:id="139" w:name="_Toc74323461"/>
    </w:p>
    <w:p w14:paraId="56BA3A07">
      <w:pPr>
        <w:spacing w:line="600" w:lineRule="exact"/>
        <w:jc w:val="center"/>
        <w:rPr>
          <w:color w:val="auto"/>
          <w:sz w:val="28"/>
          <w:szCs w:val="28"/>
        </w:rPr>
      </w:pPr>
      <w:r>
        <w:rPr>
          <w:rFonts w:hint="eastAsia"/>
          <w:color w:val="auto"/>
          <w:sz w:val="44"/>
          <w:szCs w:val="44"/>
        </w:rPr>
        <w:t>第六章</w:t>
      </w:r>
      <w:bookmarkEnd w:id="139"/>
    </w:p>
    <w:p w14:paraId="4150FCE1">
      <w:pPr>
        <w:spacing w:line="600" w:lineRule="exact"/>
        <w:jc w:val="center"/>
        <w:rPr>
          <w:rFonts w:eastAsia="方正小标宋_GBK"/>
          <w:color w:val="auto"/>
          <w:kern w:val="0"/>
          <w:sz w:val="44"/>
          <w:szCs w:val="44"/>
        </w:rPr>
      </w:pPr>
    </w:p>
    <w:p w14:paraId="5B021183">
      <w:pPr>
        <w:spacing w:line="600" w:lineRule="exact"/>
        <w:jc w:val="center"/>
        <w:rPr>
          <w:color w:val="auto"/>
        </w:rPr>
      </w:pPr>
      <w:r>
        <w:rPr>
          <w:rFonts w:hint="eastAsia" w:eastAsia="方正小标宋_GBK"/>
          <w:color w:val="auto"/>
          <w:kern w:val="0"/>
          <w:sz w:val="44"/>
          <w:szCs w:val="44"/>
        </w:rPr>
        <w:t>合同主要条款格式</w:t>
      </w:r>
    </w:p>
    <w:p w14:paraId="7966BD41">
      <w:pPr>
        <w:pStyle w:val="2"/>
        <w:rPr>
          <w:color w:val="auto"/>
        </w:rPr>
      </w:pPr>
    </w:p>
    <w:p w14:paraId="757771AD">
      <w:pPr>
        <w:pStyle w:val="12"/>
        <w:snapToGrid w:val="0"/>
        <w:jc w:val="center"/>
        <w:rPr>
          <w:rFonts w:ascii="Arial" w:hAnsi="Arial" w:cs="Arial"/>
          <w:b/>
          <w:color w:val="auto"/>
          <w:sz w:val="24"/>
          <w:szCs w:val="24"/>
        </w:rPr>
      </w:pPr>
      <w:bookmarkStart w:id="140" w:name="_Hlk77609480"/>
    </w:p>
    <w:bookmarkEnd w:id="140"/>
    <w:p w14:paraId="0250FED9">
      <w:pPr>
        <w:snapToGrid w:val="0"/>
        <w:jc w:val="center"/>
        <w:rPr>
          <w:rFonts w:hint="eastAsia" w:ascii="宋体" w:hAnsi="宋体" w:cs="宋体"/>
          <w:b/>
          <w:bCs/>
          <w:color w:val="auto"/>
          <w:sz w:val="44"/>
          <w:szCs w:val="44"/>
        </w:rPr>
      </w:pPr>
    </w:p>
    <w:p w14:paraId="784D8E31">
      <w:pPr>
        <w:snapToGrid w:val="0"/>
        <w:spacing w:line="360" w:lineRule="exact"/>
        <w:ind w:right="480" w:firstLine="9120" w:firstLineChars="2850"/>
        <w:rPr>
          <w:rFonts w:hint="eastAsia" w:ascii="宋体" w:hAnsi="宋体" w:cs="宋体"/>
          <w:bCs/>
          <w:color w:val="auto"/>
          <w:sz w:val="32"/>
          <w:szCs w:val="32"/>
        </w:rPr>
      </w:pPr>
    </w:p>
    <w:tbl>
      <w:tblPr>
        <w:tblStyle w:val="22"/>
        <w:tblW w:w="0" w:type="auto"/>
        <w:tblInd w:w="0" w:type="dxa"/>
        <w:tblLayout w:type="fixed"/>
        <w:tblCellMar>
          <w:top w:w="0" w:type="dxa"/>
          <w:left w:w="108" w:type="dxa"/>
          <w:bottom w:w="0" w:type="dxa"/>
          <w:right w:w="108" w:type="dxa"/>
        </w:tblCellMar>
      </w:tblPr>
      <w:tblGrid>
        <w:gridCol w:w="4170"/>
        <w:gridCol w:w="4302"/>
      </w:tblGrid>
      <w:tr w14:paraId="5BC1CC5B">
        <w:tblPrEx>
          <w:tblCellMar>
            <w:top w:w="0" w:type="dxa"/>
            <w:left w:w="108" w:type="dxa"/>
            <w:bottom w:w="0" w:type="dxa"/>
            <w:right w:w="108" w:type="dxa"/>
          </w:tblCellMar>
        </w:tblPrEx>
        <w:trPr>
          <w:trHeight w:val="891" w:hRule="atLeast"/>
        </w:trPr>
        <w:tc>
          <w:tcPr>
            <w:tcW w:w="8472" w:type="dxa"/>
            <w:gridSpan w:val="2"/>
            <w:vAlign w:val="center"/>
          </w:tcPr>
          <w:p w14:paraId="5254D2F5">
            <w:pPr>
              <w:wordWrap w:val="0"/>
              <w:autoSpaceDE w:val="0"/>
              <w:autoSpaceDN w:val="0"/>
              <w:adjustRightInd w:val="0"/>
              <w:ind w:firstLine="1440" w:firstLineChars="450"/>
              <w:rPr>
                <w:rFonts w:hint="eastAsia" w:ascii="宋体" w:hAnsi="宋体" w:cs="宋体"/>
                <w:color w:val="auto"/>
                <w:kern w:val="0"/>
                <w:sz w:val="32"/>
                <w:szCs w:val="32"/>
              </w:rPr>
            </w:pPr>
          </w:p>
          <w:p w14:paraId="1B2DD3CD">
            <w:pPr>
              <w:wordWrap w:val="0"/>
              <w:autoSpaceDE w:val="0"/>
              <w:autoSpaceDN w:val="0"/>
              <w:adjustRightInd w:val="0"/>
              <w:ind w:firstLine="1440" w:firstLineChars="450"/>
              <w:rPr>
                <w:rFonts w:hint="eastAsia" w:ascii="宋体" w:hAnsi="宋体" w:cs="宋体"/>
                <w:color w:val="auto"/>
                <w:kern w:val="0"/>
                <w:sz w:val="32"/>
                <w:szCs w:val="32"/>
              </w:rPr>
            </w:pPr>
            <w:r>
              <w:rPr>
                <w:rFonts w:hint="eastAsia" w:ascii="宋体" w:hAnsi="宋体" w:cs="宋体"/>
                <w:color w:val="auto"/>
                <w:kern w:val="0"/>
                <w:sz w:val="32"/>
                <w:szCs w:val="32"/>
              </w:rPr>
              <w:t>合同名称：</w:t>
            </w:r>
          </w:p>
          <w:p w14:paraId="48232E4C">
            <w:pPr>
              <w:wordWrap w:val="0"/>
              <w:autoSpaceDE w:val="0"/>
              <w:autoSpaceDN w:val="0"/>
              <w:adjustRightInd w:val="0"/>
              <w:ind w:firstLine="1440" w:firstLineChars="450"/>
              <w:rPr>
                <w:rFonts w:hint="eastAsia" w:ascii="宋体" w:hAnsi="宋体" w:cs="宋体"/>
                <w:color w:val="auto"/>
                <w:kern w:val="0"/>
                <w:sz w:val="32"/>
                <w:szCs w:val="32"/>
              </w:rPr>
            </w:pPr>
          </w:p>
          <w:p w14:paraId="08B3F6C0">
            <w:pPr>
              <w:wordWrap w:val="0"/>
              <w:autoSpaceDE w:val="0"/>
              <w:autoSpaceDN w:val="0"/>
              <w:adjustRightInd w:val="0"/>
              <w:ind w:firstLine="1440" w:firstLineChars="450"/>
              <w:rPr>
                <w:rFonts w:hint="eastAsia" w:ascii="宋体" w:hAnsi="宋体" w:cs="宋体"/>
                <w:color w:val="auto"/>
                <w:kern w:val="0"/>
                <w:sz w:val="32"/>
                <w:szCs w:val="32"/>
              </w:rPr>
            </w:pPr>
            <w:r>
              <w:rPr>
                <w:rFonts w:hint="eastAsia" w:ascii="宋体" w:hAnsi="宋体" w:cs="宋体"/>
                <w:color w:val="auto"/>
                <w:kern w:val="0"/>
                <w:sz w:val="32"/>
                <w:szCs w:val="32"/>
              </w:rPr>
              <w:t>项目编号：</w:t>
            </w:r>
          </w:p>
          <w:p w14:paraId="7B0DCEC1">
            <w:pPr>
              <w:wordWrap w:val="0"/>
              <w:autoSpaceDE w:val="0"/>
              <w:autoSpaceDN w:val="0"/>
              <w:adjustRightInd w:val="0"/>
              <w:ind w:firstLine="1440" w:firstLineChars="450"/>
              <w:rPr>
                <w:rFonts w:hint="eastAsia" w:ascii="宋体" w:hAnsi="宋体" w:cs="宋体"/>
                <w:color w:val="auto"/>
                <w:kern w:val="0"/>
                <w:sz w:val="32"/>
                <w:szCs w:val="32"/>
              </w:rPr>
            </w:pPr>
          </w:p>
        </w:tc>
      </w:tr>
      <w:tr w14:paraId="04CF957B">
        <w:tblPrEx>
          <w:tblCellMar>
            <w:top w:w="0" w:type="dxa"/>
            <w:left w:w="108" w:type="dxa"/>
            <w:bottom w:w="0" w:type="dxa"/>
            <w:right w:w="108" w:type="dxa"/>
          </w:tblCellMar>
        </w:tblPrEx>
        <w:trPr>
          <w:trHeight w:val="505" w:hRule="atLeast"/>
        </w:trPr>
        <w:tc>
          <w:tcPr>
            <w:tcW w:w="8472" w:type="dxa"/>
            <w:gridSpan w:val="2"/>
            <w:vAlign w:val="center"/>
          </w:tcPr>
          <w:p w14:paraId="34C99DD8">
            <w:pPr>
              <w:wordWrap w:val="0"/>
              <w:autoSpaceDE w:val="0"/>
              <w:autoSpaceDN w:val="0"/>
              <w:adjustRightInd w:val="0"/>
              <w:ind w:firstLine="1440" w:firstLineChars="450"/>
              <w:rPr>
                <w:rFonts w:hint="eastAsia" w:ascii="宋体" w:hAnsi="宋体" w:cs="宋体"/>
                <w:color w:val="auto"/>
                <w:kern w:val="0"/>
                <w:sz w:val="32"/>
                <w:szCs w:val="32"/>
              </w:rPr>
            </w:pPr>
          </w:p>
          <w:p w14:paraId="35B938B1">
            <w:pPr>
              <w:wordWrap w:val="0"/>
              <w:autoSpaceDE w:val="0"/>
              <w:autoSpaceDN w:val="0"/>
              <w:adjustRightInd w:val="0"/>
              <w:ind w:firstLine="1440" w:firstLineChars="450"/>
              <w:rPr>
                <w:rFonts w:hint="eastAsia" w:ascii="宋体" w:hAnsi="宋体" w:cs="宋体"/>
                <w:color w:val="auto"/>
                <w:kern w:val="0"/>
                <w:sz w:val="32"/>
                <w:szCs w:val="32"/>
              </w:rPr>
            </w:pPr>
            <w:r>
              <w:rPr>
                <w:rFonts w:hint="eastAsia" w:ascii="宋体" w:hAnsi="宋体" w:cs="宋体"/>
                <w:color w:val="auto"/>
                <w:kern w:val="0"/>
                <w:sz w:val="32"/>
                <w:szCs w:val="32"/>
              </w:rPr>
              <w:t>采购单位：广西壮族自治区体育彩票管理中心</w:t>
            </w:r>
          </w:p>
          <w:p w14:paraId="1DC0B43F">
            <w:pPr>
              <w:wordWrap w:val="0"/>
              <w:autoSpaceDE w:val="0"/>
              <w:autoSpaceDN w:val="0"/>
              <w:adjustRightInd w:val="0"/>
              <w:ind w:firstLine="1440" w:firstLineChars="450"/>
              <w:rPr>
                <w:rFonts w:hint="eastAsia" w:ascii="宋体" w:hAnsi="宋体" w:cs="宋体"/>
                <w:color w:val="auto"/>
                <w:kern w:val="0"/>
                <w:sz w:val="32"/>
                <w:szCs w:val="32"/>
              </w:rPr>
            </w:pPr>
          </w:p>
        </w:tc>
      </w:tr>
      <w:tr w14:paraId="129560E7">
        <w:tblPrEx>
          <w:tblCellMar>
            <w:top w:w="0" w:type="dxa"/>
            <w:left w:w="108" w:type="dxa"/>
            <w:bottom w:w="0" w:type="dxa"/>
            <w:right w:w="108" w:type="dxa"/>
          </w:tblCellMar>
        </w:tblPrEx>
        <w:trPr>
          <w:trHeight w:val="427" w:hRule="atLeast"/>
        </w:trPr>
        <w:tc>
          <w:tcPr>
            <w:tcW w:w="8472" w:type="dxa"/>
            <w:gridSpan w:val="2"/>
            <w:vAlign w:val="center"/>
          </w:tcPr>
          <w:p w14:paraId="2AA632D4">
            <w:pPr>
              <w:wordWrap w:val="0"/>
              <w:autoSpaceDE w:val="0"/>
              <w:autoSpaceDN w:val="0"/>
              <w:adjustRightInd w:val="0"/>
              <w:ind w:firstLine="1440" w:firstLineChars="450"/>
              <w:rPr>
                <w:rFonts w:hint="eastAsia" w:ascii="宋体" w:hAnsi="宋体" w:cs="宋体"/>
                <w:color w:val="auto"/>
                <w:kern w:val="0"/>
                <w:sz w:val="32"/>
                <w:szCs w:val="32"/>
              </w:rPr>
            </w:pPr>
            <w:r>
              <w:rPr>
                <w:rFonts w:hint="eastAsia" w:ascii="宋体" w:hAnsi="宋体" w:cs="宋体"/>
                <w:color w:val="auto"/>
                <w:kern w:val="0"/>
                <w:sz w:val="32"/>
                <w:szCs w:val="32"/>
              </w:rPr>
              <w:t>供 应 商：</w:t>
            </w:r>
          </w:p>
          <w:p w14:paraId="44F8A9C2">
            <w:pPr>
              <w:wordWrap w:val="0"/>
              <w:autoSpaceDE w:val="0"/>
              <w:autoSpaceDN w:val="0"/>
              <w:adjustRightInd w:val="0"/>
              <w:ind w:firstLine="1440" w:firstLineChars="450"/>
              <w:rPr>
                <w:rFonts w:hint="eastAsia" w:ascii="宋体" w:hAnsi="宋体" w:cs="宋体"/>
                <w:color w:val="auto"/>
                <w:kern w:val="0"/>
                <w:sz w:val="32"/>
                <w:szCs w:val="32"/>
              </w:rPr>
            </w:pPr>
          </w:p>
        </w:tc>
      </w:tr>
      <w:tr w14:paraId="5A63445B">
        <w:tblPrEx>
          <w:tblCellMar>
            <w:top w:w="0" w:type="dxa"/>
            <w:left w:w="108" w:type="dxa"/>
            <w:bottom w:w="0" w:type="dxa"/>
            <w:right w:w="108" w:type="dxa"/>
          </w:tblCellMar>
        </w:tblPrEx>
        <w:trPr>
          <w:trHeight w:val="894" w:hRule="atLeast"/>
        </w:trPr>
        <w:tc>
          <w:tcPr>
            <w:tcW w:w="4170" w:type="dxa"/>
            <w:vAlign w:val="center"/>
          </w:tcPr>
          <w:p w14:paraId="07B34734">
            <w:pPr>
              <w:wordWrap w:val="0"/>
              <w:autoSpaceDE w:val="0"/>
              <w:autoSpaceDN w:val="0"/>
              <w:adjustRightInd w:val="0"/>
              <w:ind w:firstLine="1440" w:firstLineChars="450"/>
              <w:rPr>
                <w:rFonts w:hint="eastAsia" w:ascii="宋体" w:hAnsi="宋体" w:cs="宋体"/>
                <w:color w:val="auto"/>
                <w:kern w:val="0"/>
                <w:sz w:val="32"/>
                <w:szCs w:val="32"/>
              </w:rPr>
            </w:pPr>
            <w:r>
              <w:rPr>
                <w:rFonts w:hint="eastAsia" w:ascii="宋体" w:hAnsi="宋体" w:cs="宋体"/>
                <w:color w:val="auto"/>
                <w:kern w:val="0"/>
                <w:sz w:val="32"/>
                <w:szCs w:val="32"/>
              </w:rPr>
              <w:t>签订时间：</w:t>
            </w:r>
          </w:p>
        </w:tc>
        <w:tc>
          <w:tcPr>
            <w:tcW w:w="4302" w:type="dxa"/>
            <w:vAlign w:val="center"/>
          </w:tcPr>
          <w:p w14:paraId="03BF3BBC">
            <w:pPr>
              <w:wordWrap w:val="0"/>
              <w:autoSpaceDE w:val="0"/>
              <w:autoSpaceDN w:val="0"/>
              <w:adjustRightInd w:val="0"/>
              <w:rPr>
                <w:rFonts w:hint="eastAsia" w:ascii="宋体" w:hAnsi="宋体" w:cs="宋体"/>
                <w:color w:val="auto"/>
                <w:kern w:val="0"/>
                <w:sz w:val="32"/>
                <w:szCs w:val="32"/>
              </w:rPr>
            </w:pPr>
            <w:r>
              <w:rPr>
                <w:rFonts w:hint="eastAsia" w:ascii="宋体" w:hAnsi="宋体" w:cs="宋体"/>
                <w:color w:val="auto"/>
                <w:kern w:val="0"/>
                <w:sz w:val="32"/>
                <w:szCs w:val="32"/>
              </w:rPr>
              <w:t>年    月    日</w:t>
            </w:r>
          </w:p>
        </w:tc>
      </w:tr>
    </w:tbl>
    <w:p w14:paraId="2D424594">
      <w:pPr>
        <w:snapToGrid w:val="0"/>
        <w:spacing w:line="360" w:lineRule="exact"/>
        <w:jc w:val="center"/>
        <w:rPr>
          <w:rFonts w:hint="eastAsia" w:ascii="宋体" w:hAnsi="宋体" w:cs="宋体"/>
          <w:b/>
          <w:bCs/>
          <w:color w:val="auto"/>
          <w:sz w:val="18"/>
          <w:szCs w:val="18"/>
        </w:rPr>
      </w:pPr>
    </w:p>
    <w:p w14:paraId="62741588">
      <w:pPr>
        <w:snapToGrid w:val="0"/>
        <w:spacing w:line="360" w:lineRule="exact"/>
        <w:jc w:val="center"/>
        <w:rPr>
          <w:rFonts w:hint="eastAsia" w:ascii="宋体" w:hAnsi="宋体" w:cs="宋体"/>
          <w:b/>
          <w:bCs/>
          <w:color w:val="auto"/>
          <w:sz w:val="18"/>
          <w:szCs w:val="18"/>
        </w:rPr>
      </w:pPr>
    </w:p>
    <w:p w14:paraId="1A6AE949">
      <w:pPr>
        <w:snapToGrid w:val="0"/>
        <w:spacing w:line="360" w:lineRule="exact"/>
        <w:jc w:val="center"/>
        <w:rPr>
          <w:rFonts w:hint="eastAsia" w:ascii="宋体" w:hAnsi="宋体" w:cs="宋体"/>
          <w:b/>
          <w:bCs/>
          <w:color w:val="auto"/>
          <w:sz w:val="18"/>
          <w:szCs w:val="18"/>
        </w:rPr>
      </w:pPr>
    </w:p>
    <w:p w14:paraId="1284580F">
      <w:pPr>
        <w:spacing w:line="600" w:lineRule="exact"/>
        <w:ind w:firstLine="420" w:firstLineChars="200"/>
        <w:jc w:val="left"/>
        <w:rPr>
          <w:rFonts w:hint="eastAsia" w:asciiTheme="minorEastAsia" w:hAnsiTheme="minorEastAsia" w:eastAsiaTheme="minorEastAsia" w:cstheme="minorEastAsia"/>
          <w:color w:val="auto"/>
          <w:szCs w:val="21"/>
        </w:rPr>
      </w:pPr>
    </w:p>
    <w:p w14:paraId="7A32F650">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br w:type="page"/>
      </w:r>
    </w:p>
    <w:p w14:paraId="1020441D">
      <w:pPr>
        <w:spacing w:line="720" w:lineRule="auto"/>
        <w:jc w:val="center"/>
        <w:rPr>
          <w:rFonts w:ascii="宋体"/>
          <w:b/>
          <w:bCs/>
          <w:color w:val="auto"/>
          <w:sz w:val="32"/>
          <w:szCs w:val="32"/>
        </w:rPr>
      </w:pPr>
      <w:r>
        <w:rPr>
          <w:rFonts w:hint="eastAsia" w:ascii="宋体"/>
          <w:b/>
          <w:bCs/>
          <w:color w:val="auto"/>
          <w:sz w:val="32"/>
          <w:szCs w:val="32"/>
        </w:rPr>
        <w:t>广西壮族自治区政府采购合同（格式）</w:t>
      </w:r>
    </w:p>
    <w:p w14:paraId="40E1D97D">
      <w:pPr>
        <w:snapToGrid w:val="0"/>
        <w:spacing w:line="380" w:lineRule="exact"/>
        <w:rPr>
          <w:rFonts w:hint="eastAsia" w:ascii="宋体" w:hAnsi="宋体" w:cs="宋体"/>
          <w:bCs/>
          <w:color w:val="auto"/>
          <w:sz w:val="24"/>
          <w:u w:val="single"/>
        </w:rPr>
      </w:pPr>
      <w:r>
        <w:rPr>
          <w:rFonts w:hint="eastAsia" w:ascii="宋体" w:hAnsi="宋体" w:cs="宋体"/>
          <w:bCs/>
          <w:color w:val="auto"/>
          <w:sz w:val="24"/>
        </w:rPr>
        <w:t>合同编号：</w:t>
      </w:r>
      <w:r>
        <w:rPr>
          <w:rFonts w:hint="eastAsia" w:ascii="宋体" w:hAnsi="宋体" w:cs="宋体"/>
          <w:bCs/>
          <w:color w:val="auto"/>
          <w:sz w:val="24"/>
          <w:u w:val="single"/>
        </w:rPr>
        <w:t xml:space="preserve">                         </w:t>
      </w:r>
    </w:p>
    <w:p w14:paraId="336158CB">
      <w:pPr>
        <w:snapToGrid w:val="0"/>
        <w:spacing w:line="380" w:lineRule="exact"/>
        <w:rPr>
          <w:rFonts w:hint="eastAsia" w:ascii="宋体" w:hAnsi="宋体" w:cs="宋体"/>
          <w:color w:val="auto"/>
          <w:sz w:val="24"/>
          <w:u w:val="single"/>
        </w:rPr>
      </w:pPr>
      <w:r>
        <w:rPr>
          <w:rFonts w:hint="eastAsia" w:ascii="宋体" w:hAnsi="宋体" w:cs="宋体"/>
          <w:color w:val="auto"/>
          <w:sz w:val="24"/>
        </w:rPr>
        <w:t>采购人（甲方）：</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pacing w:val="-20"/>
          <w:sz w:val="24"/>
        </w:rPr>
        <w:t>采 购 计 划 号：</w:t>
      </w:r>
      <w:r>
        <w:rPr>
          <w:rFonts w:hint="eastAsia" w:ascii="宋体" w:hAnsi="宋体" w:cs="宋体"/>
          <w:color w:val="auto"/>
          <w:sz w:val="24"/>
          <w:u w:val="single"/>
        </w:rPr>
        <w:t xml:space="preserve">                         </w:t>
      </w:r>
    </w:p>
    <w:p w14:paraId="3898290E">
      <w:pPr>
        <w:snapToGrid w:val="0"/>
        <w:spacing w:line="380" w:lineRule="exact"/>
        <w:rPr>
          <w:rFonts w:hint="eastAsia" w:ascii="宋体" w:hAnsi="宋体" w:cs="宋体"/>
          <w:color w:val="auto"/>
          <w:szCs w:val="21"/>
          <w:u w:val="single"/>
        </w:rPr>
      </w:pPr>
      <w:r>
        <w:rPr>
          <w:rFonts w:hint="eastAsia" w:ascii="宋体" w:hAnsi="宋体" w:cs="宋体"/>
          <w:color w:val="auto"/>
          <w:sz w:val="24"/>
        </w:rPr>
        <w:t>供应商（乙方）：</w:t>
      </w:r>
      <w:r>
        <w:rPr>
          <w:rFonts w:hint="eastAsia" w:ascii="宋体" w:hAnsi="宋体" w:cs="宋体"/>
          <w:color w:val="auto"/>
          <w:sz w:val="24"/>
          <w:u w:val="single"/>
        </w:rPr>
        <w:t xml:space="preserve">                   </w:t>
      </w:r>
      <w:r>
        <w:rPr>
          <w:rFonts w:hint="eastAsia" w:ascii="宋体" w:hAnsi="宋体" w:cs="宋体"/>
          <w:color w:val="auto"/>
          <w:sz w:val="24"/>
        </w:rPr>
        <w:t xml:space="preserve">        采购项目名称和</w:t>
      </w:r>
      <w:r>
        <w:rPr>
          <w:rFonts w:hint="eastAsia" w:ascii="宋体" w:hAnsi="宋体" w:cs="宋体"/>
          <w:color w:val="auto"/>
          <w:spacing w:val="-20"/>
          <w:sz w:val="24"/>
        </w:rPr>
        <w:t>编号：</w:t>
      </w:r>
      <w:r>
        <w:rPr>
          <w:rFonts w:hint="eastAsia" w:ascii="宋体" w:hAnsi="宋体" w:cs="宋体"/>
          <w:color w:val="auto"/>
          <w:sz w:val="24"/>
          <w:u w:val="single"/>
        </w:rPr>
        <w:t xml:space="preserve">                     </w:t>
      </w:r>
      <w:r>
        <w:rPr>
          <w:rFonts w:hint="eastAsia" w:ascii="宋体" w:hAnsi="宋体" w:cs="宋体"/>
          <w:color w:val="auto"/>
          <w:szCs w:val="21"/>
          <w:u w:val="single"/>
        </w:rPr>
        <w:t xml:space="preserve">  </w:t>
      </w:r>
    </w:p>
    <w:p w14:paraId="406BD89A">
      <w:pPr>
        <w:pStyle w:val="12"/>
        <w:rPr>
          <w:rFonts w:hint="eastAsia" w:hAnsi="宋体" w:cs="宋体"/>
          <w:color w:val="auto"/>
        </w:rPr>
      </w:pPr>
    </w:p>
    <w:p w14:paraId="04614F9C">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根据《中华人民共和国政府采购法》、《政府采购货物和服务招标投标管理办法》、《中华人民共和国民法典》等法律、法规规定，按照竞争性磋商采购文件（以下简称“磋商文件”）规定条款和乙方竞争性磋商响应文件（以下简称“响应文件”）及其承诺，甲乙双方签订本合同。</w:t>
      </w:r>
    </w:p>
    <w:p w14:paraId="2437C7F9">
      <w:pPr>
        <w:snapToGrid w:val="0"/>
        <w:spacing w:line="360" w:lineRule="exact"/>
        <w:ind w:firstLine="482" w:firstLineChars="200"/>
        <w:rPr>
          <w:rFonts w:hint="eastAsia" w:ascii="宋体" w:hAnsi="宋体" w:cs="宋体"/>
          <w:b/>
          <w:color w:val="auto"/>
          <w:sz w:val="24"/>
        </w:rPr>
      </w:pPr>
      <w:r>
        <w:rPr>
          <w:rFonts w:hint="eastAsia" w:ascii="宋体" w:hAnsi="宋体" w:cs="宋体"/>
          <w:b/>
          <w:color w:val="auto"/>
          <w:sz w:val="24"/>
        </w:rPr>
        <w:t>第一条　合同标的</w:t>
      </w:r>
    </w:p>
    <w:p w14:paraId="0AFF6D0F">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1、服务一览表</w:t>
      </w:r>
    </w:p>
    <w:tbl>
      <w:tblPr>
        <w:tblStyle w:val="22"/>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622"/>
        <w:gridCol w:w="1250"/>
        <w:gridCol w:w="1486"/>
        <w:gridCol w:w="787"/>
        <w:gridCol w:w="1247"/>
        <w:gridCol w:w="1294"/>
      </w:tblGrid>
      <w:tr w14:paraId="4BD8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04078483">
            <w:pPr>
              <w:spacing w:line="312" w:lineRule="auto"/>
              <w:jc w:val="center"/>
              <w:rPr>
                <w:rFonts w:hint="eastAsia" w:ascii="宋体" w:hAnsi="宋体" w:cs="宋体"/>
                <w:color w:val="auto"/>
                <w:kern w:val="0"/>
                <w:sz w:val="24"/>
              </w:rPr>
            </w:pPr>
            <w:r>
              <w:rPr>
                <w:rFonts w:hint="eastAsia" w:ascii="宋体" w:hAnsi="宋体" w:cs="宋体"/>
                <w:color w:val="auto"/>
                <w:kern w:val="0"/>
                <w:sz w:val="24"/>
              </w:rPr>
              <w:t>序号</w:t>
            </w:r>
          </w:p>
        </w:tc>
        <w:tc>
          <w:tcPr>
            <w:tcW w:w="2622" w:type="dxa"/>
            <w:vAlign w:val="center"/>
          </w:tcPr>
          <w:p w14:paraId="2F734193">
            <w:pPr>
              <w:spacing w:line="312" w:lineRule="auto"/>
              <w:jc w:val="center"/>
              <w:rPr>
                <w:rFonts w:hint="eastAsia" w:ascii="宋体" w:hAnsi="宋体" w:cs="宋体"/>
                <w:color w:val="auto"/>
                <w:kern w:val="0"/>
                <w:sz w:val="24"/>
              </w:rPr>
            </w:pPr>
            <w:r>
              <w:rPr>
                <w:rFonts w:hint="eastAsia" w:ascii="宋体" w:hAnsi="宋体" w:cs="宋体"/>
                <w:color w:val="auto"/>
                <w:kern w:val="0"/>
                <w:sz w:val="24"/>
              </w:rPr>
              <w:t>标的名称</w:t>
            </w:r>
          </w:p>
        </w:tc>
        <w:tc>
          <w:tcPr>
            <w:tcW w:w="1250" w:type="dxa"/>
            <w:vAlign w:val="center"/>
          </w:tcPr>
          <w:p w14:paraId="73A76FC7">
            <w:pPr>
              <w:spacing w:line="312" w:lineRule="auto"/>
              <w:jc w:val="center"/>
              <w:rPr>
                <w:rFonts w:hint="eastAsia" w:ascii="宋体" w:hAnsi="宋体" w:cs="宋体"/>
                <w:color w:val="auto"/>
                <w:kern w:val="0"/>
                <w:sz w:val="24"/>
              </w:rPr>
            </w:pPr>
            <w:r>
              <w:rPr>
                <w:rFonts w:hint="eastAsia" w:ascii="宋体" w:hAnsi="宋体" w:cs="宋体"/>
                <w:color w:val="auto"/>
                <w:kern w:val="0"/>
                <w:sz w:val="24"/>
              </w:rPr>
              <w:t>服务内容</w:t>
            </w:r>
          </w:p>
        </w:tc>
        <w:tc>
          <w:tcPr>
            <w:tcW w:w="1486" w:type="dxa"/>
            <w:vAlign w:val="center"/>
          </w:tcPr>
          <w:p w14:paraId="79781B27">
            <w:pPr>
              <w:spacing w:line="312" w:lineRule="auto"/>
              <w:jc w:val="center"/>
              <w:rPr>
                <w:rFonts w:hint="eastAsia" w:ascii="宋体" w:hAnsi="宋体" w:cs="宋体"/>
                <w:color w:val="auto"/>
                <w:kern w:val="0"/>
                <w:sz w:val="24"/>
              </w:rPr>
            </w:pPr>
            <w:r>
              <w:rPr>
                <w:rFonts w:hint="eastAsia" w:ascii="宋体" w:hAnsi="宋体" w:cs="宋体"/>
                <w:color w:val="auto"/>
                <w:kern w:val="0"/>
                <w:sz w:val="24"/>
              </w:rPr>
              <w:t>服务供应商</w:t>
            </w:r>
          </w:p>
        </w:tc>
        <w:tc>
          <w:tcPr>
            <w:tcW w:w="787" w:type="dxa"/>
            <w:vAlign w:val="center"/>
          </w:tcPr>
          <w:p w14:paraId="0FB69CBC">
            <w:pPr>
              <w:spacing w:line="312" w:lineRule="auto"/>
              <w:jc w:val="center"/>
              <w:rPr>
                <w:rFonts w:hint="eastAsia" w:ascii="宋体" w:hAnsi="宋体" w:cs="宋体"/>
                <w:color w:val="auto"/>
                <w:kern w:val="0"/>
                <w:sz w:val="24"/>
              </w:rPr>
            </w:pPr>
            <w:r>
              <w:rPr>
                <w:rFonts w:hint="eastAsia" w:ascii="宋体" w:hAnsi="宋体" w:cs="宋体"/>
                <w:color w:val="auto"/>
                <w:kern w:val="0"/>
                <w:sz w:val="24"/>
              </w:rPr>
              <w:t>数量</w:t>
            </w:r>
          </w:p>
        </w:tc>
        <w:tc>
          <w:tcPr>
            <w:tcW w:w="1247" w:type="dxa"/>
            <w:vAlign w:val="center"/>
          </w:tcPr>
          <w:p w14:paraId="6BA78B9F">
            <w:pPr>
              <w:spacing w:line="312" w:lineRule="auto"/>
              <w:jc w:val="center"/>
              <w:rPr>
                <w:rFonts w:hint="eastAsia" w:ascii="宋体" w:hAnsi="宋体" w:cs="宋体"/>
                <w:color w:val="auto"/>
                <w:kern w:val="0"/>
                <w:sz w:val="24"/>
              </w:rPr>
            </w:pPr>
            <w:r>
              <w:rPr>
                <w:rFonts w:hint="eastAsia" w:ascii="宋体" w:hAnsi="宋体" w:cs="宋体"/>
                <w:color w:val="auto"/>
                <w:kern w:val="0"/>
                <w:sz w:val="24"/>
              </w:rPr>
              <w:t>单价</w:t>
            </w:r>
          </w:p>
          <w:p w14:paraId="15A43CDD">
            <w:pPr>
              <w:spacing w:line="312" w:lineRule="auto"/>
              <w:jc w:val="center"/>
              <w:rPr>
                <w:rFonts w:hint="eastAsia" w:ascii="宋体" w:hAnsi="宋体" w:cs="宋体"/>
                <w:color w:val="auto"/>
                <w:kern w:val="0"/>
                <w:sz w:val="24"/>
              </w:rPr>
            </w:pPr>
            <w:r>
              <w:rPr>
                <w:rFonts w:hint="eastAsia" w:ascii="宋体" w:hAnsi="宋体" w:cs="宋体"/>
                <w:color w:val="auto"/>
                <w:kern w:val="0"/>
                <w:sz w:val="24"/>
              </w:rPr>
              <w:t>（元）</w:t>
            </w:r>
          </w:p>
        </w:tc>
        <w:tc>
          <w:tcPr>
            <w:tcW w:w="1294" w:type="dxa"/>
            <w:vAlign w:val="center"/>
          </w:tcPr>
          <w:p w14:paraId="58BFA58D">
            <w:pPr>
              <w:spacing w:line="312" w:lineRule="auto"/>
              <w:jc w:val="center"/>
              <w:rPr>
                <w:rFonts w:hint="eastAsia" w:ascii="宋体" w:hAnsi="宋体" w:cs="宋体"/>
                <w:color w:val="auto"/>
                <w:kern w:val="0"/>
                <w:sz w:val="24"/>
              </w:rPr>
            </w:pPr>
            <w:r>
              <w:rPr>
                <w:rFonts w:hint="eastAsia" w:ascii="宋体" w:hAnsi="宋体" w:cs="宋体"/>
                <w:color w:val="auto"/>
                <w:kern w:val="0"/>
                <w:sz w:val="24"/>
              </w:rPr>
              <w:t>金额</w:t>
            </w:r>
          </w:p>
          <w:p w14:paraId="4B3F0610">
            <w:pPr>
              <w:spacing w:line="312" w:lineRule="auto"/>
              <w:jc w:val="center"/>
              <w:rPr>
                <w:rFonts w:hint="eastAsia" w:ascii="宋体" w:hAnsi="宋体" w:cs="宋体"/>
                <w:color w:val="auto"/>
                <w:kern w:val="0"/>
                <w:sz w:val="24"/>
              </w:rPr>
            </w:pPr>
            <w:r>
              <w:rPr>
                <w:rFonts w:hint="eastAsia" w:ascii="宋体" w:hAnsi="宋体" w:cs="宋体"/>
                <w:color w:val="auto"/>
                <w:kern w:val="0"/>
                <w:sz w:val="24"/>
              </w:rPr>
              <w:t>（元）</w:t>
            </w:r>
          </w:p>
        </w:tc>
      </w:tr>
      <w:tr w14:paraId="239F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70" w:type="dxa"/>
            <w:vAlign w:val="center"/>
          </w:tcPr>
          <w:p w14:paraId="47E53D7F">
            <w:pPr>
              <w:widowControl/>
              <w:spacing w:line="360" w:lineRule="exact"/>
              <w:jc w:val="center"/>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1</w:t>
            </w:r>
          </w:p>
        </w:tc>
        <w:tc>
          <w:tcPr>
            <w:tcW w:w="2622" w:type="dxa"/>
            <w:vAlign w:val="center"/>
          </w:tcPr>
          <w:p w14:paraId="40750E46">
            <w:pPr>
              <w:widowControl/>
              <w:spacing w:line="360" w:lineRule="exact"/>
              <w:jc w:val="left"/>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2025-2026年体彩公益金赛事品牌传播年采购项目</w:t>
            </w:r>
          </w:p>
        </w:tc>
        <w:tc>
          <w:tcPr>
            <w:tcW w:w="1250" w:type="dxa"/>
            <w:vAlign w:val="center"/>
          </w:tcPr>
          <w:p w14:paraId="65B164CD">
            <w:pPr>
              <w:widowControl/>
              <w:spacing w:line="360" w:lineRule="exact"/>
              <w:jc w:val="center"/>
              <w:rPr>
                <w:rFonts w:hint="eastAsia" w:ascii="宋体" w:hAnsi="宋体" w:cs="宋体"/>
                <w:color w:val="auto"/>
                <w:kern w:val="0"/>
                <w:sz w:val="24"/>
                <w:shd w:val="clear" w:color="auto" w:fill="FFFFFF"/>
              </w:rPr>
            </w:pPr>
          </w:p>
        </w:tc>
        <w:tc>
          <w:tcPr>
            <w:tcW w:w="1486" w:type="dxa"/>
            <w:vAlign w:val="center"/>
          </w:tcPr>
          <w:p w14:paraId="6174F05A">
            <w:pPr>
              <w:widowControl/>
              <w:spacing w:line="360" w:lineRule="exact"/>
              <w:jc w:val="center"/>
              <w:textAlignment w:val="center"/>
              <w:rPr>
                <w:rFonts w:hint="eastAsia" w:ascii="宋体" w:hAnsi="宋体" w:cs="宋体"/>
                <w:color w:val="auto"/>
                <w:sz w:val="24"/>
              </w:rPr>
            </w:pPr>
          </w:p>
        </w:tc>
        <w:tc>
          <w:tcPr>
            <w:tcW w:w="787" w:type="dxa"/>
            <w:vAlign w:val="center"/>
          </w:tcPr>
          <w:p w14:paraId="5E358B67">
            <w:pPr>
              <w:widowControl/>
              <w:spacing w:line="360" w:lineRule="exact"/>
              <w:jc w:val="center"/>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1项</w:t>
            </w:r>
          </w:p>
        </w:tc>
        <w:tc>
          <w:tcPr>
            <w:tcW w:w="1247" w:type="dxa"/>
            <w:vAlign w:val="center"/>
          </w:tcPr>
          <w:p w14:paraId="4731DF09">
            <w:pPr>
              <w:spacing w:line="312" w:lineRule="auto"/>
              <w:jc w:val="center"/>
              <w:rPr>
                <w:rFonts w:hint="eastAsia" w:ascii="宋体" w:hAnsi="宋体" w:cs="宋体"/>
                <w:color w:val="auto"/>
                <w:kern w:val="0"/>
                <w:sz w:val="24"/>
              </w:rPr>
            </w:pPr>
          </w:p>
        </w:tc>
        <w:tc>
          <w:tcPr>
            <w:tcW w:w="1294" w:type="dxa"/>
            <w:vAlign w:val="center"/>
          </w:tcPr>
          <w:p w14:paraId="5F463655">
            <w:pPr>
              <w:spacing w:line="312" w:lineRule="auto"/>
              <w:jc w:val="center"/>
              <w:rPr>
                <w:rFonts w:hint="eastAsia" w:ascii="宋体" w:hAnsi="宋体" w:cs="宋体"/>
                <w:color w:val="auto"/>
                <w:kern w:val="0"/>
                <w:sz w:val="24"/>
              </w:rPr>
            </w:pPr>
          </w:p>
        </w:tc>
      </w:tr>
      <w:tr w14:paraId="7FCB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456" w:type="dxa"/>
            <w:gridSpan w:val="7"/>
            <w:vAlign w:val="center"/>
          </w:tcPr>
          <w:p w14:paraId="2F9EF288">
            <w:pPr>
              <w:spacing w:line="312" w:lineRule="auto"/>
              <w:rPr>
                <w:rFonts w:hint="eastAsia" w:ascii="宋体" w:hAnsi="宋体" w:cs="宋体"/>
                <w:color w:val="auto"/>
                <w:sz w:val="24"/>
              </w:rPr>
            </w:pPr>
            <w:r>
              <w:rPr>
                <w:rFonts w:hint="eastAsia" w:ascii="宋体" w:hAnsi="宋体" w:cs="宋体"/>
                <w:color w:val="auto"/>
                <w:sz w:val="24"/>
              </w:rPr>
              <w:t>人民币合计金额：</w:t>
            </w:r>
            <w:r>
              <w:rPr>
                <w:rFonts w:hint="eastAsia" w:ascii="宋体" w:hAnsi="宋体" w:cs="宋体"/>
                <w:color w:val="auto"/>
                <w:sz w:val="24"/>
                <w:u w:val="single"/>
              </w:rPr>
              <w:t xml:space="preserve">                               （￥       ）</w:t>
            </w:r>
          </w:p>
        </w:tc>
      </w:tr>
    </w:tbl>
    <w:p w14:paraId="2DCE45AA">
      <w:pPr>
        <w:tabs>
          <w:tab w:val="center" w:pos="4153"/>
          <w:tab w:val="right" w:pos="8306"/>
        </w:tabs>
        <w:snapToGrid w:val="0"/>
        <w:jc w:val="left"/>
        <w:rPr>
          <w:rFonts w:hint="eastAsia" w:ascii="宋体" w:hAnsi="宋体" w:cs="宋体"/>
          <w:color w:val="auto"/>
          <w:sz w:val="24"/>
        </w:rPr>
      </w:pPr>
    </w:p>
    <w:p w14:paraId="5D5365CB">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2、合同合计金额包含但不限于以下部分：</w:t>
      </w:r>
      <w:r>
        <w:rPr>
          <w:rFonts w:hint="eastAsia" w:ascii="宋体" w:hAnsi="宋体" w:cs="宋体"/>
          <w:color w:val="auto"/>
          <w:sz w:val="24"/>
        </w:rPr>
        <w:tab/>
      </w:r>
    </w:p>
    <w:p w14:paraId="6375112F">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（1）服务的价格；</w:t>
      </w:r>
    </w:p>
    <w:p w14:paraId="1D211C41">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（2）必要的保险费用和各项税金；</w:t>
      </w:r>
    </w:p>
    <w:p w14:paraId="1A45BDD6">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（3）场地布置、器材、赛事传播、接待费（包括食宿及交通费）、人工费（含工作人员补助）、活动策划执行费、医务人员及急救药品费、以及实施过程中的应预见和不可预见的费用等；</w:t>
      </w:r>
    </w:p>
    <w:p w14:paraId="00907484">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（4）该项目全程服务过程中所发生的一切费用由成交供应商自行负责，成交供应商需满足采购人对本项目服务提出的有关需求所需的一切费用；</w:t>
      </w:r>
    </w:p>
    <w:p w14:paraId="40D2A127">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（5）包含所产生的采购代理服务费；</w:t>
      </w:r>
    </w:p>
    <w:p w14:paraId="6B7D2DA8">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（6）磋商文件所要求的相关服务，以及合同约定的所有责任、义务和一般风险等费用。</w:t>
      </w:r>
    </w:p>
    <w:p w14:paraId="3C4D7F31">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3、采购合同履行中，甲方需追加与合同标的相同的服务的，在不改变合同其他条款的前提下，可以与乙方协商签订补充合同，但所有补充合同的采购金额不得超过原合同采购金额的10%。</w:t>
      </w:r>
    </w:p>
    <w:p w14:paraId="041549B4">
      <w:pPr>
        <w:snapToGrid w:val="0"/>
        <w:spacing w:line="360" w:lineRule="exact"/>
        <w:ind w:firstLine="482" w:firstLineChars="200"/>
        <w:rPr>
          <w:rFonts w:hint="eastAsia" w:ascii="宋体" w:hAnsi="宋体" w:cs="宋体"/>
          <w:color w:val="auto"/>
          <w:sz w:val="24"/>
        </w:rPr>
      </w:pPr>
      <w:r>
        <w:rPr>
          <w:rFonts w:hint="eastAsia" w:ascii="宋体" w:hAnsi="宋体" w:cs="宋体"/>
          <w:b/>
          <w:color w:val="auto"/>
          <w:sz w:val="24"/>
        </w:rPr>
        <w:t>第二条　质量保证</w:t>
      </w:r>
    </w:p>
    <w:p w14:paraId="3FB93C22">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1、乙方所提供的服务质量必须与磋商文件、响应文件和承诺相一致。</w:t>
      </w:r>
    </w:p>
    <w:p w14:paraId="4044B19A">
      <w:pPr>
        <w:snapToGrid w:val="0"/>
        <w:spacing w:line="360" w:lineRule="exact"/>
        <w:ind w:firstLine="480" w:firstLineChars="200"/>
        <w:rPr>
          <w:rFonts w:hint="eastAsia" w:ascii="宋体" w:hAnsi="宋体" w:cs="宋体"/>
          <w:color w:val="auto"/>
          <w:sz w:val="24"/>
          <w:u w:val="single"/>
        </w:rPr>
      </w:pPr>
      <w:r>
        <w:rPr>
          <w:rFonts w:hint="eastAsia" w:ascii="宋体" w:hAnsi="宋体" w:cs="宋体"/>
          <w:color w:val="auto"/>
          <w:sz w:val="24"/>
        </w:rPr>
        <w:t>2、服务质量及售后服务：</w:t>
      </w:r>
      <w:r>
        <w:rPr>
          <w:rFonts w:hint="eastAsia" w:ascii="宋体" w:hAnsi="宋体" w:cs="宋体"/>
          <w:color w:val="auto"/>
          <w:sz w:val="24"/>
          <w:u w:val="single"/>
        </w:rPr>
        <w:t>详见磋商文件“采购需求”及乙方响应文件中对本项目的“服务承诺”。</w:t>
      </w:r>
    </w:p>
    <w:p w14:paraId="265E4534">
      <w:pPr>
        <w:snapToGrid w:val="0"/>
        <w:spacing w:line="360" w:lineRule="exact"/>
        <w:ind w:firstLine="482" w:firstLineChars="200"/>
        <w:rPr>
          <w:rFonts w:hint="eastAsia" w:ascii="宋体" w:hAnsi="宋体" w:cs="宋体"/>
          <w:b/>
          <w:color w:val="auto"/>
          <w:sz w:val="24"/>
        </w:rPr>
      </w:pPr>
      <w:r>
        <w:rPr>
          <w:rFonts w:hint="eastAsia" w:ascii="宋体" w:hAnsi="宋体" w:cs="宋体"/>
          <w:b/>
          <w:color w:val="auto"/>
          <w:sz w:val="24"/>
        </w:rPr>
        <w:t>第三条  权利保证</w:t>
      </w:r>
    </w:p>
    <w:p w14:paraId="099190B8">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1、乙方应保证所提供服务在使用时不会侵犯任何第三方的专利权、商标权、工业设计权或其他权利。</w:t>
      </w:r>
    </w:p>
    <w:p w14:paraId="3069987E">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2、乙方应按磋商文件规定的时间向甲方提供使用服务的有关技术资料。</w:t>
      </w:r>
    </w:p>
    <w:p w14:paraId="5E0BF5B5">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BDE1C17">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4、乙方保证所交付的服务的所有权完全属于乙方且无任何抵押、质押、查封等产权瑕疵。</w:t>
      </w:r>
    </w:p>
    <w:p w14:paraId="62E85115">
      <w:pPr>
        <w:snapToGrid w:val="0"/>
        <w:spacing w:line="360" w:lineRule="exact"/>
        <w:ind w:firstLine="482" w:firstLineChars="200"/>
        <w:rPr>
          <w:rFonts w:hint="eastAsia" w:ascii="宋体" w:hAnsi="宋体" w:cs="宋体"/>
          <w:b/>
          <w:color w:val="auto"/>
          <w:sz w:val="24"/>
        </w:rPr>
      </w:pPr>
      <w:r>
        <w:rPr>
          <w:rFonts w:hint="eastAsia" w:ascii="宋体" w:hAnsi="宋体" w:cs="宋体"/>
          <w:b/>
          <w:color w:val="auto"/>
          <w:sz w:val="24"/>
        </w:rPr>
        <w:t>第四条　服务时间、地点和验收</w:t>
      </w:r>
    </w:p>
    <w:p w14:paraId="057B6B59">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1、服务时间：自合同签订生效之日起</w:t>
      </w:r>
      <w:r>
        <w:rPr>
          <w:rFonts w:hint="eastAsia" w:ascii="宋体" w:hAnsi="宋体" w:cs="宋体"/>
          <w:color w:val="auto"/>
          <w:sz w:val="24"/>
          <w:shd w:val="clear" w:color="FFFFFF" w:fill="auto"/>
        </w:rPr>
        <w:t>一年内。</w:t>
      </w:r>
      <w:r>
        <w:rPr>
          <w:rFonts w:hint="eastAsia" w:ascii="宋体" w:hAnsi="宋体" w:cs="宋体"/>
          <w:color w:val="auto"/>
          <w:sz w:val="24"/>
        </w:rPr>
        <w:t xml:space="preserve"> </w:t>
      </w:r>
    </w:p>
    <w:p w14:paraId="6AD1EB34">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 xml:space="preserve">2、服务地点：采购人指定地点。 </w:t>
      </w:r>
    </w:p>
    <w:p w14:paraId="12391ABC">
      <w:pPr>
        <w:snapToGrid w:val="0"/>
        <w:spacing w:line="360" w:lineRule="exact"/>
        <w:ind w:firstLine="480" w:firstLineChars="200"/>
        <w:rPr>
          <w:rFonts w:hint="eastAsia" w:ascii="宋体" w:hAnsi="宋体" w:cs="宋体"/>
          <w:b/>
          <w:color w:val="auto"/>
          <w:sz w:val="24"/>
        </w:rPr>
      </w:pPr>
      <w:r>
        <w:rPr>
          <w:rFonts w:hint="eastAsia" w:ascii="宋体" w:hAnsi="宋体" w:cs="宋体"/>
          <w:color w:val="auto"/>
          <w:sz w:val="24"/>
        </w:rPr>
        <w:t>3、</w:t>
      </w:r>
      <w:r>
        <w:rPr>
          <w:rFonts w:hint="eastAsia" w:ascii="宋体" w:hAnsi="宋体" w:cs="宋体"/>
          <w:b/>
          <w:color w:val="auto"/>
          <w:sz w:val="24"/>
        </w:rPr>
        <w:t>验收方式：</w:t>
      </w:r>
    </w:p>
    <w:p w14:paraId="33C3670E">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（1）项目实施完毕后，经甲方同意后，乙方提出验收申请。</w:t>
      </w:r>
    </w:p>
    <w:p w14:paraId="6A5545DF">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2）甲方对乙方提交的服务成果依据磋商文件上的技术规格要求（包括附件部分）和国家有关质量标准进行现场初步验收，初步验收不合格的应当在10个工作日内完成整改。甲方对乙方提供的服务成果在使用前进行全面检查时，乙方需负责配合指导甲方的使用操作人员，并协助甲方一起操作完成，直到符合技术要求，甲方才做最终验收。服务成果交付后，</w:t>
      </w:r>
      <w:r>
        <w:rPr>
          <w:rFonts w:hint="eastAsia" w:ascii="宋体" w:hAnsi="宋体" w:cs="宋体"/>
          <w:bCs/>
          <w:color w:val="auto"/>
          <w:sz w:val="24"/>
        </w:rPr>
        <w:t>甲方应当在交付使用后7个工作日内进行最终验收</w:t>
      </w:r>
      <w:r>
        <w:rPr>
          <w:rFonts w:hint="eastAsia" w:ascii="宋体" w:hAnsi="宋体" w:cs="宋体"/>
          <w:color w:val="auto"/>
          <w:sz w:val="24"/>
        </w:rPr>
        <w:t>。</w:t>
      </w:r>
    </w:p>
    <w:p w14:paraId="64666848">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（3）乙方交付服务成果前应对服务成果作出全面检查和对验收文件进行整理，并列出清单，作为甲方验收和使用的技术条件依据，检验的结果应随服务成果交予甲方。</w:t>
      </w:r>
    </w:p>
    <w:p w14:paraId="47BB7E0E">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（4）最终验收时乙方必须在现场，验收完毕后作出验收结果报告（验收书）。</w:t>
      </w:r>
    </w:p>
    <w:p w14:paraId="7EDFA823">
      <w:pPr>
        <w:snapToGrid w:val="0"/>
        <w:spacing w:line="360" w:lineRule="exact"/>
        <w:ind w:firstLine="482" w:firstLineChars="200"/>
        <w:rPr>
          <w:rFonts w:hint="eastAsia" w:ascii="宋体" w:hAnsi="宋体" w:cs="宋体"/>
          <w:color w:val="auto"/>
          <w:sz w:val="24"/>
          <w:u w:val="single"/>
        </w:rPr>
      </w:pPr>
      <w:r>
        <w:rPr>
          <w:rFonts w:hint="eastAsia" w:ascii="宋体" w:hAnsi="宋体" w:cs="宋体"/>
          <w:b/>
          <w:color w:val="auto"/>
          <w:sz w:val="24"/>
        </w:rPr>
        <w:t>第五条  付款方式</w:t>
      </w:r>
    </w:p>
    <w:p w14:paraId="65424ABD">
      <w:pPr>
        <w:snapToGrid w:val="0"/>
        <w:spacing w:line="360" w:lineRule="exact"/>
        <w:ind w:firstLine="480" w:firstLineChars="200"/>
        <w:rPr>
          <w:rFonts w:hint="eastAsia" w:ascii="宋体" w:hAnsi="宋体" w:cs="宋体"/>
          <w:color w:val="auto"/>
          <w:sz w:val="24"/>
          <w:u w:val="single"/>
        </w:rPr>
      </w:pPr>
      <w:r>
        <w:rPr>
          <w:rFonts w:hint="eastAsia" w:ascii="宋体" w:hAnsi="宋体" w:cs="宋体"/>
          <w:color w:val="auto"/>
          <w:sz w:val="24"/>
        </w:rPr>
        <w:t>1、资金性质：</w:t>
      </w:r>
      <w:r>
        <w:rPr>
          <w:rFonts w:hint="eastAsia" w:ascii="宋体" w:hAnsi="宋体" w:cs="宋体"/>
          <w:color w:val="auto"/>
          <w:sz w:val="24"/>
          <w:u w:val="single"/>
        </w:rPr>
        <w:t>财政性资金。</w:t>
      </w:r>
    </w:p>
    <w:p w14:paraId="3B3A1099">
      <w:pPr>
        <w:snapToGrid w:val="0"/>
        <w:spacing w:line="360" w:lineRule="exact"/>
        <w:ind w:right="33" w:firstLine="480" w:firstLineChars="200"/>
        <w:rPr>
          <w:rFonts w:hint="eastAsia" w:ascii="宋体" w:hAnsi="宋体" w:cs="宋体"/>
          <w:color w:val="auto"/>
          <w:sz w:val="24"/>
        </w:rPr>
      </w:pPr>
      <w:r>
        <w:rPr>
          <w:rFonts w:hint="eastAsia" w:ascii="宋体" w:hAnsi="宋体" w:cs="宋体"/>
          <w:color w:val="auto"/>
          <w:sz w:val="24"/>
        </w:rPr>
        <w:t>2、付款方式：</w:t>
      </w:r>
    </w:p>
    <w:p w14:paraId="3D9B928D">
      <w:pPr>
        <w:snapToGrid w:val="0"/>
        <w:spacing w:line="360" w:lineRule="exact"/>
        <w:ind w:right="33" w:firstLine="480" w:firstLineChars="200"/>
        <w:rPr>
          <w:rFonts w:hint="eastAsia" w:ascii="宋体" w:hAnsi="宋体" w:cs="宋体"/>
          <w:color w:val="auto"/>
          <w:sz w:val="24"/>
        </w:rPr>
      </w:pPr>
      <w:r>
        <w:rPr>
          <w:rFonts w:hint="eastAsia" w:ascii="宋体" w:hAnsi="宋体" w:cs="宋体"/>
          <w:color w:val="auto"/>
          <w:sz w:val="24"/>
        </w:rPr>
        <w:t>1.第一次付款时间：合同正式签订后30个工作日内，乙方向甲方开具增值税普通发票后，甲方向乙方支付合同首款，即合同总金额的30%；</w:t>
      </w:r>
    </w:p>
    <w:p w14:paraId="14520451">
      <w:pPr>
        <w:snapToGrid w:val="0"/>
        <w:spacing w:line="360" w:lineRule="exact"/>
        <w:ind w:right="33" w:firstLine="480" w:firstLineChars="200"/>
        <w:rPr>
          <w:rFonts w:hint="eastAsia" w:ascii="宋体" w:hAnsi="宋体" w:cs="宋体"/>
          <w:color w:val="auto"/>
          <w:sz w:val="24"/>
        </w:rPr>
      </w:pPr>
      <w:r>
        <w:rPr>
          <w:rFonts w:ascii="宋体" w:hAnsi="宋体" w:cs="宋体"/>
          <w:color w:val="auto"/>
          <w:sz w:val="24"/>
        </w:rPr>
        <w:t>2.第二次付款时间：合同进度超80%时并经验收合格后，支付第二期服务费为合同金额的50%</w:t>
      </w:r>
      <w:r>
        <w:rPr>
          <w:rFonts w:hint="eastAsia" w:ascii="宋体" w:hAnsi="宋体" w:cs="宋体"/>
          <w:color w:val="auto"/>
          <w:sz w:val="24"/>
        </w:rPr>
        <w:t>；</w:t>
      </w:r>
    </w:p>
    <w:p w14:paraId="297C49C8">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3.尾款付款时间：在合作期满后，甲方验收合格后的15个工作日内支付乙方合同尾款，即合同总金额的20%；若甲方验收不合格，则从尾款中扣除相应款项，乙方向甲方开具增值税普通发票。</w:t>
      </w:r>
    </w:p>
    <w:p w14:paraId="20273388">
      <w:pPr>
        <w:snapToGrid w:val="0"/>
        <w:spacing w:line="360" w:lineRule="exact"/>
        <w:ind w:firstLine="482" w:firstLineChars="200"/>
        <w:rPr>
          <w:rFonts w:hint="eastAsia" w:ascii="宋体" w:hAnsi="宋体" w:cs="宋体"/>
          <w:b/>
          <w:color w:val="auto"/>
          <w:sz w:val="24"/>
        </w:rPr>
      </w:pPr>
      <w:r>
        <w:rPr>
          <w:rFonts w:hint="eastAsia" w:ascii="宋体" w:hAnsi="宋体" w:cs="宋体"/>
          <w:b/>
          <w:color w:val="auto"/>
          <w:sz w:val="24"/>
        </w:rPr>
        <w:t>第六条  税费：本合同执行中相关的一切税费均由乙方负担。</w:t>
      </w:r>
    </w:p>
    <w:p w14:paraId="1AF0B2E3">
      <w:pPr>
        <w:snapToGrid w:val="0"/>
        <w:spacing w:line="360" w:lineRule="exact"/>
        <w:ind w:firstLine="482" w:firstLineChars="200"/>
        <w:rPr>
          <w:rFonts w:hint="eastAsia" w:ascii="宋体" w:hAnsi="宋体" w:cs="宋体"/>
          <w:b/>
          <w:color w:val="auto"/>
          <w:sz w:val="24"/>
        </w:rPr>
      </w:pPr>
      <w:r>
        <w:rPr>
          <w:rFonts w:hint="eastAsia" w:ascii="宋体" w:hAnsi="宋体" w:cs="宋体"/>
          <w:b/>
          <w:color w:val="auto"/>
          <w:sz w:val="24"/>
        </w:rPr>
        <w:t>第七条　违约责任</w:t>
      </w:r>
    </w:p>
    <w:p w14:paraId="1F0B7713">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1、乙方所提供的服务、技术标准等服务质量不合格的，应24小时内整改，整改不及时的按逾期交付处罚；因服务成果质量问题甲方不同意接收的或特殊情况甲方同意接收的，乙方负有补救、完善的义务直至解决质量问题，且应向甲方支付违约金，违约金额为合同金额5%，并赔偿甲方经济损失。</w:t>
      </w:r>
    </w:p>
    <w:p w14:paraId="15E3C7C1">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2、乙方提供的服务如侵犯了第三方合法权益而引发的任何纠纷或诉讼，均由乙方负责交涉并承担全部责任，若因此导致甲方受第三方索赔的，乙方应为甲方抗辩，对甲方进行保护，并赔偿甲方因此遭受的全部损失。</w:t>
      </w:r>
    </w:p>
    <w:p w14:paraId="5E730543">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3、乙方逾期交付服务成果的，每逾期一日应按合同总额的3‰向甲方支付违约金，超过20天甲方有权以通知方式单方解除合同，合同解除的，乙方按照合同总金额的30%向甲方支付违约金。</w:t>
      </w:r>
    </w:p>
    <w:p w14:paraId="7D9DC67C">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4、乙方未按本合同和响应文件中规定的服务承诺提供售后服务的，乙方应按合同金额5%向甲方支付违约金。</w:t>
      </w:r>
    </w:p>
    <w:p w14:paraId="28D47983">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5、成交供应商给甲方造成的损失超过违约金额的，成交供应商除支付违约金外还应给甲方高出违约金的部分予以赔偿。</w:t>
      </w:r>
    </w:p>
    <w:p w14:paraId="7A4650CE">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6、成交供应商延迟履约、不完全履约或提供的服务不符合磋商文件和响应文件要求的。除支付违约金外，仍需继续履行合同或重新提供符合要求的服务。</w:t>
      </w:r>
    </w:p>
    <w:p w14:paraId="7696F435">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7、乙方未经甲方同意转让合同义务的，甲方有权解除合同，并要求乙方按合同金额20%向甲方支付违约金。</w:t>
      </w:r>
    </w:p>
    <w:p w14:paraId="18237B62">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8、其它违约行为按合同金额5%收取违约金并赔偿经济损失。</w:t>
      </w:r>
    </w:p>
    <w:p w14:paraId="24412842">
      <w:pPr>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9、本合同约定的损失包括但不限于经济损失、名誉损失以及为维护自身权益而支出的律师费、诉讼费、保全费、差旅费、鉴定费等。</w:t>
      </w:r>
    </w:p>
    <w:p w14:paraId="72B234A7">
      <w:pPr>
        <w:snapToGrid w:val="0"/>
        <w:spacing w:before="120" w:after="120" w:line="360" w:lineRule="exact"/>
        <w:ind w:firstLine="472" w:firstLineChars="196"/>
        <w:rPr>
          <w:rFonts w:hint="eastAsia" w:ascii="宋体" w:hAnsi="宋体" w:cs="宋体"/>
          <w:b/>
          <w:color w:val="auto"/>
          <w:sz w:val="24"/>
        </w:rPr>
      </w:pPr>
      <w:r>
        <w:rPr>
          <w:rFonts w:hint="eastAsia" w:ascii="宋体" w:hAnsi="宋体" w:cs="宋体"/>
          <w:b/>
          <w:color w:val="auto"/>
          <w:sz w:val="24"/>
        </w:rPr>
        <w:t>第八条  不可抗力事件处理</w:t>
      </w:r>
    </w:p>
    <w:p w14:paraId="399AF237">
      <w:pPr>
        <w:snapToGrid w:val="0"/>
        <w:spacing w:before="120" w:after="120" w:line="360" w:lineRule="exact"/>
        <w:ind w:firstLine="480" w:firstLineChars="200"/>
        <w:rPr>
          <w:rFonts w:hint="eastAsia" w:ascii="宋体" w:hAnsi="宋体" w:cs="宋体"/>
          <w:color w:val="auto"/>
          <w:sz w:val="24"/>
        </w:rPr>
      </w:pPr>
      <w:r>
        <w:rPr>
          <w:rFonts w:hint="eastAsia" w:ascii="宋体" w:hAnsi="宋体" w:cs="宋体"/>
          <w:color w:val="auto"/>
          <w:sz w:val="24"/>
        </w:rPr>
        <w:t>1、在合同有效期内，任何一方因不可抗力事件导致不能履行合同，则合同履行期可延长，其延长期与不可抗力影响期相同。</w:t>
      </w:r>
    </w:p>
    <w:p w14:paraId="084AF217">
      <w:pPr>
        <w:snapToGrid w:val="0"/>
        <w:spacing w:before="120" w:after="120" w:line="360" w:lineRule="exact"/>
        <w:ind w:firstLine="480" w:firstLineChars="200"/>
        <w:rPr>
          <w:rFonts w:hint="eastAsia" w:ascii="宋体" w:hAnsi="宋体" w:cs="宋体"/>
          <w:color w:val="auto"/>
          <w:sz w:val="24"/>
        </w:rPr>
      </w:pPr>
      <w:r>
        <w:rPr>
          <w:rFonts w:hint="eastAsia" w:ascii="宋体" w:hAnsi="宋体" w:cs="宋体"/>
          <w:color w:val="auto"/>
          <w:sz w:val="24"/>
        </w:rPr>
        <w:t>2、不可抗力事件发生后，应立即通知对方，并寄送有关权威机构出具的证明。</w:t>
      </w:r>
    </w:p>
    <w:p w14:paraId="3E36021F">
      <w:pPr>
        <w:snapToGrid w:val="0"/>
        <w:spacing w:before="120" w:after="120" w:line="360" w:lineRule="exact"/>
        <w:ind w:firstLine="480" w:firstLineChars="200"/>
        <w:rPr>
          <w:rFonts w:hint="eastAsia" w:ascii="宋体" w:hAnsi="宋体" w:cs="宋体"/>
          <w:color w:val="auto"/>
          <w:sz w:val="24"/>
        </w:rPr>
      </w:pPr>
      <w:r>
        <w:rPr>
          <w:rFonts w:hint="eastAsia" w:ascii="宋体" w:hAnsi="宋体" w:cs="宋体"/>
          <w:color w:val="auto"/>
          <w:sz w:val="24"/>
        </w:rPr>
        <w:t>3、不可抗力事件延续一百二十天以上，双方应通过友好协商，确定是否继续履行合同。</w:t>
      </w:r>
    </w:p>
    <w:p w14:paraId="38FC27B8">
      <w:pPr>
        <w:snapToGrid w:val="0"/>
        <w:spacing w:line="360" w:lineRule="exact"/>
        <w:ind w:firstLine="482" w:firstLineChars="200"/>
        <w:rPr>
          <w:rFonts w:hint="eastAsia" w:ascii="宋体" w:hAnsi="宋体" w:cs="宋体"/>
          <w:color w:val="auto"/>
          <w:sz w:val="24"/>
        </w:rPr>
      </w:pPr>
      <w:r>
        <w:rPr>
          <w:rFonts w:hint="eastAsia" w:ascii="宋体" w:hAnsi="宋体" w:cs="宋体"/>
          <w:b/>
          <w:color w:val="auto"/>
          <w:sz w:val="24"/>
        </w:rPr>
        <w:t>第九条  合同争议解决</w:t>
      </w:r>
    </w:p>
    <w:p w14:paraId="3C8C8A1F">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1、因服务质量问题发生争议的，应邀请国家认可的质量检测机构对服务质量进行鉴定。鉴定费由乙方承担。</w:t>
      </w:r>
    </w:p>
    <w:p w14:paraId="769B9DA7">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2、因履行本合同引起的或与本合同有关的争议，甲乙双方应首先通过友好协商解决，如果协商不能解决，向甲方所在地人民法院提起诉讼。</w:t>
      </w:r>
    </w:p>
    <w:p w14:paraId="4AFBFA11">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3、诉讼期间，本合同继续履行。</w:t>
      </w:r>
    </w:p>
    <w:p w14:paraId="3FB53551">
      <w:pPr>
        <w:snapToGrid w:val="0"/>
        <w:spacing w:before="120" w:after="120" w:line="360" w:lineRule="exact"/>
        <w:ind w:left="561" w:leftChars="267"/>
        <w:rPr>
          <w:rFonts w:hint="eastAsia" w:ascii="宋体" w:hAnsi="宋体" w:cs="宋体"/>
          <w:b/>
          <w:color w:val="auto"/>
          <w:sz w:val="24"/>
        </w:rPr>
      </w:pPr>
      <w:r>
        <w:rPr>
          <w:rFonts w:hint="eastAsia" w:ascii="宋体" w:hAnsi="宋体" w:cs="宋体"/>
          <w:b/>
          <w:color w:val="auto"/>
          <w:sz w:val="24"/>
        </w:rPr>
        <w:t>第十条  合同生效及其它</w:t>
      </w:r>
    </w:p>
    <w:p w14:paraId="25CB47C8">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1、本合同履行期限为：</w:t>
      </w:r>
      <w:r>
        <w:rPr>
          <w:rFonts w:hint="eastAsia" w:ascii="宋体" w:hAnsi="宋体" w:cs="宋体"/>
          <w:color w:val="auto"/>
          <w:sz w:val="24"/>
          <w:u w:val="single"/>
        </w:rPr>
        <w:t>按照本合同约定</w:t>
      </w:r>
      <w:r>
        <w:rPr>
          <w:rFonts w:hint="eastAsia" w:ascii="宋体" w:hAnsi="宋体" w:cs="宋体"/>
          <w:color w:val="auto"/>
          <w:sz w:val="24"/>
        </w:rPr>
        <w:t>；合同履行地点为：</w:t>
      </w:r>
      <w:r>
        <w:rPr>
          <w:rFonts w:hint="eastAsia" w:ascii="宋体" w:hAnsi="宋体" w:cs="宋体"/>
          <w:color w:val="auto"/>
          <w:sz w:val="24"/>
          <w:u w:val="single"/>
        </w:rPr>
        <w:t>广西南宁市</w:t>
      </w:r>
      <w:r>
        <w:rPr>
          <w:rFonts w:hint="eastAsia" w:ascii="宋体" w:hAnsi="宋体" w:cs="宋体"/>
          <w:color w:val="auto"/>
          <w:sz w:val="24"/>
        </w:rPr>
        <w:t>；合同履行的方式：</w:t>
      </w:r>
      <w:r>
        <w:rPr>
          <w:rFonts w:hint="eastAsia" w:ascii="宋体" w:hAnsi="宋体" w:cs="宋体"/>
          <w:color w:val="auto"/>
          <w:sz w:val="24"/>
          <w:u w:val="single"/>
        </w:rPr>
        <w:t>按照本合同约定</w:t>
      </w:r>
      <w:r>
        <w:rPr>
          <w:rFonts w:hint="eastAsia" w:ascii="宋体" w:hAnsi="宋体" w:cs="宋体"/>
          <w:color w:val="auto"/>
          <w:sz w:val="24"/>
        </w:rPr>
        <w:t>。</w:t>
      </w:r>
    </w:p>
    <w:p w14:paraId="028D97F4">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2、合同自双方法定代表人（负责人）或授权代表（委托代理人）签字并加盖单位公章之日起生效。</w:t>
      </w:r>
    </w:p>
    <w:p w14:paraId="0D0B2C62">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3、合同执行中涉及采购资金和采购内容修改或补充的，须经采购监督管理部门审批，并签书面补充协议报采购监督管理部门备案，方可作为主合同不可分割的一部分。</w:t>
      </w:r>
    </w:p>
    <w:p w14:paraId="00B25CB0">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4、本合同未尽事宜，遵照《中华人民共和国民法典》有关条文执行。</w:t>
      </w:r>
    </w:p>
    <w:p w14:paraId="559A6F12">
      <w:pPr>
        <w:snapToGrid w:val="0"/>
        <w:spacing w:line="360" w:lineRule="exact"/>
        <w:ind w:firstLine="482" w:firstLineChars="200"/>
        <w:rPr>
          <w:rFonts w:hint="eastAsia" w:ascii="宋体" w:hAnsi="宋体" w:cs="宋体"/>
          <w:b/>
          <w:color w:val="auto"/>
          <w:sz w:val="24"/>
        </w:rPr>
      </w:pPr>
      <w:r>
        <w:rPr>
          <w:rFonts w:hint="eastAsia" w:ascii="宋体" w:hAnsi="宋体" w:cs="宋体"/>
          <w:b/>
          <w:color w:val="auto"/>
          <w:sz w:val="24"/>
        </w:rPr>
        <w:t>第十一条　合同的变更、终止与转让</w:t>
      </w:r>
    </w:p>
    <w:p w14:paraId="20A3D764">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1、除《中华人民共和国政府采购法》第五十条规定的情形外，本合同一经签订，甲乙双方不得擅自变更、中止或终止。</w:t>
      </w:r>
    </w:p>
    <w:p w14:paraId="488AEB2C">
      <w:pPr>
        <w:snapToGrid w:val="0"/>
        <w:spacing w:before="120" w:after="120" w:line="360" w:lineRule="exact"/>
        <w:ind w:firstLine="470" w:firstLineChars="196"/>
        <w:rPr>
          <w:rFonts w:hint="eastAsia" w:ascii="宋体" w:hAnsi="宋体" w:cs="宋体"/>
          <w:b/>
          <w:color w:val="auto"/>
          <w:sz w:val="24"/>
        </w:rPr>
      </w:pPr>
      <w:r>
        <w:rPr>
          <w:rFonts w:hint="eastAsia" w:ascii="宋体" w:hAnsi="宋体" w:cs="宋体"/>
          <w:color w:val="auto"/>
          <w:sz w:val="24"/>
        </w:rPr>
        <w:t>2、未经甲方书面同意，乙方不得擅自转让（无进口资格的乙方委托进口货物除外）其应履行的合同义务。</w:t>
      </w:r>
    </w:p>
    <w:p w14:paraId="146CDAA4">
      <w:pPr>
        <w:snapToGrid w:val="0"/>
        <w:spacing w:line="360" w:lineRule="exact"/>
        <w:ind w:firstLine="482" w:firstLineChars="200"/>
        <w:rPr>
          <w:rFonts w:hint="eastAsia" w:ascii="宋体" w:hAnsi="宋体" w:cs="宋体"/>
          <w:b/>
          <w:color w:val="auto"/>
          <w:sz w:val="24"/>
        </w:rPr>
      </w:pPr>
      <w:r>
        <w:rPr>
          <w:rFonts w:hint="eastAsia" w:ascii="宋体" w:hAnsi="宋体" w:cs="宋体"/>
          <w:b/>
          <w:color w:val="auto"/>
          <w:sz w:val="24"/>
        </w:rPr>
        <w:t>第十二条　签订本合同依据</w:t>
      </w:r>
    </w:p>
    <w:p w14:paraId="2F0C8F62">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1、磋商文件；</w:t>
      </w:r>
    </w:p>
    <w:p w14:paraId="0FE57939">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2、乙方提供的响应文件；</w:t>
      </w:r>
    </w:p>
    <w:p w14:paraId="71683248">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 xml:space="preserve">3、磋商书； </w:t>
      </w:r>
    </w:p>
    <w:p w14:paraId="455DE54C">
      <w:pPr>
        <w:snapToGrid w:val="0"/>
        <w:spacing w:line="360" w:lineRule="exact"/>
        <w:ind w:firstLine="480" w:firstLineChars="200"/>
        <w:rPr>
          <w:rFonts w:hint="eastAsia" w:ascii="宋体" w:hAnsi="宋体" w:cs="宋体"/>
          <w:color w:val="auto"/>
          <w:sz w:val="24"/>
          <w:u w:val="single"/>
        </w:rPr>
      </w:pPr>
      <w:r>
        <w:rPr>
          <w:rFonts w:hint="eastAsia" w:ascii="宋体" w:hAnsi="宋体" w:cs="宋体"/>
          <w:color w:val="auto"/>
          <w:sz w:val="24"/>
        </w:rPr>
        <w:t>4、成交通知书。</w:t>
      </w:r>
    </w:p>
    <w:p w14:paraId="3E32793D">
      <w:pPr>
        <w:snapToGrid w:val="0"/>
        <w:spacing w:line="360" w:lineRule="exact"/>
        <w:ind w:firstLine="482" w:firstLineChars="200"/>
        <w:rPr>
          <w:rFonts w:hint="eastAsia" w:ascii="宋体" w:hAnsi="宋体" w:cs="宋体"/>
          <w:bCs/>
          <w:color w:val="auto"/>
          <w:sz w:val="24"/>
        </w:rPr>
      </w:pPr>
      <w:r>
        <w:rPr>
          <w:rFonts w:hint="eastAsia" w:ascii="宋体" w:hAnsi="宋体" w:cs="宋体"/>
          <w:b/>
          <w:color w:val="auto"/>
          <w:sz w:val="24"/>
        </w:rPr>
        <w:t>第十三条　</w:t>
      </w:r>
      <w:r>
        <w:rPr>
          <w:rFonts w:hint="eastAsia" w:ascii="宋体" w:hAnsi="宋体" w:cs="宋体"/>
          <w:bCs/>
          <w:color w:val="auto"/>
          <w:sz w:val="24"/>
        </w:rPr>
        <w:t>本合同一式五份，具有同等法律效力，甲乙双方各执两份，采购代理机构存档一份。</w:t>
      </w:r>
    </w:p>
    <w:p w14:paraId="3161F0D4">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（以下无正文）</w:t>
      </w:r>
    </w:p>
    <w:p w14:paraId="1560BC6D">
      <w:pPr>
        <w:spacing w:after="120"/>
        <w:ind w:firstLine="210" w:firstLineChars="100"/>
        <w:rPr>
          <w:color w:val="auto"/>
          <w:szCs w:val="21"/>
        </w:rPr>
      </w:pPr>
    </w:p>
    <w:tbl>
      <w:tblPr>
        <w:tblStyle w:val="22"/>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842"/>
      </w:tblGrid>
      <w:tr w14:paraId="41AF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4582" w:type="dxa"/>
          </w:tcPr>
          <w:p w14:paraId="3B29590C">
            <w:pPr>
              <w:snapToGrid w:val="0"/>
              <w:spacing w:line="380" w:lineRule="exact"/>
              <w:rPr>
                <w:rFonts w:hint="eastAsia" w:ascii="宋体" w:hAnsi="宋体" w:cs="宋体"/>
                <w:color w:val="auto"/>
                <w:sz w:val="24"/>
              </w:rPr>
            </w:pPr>
            <w:r>
              <w:rPr>
                <w:rFonts w:hint="eastAsia" w:ascii="宋体" w:hAnsi="宋体" w:cs="宋体"/>
                <w:color w:val="auto"/>
                <w:sz w:val="24"/>
              </w:rPr>
              <w:t xml:space="preserve">甲方（章） 广西壮族自治区体育彩票管理中心          </w:t>
            </w:r>
          </w:p>
          <w:p w14:paraId="3C49E4B8">
            <w:pPr>
              <w:snapToGrid w:val="0"/>
              <w:spacing w:line="380" w:lineRule="exact"/>
              <w:rPr>
                <w:rFonts w:hint="eastAsia" w:ascii="宋体" w:hAnsi="宋体" w:cs="宋体"/>
                <w:color w:val="auto"/>
                <w:sz w:val="24"/>
              </w:rPr>
            </w:pPr>
          </w:p>
          <w:p w14:paraId="79D84BFE">
            <w:pPr>
              <w:snapToGrid w:val="0"/>
              <w:spacing w:line="380" w:lineRule="exact"/>
              <w:rPr>
                <w:rFonts w:hint="eastAsia" w:ascii="宋体" w:hAnsi="宋体" w:cs="宋体"/>
                <w:color w:val="auto"/>
                <w:sz w:val="24"/>
              </w:rPr>
            </w:pPr>
          </w:p>
          <w:p w14:paraId="79E857B7">
            <w:pPr>
              <w:snapToGrid w:val="0"/>
              <w:spacing w:line="380" w:lineRule="exact"/>
              <w:rPr>
                <w:rFonts w:hint="eastAsia" w:ascii="宋体" w:hAnsi="宋体" w:cs="宋体"/>
                <w:color w:val="auto"/>
                <w:sz w:val="24"/>
              </w:rPr>
            </w:pPr>
          </w:p>
          <w:p w14:paraId="6179FED7">
            <w:pPr>
              <w:snapToGrid w:val="0"/>
              <w:spacing w:line="380" w:lineRule="exact"/>
              <w:ind w:firstLine="1080" w:firstLineChars="450"/>
              <w:rPr>
                <w:rFonts w:hint="eastAsia" w:ascii="宋体" w:hAnsi="宋体" w:cs="宋体"/>
                <w:color w:val="auto"/>
                <w:sz w:val="24"/>
              </w:rPr>
            </w:pPr>
            <w:r>
              <w:rPr>
                <w:rFonts w:hint="eastAsia" w:ascii="宋体" w:hAnsi="宋体" w:cs="宋体"/>
                <w:color w:val="auto"/>
                <w:sz w:val="24"/>
              </w:rPr>
              <w:t xml:space="preserve">            年   月   日</w:t>
            </w:r>
          </w:p>
        </w:tc>
        <w:tc>
          <w:tcPr>
            <w:tcW w:w="4842" w:type="dxa"/>
          </w:tcPr>
          <w:p w14:paraId="20326595">
            <w:pPr>
              <w:snapToGrid w:val="0"/>
              <w:spacing w:line="380" w:lineRule="exact"/>
              <w:rPr>
                <w:rFonts w:hint="eastAsia" w:ascii="宋体" w:hAnsi="宋体" w:cs="宋体"/>
                <w:color w:val="auto"/>
                <w:sz w:val="24"/>
              </w:rPr>
            </w:pPr>
            <w:r>
              <w:rPr>
                <w:rFonts w:hint="eastAsia" w:ascii="宋体" w:hAnsi="宋体" w:cs="宋体"/>
                <w:color w:val="auto"/>
                <w:sz w:val="24"/>
              </w:rPr>
              <w:t xml:space="preserve">乙方（章）              </w:t>
            </w:r>
          </w:p>
          <w:p w14:paraId="486FD90C">
            <w:pPr>
              <w:snapToGrid w:val="0"/>
              <w:spacing w:line="380" w:lineRule="exact"/>
              <w:rPr>
                <w:rFonts w:hint="eastAsia" w:ascii="宋体" w:hAnsi="宋体" w:cs="宋体"/>
                <w:color w:val="auto"/>
                <w:sz w:val="24"/>
              </w:rPr>
            </w:pPr>
          </w:p>
          <w:p w14:paraId="05E68BFC">
            <w:pPr>
              <w:snapToGrid w:val="0"/>
              <w:spacing w:line="380" w:lineRule="exact"/>
              <w:rPr>
                <w:rFonts w:hint="eastAsia" w:ascii="宋体" w:hAnsi="宋体" w:cs="宋体"/>
                <w:color w:val="auto"/>
                <w:sz w:val="24"/>
              </w:rPr>
            </w:pPr>
          </w:p>
          <w:p w14:paraId="7895083A">
            <w:pPr>
              <w:snapToGrid w:val="0"/>
              <w:spacing w:line="380" w:lineRule="exact"/>
              <w:rPr>
                <w:rFonts w:hint="eastAsia" w:ascii="宋体" w:hAnsi="宋体" w:cs="宋体"/>
                <w:color w:val="auto"/>
                <w:sz w:val="24"/>
              </w:rPr>
            </w:pPr>
          </w:p>
          <w:p w14:paraId="0869966E">
            <w:pPr>
              <w:snapToGrid w:val="0"/>
              <w:spacing w:line="380" w:lineRule="exact"/>
              <w:rPr>
                <w:rFonts w:hint="eastAsia" w:ascii="宋体" w:hAnsi="宋体" w:cs="宋体"/>
                <w:color w:val="auto"/>
                <w:sz w:val="24"/>
              </w:rPr>
            </w:pPr>
          </w:p>
          <w:p w14:paraId="55BCA917">
            <w:pPr>
              <w:snapToGrid w:val="0"/>
              <w:spacing w:line="380" w:lineRule="exact"/>
              <w:rPr>
                <w:rFonts w:hint="eastAsia" w:ascii="宋体" w:hAnsi="宋体" w:cs="宋体"/>
                <w:color w:val="auto"/>
                <w:sz w:val="24"/>
              </w:rPr>
            </w:pPr>
            <w:r>
              <w:rPr>
                <w:rFonts w:hint="eastAsia" w:ascii="宋体" w:hAnsi="宋体" w:cs="宋体"/>
                <w:color w:val="auto"/>
                <w:sz w:val="24"/>
              </w:rPr>
              <w:t xml:space="preserve">                        年   月   日</w:t>
            </w:r>
          </w:p>
        </w:tc>
      </w:tr>
      <w:tr w14:paraId="6EB5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0DA06C28">
            <w:pPr>
              <w:snapToGrid w:val="0"/>
              <w:spacing w:line="380" w:lineRule="exact"/>
              <w:rPr>
                <w:rFonts w:hint="eastAsia" w:ascii="宋体" w:hAnsi="宋体" w:cs="宋体"/>
                <w:color w:val="auto"/>
                <w:sz w:val="24"/>
              </w:rPr>
            </w:pPr>
            <w:r>
              <w:rPr>
                <w:rFonts w:hint="eastAsia" w:ascii="宋体" w:hAnsi="宋体" w:cs="宋体"/>
                <w:color w:val="auto"/>
                <w:sz w:val="24"/>
              </w:rPr>
              <w:t>单位地址：南宁市良庆区歌海路9号广西体育中心新闻中心B栋23-24楼</w:t>
            </w:r>
          </w:p>
        </w:tc>
        <w:tc>
          <w:tcPr>
            <w:tcW w:w="4842" w:type="dxa"/>
          </w:tcPr>
          <w:p w14:paraId="5E61F307">
            <w:pPr>
              <w:snapToGrid w:val="0"/>
              <w:spacing w:line="380" w:lineRule="exact"/>
              <w:rPr>
                <w:rFonts w:hint="eastAsia" w:ascii="宋体" w:hAnsi="宋体" w:cs="宋体"/>
                <w:color w:val="auto"/>
                <w:sz w:val="24"/>
              </w:rPr>
            </w:pPr>
            <w:r>
              <w:rPr>
                <w:rFonts w:hint="eastAsia" w:ascii="宋体" w:hAnsi="宋体" w:cs="宋体"/>
                <w:color w:val="auto"/>
                <w:sz w:val="24"/>
              </w:rPr>
              <w:t>单位地址：</w:t>
            </w:r>
          </w:p>
        </w:tc>
      </w:tr>
      <w:tr w14:paraId="4262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375B9D1F">
            <w:pPr>
              <w:snapToGrid w:val="0"/>
              <w:spacing w:line="380" w:lineRule="exact"/>
              <w:rPr>
                <w:rFonts w:hint="eastAsia" w:ascii="宋体" w:hAnsi="宋体" w:cs="宋体"/>
                <w:color w:val="auto"/>
                <w:sz w:val="24"/>
              </w:rPr>
            </w:pPr>
            <w:r>
              <w:rPr>
                <w:rFonts w:hint="eastAsia" w:ascii="宋体" w:hAnsi="宋体" w:cs="宋体"/>
                <w:color w:val="auto"/>
                <w:sz w:val="24"/>
              </w:rPr>
              <w:t>法定代表人（签字或盖章）：</w:t>
            </w:r>
          </w:p>
        </w:tc>
        <w:tc>
          <w:tcPr>
            <w:tcW w:w="4842" w:type="dxa"/>
          </w:tcPr>
          <w:p w14:paraId="50A76F39">
            <w:pPr>
              <w:snapToGrid w:val="0"/>
              <w:spacing w:line="380" w:lineRule="exact"/>
              <w:rPr>
                <w:rFonts w:hint="eastAsia" w:ascii="宋体" w:hAnsi="宋体" w:cs="宋体"/>
                <w:color w:val="auto"/>
                <w:sz w:val="24"/>
              </w:rPr>
            </w:pPr>
            <w:r>
              <w:rPr>
                <w:rFonts w:hint="eastAsia" w:ascii="宋体" w:hAnsi="宋体" w:cs="宋体"/>
                <w:color w:val="auto"/>
                <w:sz w:val="24"/>
              </w:rPr>
              <w:t>法定代表人（签字或盖章）：</w:t>
            </w:r>
          </w:p>
        </w:tc>
      </w:tr>
      <w:tr w14:paraId="4885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62EE4796">
            <w:pPr>
              <w:snapToGrid w:val="0"/>
              <w:spacing w:line="380" w:lineRule="exact"/>
              <w:rPr>
                <w:rFonts w:hint="eastAsia" w:ascii="宋体" w:hAnsi="宋体" w:cs="宋体"/>
                <w:color w:val="auto"/>
                <w:sz w:val="24"/>
              </w:rPr>
            </w:pPr>
            <w:r>
              <w:rPr>
                <w:rFonts w:hint="eastAsia" w:ascii="宋体" w:hAnsi="宋体" w:cs="宋体"/>
                <w:color w:val="auto"/>
                <w:sz w:val="24"/>
              </w:rPr>
              <w:t>（或）委托代理人（签字或盖章）：</w:t>
            </w:r>
          </w:p>
        </w:tc>
        <w:tc>
          <w:tcPr>
            <w:tcW w:w="4842" w:type="dxa"/>
          </w:tcPr>
          <w:p w14:paraId="6A3D30CA">
            <w:pPr>
              <w:snapToGrid w:val="0"/>
              <w:spacing w:line="380" w:lineRule="exact"/>
              <w:rPr>
                <w:rFonts w:hint="eastAsia" w:ascii="宋体" w:hAnsi="宋体" w:cs="宋体"/>
                <w:color w:val="auto"/>
                <w:sz w:val="24"/>
              </w:rPr>
            </w:pPr>
            <w:r>
              <w:rPr>
                <w:rFonts w:hint="eastAsia" w:ascii="宋体" w:hAnsi="宋体" w:cs="宋体"/>
                <w:color w:val="auto"/>
                <w:sz w:val="24"/>
              </w:rPr>
              <w:t>（或）委托代理人（签字或盖章）：</w:t>
            </w:r>
          </w:p>
        </w:tc>
      </w:tr>
      <w:tr w14:paraId="095A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47754823">
            <w:pPr>
              <w:snapToGrid w:val="0"/>
              <w:spacing w:line="380" w:lineRule="exact"/>
              <w:rPr>
                <w:rFonts w:hint="eastAsia" w:ascii="宋体" w:hAnsi="宋体" w:cs="宋体"/>
                <w:color w:val="auto"/>
                <w:sz w:val="24"/>
              </w:rPr>
            </w:pPr>
            <w:r>
              <w:rPr>
                <w:rFonts w:hint="eastAsia" w:ascii="宋体" w:hAnsi="宋体" w:cs="宋体"/>
                <w:color w:val="auto"/>
                <w:sz w:val="24"/>
              </w:rPr>
              <w:t>电话：0771-5689345</w:t>
            </w:r>
          </w:p>
        </w:tc>
        <w:tc>
          <w:tcPr>
            <w:tcW w:w="4842" w:type="dxa"/>
          </w:tcPr>
          <w:p w14:paraId="795D3F80">
            <w:pPr>
              <w:snapToGrid w:val="0"/>
              <w:spacing w:line="380" w:lineRule="exact"/>
              <w:rPr>
                <w:rFonts w:hint="eastAsia" w:ascii="宋体" w:hAnsi="宋体" w:cs="宋体"/>
                <w:color w:val="auto"/>
                <w:sz w:val="24"/>
              </w:rPr>
            </w:pPr>
            <w:r>
              <w:rPr>
                <w:rFonts w:hint="eastAsia" w:ascii="宋体" w:hAnsi="宋体" w:cs="宋体"/>
                <w:color w:val="auto"/>
                <w:sz w:val="24"/>
              </w:rPr>
              <w:t>电话：</w:t>
            </w:r>
          </w:p>
        </w:tc>
      </w:tr>
      <w:tr w14:paraId="0663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60CD47E5">
            <w:pPr>
              <w:snapToGrid w:val="0"/>
              <w:spacing w:line="380" w:lineRule="exact"/>
              <w:rPr>
                <w:rFonts w:hint="eastAsia" w:ascii="宋体" w:hAnsi="宋体" w:cs="宋体"/>
                <w:color w:val="auto"/>
                <w:sz w:val="24"/>
              </w:rPr>
            </w:pPr>
            <w:r>
              <w:rPr>
                <w:rFonts w:hint="eastAsia" w:ascii="宋体" w:hAnsi="宋体" w:cs="宋体"/>
                <w:color w:val="auto"/>
                <w:sz w:val="24"/>
              </w:rPr>
              <w:t>电子邮箱：</w:t>
            </w:r>
          </w:p>
        </w:tc>
        <w:tc>
          <w:tcPr>
            <w:tcW w:w="4842" w:type="dxa"/>
          </w:tcPr>
          <w:p w14:paraId="3E4C0B89">
            <w:pPr>
              <w:snapToGrid w:val="0"/>
              <w:spacing w:line="380" w:lineRule="exact"/>
              <w:rPr>
                <w:rFonts w:hint="eastAsia" w:ascii="宋体" w:hAnsi="宋体" w:cs="宋体"/>
                <w:color w:val="auto"/>
                <w:sz w:val="24"/>
              </w:rPr>
            </w:pPr>
            <w:r>
              <w:rPr>
                <w:rFonts w:hint="eastAsia" w:ascii="宋体" w:hAnsi="宋体" w:cs="宋体"/>
                <w:color w:val="auto"/>
                <w:sz w:val="24"/>
              </w:rPr>
              <w:t>电子邮箱：</w:t>
            </w:r>
          </w:p>
        </w:tc>
      </w:tr>
      <w:tr w14:paraId="7FA6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2D0557C7">
            <w:pPr>
              <w:snapToGrid w:val="0"/>
              <w:spacing w:line="380" w:lineRule="exact"/>
              <w:rPr>
                <w:rFonts w:hint="eastAsia" w:ascii="宋体" w:hAnsi="宋体" w:cs="宋体"/>
                <w:color w:val="auto"/>
                <w:sz w:val="24"/>
              </w:rPr>
            </w:pPr>
            <w:r>
              <w:rPr>
                <w:rFonts w:hint="eastAsia" w:ascii="宋体" w:hAnsi="宋体" w:cs="宋体"/>
                <w:color w:val="auto"/>
                <w:sz w:val="24"/>
              </w:rPr>
              <w:t>开户银行：</w:t>
            </w:r>
          </w:p>
        </w:tc>
        <w:tc>
          <w:tcPr>
            <w:tcW w:w="4842" w:type="dxa"/>
          </w:tcPr>
          <w:p w14:paraId="410533F3">
            <w:pPr>
              <w:snapToGrid w:val="0"/>
              <w:spacing w:line="380" w:lineRule="exact"/>
              <w:rPr>
                <w:rFonts w:hint="eastAsia" w:ascii="宋体" w:hAnsi="宋体" w:cs="宋体"/>
                <w:color w:val="auto"/>
                <w:sz w:val="24"/>
              </w:rPr>
            </w:pPr>
            <w:r>
              <w:rPr>
                <w:rFonts w:hint="eastAsia" w:ascii="宋体" w:hAnsi="宋体" w:cs="宋体"/>
                <w:color w:val="auto"/>
                <w:sz w:val="24"/>
              </w:rPr>
              <w:t>开户银行：</w:t>
            </w:r>
          </w:p>
        </w:tc>
      </w:tr>
      <w:tr w14:paraId="59AD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3E719C8F">
            <w:pPr>
              <w:snapToGrid w:val="0"/>
              <w:spacing w:line="380" w:lineRule="exact"/>
              <w:rPr>
                <w:rFonts w:hint="eastAsia" w:ascii="宋体" w:hAnsi="宋体" w:cs="宋体"/>
                <w:color w:val="auto"/>
                <w:sz w:val="24"/>
              </w:rPr>
            </w:pPr>
            <w:r>
              <w:rPr>
                <w:rFonts w:hint="eastAsia" w:ascii="宋体" w:hAnsi="宋体" w:cs="宋体"/>
                <w:color w:val="auto"/>
                <w:sz w:val="24"/>
              </w:rPr>
              <w:t>账号：</w:t>
            </w:r>
          </w:p>
        </w:tc>
        <w:tc>
          <w:tcPr>
            <w:tcW w:w="4842" w:type="dxa"/>
          </w:tcPr>
          <w:p w14:paraId="278FFB6F">
            <w:pPr>
              <w:snapToGrid w:val="0"/>
              <w:spacing w:line="380" w:lineRule="exact"/>
              <w:rPr>
                <w:rFonts w:hint="eastAsia" w:ascii="宋体" w:hAnsi="宋体" w:cs="宋体"/>
                <w:color w:val="auto"/>
                <w:sz w:val="24"/>
              </w:rPr>
            </w:pPr>
            <w:r>
              <w:rPr>
                <w:rFonts w:hint="eastAsia" w:ascii="宋体" w:hAnsi="宋体" w:cs="宋体"/>
                <w:color w:val="auto"/>
                <w:sz w:val="24"/>
              </w:rPr>
              <w:t>账号：</w:t>
            </w:r>
          </w:p>
        </w:tc>
      </w:tr>
      <w:tr w14:paraId="4A46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729B4952">
            <w:pPr>
              <w:snapToGrid w:val="0"/>
              <w:spacing w:line="380" w:lineRule="exact"/>
              <w:rPr>
                <w:rFonts w:hint="eastAsia" w:ascii="宋体" w:hAnsi="宋体" w:cs="宋体"/>
                <w:color w:val="auto"/>
                <w:sz w:val="24"/>
              </w:rPr>
            </w:pPr>
            <w:r>
              <w:rPr>
                <w:rFonts w:hint="eastAsia" w:ascii="宋体" w:hAnsi="宋体" w:cs="宋体"/>
                <w:color w:val="auto"/>
                <w:sz w:val="24"/>
              </w:rPr>
              <w:t>纳税人识别号或统一社会信用代码：</w:t>
            </w:r>
          </w:p>
        </w:tc>
        <w:tc>
          <w:tcPr>
            <w:tcW w:w="4842" w:type="dxa"/>
          </w:tcPr>
          <w:p w14:paraId="4A58C33A">
            <w:pPr>
              <w:snapToGrid w:val="0"/>
              <w:spacing w:line="380" w:lineRule="exact"/>
              <w:rPr>
                <w:rFonts w:hint="eastAsia" w:ascii="宋体" w:hAnsi="宋体" w:cs="宋体"/>
                <w:color w:val="auto"/>
                <w:sz w:val="24"/>
              </w:rPr>
            </w:pPr>
            <w:r>
              <w:rPr>
                <w:rFonts w:hint="eastAsia" w:ascii="宋体" w:hAnsi="宋体" w:cs="宋体"/>
                <w:color w:val="auto"/>
                <w:sz w:val="24"/>
              </w:rPr>
              <w:t>纳税人识别号或统一社会信用代码：</w:t>
            </w:r>
          </w:p>
        </w:tc>
      </w:tr>
      <w:tr w14:paraId="32D2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Pr>
          <w:p w14:paraId="0AB96737">
            <w:pPr>
              <w:snapToGrid w:val="0"/>
              <w:spacing w:line="380" w:lineRule="exact"/>
              <w:rPr>
                <w:rFonts w:hint="eastAsia" w:ascii="宋体" w:hAnsi="宋体" w:cs="宋体"/>
                <w:color w:val="auto"/>
                <w:sz w:val="24"/>
              </w:rPr>
            </w:pPr>
            <w:r>
              <w:rPr>
                <w:rFonts w:hint="eastAsia" w:ascii="宋体" w:hAnsi="宋体" w:cs="宋体"/>
                <w:color w:val="auto"/>
                <w:sz w:val="24"/>
              </w:rPr>
              <w:t>邮政编码：</w:t>
            </w:r>
          </w:p>
        </w:tc>
        <w:tc>
          <w:tcPr>
            <w:tcW w:w="4842" w:type="dxa"/>
          </w:tcPr>
          <w:p w14:paraId="05B95A83">
            <w:pPr>
              <w:snapToGrid w:val="0"/>
              <w:spacing w:line="380" w:lineRule="exact"/>
              <w:rPr>
                <w:rFonts w:hint="eastAsia" w:ascii="宋体" w:hAnsi="宋体" w:cs="宋体"/>
                <w:color w:val="auto"/>
                <w:sz w:val="24"/>
              </w:rPr>
            </w:pPr>
            <w:r>
              <w:rPr>
                <w:rFonts w:hint="eastAsia" w:ascii="宋体" w:hAnsi="宋体" w:cs="宋体"/>
                <w:color w:val="auto"/>
                <w:sz w:val="24"/>
              </w:rPr>
              <w:t>邮政编码：</w:t>
            </w:r>
          </w:p>
        </w:tc>
      </w:tr>
    </w:tbl>
    <w:p w14:paraId="3EC4C495">
      <w:pPr>
        <w:spacing w:before="120" w:line="320" w:lineRule="atLeast"/>
        <w:ind w:firstLine="632" w:firstLineChars="300"/>
        <w:jc w:val="left"/>
        <w:outlineLvl w:val="1"/>
        <w:rPr>
          <w:rFonts w:ascii="Arial" w:hAnsi="Arial" w:cs="Arial"/>
          <w:b/>
          <w:bCs/>
          <w:color w:val="auto"/>
          <w:kern w:val="0"/>
          <w:szCs w:val="21"/>
        </w:rPr>
      </w:pPr>
    </w:p>
    <w:sectPr>
      <w:footerReference r:id="rId11" w:type="default"/>
      <w:pgSz w:w="11906" w:h="16838"/>
      <w:pgMar w:top="1440" w:right="1361" w:bottom="170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F28773-7479-4B3E-9D86-2727D8D8FE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21EE4D0F-238E-4D5D-B566-E50E07E72E45}"/>
  </w:font>
  <w:font w:name="仿宋_GB2312">
    <w:altName w:val="仿宋"/>
    <w:panose1 w:val="02010609030101010101"/>
    <w:charset w:val="86"/>
    <w:family w:val="modern"/>
    <w:pitch w:val="default"/>
    <w:sig w:usb0="00000001" w:usb1="080E0000" w:usb2="00000000" w:usb3="00000000" w:csb0="00040000" w:csb1="00000000"/>
    <w:embedRegular r:id="rId3" w:fontKey="{4288692D-50CB-4E24-B3A7-6E8B7B8D5CE6}"/>
  </w:font>
  <w:font w:name="Courier New">
    <w:panose1 w:val="02070309020205020404"/>
    <w:charset w:val="00"/>
    <w:family w:val="modern"/>
    <w:pitch w:val="default"/>
    <w:sig w:usb0="E0002EFF" w:usb1="C0007843" w:usb2="00000009" w:usb3="00000000" w:csb0="400001FF" w:csb1="FFFF0000"/>
    <w:embedRegular r:id="rId4" w:fontKey="{73C69311-FFC0-46E7-ADC2-4CA983BD0337}"/>
  </w:font>
  <w:font w:name="方正小标宋简体">
    <w:altName w:val="黑体"/>
    <w:panose1 w:val="00000000000000000000"/>
    <w:charset w:val="86"/>
    <w:family w:val="script"/>
    <w:pitch w:val="default"/>
    <w:sig w:usb0="00000000" w:usb1="00000000" w:usb2="00000012" w:usb3="00000000" w:csb0="00040001" w:csb1="00000000"/>
    <w:embedRegular r:id="rId5" w:fontKey="{5F74D46E-EB52-49A0-838F-169C9F4FEDA9}"/>
  </w:font>
  <w:font w:name="Wingdings 2">
    <w:altName w:val="Wingdings"/>
    <w:panose1 w:val="05020102010507070707"/>
    <w:charset w:val="02"/>
    <w:family w:val="roman"/>
    <w:pitch w:val="default"/>
    <w:sig w:usb0="00000000" w:usb1="00000000" w:usb2="00000000" w:usb3="00000000" w:csb0="80000000" w:csb1="00000000"/>
    <w:embedRegular r:id="rId6" w:fontKey="{D824C7BC-567E-40F8-8EAE-DABE1CE44B7B}"/>
  </w:font>
  <w:font w:name="Arial Unicode MS">
    <w:altName w:val="宋体"/>
    <w:panose1 w:val="020B0604020202020204"/>
    <w:charset w:val="86"/>
    <w:family w:val="swiss"/>
    <w:pitch w:val="default"/>
    <w:sig w:usb0="00000000" w:usb1="00000000" w:usb2="0000003F" w:usb3="00000000" w:csb0="003F01FF" w:csb1="00000000"/>
    <w:embedRegular r:id="rId7" w:fontKey="{365E15B2-B187-4265-A850-BD72791D5E66}"/>
  </w:font>
  <w:font w:name="仿宋">
    <w:panose1 w:val="02010609060101010101"/>
    <w:charset w:val="86"/>
    <w:family w:val="modern"/>
    <w:pitch w:val="default"/>
    <w:sig w:usb0="800002BF" w:usb1="38CF7CFA" w:usb2="00000016" w:usb3="00000000" w:csb0="00040001" w:csb1="00000000"/>
    <w:embedRegular r:id="rId8" w:fontKey="{77A0A0CC-6F93-4554-8DC2-91A500A75F09}"/>
  </w:font>
  <w:font w:name="方正小标宋_GBK">
    <w:altName w:val="微软雅黑"/>
    <w:panose1 w:val="00000000000000000000"/>
    <w:charset w:val="86"/>
    <w:family w:val="script"/>
    <w:pitch w:val="default"/>
    <w:sig w:usb0="00000000" w:usb1="00000000" w:usb2="00000000" w:usb3="00000000" w:csb0="00040000" w:csb1="00000000"/>
    <w:embedRegular r:id="rId9" w:fontKey="{1BB636FD-BB3D-4177-B1DB-BBBA95E5E3F9}"/>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WPSEMBED4">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D293">
    <w:pPr>
      <w:pStyle w:val="14"/>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21</w:t>
    </w:r>
    <w:r>
      <w:fldChar w:fldCharType="end"/>
    </w:r>
  </w:p>
  <w:p w14:paraId="5E6F39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F6CE">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14:paraId="3EE60C7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4EDF">
    <w:pPr>
      <w:pStyle w:val="14"/>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61715">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0161715">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03B9E5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FB18">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C3E693"/>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8C3E693"/>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F8B0">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3A9B50">
                          <w:pPr>
                            <w:pStyle w:val="14"/>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C3A9B50">
                    <w:pPr>
                      <w:pStyle w:val="14"/>
                    </w:pPr>
                    <w:r>
                      <w:fldChar w:fldCharType="begin"/>
                    </w:r>
                    <w:r>
                      <w:instrText xml:space="preserve"> PAGE  \* MERGEFORMAT </w:instrText>
                    </w:r>
                    <w:r>
                      <w:fldChar w:fldCharType="separate"/>
                    </w:r>
                    <w:r>
                      <w:t>15</w:t>
                    </w:r>
                    <w:r>
                      <w:fldChar w:fldCharType="end"/>
                    </w:r>
                  </w:p>
                </w:txbxContent>
              </v:textbox>
            </v:shape>
          </w:pict>
        </mc:Fallback>
      </mc:AlternateContent>
    </w:r>
  </w:p>
  <w:p w14:paraId="45CA36E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F944">
    <w:pPr>
      <w:pStyle w:val="1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897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873E3">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84E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2EFCF"/>
    <w:multiLevelType w:val="singleLevel"/>
    <w:tmpl w:val="A552EFCF"/>
    <w:lvl w:ilvl="0" w:tentative="0">
      <w:start w:val="8"/>
      <w:numFmt w:val="decimal"/>
      <w:suff w:val="nothing"/>
      <w:lvlText w:val="%1、"/>
      <w:lvlJc w:val="left"/>
    </w:lvl>
  </w:abstractNum>
  <w:abstractNum w:abstractNumId="1">
    <w:nsid w:val="128E301A"/>
    <w:multiLevelType w:val="singleLevel"/>
    <w:tmpl w:val="128E301A"/>
    <w:lvl w:ilvl="0" w:tentative="0">
      <w:start w:val="1"/>
      <w:numFmt w:val="decimal"/>
      <w:suff w:val="nothing"/>
      <w:lvlText w:val="（%1）"/>
      <w:lvlJc w:val="left"/>
    </w:lvl>
  </w:abstractNum>
  <w:abstractNum w:abstractNumId="2">
    <w:nsid w:val="368E3FF0"/>
    <w:multiLevelType w:val="singleLevel"/>
    <w:tmpl w:val="368E3FF0"/>
    <w:lvl w:ilvl="0" w:tentative="0">
      <w:start w:val="1"/>
      <w:numFmt w:val="decimal"/>
      <w:suff w:val="nothing"/>
      <w:lvlText w:val="%1、"/>
      <w:lvlJc w:val="left"/>
      <w:pPr>
        <w:ind w:left="16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MWE3OGI2Yzk0NTQ5N2IyNTgxZTU4ZTYxMzg3ZGMifQ=="/>
  </w:docVars>
  <w:rsids>
    <w:rsidRoot w:val="00172A27"/>
    <w:rsid w:val="00100B3E"/>
    <w:rsid w:val="001159EC"/>
    <w:rsid w:val="00172A27"/>
    <w:rsid w:val="0020060D"/>
    <w:rsid w:val="003D54D5"/>
    <w:rsid w:val="00483654"/>
    <w:rsid w:val="006D7EDC"/>
    <w:rsid w:val="00706E38"/>
    <w:rsid w:val="007D49BA"/>
    <w:rsid w:val="007F2A27"/>
    <w:rsid w:val="008B0C91"/>
    <w:rsid w:val="00912C27"/>
    <w:rsid w:val="009300BB"/>
    <w:rsid w:val="00BE7797"/>
    <w:rsid w:val="00C60C95"/>
    <w:rsid w:val="00D71F3D"/>
    <w:rsid w:val="00E23CE7"/>
    <w:rsid w:val="00F74A57"/>
    <w:rsid w:val="00FA4EC6"/>
    <w:rsid w:val="01097CE8"/>
    <w:rsid w:val="010E78FF"/>
    <w:rsid w:val="0183453D"/>
    <w:rsid w:val="01920D7A"/>
    <w:rsid w:val="01952C1E"/>
    <w:rsid w:val="01F32541"/>
    <w:rsid w:val="0224362A"/>
    <w:rsid w:val="0256755B"/>
    <w:rsid w:val="025E7A82"/>
    <w:rsid w:val="02602EF3"/>
    <w:rsid w:val="027E0AC4"/>
    <w:rsid w:val="02BF77F6"/>
    <w:rsid w:val="02E85F72"/>
    <w:rsid w:val="035842BD"/>
    <w:rsid w:val="03721321"/>
    <w:rsid w:val="042C05EC"/>
    <w:rsid w:val="044C50BA"/>
    <w:rsid w:val="045455DA"/>
    <w:rsid w:val="0482288A"/>
    <w:rsid w:val="04842AA6"/>
    <w:rsid w:val="049B4405"/>
    <w:rsid w:val="04AB3B8E"/>
    <w:rsid w:val="05065269"/>
    <w:rsid w:val="057E74F5"/>
    <w:rsid w:val="05C14567"/>
    <w:rsid w:val="05C3067F"/>
    <w:rsid w:val="05D90BCF"/>
    <w:rsid w:val="066E7569"/>
    <w:rsid w:val="0672181B"/>
    <w:rsid w:val="06744454"/>
    <w:rsid w:val="067A33A1"/>
    <w:rsid w:val="06B86353"/>
    <w:rsid w:val="06D17709"/>
    <w:rsid w:val="06ED3F6C"/>
    <w:rsid w:val="06FA704F"/>
    <w:rsid w:val="071E2D3E"/>
    <w:rsid w:val="0728421F"/>
    <w:rsid w:val="072E0AA7"/>
    <w:rsid w:val="07A024F9"/>
    <w:rsid w:val="07E15B19"/>
    <w:rsid w:val="07EA2C20"/>
    <w:rsid w:val="0846765B"/>
    <w:rsid w:val="08760957"/>
    <w:rsid w:val="089E3A0A"/>
    <w:rsid w:val="090D3FDA"/>
    <w:rsid w:val="091B4016"/>
    <w:rsid w:val="09242161"/>
    <w:rsid w:val="09711E93"/>
    <w:rsid w:val="09856BA5"/>
    <w:rsid w:val="098D5F59"/>
    <w:rsid w:val="09DF42DA"/>
    <w:rsid w:val="0A982E07"/>
    <w:rsid w:val="0AAA2B3A"/>
    <w:rsid w:val="0AAB25B4"/>
    <w:rsid w:val="0AB029F6"/>
    <w:rsid w:val="0B1A7CC0"/>
    <w:rsid w:val="0B330F46"/>
    <w:rsid w:val="0B3E16E1"/>
    <w:rsid w:val="0B8E7D91"/>
    <w:rsid w:val="0B9F01C5"/>
    <w:rsid w:val="0BA507A3"/>
    <w:rsid w:val="0BAA1044"/>
    <w:rsid w:val="0BF16C73"/>
    <w:rsid w:val="0BF72455"/>
    <w:rsid w:val="0C430B50"/>
    <w:rsid w:val="0C477618"/>
    <w:rsid w:val="0CAC2B9A"/>
    <w:rsid w:val="0CE92B40"/>
    <w:rsid w:val="0D1D75F3"/>
    <w:rsid w:val="0D6D4DC9"/>
    <w:rsid w:val="0DB00467"/>
    <w:rsid w:val="0DC84294"/>
    <w:rsid w:val="0DE6696B"/>
    <w:rsid w:val="0E0116CF"/>
    <w:rsid w:val="0E302745"/>
    <w:rsid w:val="0E35096D"/>
    <w:rsid w:val="0E4868F2"/>
    <w:rsid w:val="0E556A8F"/>
    <w:rsid w:val="0E9B2EC6"/>
    <w:rsid w:val="0EC82645"/>
    <w:rsid w:val="0ECF2BB4"/>
    <w:rsid w:val="0F0547E3"/>
    <w:rsid w:val="0F36499C"/>
    <w:rsid w:val="0F3864DD"/>
    <w:rsid w:val="0F3D5116"/>
    <w:rsid w:val="0F527130"/>
    <w:rsid w:val="0F777EAB"/>
    <w:rsid w:val="0F786D63"/>
    <w:rsid w:val="0FA514BA"/>
    <w:rsid w:val="0FC4644C"/>
    <w:rsid w:val="106A0DA2"/>
    <w:rsid w:val="108A31F2"/>
    <w:rsid w:val="10DA102E"/>
    <w:rsid w:val="113C3B89"/>
    <w:rsid w:val="1146184A"/>
    <w:rsid w:val="114710E3"/>
    <w:rsid w:val="117D2D56"/>
    <w:rsid w:val="11831E12"/>
    <w:rsid w:val="11D97B41"/>
    <w:rsid w:val="120D1119"/>
    <w:rsid w:val="12103BCB"/>
    <w:rsid w:val="121C431D"/>
    <w:rsid w:val="122338FE"/>
    <w:rsid w:val="12865C3B"/>
    <w:rsid w:val="128F63E7"/>
    <w:rsid w:val="12942106"/>
    <w:rsid w:val="12B4541E"/>
    <w:rsid w:val="132C67E2"/>
    <w:rsid w:val="13313751"/>
    <w:rsid w:val="134A310C"/>
    <w:rsid w:val="13916645"/>
    <w:rsid w:val="13DD7ADC"/>
    <w:rsid w:val="143D320A"/>
    <w:rsid w:val="15910B7E"/>
    <w:rsid w:val="15B64A89"/>
    <w:rsid w:val="15F555B1"/>
    <w:rsid w:val="16046F64"/>
    <w:rsid w:val="166453F8"/>
    <w:rsid w:val="168548F6"/>
    <w:rsid w:val="16FD5AFB"/>
    <w:rsid w:val="17795D6E"/>
    <w:rsid w:val="178169D1"/>
    <w:rsid w:val="178564C1"/>
    <w:rsid w:val="178A5C0C"/>
    <w:rsid w:val="179C1CD1"/>
    <w:rsid w:val="17A70B2D"/>
    <w:rsid w:val="17BF37AC"/>
    <w:rsid w:val="17EC02EE"/>
    <w:rsid w:val="17F13B56"/>
    <w:rsid w:val="183738B6"/>
    <w:rsid w:val="188C1028"/>
    <w:rsid w:val="189310B2"/>
    <w:rsid w:val="18B04BD5"/>
    <w:rsid w:val="18B43502"/>
    <w:rsid w:val="18B51028"/>
    <w:rsid w:val="192B12EA"/>
    <w:rsid w:val="195645B9"/>
    <w:rsid w:val="197A71AE"/>
    <w:rsid w:val="19E80F89"/>
    <w:rsid w:val="19EA6AAF"/>
    <w:rsid w:val="1A2C677C"/>
    <w:rsid w:val="1A5E1A3A"/>
    <w:rsid w:val="1A654388"/>
    <w:rsid w:val="1B1464DA"/>
    <w:rsid w:val="1B165A69"/>
    <w:rsid w:val="1BE53653"/>
    <w:rsid w:val="1BE85270"/>
    <w:rsid w:val="1C093B64"/>
    <w:rsid w:val="1C7D1276"/>
    <w:rsid w:val="1CC318B8"/>
    <w:rsid w:val="1CC37D08"/>
    <w:rsid w:val="1CF30371"/>
    <w:rsid w:val="1D104A7F"/>
    <w:rsid w:val="1D427949"/>
    <w:rsid w:val="1D435ADA"/>
    <w:rsid w:val="1D594CC5"/>
    <w:rsid w:val="1D5F5A06"/>
    <w:rsid w:val="1D9456B0"/>
    <w:rsid w:val="1DB20CCA"/>
    <w:rsid w:val="1DB83A1E"/>
    <w:rsid w:val="1E29229C"/>
    <w:rsid w:val="1E71397C"/>
    <w:rsid w:val="1F106FB8"/>
    <w:rsid w:val="1F4E10DC"/>
    <w:rsid w:val="1F6B41EE"/>
    <w:rsid w:val="1F6E1F30"/>
    <w:rsid w:val="1FAA11BB"/>
    <w:rsid w:val="1FC41C5A"/>
    <w:rsid w:val="1FEF6BB0"/>
    <w:rsid w:val="20344F28"/>
    <w:rsid w:val="203942EC"/>
    <w:rsid w:val="204C2272"/>
    <w:rsid w:val="20E62773"/>
    <w:rsid w:val="20EA3839"/>
    <w:rsid w:val="20F87D04"/>
    <w:rsid w:val="210216E4"/>
    <w:rsid w:val="21222FD3"/>
    <w:rsid w:val="21893052"/>
    <w:rsid w:val="21976CF6"/>
    <w:rsid w:val="219C0CA4"/>
    <w:rsid w:val="21BF4CC5"/>
    <w:rsid w:val="221C3EC6"/>
    <w:rsid w:val="223D7744"/>
    <w:rsid w:val="22896798"/>
    <w:rsid w:val="228D6B72"/>
    <w:rsid w:val="229901A2"/>
    <w:rsid w:val="22A218FE"/>
    <w:rsid w:val="22EE13BE"/>
    <w:rsid w:val="230E078D"/>
    <w:rsid w:val="23300FEF"/>
    <w:rsid w:val="236839CB"/>
    <w:rsid w:val="23737B15"/>
    <w:rsid w:val="237E2AA6"/>
    <w:rsid w:val="23841D23"/>
    <w:rsid w:val="23CA2D0C"/>
    <w:rsid w:val="23CD191B"/>
    <w:rsid w:val="23F85897"/>
    <w:rsid w:val="23FB26CF"/>
    <w:rsid w:val="24166262"/>
    <w:rsid w:val="2423778D"/>
    <w:rsid w:val="242654AA"/>
    <w:rsid w:val="242F518C"/>
    <w:rsid w:val="244A2F6C"/>
    <w:rsid w:val="24635DDC"/>
    <w:rsid w:val="246D6C5B"/>
    <w:rsid w:val="249D12EE"/>
    <w:rsid w:val="24CC3981"/>
    <w:rsid w:val="24DB29D4"/>
    <w:rsid w:val="252B5F80"/>
    <w:rsid w:val="25E22D30"/>
    <w:rsid w:val="25EE5F75"/>
    <w:rsid w:val="26AB75C6"/>
    <w:rsid w:val="276205CD"/>
    <w:rsid w:val="27624129"/>
    <w:rsid w:val="27817875"/>
    <w:rsid w:val="27A110F5"/>
    <w:rsid w:val="27AC5CEC"/>
    <w:rsid w:val="27DD1EAF"/>
    <w:rsid w:val="27EE1E60"/>
    <w:rsid w:val="28180EBE"/>
    <w:rsid w:val="2829733C"/>
    <w:rsid w:val="28304227"/>
    <w:rsid w:val="288B6760"/>
    <w:rsid w:val="28AB1AFF"/>
    <w:rsid w:val="28DF17A9"/>
    <w:rsid w:val="28F25980"/>
    <w:rsid w:val="291122AA"/>
    <w:rsid w:val="29341AF5"/>
    <w:rsid w:val="297665B1"/>
    <w:rsid w:val="29824F56"/>
    <w:rsid w:val="29C137C7"/>
    <w:rsid w:val="29E76B67"/>
    <w:rsid w:val="2AD43590"/>
    <w:rsid w:val="2AE80BD1"/>
    <w:rsid w:val="2AFA0B1C"/>
    <w:rsid w:val="2B013C59"/>
    <w:rsid w:val="2B304E80"/>
    <w:rsid w:val="2BB57B30"/>
    <w:rsid w:val="2BE14D90"/>
    <w:rsid w:val="2C0734F1"/>
    <w:rsid w:val="2C1B6F9C"/>
    <w:rsid w:val="2C317AAC"/>
    <w:rsid w:val="2CBD566A"/>
    <w:rsid w:val="2CF73565"/>
    <w:rsid w:val="2D346567"/>
    <w:rsid w:val="2DA03BFD"/>
    <w:rsid w:val="2DBF6F8B"/>
    <w:rsid w:val="2DD9710F"/>
    <w:rsid w:val="2DE41D28"/>
    <w:rsid w:val="2E0B6462"/>
    <w:rsid w:val="2E5A3DAC"/>
    <w:rsid w:val="2E70537D"/>
    <w:rsid w:val="2E921FEC"/>
    <w:rsid w:val="2EC41649"/>
    <w:rsid w:val="2F1C5505"/>
    <w:rsid w:val="2F320885"/>
    <w:rsid w:val="2F6E2B2F"/>
    <w:rsid w:val="2F963509"/>
    <w:rsid w:val="2F9C21A2"/>
    <w:rsid w:val="2FBB15F2"/>
    <w:rsid w:val="30240B15"/>
    <w:rsid w:val="30B96CB1"/>
    <w:rsid w:val="30C23E8A"/>
    <w:rsid w:val="30DC4F4C"/>
    <w:rsid w:val="310C5ADB"/>
    <w:rsid w:val="318B6972"/>
    <w:rsid w:val="31B21E64"/>
    <w:rsid w:val="31C3610C"/>
    <w:rsid w:val="31EB11BF"/>
    <w:rsid w:val="32242045"/>
    <w:rsid w:val="323E74A0"/>
    <w:rsid w:val="327D450D"/>
    <w:rsid w:val="32821B23"/>
    <w:rsid w:val="32A73338"/>
    <w:rsid w:val="332435CC"/>
    <w:rsid w:val="33437504"/>
    <w:rsid w:val="335F0AF4"/>
    <w:rsid w:val="336631F3"/>
    <w:rsid w:val="33791178"/>
    <w:rsid w:val="337D24B8"/>
    <w:rsid w:val="33A5254E"/>
    <w:rsid w:val="33E85AC1"/>
    <w:rsid w:val="34050C5E"/>
    <w:rsid w:val="342A2329"/>
    <w:rsid w:val="34377754"/>
    <w:rsid w:val="345B6AD0"/>
    <w:rsid w:val="34607C42"/>
    <w:rsid w:val="34906DAF"/>
    <w:rsid w:val="352020BB"/>
    <w:rsid w:val="35492DCC"/>
    <w:rsid w:val="354D466A"/>
    <w:rsid w:val="35642417"/>
    <w:rsid w:val="35867B7C"/>
    <w:rsid w:val="35C6441D"/>
    <w:rsid w:val="35CB5E3A"/>
    <w:rsid w:val="35ED7BFB"/>
    <w:rsid w:val="366E1015"/>
    <w:rsid w:val="36A75FFC"/>
    <w:rsid w:val="36B95095"/>
    <w:rsid w:val="36CD49CA"/>
    <w:rsid w:val="36D16BD5"/>
    <w:rsid w:val="36D304F0"/>
    <w:rsid w:val="37853930"/>
    <w:rsid w:val="37DE7D4A"/>
    <w:rsid w:val="3822625D"/>
    <w:rsid w:val="38997BC6"/>
    <w:rsid w:val="38AA6EBD"/>
    <w:rsid w:val="39BB4BF8"/>
    <w:rsid w:val="39E430C3"/>
    <w:rsid w:val="39F76FB2"/>
    <w:rsid w:val="3A064DE8"/>
    <w:rsid w:val="3A30455A"/>
    <w:rsid w:val="3A9B5E78"/>
    <w:rsid w:val="3AC973AD"/>
    <w:rsid w:val="3AED7D56"/>
    <w:rsid w:val="3B1D063B"/>
    <w:rsid w:val="3B6444BC"/>
    <w:rsid w:val="3BF35840"/>
    <w:rsid w:val="3C030199"/>
    <w:rsid w:val="3C2105FF"/>
    <w:rsid w:val="3C2A74DE"/>
    <w:rsid w:val="3CB245CB"/>
    <w:rsid w:val="3CC33464"/>
    <w:rsid w:val="3CD64F45"/>
    <w:rsid w:val="3CDA2ABC"/>
    <w:rsid w:val="3CF67395"/>
    <w:rsid w:val="3D2B4721"/>
    <w:rsid w:val="3D884009"/>
    <w:rsid w:val="3DB56F82"/>
    <w:rsid w:val="3DC93F58"/>
    <w:rsid w:val="3E163127"/>
    <w:rsid w:val="3E772758"/>
    <w:rsid w:val="3E893DD5"/>
    <w:rsid w:val="3E8D6099"/>
    <w:rsid w:val="3E921340"/>
    <w:rsid w:val="3EB72B54"/>
    <w:rsid w:val="3ECE4715"/>
    <w:rsid w:val="3ED23E32"/>
    <w:rsid w:val="3F035FF7"/>
    <w:rsid w:val="3F0A35CC"/>
    <w:rsid w:val="3F312907"/>
    <w:rsid w:val="3F4023D9"/>
    <w:rsid w:val="3F6E5909"/>
    <w:rsid w:val="3F7A2500"/>
    <w:rsid w:val="3F8213B4"/>
    <w:rsid w:val="3FBC7B83"/>
    <w:rsid w:val="40487DD3"/>
    <w:rsid w:val="404B3E9C"/>
    <w:rsid w:val="40564DF9"/>
    <w:rsid w:val="40A73FA7"/>
    <w:rsid w:val="4168282C"/>
    <w:rsid w:val="41801BCC"/>
    <w:rsid w:val="41831414"/>
    <w:rsid w:val="41B810BD"/>
    <w:rsid w:val="41D40AAE"/>
    <w:rsid w:val="424741EF"/>
    <w:rsid w:val="42521512"/>
    <w:rsid w:val="4269685C"/>
    <w:rsid w:val="429C09DF"/>
    <w:rsid w:val="42C626E2"/>
    <w:rsid w:val="42CF77DD"/>
    <w:rsid w:val="42F779C3"/>
    <w:rsid w:val="430D368B"/>
    <w:rsid w:val="43195B8C"/>
    <w:rsid w:val="431B66AF"/>
    <w:rsid w:val="431C742A"/>
    <w:rsid w:val="4368266F"/>
    <w:rsid w:val="43762FDE"/>
    <w:rsid w:val="439157DA"/>
    <w:rsid w:val="444924A1"/>
    <w:rsid w:val="446A09FE"/>
    <w:rsid w:val="447D55F1"/>
    <w:rsid w:val="44FF0DB1"/>
    <w:rsid w:val="45196317"/>
    <w:rsid w:val="451A5BEB"/>
    <w:rsid w:val="45796DB6"/>
    <w:rsid w:val="45AB24C8"/>
    <w:rsid w:val="45E05087"/>
    <w:rsid w:val="4600208E"/>
    <w:rsid w:val="46054AED"/>
    <w:rsid w:val="460C3316"/>
    <w:rsid w:val="461D6881"/>
    <w:rsid w:val="467A509E"/>
    <w:rsid w:val="469B15A4"/>
    <w:rsid w:val="46C40504"/>
    <w:rsid w:val="47003182"/>
    <w:rsid w:val="47136D96"/>
    <w:rsid w:val="471F1BDF"/>
    <w:rsid w:val="47485AFE"/>
    <w:rsid w:val="47A81BD4"/>
    <w:rsid w:val="47CD3675"/>
    <w:rsid w:val="47DE73A4"/>
    <w:rsid w:val="47F47CB4"/>
    <w:rsid w:val="480F301E"/>
    <w:rsid w:val="48B01D2B"/>
    <w:rsid w:val="491B2002"/>
    <w:rsid w:val="49B20AE8"/>
    <w:rsid w:val="49B22D26"/>
    <w:rsid w:val="49C91281"/>
    <w:rsid w:val="49D43792"/>
    <w:rsid w:val="49EC3FFA"/>
    <w:rsid w:val="49F27137"/>
    <w:rsid w:val="4A123997"/>
    <w:rsid w:val="4A161077"/>
    <w:rsid w:val="4A282B58"/>
    <w:rsid w:val="4AB40482"/>
    <w:rsid w:val="4B33366E"/>
    <w:rsid w:val="4B663938"/>
    <w:rsid w:val="4B68066B"/>
    <w:rsid w:val="4B876FC6"/>
    <w:rsid w:val="4BB31B38"/>
    <w:rsid w:val="4C001FDF"/>
    <w:rsid w:val="4C081C8E"/>
    <w:rsid w:val="4C2C4B82"/>
    <w:rsid w:val="4CA26BF2"/>
    <w:rsid w:val="4CEC4311"/>
    <w:rsid w:val="4CEE1E37"/>
    <w:rsid w:val="4D126C1A"/>
    <w:rsid w:val="4D837328"/>
    <w:rsid w:val="4DC952B1"/>
    <w:rsid w:val="4DCC2A97"/>
    <w:rsid w:val="4E516B22"/>
    <w:rsid w:val="4EEC05F8"/>
    <w:rsid w:val="4F231B40"/>
    <w:rsid w:val="4F5E1EA9"/>
    <w:rsid w:val="4F6603AB"/>
    <w:rsid w:val="4F815A58"/>
    <w:rsid w:val="4FE3359A"/>
    <w:rsid w:val="500E2B59"/>
    <w:rsid w:val="5030545B"/>
    <w:rsid w:val="507A1C34"/>
    <w:rsid w:val="50807A31"/>
    <w:rsid w:val="50DC0DD5"/>
    <w:rsid w:val="5107796B"/>
    <w:rsid w:val="510F05CE"/>
    <w:rsid w:val="5184720E"/>
    <w:rsid w:val="51BA2C30"/>
    <w:rsid w:val="5209326F"/>
    <w:rsid w:val="52D65847"/>
    <w:rsid w:val="52F263F9"/>
    <w:rsid w:val="530E3233"/>
    <w:rsid w:val="538057B3"/>
    <w:rsid w:val="53AB6CD4"/>
    <w:rsid w:val="53CF0DE8"/>
    <w:rsid w:val="53F52795"/>
    <w:rsid w:val="540C7047"/>
    <w:rsid w:val="54774E08"/>
    <w:rsid w:val="54790B80"/>
    <w:rsid w:val="5486329D"/>
    <w:rsid w:val="55175CA3"/>
    <w:rsid w:val="5556750C"/>
    <w:rsid w:val="55B160F8"/>
    <w:rsid w:val="55D41DE6"/>
    <w:rsid w:val="56005DED"/>
    <w:rsid w:val="560A518C"/>
    <w:rsid w:val="56A30136"/>
    <w:rsid w:val="56CE6835"/>
    <w:rsid w:val="5732302C"/>
    <w:rsid w:val="577864C7"/>
    <w:rsid w:val="5797131D"/>
    <w:rsid w:val="57D80EF9"/>
    <w:rsid w:val="582059F5"/>
    <w:rsid w:val="583D014D"/>
    <w:rsid w:val="58845D45"/>
    <w:rsid w:val="58F23326"/>
    <w:rsid w:val="58F37396"/>
    <w:rsid w:val="59154BEF"/>
    <w:rsid w:val="593037D7"/>
    <w:rsid w:val="598002BB"/>
    <w:rsid w:val="59B2243E"/>
    <w:rsid w:val="59C81C62"/>
    <w:rsid w:val="59F44AA3"/>
    <w:rsid w:val="5AA4447D"/>
    <w:rsid w:val="5ADA7E9F"/>
    <w:rsid w:val="5AF96577"/>
    <w:rsid w:val="5B1511BB"/>
    <w:rsid w:val="5B2C35B2"/>
    <w:rsid w:val="5B70435F"/>
    <w:rsid w:val="5B721E85"/>
    <w:rsid w:val="5B8878FB"/>
    <w:rsid w:val="5BB37A5B"/>
    <w:rsid w:val="5BB73D3C"/>
    <w:rsid w:val="5C225659"/>
    <w:rsid w:val="5CA73DB1"/>
    <w:rsid w:val="5CC26E3C"/>
    <w:rsid w:val="5D131446"/>
    <w:rsid w:val="5D186A5C"/>
    <w:rsid w:val="5D736B83"/>
    <w:rsid w:val="5DC866D4"/>
    <w:rsid w:val="5DD62B9F"/>
    <w:rsid w:val="5DE30E18"/>
    <w:rsid w:val="5DE74FD2"/>
    <w:rsid w:val="5E2F405E"/>
    <w:rsid w:val="5E9B5B97"/>
    <w:rsid w:val="5EA15519"/>
    <w:rsid w:val="5EC547CD"/>
    <w:rsid w:val="5ED12060"/>
    <w:rsid w:val="5F366A5E"/>
    <w:rsid w:val="5F4E49B7"/>
    <w:rsid w:val="5F7F3B85"/>
    <w:rsid w:val="5F8B1768"/>
    <w:rsid w:val="5FCA5F60"/>
    <w:rsid w:val="600B4A36"/>
    <w:rsid w:val="600C0AFA"/>
    <w:rsid w:val="602B1229"/>
    <w:rsid w:val="602E5843"/>
    <w:rsid w:val="603E67DA"/>
    <w:rsid w:val="60575AEE"/>
    <w:rsid w:val="6065645C"/>
    <w:rsid w:val="609B59DA"/>
    <w:rsid w:val="60BA180C"/>
    <w:rsid w:val="60C813E2"/>
    <w:rsid w:val="60DB1C99"/>
    <w:rsid w:val="612E51D7"/>
    <w:rsid w:val="613B2F91"/>
    <w:rsid w:val="61480B6C"/>
    <w:rsid w:val="61734BA9"/>
    <w:rsid w:val="61A60B5E"/>
    <w:rsid w:val="61DA0784"/>
    <w:rsid w:val="62456545"/>
    <w:rsid w:val="62592BC8"/>
    <w:rsid w:val="62767AAD"/>
    <w:rsid w:val="62CA3249"/>
    <w:rsid w:val="6332046E"/>
    <w:rsid w:val="63400ABB"/>
    <w:rsid w:val="63414F5F"/>
    <w:rsid w:val="63416D0D"/>
    <w:rsid w:val="63556314"/>
    <w:rsid w:val="636649C5"/>
    <w:rsid w:val="636C040B"/>
    <w:rsid w:val="63A948B2"/>
    <w:rsid w:val="63C45248"/>
    <w:rsid w:val="641E79ED"/>
    <w:rsid w:val="642D5113"/>
    <w:rsid w:val="643E149E"/>
    <w:rsid w:val="64942E6C"/>
    <w:rsid w:val="64EC0EFA"/>
    <w:rsid w:val="65077AE2"/>
    <w:rsid w:val="651D1B33"/>
    <w:rsid w:val="654943D9"/>
    <w:rsid w:val="65662F2A"/>
    <w:rsid w:val="65DC0F6F"/>
    <w:rsid w:val="65DF2BAC"/>
    <w:rsid w:val="667D46F4"/>
    <w:rsid w:val="66AE7E43"/>
    <w:rsid w:val="670A1D8E"/>
    <w:rsid w:val="67444D56"/>
    <w:rsid w:val="675477D5"/>
    <w:rsid w:val="676916ED"/>
    <w:rsid w:val="67CB3049"/>
    <w:rsid w:val="67D22E92"/>
    <w:rsid w:val="67FD341E"/>
    <w:rsid w:val="68382B3B"/>
    <w:rsid w:val="685272C6"/>
    <w:rsid w:val="686F7E78"/>
    <w:rsid w:val="68C83A2C"/>
    <w:rsid w:val="68DB550E"/>
    <w:rsid w:val="68E56708"/>
    <w:rsid w:val="69074555"/>
    <w:rsid w:val="697119CE"/>
    <w:rsid w:val="697D0373"/>
    <w:rsid w:val="697F058F"/>
    <w:rsid w:val="69DD52B6"/>
    <w:rsid w:val="6A1E2575"/>
    <w:rsid w:val="6A2E5B11"/>
    <w:rsid w:val="6A674B7F"/>
    <w:rsid w:val="6A77340C"/>
    <w:rsid w:val="6A870AC9"/>
    <w:rsid w:val="6A944210"/>
    <w:rsid w:val="6ADF18F7"/>
    <w:rsid w:val="6AE8743C"/>
    <w:rsid w:val="6AEA7C8A"/>
    <w:rsid w:val="6B347157"/>
    <w:rsid w:val="6B560E7C"/>
    <w:rsid w:val="6B56531F"/>
    <w:rsid w:val="6B5B46E4"/>
    <w:rsid w:val="6B80514F"/>
    <w:rsid w:val="6BEA5A68"/>
    <w:rsid w:val="6BF32B6E"/>
    <w:rsid w:val="6C184383"/>
    <w:rsid w:val="6C2076DB"/>
    <w:rsid w:val="6CCD1611"/>
    <w:rsid w:val="6CE724AB"/>
    <w:rsid w:val="6D2F7BD6"/>
    <w:rsid w:val="6D3B2A1F"/>
    <w:rsid w:val="6D7F429F"/>
    <w:rsid w:val="6E1F7C4B"/>
    <w:rsid w:val="6E58315D"/>
    <w:rsid w:val="6E602011"/>
    <w:rsid w:val="6E697118"/>
    <w:rsid w:val="6E6D4454"/>
    <w:rsid w:val="6E781A51"/>
    <w:rsid w:val="6F1150E7"/>
    <w:rsid w:val="6F124B64"/>
    <w:rsid w:val="6F327E52"/>
    <w:rsid w:val="6F392F8E"/>
    <w:rsid w:val="6F411E43"/>
    <w:rsid w:val="6F457B85"/>
    <w:rsid w:val="6F69786C"/>
    <w:rsid w:val="6F6D49E6"/>
    <w:rsid w:val="6F9D1C52"/>
    <w:rsid w:val="6FA523D2"/>
    <w:rsid w:val="6FBD3BBF"/>
    <w:rsid w:val="70181812"/>
    <w:rsid w:val="70271038"/>
    <w:rsid w:val="7063512F"/>
    <w:rsid w:val="709217A3"/>
    <w:rsid w:val="70BD335F"/>
    <w:rsid w:val="71044E34"/>
    <w:rsid w:val="711D31E4"/>
    <w:rsid w:val="7148395C"/>
    <w:rsid w:val="715F6134"/>
    <w:rsid w:val="71665B90"/>
    <w:rsid w:val="71E82A49"/>
    <w:rsid w:val="720852B6"/>
    <w:rsid w:val="72227D09"/>
    <w:rsid w:val="72B62B48"/>
    <w:rsid w:val="72FB055A"/>
    <w:rsid w:val="732448FF"/>
    <w:rsid w:val="736507F6"/>
    <w:rsid w:val="73DF27A6"/>
    <w:rsid w:val="73E86D31"/>
    <w:rsid w:val="73F90F3E"/>
    <w:rsid w:val="7419513C"/>
    <w:rsid w:val="74387CB8"/>
    <w:rsid w:val="74915AA9"/>
    <w:rsid w:val="74B361DC"/>
    <w:rsid w:val="74B70075"/>
    <w:rsid w:val="74B84955"/>
    <w:rsid w:val="7507768A"/>
    <w:rsid w:val="75184DC0"/>
    <w:rsid w:val="7521074C"/>
    <w:rsid w:val="754601B3"/>
    <w:rsid w:val="75510906"/>
    <w:rsid w:val="757B568B"/>
    <w:rsid w:val="75952EE8"/>
    <w:rsid w:val="75BA5E27"/>
    <w:rsid w:val="760C31AA"/>
    <w:rsid w:val="76257BFD"/>
    <w:rsid w:val="770C2D36"/>
    <w:rsid w:val="772B58B2"/>
    <w:rsid w:val="77473E26"/>
    <w:rsid w:val="77707769"/>
    <w:rsid w:val="77861FB4"/>
    <w:rsid w:val="77935205"/>
    <w:rsid w:val="77B7148D"/>
    <w:rsid w:val="77C10136"/>
    <w:rsid w:val="77EC0499"/>
    <w:rsid w:val="780222EB"/>
    <w:rsid w:val="785A1D20"/>
    <w:rsid w:val="78D2453A"/>
    <w:rsid w:val="78D43D28"/>
    <w:rsid w:val="78E35D19"/>
    <w:rsid w:val="790C1713"/>
    <w:rsid w:val="790E2D96"/>
    <w:rsid w:val="7A36248D"/>
    <w:rsid w:val="7A4C6E3E"/>
    <w:rsid w:val="7B547823"/>
    <w:rsid w:val="7B744583"/>
    <w:rsid w:val="7B821819"/>
    <w:rsid w:val="7B892BA7"/>
    <w:rsid w:val="7B9A68BC"/>
    <w:rsid w:val="7BB25F37"/>
    <w:rsid w:val="7BCB1412"/>
    <w:rsid w:val="7BEC3136"/>
    <w:rsid w:val="7C300A92"/>
    <w:rsid w:val="7C5807CC"/>
    <w:rsid w:val="7C5C650E"/>
    <w:rsid w:val="7CD95DB0"/>
    <w:rsid w:val="7CEF7382"/>
    <w:rsid w:val="7D16490F"/>
    <w:rsid w:val="7D316D38"/>
    <w:rsid w:val="7D5B49B0"/>
    <w:rsid w:val="7D6A07B6"/>
    <w:rsid w:val="7D752545"/>
    <w:rsid w:val="7E1443B1"/>
    <w:rsid w:val="7E6E5AB0"/>
    <w:rsid w:val="7E6F077A"/>
    <w:rsid w:val="7EAD3051"/>
    <w:rsid w:val="7ED44A81"/>
    <w:rsid w:val="7EEB5927"/>
    <w:rsid w:val="7EFB3627"/>
    <w:rsid w:val="7F0A04A3"/>
    <w:rsid w:val="7F930498"/>
    <w:rsid w:val="7FB0104A"/>
    <w:rsid w:val="7FE26D2A"/>
    <w:rsid w:val="7FEE1B73"/>
    <w:rsid w:val="7FFC15FA"/>
    <w:rsid w:val="93F73002"/>
    <w:rsid w:val="DFE2BC6E"/>
    <w:rsid w:val="EFDE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6">
    <w:name w:val="Normal Indent"/>
    <w:basedOn w:val="1"/>
    <w:qFormat/>
    <w:uiPriority w:val="0"/>
    <w:pPr>
      <w:ind w:firstLine="420"/>
    </w:pPr>
    <w:rPr>
      <w:szCs w:val="20"/>
    </w:rPr>
  </w:style>
  <w:style w:type="paragraph" w:styleId="7">
    <w:name w:val="index 8"/>
    <w:basedOn w:val="1"/>
    <w:next w:val="1"/>
    <w:qFormat/>
    <w:uiPriority w:val="0"/>
    <w:pPr>
      <w:ind w:left="2940"/>
    </w:pPr>
  </w:style>
  <w:style w:type="paragraph" w:styleId="8">
    <w:name w:val="annotation text"/>
    <w:basedOn w:val="1"/>
    <w:link w:val="34"/>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7"/>
    <w:qFormat/>
    <w:uiPriority w:val="0"/>
    <w:rPr>
      <w:rFonts w:ascii="宋体" w:hAnsi="Courier New"/>
      <w:kern w:val="0"/>
      <w:sz w:val="20"/>
      <w:szCs w:val="21"/>
    </w:rPr>
  </w:style>
  <w:style w:type="paragraph" w:styleId="13">
    <w:name w:val="Balloon Text"/>
    <w:basedOn w:val="1"/>
    <w:link w:val="36"/>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index 1"/>
    <w:basedOn w:val="1"/>
    <w:next w:val="1"/>
    <w:qFormat/>
    <w:uiPriority w:val="0"/>
    <w:pPr>
      <w:spacing w:line="400" w:lineRule="exact"/>
      <w:ind w:firstLine="420" w:firstLineChars="200"/>
    </w:pPr>
    <w:rPr>
      <w:rFonts w:ascii="宋体" w:hAnsi="Courier New"/>
      <w:b/>
      <w:szCs w:val="20"/>
    </w:rPr>
  </w:style>
  <w:style w:type="paragraph" w:styleId="19">
    <w:name w:val="Title"/>
    <w:basedOn w:val="1"/>
    <w:next w:val="1"/>
    <w:qFormat/>
    <w:uiPriority w:val="0"/>
    <w:pPr>
      <w:jc w:val="center"/>
    </w:pPr>
    <w:rPr>
      <w:sz w:val="30"/>
    </w:rPr>
  </w:style>
  <w:style w:type="paragraph" w:styleId="20">
    <w:name w:val="annotation subject"/>
    <w:basedOn w:val="8"/>
    <w:next w:val="8"/>
    <w:link w:val="35"/>
    <w:qFormat/>
    <w:uiPriority w:val="0"/>
    <w:rPr>
      <w:b/>
      <w:bCs/>
    </w:rPr>
  </w:style>
  <w:style w:type="paragraph" w:styleId="21">
    <w:name w:val="Body Text First Indent 2"/>
    <w:basedOn w:val="10"/>
    <w:unhideWhenUsed/>
    <w:qFormat/>
    <w:uiPriority w:val="99"/>
    <w:pPr>
      <w:spacing w:after="120"/>
      <w:ind w:left="420" w:leftChars="200" w:firstLine="420" w:firstLineChars="200"/>
    </w:pPr>
    <w:rPr>
      <w:rFonts w:ascii="Times New Roman" w:eastAsia="宋体"/>
      <w:kern w:val="2"/>
      <w:sz w:val="21"/>
      <w:szCs w:val="24"/>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unhideWhenUsed/>
    <w:qFormat/>
    <w:uiPriority w:val="99"/>
    <w:rPr>
      <w:color w:val="0000FF"/>
      <w:u w:val="single"/>
    </w:rPr>
  </w:style>
  <w:style w:type="character" w:styleId="27">
    <w:name w:val="annotation reference"/>
    <w:qFormat/>
    <w:uiPriority w:val="0"/>
    <w:rPr>
      <w:sz w:val="21"/>
      <w:szCs w:val="21"/>
    </w:rPr>
  </w:style>
  <w:style w:type="paragraph" w:customStyle="1" w:styleId="28">
    <w:name w:val="表格文字"/>
    <w:basedOn w:val="1"/>
    <w:next w:val="2"/>
    <w:qFormat/>
    <w:uiPriority w:val="99"/>
    <w:pPr>
      <w:spacing w:before="25" w:after="25"/>
      <w:jc w:val="left"/>
    </w:pPr>
    <w:rPr>
      <w:bCs/>
      <w:spacing w:val="10"/>
      <w:kern w:val="0"/>
      <w:sz w:val="24"/>
    </w:rPr>
  </w:style>
  <w:style w:type="paragraph" w:customStyle="1" w:styleId="29">
    <w:name w:val="列出段落1"/>
    <w:basedOn w:val="1"/>
    <w:qFormat/>
    <w:uiPriority w:val="34"/>
    <w:pPr>
      <w:ind w:firstLine="420" w:firstLineChars="200"/>
    </w:pPr>
  </w:style>
  <w:style w:type="paragraph" w:customStyle="1" w:styleId="30">
    <w:name w:val="样式1"/>
    <w:basedOn w:val="1"/>
    <w:qFormat/>
    <w:uiPriority w:val="0"/>
    <w:pPr>
      <w:spacing w:before="120" w:after="120" w:line="300" w:lineRule="auto"/>
    </w:pPr>
    <w:rPr>
      <w:rFonts w:ascii="宋体" w:hAnsi="宋体"/>
      <w:b/>
      <w:sz w:val="24"/>
      <w:szCs w:val="20"/>
    </w:rPr>
  </w:style>
  <w:style w:type="paragraph" w:customStyle="1" w:styleId="31">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styleId="32">
    <w:name w:val="List Paragraph"/>
    <w:basedOn w:val="1"/>
    <w:qFormat/>
    <w:uiPriority w:val="34"/>
    <w:pPr>
      <w:ind w:firstLine="420" w:firstLineChars="200"/>
    </w:p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批注文字 字符"/>
    <w:basedOn w:val="24"/>
    <w:link w:val="8"/>
    <w:qFormat/>
    <w:uiPriority w:val="0"/>
    <w:rPr>
      <w:kern w:val="2"/>
      <w:sz w:val="21"/>
      <w:szCs w:val="24"/>
    </w:rPr>
  </w:style>
  <w:style w:type="character" w:customStyle="1" w:styleId="35">
    <w:name w:val="批注主题 字符"/>
    <w:basedOn w:val="34"/>
    <w:link w:val="20"/>
    <w:qFormat/>
    <w:uiPriority w:val="0"/>
    <w:rPr>
      <w:b/>
      <w:bCs/>
      <w:kern w:val="2"/>
      <w:sz w:val="21"/>
      <w:szCs w:val="24"/>
    </w:rPr>
  </w:style>
  <w:style w:type="character" w:customStyle="1" w:styleId="36">
    <w:name w:val="批注框文本 字符"/>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68</Pages>
  <Words>4148</Words>
  <Characters>4735</Characters>
  <Lines>327</Lines>
  <Paragraphs>92</Paragraphs>
  <TotalTime>25</TotalTime>
  <ScaleCrop>false</ScaleCrop>
  <LinksUpToDate>false</LinksUpToDate>
  <CharactersWithSpaces>4818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2025-11-25T19:52:00Z</dcterms:created>
  <dc:creator>lenovo1</dc:creator>
  <cp:lastModifiedBy>何静</cp:lastModifiedBy>
  <cp:lastPrinted>2025-11-26T00:16:00Z</cp:lastPrinted>
  <dcterms:modified xsi:type="dcterms:W3CDTF">2025-12-19T08:18:35Z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130F045870E34C548EE6C6E8E95ED547_13</vt:lpwstr>
  </property>
  <property fmtid="{D5CDD505-2E9C-101B-9397-08002B2CF9AE}" pid="4" name="KSOTemplateDocerSaveRecord">
    <vt:lpwstr>eyJoZGlkIjoiMmU5MWE3OGI2Yzk0NTQ5N2IyNTgxZTU4ZTYxMzg3ZGMiLCJ1c2VySWQiOiI2NzgwNDkyNDAifQ==</vt:lpwstr>
  </property>
</Properties>
</file>