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F6DF7">
      <w:pPr>
        <w:pStyle w:val="42"/>
        <w:ind w:firstLine="5"/>
        <w:jc w:val="center"/>
        <w:outlineLvl w:val="9"/>
        <w:rPr>
          <w:rFonts w:hint="eastAsia" w:hAnsi="宋体"/>
          <w:color w:val="auto"/>
          <w:spacing w:val="30"/>
          <w:kern w:val="52"/>
          <w:sz w:val="66"/>
          <w:szCs w:val="66"/>
          <w:highlight w:val="none"/>
          <w:u w:val="double"/>
        </w:rPr>
      </w:pPr>
    </w:p>
    <w:p w14:paraId="68C30816">
      <w:pPr>
        <w:pStyle w:val="42"/>
        <w:ind w:firstLine="5"/>
        <w:jc w:val="center"/>
        <w:outlineLvl w:val="9"/>
        <w:rPr>
          <w:rFonts w:hAnsi="宋体"/>
          <w:color w:val="auto"/>
          <w:spacing w:val="30"/>
          <w:kern w:val="52"/>
          <w:sz w:val="66"/>
          <w:szCs w:val="66"/>
          <w:highlight w:val="none"/>
          <w:u w:val="double"/>
        </w:rPr>
      </w:pPr>
      <w:r>
        <w:rPr>
          <w:rFonts w:hint="eastAsia" w:hAnsi="宋体"/>
          <w:color w:val="auto"/>
          <w:spacing w:val="30"/>
          <w:kern w:val="52"/>
          <w:sz w:val="66"/>
          <w:szCs w:val="66"/>
          <w:highlight w:val="none"/>
          <w:u w:val="double"/>
        </w:rPr>
        <w:t>广西天明建筑咨询有限公司</w:t>
      </w:r>
    </w:p>
    <w:p w14:paraId="230A7BD9">
      <w:pPr>
        <w:pStyle w:val="42"/>
        <w:ind w:firstLine="917" w:firstLineChars="244"/>
        <w:outlineLvl w:val="9"/>
        <w:rPr>
          <w:rFonts w:hAnsi="宋体"/>
          <w:color w:val="auto"/>
          <w:spacing w:val="28"/>
          <w:sz w:val="32"/>
          <w:highlight w:val="none"/>
        </w:rPr>
      </w:pPr>
    </w:p>
    <w:p w14:paraId="0225638B">
      <w:pPr>
        <w:pStyle w:val="42"/>
        <w:jc w:val="center"/>
        <w:outlineLvl w:val="9"/>
        <w:rPr>
          <w:rFonts w:hAnsi="宋体"/>
          <w:b/>
          <w:color w:val="auto"/>
          <w:spacing w:val="-18"/>
          <w:sz w:val="72"/>
          <w:szCs w:val="72"/>
          <w:highlight w:val="none"/>
        </w:rPr>
      </w:pPr>
    </w:p>
    <w:p w14:paraId="43D5160F">
      <w:pPr>
        <w:pStyle w:val="42"/>
        <w:jc w:val="center"/>
        <w:outlineLvl w:val="9"/>
        <w:rPr>
          <w:rFonts w:hAnsi="宋体"/>
          <w:b/>
          <w:color w:val="auto"/>
          <w:spacing w:val="-18"/>
          <w:sz w:val="72"/>
          <w:szCs w:val="72"/>
          <w:highlight w:val="none"/>
        </w:rPr>
      </w:pPr>
    </w:p>
    <w:p w14:paraId="43221D13">
      <w:pPr>
        <w:pStyle w:val="42"/>
        <w:jc w:val="center"/>
        <w:outlineLvl w:val="9"/>
        <w:rPr>
          <w:rFonts w:hAnsi="宋体"/>
          <w:b/>
          <w:color w:val="auto"/>
          <w:spacing w:val="-18"/>
          <w:sz w:val="72"/>
          <w:szCs w:val="72"/>
          <w:highlight w:val="none"/>
        </w:rPr>
      </w:pPr>
    </w:p>
    <w:p w14:paraId="1B7A3EE9">
      <w:pPr>
        <w:pStyle w:val="42"/>
        <w:jc w:val="center"/>
        <w:outlineLvl w:val="9"/>
        <w:rPr>
          <w:rFonts w:hAnsi="宋体"/>
          <w:b/>
          <w:color w:val="auto"/>
          <w:spacing w:val="-18"/>
          <w:sz w:val="72"/>
          <w:szCs w:val="72"/>
          <w:highlight w:val="none"/>
        </w:rPr>
      </w:pPr>
      <w:r>
        <w:rPr>
          <w:rFonts w:hint="eastAsia" w:hAnsi="宋体"/>
          <w:b/>
          <w:color w:val="auto"/>
          <w:spacing w:val="-18"/>
          <w:sz w:val="72"/>
          <w:szCs w:val="72"/>
          <w:highlight w:val="none"/>
        </w:rPr>
        <w:t>竞争性磋商文件</w:t>
      </w:r>
    </w:p>
    <w:p w14:paraId="7BD10EFE">
      <w:pPr>
        <w:pStyle w:val="42"/>
        <w:outlineLvl w:val="9"/>
        <w:rPr>
          <w:rFonts w:hAnsi="宋体"/>
          <w:color w:val="auto"/>
          <w:highlight w:val="none"/>
        </w:rPr>
      </w:pPr>
    </w:p>
    <w:p w14:paraId="3565849F">
      <w:pPr>
        <w:pStyle w:val="42"/>
        <w:outlineLvl w:val="9"/>
        <w:rPr>
          <w:rFonts w:hAnsi="宋体"/>
          <w:color w:val="auto"/>
          <w:highlight w:val="none"/>
        </w:rPr>
      </w:pPr>
    </w:p>
    <w:p w14:paraId="5683AB58">
      <w:pPr>
        <w:pStyle w:val="42"/>
        <w:outlineLvl w:val="9"/>
        <w:rPr>
          <w:rFonts w:hAnsi="宋体"/>
          <w:color w:val="auto"/>
          <w:highlight w:val="none"/>
        </w:rPr>
      </w:pPr>
    </w:p>
    <w:p w14:paraId="07521C71">
      <w:pPr>
        <w:pStyle w:val="42"/>
        <w:keepNext w:val="0"/>
        <w:keepLines w:val="0"/>
        <w:pageBreakBefore w:val="0"/>
        <w:widowControl w:val="0"/>
        <w:kinsoku/>
        <w:wordWrap w:val="0"/>
        <w:overflowPunct/>
        <w:topLinePunct w:val="0"/>
        <w:autoSpaceDE/>
        <w:autoSpaceDN/>
        <w:bidi w:val="0"/>
        <w:adjustRightInd/>
        <w:snapToGrid/>
        <w:ind w:left="2369" w:leftChars="966" w:hanging="340" w:hangingChars="100"/>
        <w:textAlignment w:val="auto"/>
        <w:outlineLvl w:val="9"/>
        <w:rPr>
          <w:rFonts w:hint="eastAsia" w:hAnsi="宋体" w:cs="宋体"/>
          <w:color w:val="auto"/>
          <w:sz w:val="34"/>
          <w:szCs w:val="34"/>
          <w:highlight w:val="none"/>
        </w:rPr>
      </w:pPr>
    </w:p>
    <w:p w14:paraId="78F42893">
      <w:pPr>
        <w:outlineLvl w:val="9"/>
        <w:rPr>
          <w:rFonts w:hint="eastAsia" w:hAnsi="宋体" w:cs="宋体"/>
          <w:color w:val="auto"/>
          <w:sz w:val="34"/>
          <w:szCs w:val="34"/>
          <w:highlight w:val="none"/>
        </w:rPr>
      </w:pPr>
    </w:p>
    <w:p w14:paraId="53EE96E5">
      <w:pPr>
        <w:pStyle w:val="42"/>
        <w:outlineLvl w:val="9"/>
        <w:rPr>
          <w:rFonts w:hint="eastAsia" w:hAnsi="宋体" w:cs="宋体"/>
          <w:color w:val="auto"/>
          <w:sz w:val="34"/>
          <w:szCs w:val="34"/>
          <w:highlight w:val="none"/>
        </w:rPr>
      </w:pPr>
    </w:p>
    <w:p w14:paraId="02CB1BF3">
      <w:pPr>
        <w:outlineLvl w:val="9"/>
        <w:rPr>
          <w:rFonts w:hint="eastAsia"/>
          <w:color w:val="auto"/>
        </w:rPr>
      </w:pPr>
    </w:p>
    <w:p w14:paraId="10293188">
      <w:pPr>
        <w:pStyle w:val="42"/>
        <w:keepNext w:val="0"/>
        <w:keepLines w:val="0"/>
        <w:pageBreakBefore w:val="0"/>
        <w:widowControl w:val="0"/>
        <w:kinsoku/>
        <w:wordWrap w:val="0"/>
        <w:overflowPunct/>
        <w:topLinePunct w:val="0"/>
        <w:autoSpaceDE/>
        <w:autoSpaceDN/>
        <w:bidi w:val="0"/>
        <w:adjustRightInd/>
        <w:snapToGrid/>
        <w:ind w:left="2370" w:leftChars="966" w:hanging="341" w:hangingChars="100"/>
        <w:textAlignment w:val="auto"/>
        <w:outlineLvl w:val="9"/>
        <w:rPr>
          <w:rFonts w:hint="eastAsia" w:hAnsi="宋体" w:cs="宋体"/>
          <w:b/>
          <w:bCs/>
          <w:color w:val="auto"/>
          <w:sz w:val="34"/>
          <w:szCs w:val="34"/>
          <w:highlight w:val="none"/>
          <w:lang w:eastAsia="zh-CN"/>
        </w:rPr>
      </w:pPr>
      <w:r>
        <w:rPr>
          <w:rFonts w:hint="eastAsia" w:hAnsi="宋体" w:cs="宋体"/>
          <w:b/>
          <w:bCs/>
          <w:color w:val="auto"/>
          <w:sz w:val="34"/>
          <w:szCs w:val="34"/>
          <w:highlight w:val="none"/>
        </w:rPr>
        <w:t>项目名称：</w:t>
      </w:r>
      <w:r>
        <w:rPr>
          <w:rFonts w:hint="eastAsia" w:hAnsi="宋体" w:cs="宋体"/>
          <w:b/>
          <w:bCs/>
          <w:color w:val="auto"/>
          <w:sz w:val="34"/>
          <w:szCs w:val="34"/>
          <w:highlight w:val="none"/>
          <w:lang w:eastAsia="zh-CN"/>
        </w:rPr>
        <w:t>防城区文昌大桥亮化工程</w:t>
      </w:r>
    </w:p>
    <w:p w14:paraId="6649A8F6">
      <w:pPr>
        <w:pStyle w:val="42"/>
        <w:keepNext w:val="0"/>
        <w:keepLines w:val="0"/>
        <w:pageBreakBefore w:val="0"/>
        <w:widowControl w:val="0"/>
        <w:kinsoku/>
        <w:wordWrap w:val="0"/>
        <w:overflowPunct/>
        <w:topLinePunct w:val="0"/>
        <w:autoSpaceDE/>
        <w:autoSpaceDN/>
        <w:bidi w:val="0"/>
        <w:adjustRightInd/>
        <w:snapToGrid/>
        <w:ind w:left="2370" w:leftChars="966" w:hanging="341" w:hangingChars="100"/>
        <w:textAlignment w:val="auto"/>
        <w:outlineLvl w:val="9"/>
        <w:rPr>
          <w:rFonts w:hint="eastAsia" w:hAnsi="宋体" w:cs="宋体"/>
          <w:b/>
          <w:bCs/>
          <w:color w:val="auto"/>
          <w:sz w:val="34"/>
          <w:szCs w:val="34"/>
          <w:highlight w:val="none"/>
          <w:lang w:eastAsia="zh-CN"/>
        </w:rPr>
      </w:pPr>
    </w:p>
    <w:p w14:paraId="1A973281">
      <w:pPr>
        <w:pStyle w:val="42"/>
        <w:keepNext w:val="0"/>
        <w:keepLines w:val="0"/>
        <w:pageBreakBefore w:val="0"/>
        <w:widowControl w:val="0"/>
        <w:kinsoku/>
        <w:wordWrap w:val="0"/>
        <w:overflowPunct/>
        <w:topLinePunct w:val="0"/>
        <w:autoSpaceDE/>
        <w:autoSpaceDN/>
        <w:bidi w:val="0"/>
        <w:adjustRightInd/>
        <w:snapToGrid/>
        <w:ind w:left="2370" w:leftChars="966" w:hanging="341" w:hangingChars="100"/>
        <w:textAlignment w:val="auto"/>
        <w:outlineLvl w:val="9"/>
        <w:rPr>
          <w:rFonts w:hint="eastAsia" w:hAnsi="宋体" w:cs="宋体"/>
          <w:b/>
          <w:bCs/>
          <w:color w:val="auto"/>
          <w:sz w:val="34"/>
          <w:szCs w:val="34"/>
          <w:highlight w:val="none"/>
          <w:lang w:eastAsia="zh-CN"/>
        </w:rPr>
      </w:pPr>
      <w:r>
        <w:rPr>
          <w:rFonts w:hint="eastAsia" w:hAnsi="宋体" w:cs="宋体"/>
          <w:b/>
          <w:bCs/>
          <w:color w:val="auto"/>
          <w:sz w:val="34"/>
          <w:szCs w:val="34"/>
          <w:highlight w:val="none"/>
          <w:lang w:eastAsia="zh-CN"/>
        </w:rPr>
        <w:t>项目编号：FCZC2026-C2-030006-GXTM</w:t>
      </w:r>
    </w:p>
    <w:p w14:paraId="54ADF3E1">
      <w:pPr>
        <w:pStyle w:val="42"/>
        <w:keepNext w:val="0"/>
        <w:keepLines w:val="0"/>
        <w:pageBreakBefore w:val="0"/>
        <w:widowControl w:val="0"/>
        <w:kinsoku/>
        <w:wordWrap w:val="0"/>
        <w:overflowPunct/>
        <w:topLinePunct w:val="0"/>
        <w:autoSpaceDE/>
        <w:autoSpaceDN/>
        <w:bidi w:val="0"/>
        <w:adjustRightInd/>
        <w:snapToGrid/>
        <w:ind w:left="2370" w:leftChars="966" w:hanging="341" w:hangingChars="100"/>
        <w:textAlignment w:val="auto"/>
        <w:outlineLvl w:val="9"/>
        <w:rPr>
          <w:rFonts w:hint="eastAsia" w:hAnsi="宋体" w:cs="宋体"/>
          <w:b/>
          <w:bCs/>
          <w:color w:val="auto"/>
          <w:sz w:val="34"/>
          <w:szCs w:val="34"/>
          <w:highlight w:val="none"/>
          <w:lang w:eastAsia="zh-CN"/>
        </w:rPr>
      </w:pPr>
    </w:p>
    <w:p w14:paraId="0387CFF3">
      <w:pPr>
        <w:pStyle w:val="7"/>
        <w:outlineLvl w:val="9"/>
        <w:rPr>
          <w:rFonts w:ascii="宋体" w:hAnsi="宋体" w:cs="宋体"/>
          <w:color w:val="auto"/>
          <w:sz w:val="34"/>
          <w:szCs w:val="34"/>
          <w:highlight w:val="none"/>
        </w:rPr>
      </w:pPr>
    </w:p>
    <w:p w14:paraId="38970E05">
      <w:pPr>
        <w:ind w:firstLine="683" w:firstLineChars="200"/>
        <w:outlineLvl w:val="9"/>
        <w:rPr>
          <w:rFonts w:ascii="宋体" w:hAnsi="宋体" w:cs="宋体"/>
          <w:b/>
          <w:color w:val="auto"/>
          <w:sz w:val="34"/>
          <w:szCs w:val="34"/>
          <w:highlight w:val="none"/>
        </w:rPr>
      </w:pPr>
    </w:p>
    <w:p w14:paraId="58C6D2E7">
      <w:pPr>
        <w:ind w:firstLine="683" w:firstLineChars="200"/>
        <w:outlineLvl w:val="9"/>
        <w:rPr>
          <w:rFonts w:ascii="宋体" w:hAnsi="宋体" w:cs="宋体"/>
          <w:b/>
          <w:color w:val="auto"/>
          <w:sz w:val="34"/>
          <w:szCs w:val="34"/>
          <w:highlight w:val="none"/>
        </w:rPr>
      </w:pPr>
    </w:p>
    <w:p w14:paraId="762B6190">
      <w:pPr>
        <w:ind w:firstLine="683" w:firstLineChars="200"/>
        <w:outlineLvl w:val="9"/>
        <w:rPr>
          <w:rFonts w:ascii="宋体" w:hAnsi="宋体" w:cs="宋体"/>
          <w:b/>
          <w:color w:val="auto"/>
          <w:sz w:val="34"/>
          <w:szCs w:val="34"/>
          <w:highlight w:val="none"/>
        </w:rPr>
      </w:pPr>
    </w:p>
    <w:p w14:paraId="35B266C8">
      <w:pPr>
        <w:ind w:firstLine="1365" w:firstLineChars="400"/>
        <w:outlineLvl w:val="9"/>
        <w:rPr>
          <w:rFonts w:hint="eastAsia" w:ascii="宋体" w:hAnsi="宋体" w:eastAsia="宋体" w:cs="宋体"/>
          <w:b/>
          <w:color w:val="auto"/>
          <w:sz w:val="34"/>
          <w:szCs w:val="34"/>
          <w:highlight w:val="none"/>
          <w:lang w:eastAsia="zh-CN"/>
        </w:rPr>
      </w:pPr>
      <w:r>
        <w:rPr>
          <w:rFonts w:hint="eastAsia" w:ascii="宋体" w:hAnsi="宋体" w:cs="宋体"/>
          <w:b/>
          <w:color w:val="auto"/>
          <w:sz w:val="34"/>
          <w:szCs w:val="34"/>
          <w:highlight w:val="none"/>
        </w:rPr>
        <w:t>采购单位：</w:t>
      </w:r>
      <w:r>
        <w:rPr>
          <w:rFonts w:hint="eastAsia" w:ascii="宋体" w:hAnsi="宋体" w:cs="宋体"/>
          <w:b/>
          <w:color w:val="auto"/>
          <w:sz w:val="34"/>
          <w:szCs w:val="34"/>
          <w:highlight w:val="none"/>
          <w:lang w:eastAsia="zh-CN"/>
        </w:rPr>
        <w:t>防城港市防城区住房和城乡建设局</w:t>
      </w:r>
    </w:p>
    <w:p w14:paraId="0A40A175">
      <w:pPr>
        <w:pStyle w:val="7"/>
        <w:ind w:firstLine="0"/>
        <w:outlineLvl w:val="9"/>
        <w:rPr>
          <w:rFonts w:ascii="宋体" w:hAnsi="宋体" w:cs="宋体"/>
          <w:color w:val="auto"/>
          <w:sz w:val="34"/>
          <w:szCs w:val="34"/>
          <w:highlight w:val="none"/>
        </w:rPr>
      </w:pPr>
    </w:p>
    <w:p w14:paraId="450F71AF">
      <w:pPr>
        <w:ind w:firstLine="1365" w:firstLineChars="400"/>
        <w:outlineLvl w:val="9"/>
        <w:rPr>
          <w:rFonts w:ascii="宋体" w:hAnsi="宋体" w:cs="宋体"/>
          <w:b/>
          <w:color w:val="auto"/>
          <w:sz w:val="34"/>
          <w:szCs w:val="34"/>
          <w:highlight w:val="none"/>
        </w:rPr>
      </w:pPr>
      <w:r>
        <w:rPr>
          <w:rFonts w:hint="eastAsia" w:ascii="宋体" w:hAnsi="宋体" w:cs="宋体"/>
          <w:b/>
          <w:color w:val="auto"/>
          <w:sz w:val="34"/>
          <w:szCs w:val="34"/>
          <w:highlight w:val="none"/>
        </w:rPr>
        <w:t xml:space="preserve">采购代理机构：广西天明建筑咨询有限公司 </w:t>
      </w:r>
    </w:p>
    <w:p w14:paraId="6E0D3DB3">
      <w:pPr>
        <w:pStyle w:val="7"/>
        <w:ind w:firstLine="0"/>
        <w:outlineLvl w:val="9"/>
        <w:rPr>
          <w:rFonts w:ascii="宋体" w:hAnsi="宋体" w:cs="宋体"/>
          <w:color w:val="auto"/>
          <w:sz w:val="34"/>
          <w:szCs w:val="34"/>
          <w:highlight w:val="none"/>
        </w:rPr>
      </w:pPr>
    </w:p>
    <w:p w14:paraId="2159C036">
      <w:pPr>
        <w:jc w:val="center"/>
        <w:outlineLvl w:val="9"/>
        <w:rPr>
          <w:rFonts w:ascii="宋体" w:hAnsi="宋体"/>
          <w:b/>
          <w:color w:val="auto"/>
          <w:sz w:val="32"/>
          <w:szCs w:val="32"/>
          <w:highlight w:val="none"/>
        </w:rPr>
      </w:pPr>
      <w:r>
        <w:rPr>
          <w:rFonts w:hint="eastAsia" w:ascii="宋体" w:hAnsi="宋体" w:cs="宋体"/>
          <w:b/>
          <w:color w:val="auto"/>
          <w:sz w:val="34"/>
          <w:szCs w:val="34"/>
          <w:highlight w:val="none"/>
          <w:lang w:val="en-US" w:eastAsia="zh-CN"/>
        </w:rPr>
        <w:t>2026</w:t>
      </w:r>
      <w:r>
        <w:rPr>
          <w:rFonts w:hint="eastAsia" w:ascii="宋体" w:hAnsi="宋体" w:cs="宋体"/>
          <w:b/>
          <w:color w:val="auto"/>
          <w:sz w:val="34"/>
          <w:szCs w:val="34"/>
          <w:highlight w:val="none"/>
        </w:rPr>
        <w:t>年</w:t>
      </w:r>
      <w:r>
        <w:rPr>
          <w:rFonts w:hint="eastAsia" w:ascii="宋体" w:hAnsi="宋体" w:cs="宋体"/>
          <w:b/>
          <w:color w:val="auto"/>
          <w:sz w:val="34"/>
          <w:szCs w:val="34"/>
          <w:highlight w:val="none"/>
          <w:lang w:val="en-US" w:eastAsia="zh-CN"/>
        </w:rPr>
        <w:t>01</w:t>
      </w:r>
      <w:r>
        <w:rPr>
          <w:rFonts w:hint="eastAsia" w:ascii="宋体" w:hAnsi="宋体" w:cs="宋体"/>
          <w:b/>
          <w:color w:val="auto"/>
          <w:sz w:val="34"/>
          <w:szCs w:val="34"/>
          <w:highlight w:val="none"/>
        </w:rPr>
        <w:t>月</w:t>
      </w:r>
    </w:p>
    <w:p w14:paraId="55909B1E">
      <w:pPr>
        <w:spacing w:line="500" w:lineRule="exact"/>
        <w:jc w:val="both"/>
        <w:outlineLvl w:val="9"/>
        <w:rPr>
          <w:rFonts w:ascii="宋体"/>
          <w:b/>
          <w:color w:val="auto"/>
          <w:sz w:val="44"/>
          <w:szCs w:val="44"/>
          <w:highlight w:val="none"/>
        </w:rPr>
      </w:pPr>
    </w:p>
    <w:p w14:paraId="6AA5C6F4">
      <w:pPr>
        <w:spacing w:line="500" w:lineRule="exact"/>
        <w:outlineLvl w:val="9"/>
        <w:rPr>
          <w:rFonts w:ascii="宋体"/>
          <w:b/>
          <w:color w:val="auto"/>
          <w:sz w:val="32"/>
          <w:szCs w:val="32"/>
          <w:highlight w:val="none"/>
        </w:rPr>
        <w:sectPr>
          <w:headerReference r:id="rId3" w:type="default"/>
          <w:pgSz w:w="11906" w:h="16838"/>
          <w:pgMar w:top="1134" w:right="1134" w:bottom="1134" w:left="1134" w:header="851" w:footer="992" w:gutter="0"/>
          <w:cols w:space="720" w:num="1"/>
          <w:docGrid w:linePitch="286" w:charSpace="0"/>
        </w:sectPr>
      </w:pPr>
    </w:p>
    <w:p w14:paraId="712A8543">
      <w:pPr>
        <w:spacing w:line="500" w:lineRule="exact"/>
        <w:jc w:val="center"/>
        <w:outlineLvl w:val="9"/>
        <w:rPr>
          <w:rFonts w:ascii="宋体"/>
          <w:b/>
          <w:color w:val="auto"/>
          <w:sz w:val="28"/>
          <w:szCs w:val="28"/>
          <w:highlight w:val="none"/>
        </w:rPr>
      </w:pPr>
      <w:r>
        <w:rPr>
          <w:rFonts w:hint="eastAsia" w:ascii="宋体"/>
          <w:b/>
          <w:color w:val="auto"/>
          <w:sz w:val="28"/>
          <w:szCs w:val="28"/>
          <w:highlight w:val="none"/>
        </w:rPr>
        <w:t>目  录</w:t>
      </w:r>
    </w:p>
    <w:p w14:paraId="62B4B772">
      <w:pPr>
        <w:spacing w:line="500" w:lineRule="exact"/>
        <w:outlineLvl w:val="9"/>
        <w:rPr>
          <w:rFonts w:ascii="宋体"/>
          <w:b/>
          <w:color w:val="auto"/>
          <w:sz w:val="24"/>
          <w:szCs w:val="24"/>
          <w:highlight w:val="none"/>
        </w:rPr>
      </w:pPr>
    </w:p>
    <w:p w14:paraId="0BFD96C2">
      <w:pPr>
        <w:pStyle w:val="56"/>
        <w:tabs>
          <w:tab w:val="right" w:leader="dot" w:pos="8306"/>
        </w:tabs>
        <w:rPr>
          <w:color w:val="auto"/>
        </w:rPr>
      </w:pPr>
      <w:r>
        <w:rPr>
          <w:rFonts w:ascii="宋体"/>
          <w:b/>
          <w:color w:val="auto"/>
          <w:sz w:val="24"/>
          <w:szCs w:val="24"/>
          <w:highlight w:val="none"/>
        </w:rPr>
        <w:fldChar w:fldCharType="begin"/>
      </w:r>
      <w:r>
        <w:rPr>
          <w:rFonts w:ascii="宋体"/>
          <w:b/>
          <w:color w:val="auto"/>
          <w:sz w:val="24"/>
          <w:szCs w:val="24"/>
          <w:highlight w:val="none"/>
        </w:rPr>
        <w:instrText xml:space="preserve">TOC \o "1-3" \h \u </w:instrText>
      </w:r>
      <w:r>
        <w:rPr>
          <w:rFonts w:ascii="宋体"/>
          <w:b/>
          <w:color w:val="auto"/>
          <w:sz w:val="24"/>
          <w:szCs w:val="24"/>
          <w:highlight w:val="none"/>
        </w:rPr>
        <w:fldChar w:fldCharType="separate"/>
      </w:r>
      <w:r>
        <w:rPr>
          <w:rFonts w:ascii="宋体"/>
          <w:color w:val="auto"/>
          <w:szCs w:val="24"/>
          <w:highlight w:val="none"/>
        </w:rPr>
        <w:fldChar w:fldCharType="begin"/>
      </w:r>
      <w:r>
        <w:rPr>
          <w:rFonts w:ascii="宋体"/>
          <w:color w:val="auto"/>
          <w:szCs w:val="24"/>
          <w:highlight w:val="none"/>
        </w:rPr>
        <w:instrText xml:space="preserve"> HYPERLINK \l _Toc1742 </w:instrText>
      </w:r>
      <w:r>
        <w:rPr>
          <w:rFonts w:ascii="宋体"/>
          <w:color w:val="auto"/>
          <w:szCs w:val="24"/>
          <w:highlight w:val="none"/>
        </w:rPr>
        <w:fldChar w:fldCharType="separate"/>
      </w:r>
      <w:r>
        <w:rPr>
          <w:rFonts w:hint="eastAsia" w:ascii="宋体"/>
          <w:color w:val="auto"/>
          <w:szCs w:val="32"/>
          <w:highlight w:val="none"/>
        </w:rPr>
        <w:t xml:space="preserve">第一章  </w:t>
      </w:r>
      <w:r>
        <w:rPr>
          <w:rFonts w:hint="eastAsia" w:hAnsi="宋体"/>
          <w:bCs/>
          <w:color w:val="auto"/>
          <w:szCs w:val="32"/>
          <w:highlight w:val="none"/>
        </w:rPr>
        <w:t>竞争性磋商公告</w:t>
      </w:r>
      <w:r>
        <w:rPr>
          <w:color w:val="auto"/>
        </w:rPr>
        <w:tab/>
      </w:r>
      <w:r>
        <w:rPr>
          <w:color w:val="auto"/>
        </w:rPr>
        <w:fldChar w:fldCharType="begin"/>
      </w:r>
      <w:r>
        <w:rPr>
          <w:color w:val="auto"/>
        </w:rPr>
        <w:instrText xml:space="preserve"> PAGEREF _Toc1742 \h </w:instrText>
      </w:r>
      <w:r>
        <w:rPr>
          <w:color w:val="auto"/>
        </w:rPr>
        <w:fldChar w:fldCharType="separate"/>
      </w:r>
      <w:r>
        <w:rPr>
          <w:color w:val="auto"/>
        </w:rPr>
        <w:t>1</w:t>
      </w:r>
      <w:r>
        <w:rPr>
          <w:color w:val="auto"/>
        </w:rPr>
        <w:fldChar w:fldCharType="end"/>
      </w:r>
      <w:r>
        <w:rPr>
          <w:rFonts w:ascii="宋体"/>
          <w:color w:val="auto"/>
          <w:szCs w:val="24"/>
          <w:highlight w:val="none"/>
        </w:rPr>
        <w:fldChar w:fldCharType="end"/>
      </w:r>
    </w:p>
    <w:p w14:paraId="50EC1683">
      <w:pPr>
        <w:pStyle w:val="56"/>
        <w:tabs>
          <w:tab w:val="right" w:leader="dot" w:pos="8306"/>
        </w:tabs>
        <w:rPr>
          <w:color w:val="auto"/>
        </w:rPr>
      </w:pPr>
      <w:r>
        <w:rPr>
          <w:rFonts w:ascii="宋体"/>
          <w:color w:val="auto"/>
          <w:szCs w:val="24"/>
          <w:highlight w:val="none"/>
        </w:rPr>
        <w:fldChar w:fldCharType="begin"/>
      </w:r>
      <w:r>
        <w:rPr>
          <w:rFonts w:ascii="宋体"/>
          <w:color w:val="auto"/>
          <w:szCs w:val="24"/>
          <w:highlight w:val="none"/>
        </w:rPr>
        <w:instrText xml:space="preserve"> HYPERLINK \l _Toc17546 </w:instrText>
      </w:r>
      <w:r>
        <w:rPr>
          <w:rFonts w:ascii="宋体"/>
          <w:color w:val="auto"/>
          <w:szCs w:val="24"/>
          <w:highlight w:val="none"/>
        </w:rPr>
        <w:fldChar w:fldCharType="separate"/>
      </w:r>
      <w:r>
        <w:rPr>
          <w:rFonts w:hint="eastAsia" w:ascii="宋体"/>
          <w:color w:val="auto"/>
          <w:szCs w:val="32"/>
          <w:highlight w:val="none"/>
        </w:rPr>
        <w:t>第二章</w:t>
      </w:r>
      <w:r>
        <w:rPr>
          <w:rFonts w:hint="eastAsia" w:ascii="宋体"/>
          <w:color w:val="auto"/>
          <w:szCs w:val="32"/>
          <w:highlight w:val="none"/>
          <w:lang w:val="en-US" w:eastAsia="zh-CN"/>
        </w:rPr>
        <w:t xml:space="preserve"> </w:t>
      </w:r>
      <w:r>
        <w:rPr>
          <w:rFonts w:hint="eastAsia" w:ascii="宋体"/>
          <w:color w:val="auto"/>
          <w:szCs w:val="32"/>
          <w:highlight w:val="none"/>
        </w:rPr>
        <w:t xml:space="preserve"> 磋商须知</w:t>
      </w:r>
      <w:r>
        <w:rPr>
          <w:color w:val="auto"/>
        </w:rPr>
        <w:tab/>
      </w:r>
      <w:r>
        <w:rPr>
          <w:color w:val="auto"/>
        </w:rPr>
        <w:fldChar w:fldCharType="begin"/>
      </w:r>
      <w:r>
        <w:rPr>
          <w:color w:val="auto"/>
        </w:rPr>
        <w:instrText xml:space="preserve"> PAGEREF _Toc17546 \h </w:instrText>
      </w:r>
      <w:r>
        <w:rPr>
          <w:color w:val="auto"/>
        </w:rPr>
        <w:fldChar w:fldCharType="separate"/>
      </w:r>
      <w:r>
        <w:rPr>
          <w:color w:val="auto"/>
        </w:rPr>
        <w:t>4</w:t>
      </w:r>
      <w:r>
        <w:rPr>
          <w:color w:val="auto"/>
        </w:rPr>
        <w:fldChar w:fldCharType="end"/>
      </w:r>
      <w:r>
        <w:rPr>
          <w:rFonts w:ascii="宋体"/>
          <w:color w:val="auto"/>
          <w:szCs w:val="24"/>
          <w:highlight w:val="none"/>
        </w:rPr>
        <w:fldChar w:fldCharType="end"/>
      </w:r>
    </w:p>
    <w:p w14:paraId="7DE70250">
      <w:pPr>
        <w:pStyle w:val="56"/>
        <w:tabs>
          <w:tab w:val="right" w:leader="dot" w:pos="8306"/>
        </w:tabs>
        <w:rPr>
          <w:color w:val="auto"/>
        </w:rPr>
      </w:pPr>
      <w:r>
        <w:rPr>
          <w:rFonts w:ascii="宋体"/>
          <w:color w:val="auto"/>
          <w:szCs w:val="24"/>
          <w:highlight w:val="none"/>
        </w:rPr>
        <w:fldChar w:fldCharType="begin"/>
      </w:r>
      <w:r>
        <w:rPr>
          <w:rFonts w:ascii="宋体"/>
          <w:color w:val="auto"/>
          <w:szCs w:val="24"/>
          <w:highlight w:val="none"/>
        </w:rPr>
        <w:instrText xml:space="preserve"> HYPERLINK \l _Toc1648 </w:instrText>
      </w:r>
      <w:r>
        <w:rPr>
          <w:rFonts w:ascii="宋体"/>
          <w:color w:val="auto"/>
          <w:szCs w:val="24"/>
          <w:highlight w:val="none"/>
        </w:rPr>
        <w:fldChar w:fldCharType="separate"/>
      </w:r>
      <w:r>
        <w:rPr>
          <w:rFonts w:hint="eastAsia"/>
          <w:bCs/>
          <w:color w:val="auto"/>
          <w:szCs w:val="32"/>
          <w:highlight w:val="none"/>
        </w:rPr>
        <w:t xml:space="preserve">第三章  </w:t>
      </w:r>
      <w:r>
        <w:rPr>
          <w:bCs/>
          <w:color w:val="auto"/>
          <w:szCs w:val="32"/>
          <w:highlight w:val="none"/>
        </w:rPr>
        <w:t>评标办法（综合评估法）</w:t>
      </w:r>
      <w:r>
        <w:rPr>
          <w:color w:val="auto"/>
        </w:rPr>
        <w:tab/>
      </w:r>
      <w:r>
        <w:rPr>
          <w:color w:val="auto"/>
        </w:rPr>
        <w:fldChar w:fldCharType="begin"/>
      </w:r>
      <w:r>
        <w:rPr>
          <w:color w:val="auto"/>
        </w:rPr>
        <w:instrText xml:space="preserve"> PAGEREF _Toc1648 \h </w:instrText>
      </w:r>
      <w:r>
        <w:rPr>
          <w:color w:val="auto"/>
        </w:rPr>
        <w:fldChar w:fldCharType="separate"/>
      </w:r>
      <w:r>
        <w:rPr>
          <w:color w:val="auto"/>
        </w:rPr>
        <w:t>28</w:t>
      </w:r>
      <w:r>
        <w:rPr>
          <w:color w:val="auto"/>
        </w:rPr>
        <w:fldChar w:fldCharType="end"/>
      </w:r>
      <w:r>
        <w:rPr>
          <w:rFonts w:ascii="宋体"/>
          <w:color w:val="auto"/>
          <w:szCs w:val="24"/>
          <w:highlight w:val="none"/>
        </w:rPr>
        <w:fldChar w:fldCharType="end"/>
      </w:r>
    </w:p>
    <w:p w14:paraId="3E82D67B">
      <w:pPr>
        <w:pStyle w:val="56"/>
        <w:tabs>
          <w:tab w:val="right" w:leader="dot" w:pos="8306"/>
        </w:tabs>
        <w:rPr>
          <w:color w:val="auto"/>
        </w:rPr>
      </w:pPr>
      <w:r>
        <w:rPr>
          <w:rFonts w:ascii="宋体"/>
          <w:color w:val="auto"/>
          <w:szCs w:val="24"/>
          <w:highlight w:val="none"/>
        </w:rPr>
        <w:fldChar w:fldCharType="begin"/>
      </w:r>
      <w:r>
        <w:rPr>
          <w:rFonts w:ascii="宋体"/>
          <w:color w:val="auto"/>
          <w:szCs w:val="24"/>
          <w:highlight w:val="none"/>
        </w:rPr>
        <w:instrText xml:space="preserve"> HYPERLINK \l _Toc14877 </w:instrText>
      </w:r>
      <w:r>
        <w:rPr>
          <w:rFonts w:ascii="宋体"/>
          <w:color w:val="auto"/>
          <w:szCs w:val="24"/>
          <w:highlight w:val="none"/>
        </w:rPr>
        <w:fldChar w:fldCharType="separate"/>
      </w:r>
      <w:r>
        <w:rPr>
          <w:rFonts w:hint="eastAsia" w:cs="黑体"/>
          <w:bCs/>
          <w:color w:val="auto"/>
          <w:szCs w:val="32"/>
          <w:highlight w:val="none"/>
        </w:rPr>
        <w:t>第四章  合同格式</w:t>
      </w:r>
      <w:r>
        <w:rPr>
          <w:color w:val="auto"/>
        </w:rPr>
        <w:tab/>
      </w:r>
      <w:r>
        <w:rPr>
          <w:color w:val="auto"/>
        </w:rPr>
        <w:fldChar w:fldCharType="begin"/>
      </w:r>
      <w:r>
        <w:rPr>
          <w:color w:val="auto"/>
        </w:rPr>
        <w:instrText xml:space="preserve"> PAGEREF _Toc14877 \h </w:instrText>
      </w:r>
      <w:r>
        <w:rPr>
          <w:color w:val="auto"/>
        </w:rPr>
        <w:fldChar w:fldCharType="separate"/>
      </w:r>
      <w:r>
        <w:rPr>
          <w:color w:val="auto"/>
        </w:rPr>
        <w:t>36</w:t>
      </w:r>
      <w:r>
        <w:rPr>
          <w:color w:val="auto"/>
        </w:rPr>
        <w:fldChar w:fldCharType="end"/>
      </w:r>
      <w:r>
        <w:rPr>
          <w:rFonts w:ascii="宋体"/>
          <w:color w:val="auto"/>
          <w:szCs w:val="24"/>
          <w:highlight w:val="none"/>
        </w:rPr>
        <w:fldChar w:fldCharType="end"/>
      </w:r>
    </w:p>
    <w:p w14:paraId="36F9E3C7">
      <w:pPr>
        <w:pStyle w:val="56"/>
        <w:tabs>
          <w:tab w:val="right" w:leader="dot" w:pos="8306"/>
        </w:tabs>
        <w:rPr>
          <w:color w:val="auto"/>
        </w:rPr>
      </w:pPr>
      <w:r>
        <w:rPr>
          <w:rFonts w:ascii="宋体"/>
          <w:color w:val="auto"/>
          <w:szCs w:val="24"/>
          <w:highlight w:val="none"/>
        </w:rPr>
        <w:fldChar w:fldCharType="begin"/>
      </w:r>
      <w:r>
        <w:rPr>
          <w:rFonts w:ascii="宋体"/>
          <w:color w:val="auto"/>
          <w:szCs w:val="24"/>
          <w:highlight w:val="none"/>
        </w:rPr>
        <w:instrText xml:space="preserve"> HYPERLINK \l _Toc13032 </w:instrText>
      </w:r>
      <w:r>
        <w:rPr>
          <w:rFonts w:ascii="宋体"/>
          <w:color w:val="auto"/>
          <w:szCs w:val="24"/>
          <w:highlight w:val="none"/>
        </w:rPr>
        <w:fldChar w:fldCharType="separate"/>
      </w:r>
      <w:r>
        <w:rPr>
          <w:rFonts w:hint="eastAsia"/>
          <w:bCs/>
          <w:color w:val="auto"/>
          <w:szCs w:val="32"/>
          <w:highlight w:val="none"/>
        </w:rPr>
        <w:t>第五章</w:t>
      </w:r>
      <w:r>
        <w:rPr>
          <w:bCs/>
          <w:color w:val="auto"/>
          <w:szCs w:val="32"/>
          <w:highlight w:val="none"/>
        </w:rPr>
        <w:t xml:space="preserve"> </w:t>
      </w:r>
      <w:r>
        <w:rPr>
          <w:rFonts w:hint="eastAsia"/>
          <w:bCs/>
          <w:color w:val="auto"/>
          <w:szCs w:val="32"/>
          <w:highlight w:val="none"/>
          <w:lang w:val="en-US" w:eastAsia="zh-CN"/>
        </w:rPr>
        <w:t xml:space="preserve"> </w:t>
      </w:r>
      <w:r>
        <w:rPr>
          <w:rFonts w:hint="eastAsia"/>
          <w:bCs/>
          <w:color w:val="auto"/>
          <w:szCs w:val="32"/>
          <w:highlight w:val="none"/>
        </w:rPr>
        <w:t>响应文件格式</w:t>
      </w:r>
      <w:r>
        <w:rPr>
          <w:color w:val="auto"/>
        </w:rPr>
        <w:tab/>
      </w:r>
      <w:r>
        <w:rPr>
          <w:color w:val="auto"/>
        </w:rPr>
        <w:fldChar w:fldCharType="begin"/>
      </w:r>
      <w:r>
        <w:rPr>
          <w:color w:val="auto"/>
        </w:rPr>
        <w:instrText xml:space="preserve"> PAGEREF _Toc13032 \h </w:instrText>
      </w:r>
      <w:r>
        <w:rPr>
          <w:color w:val="auto"/>
        </w:rPr>
        <w:fldChar w:fldCharType="separate"/>
      </w:r>
      <w:r>
        <w:rPr>
          <w:color w:val="auto"/>
        </w:rPr>
        <w:t>81</w:t>
      </w:r>
      <w:r>
        <w:rPr>
          <w:color w:val="auto"/>
        </w:rPr>
        <w:fldChar w:fldCharType="end"/>
      </w:r>
      <w:r>
        <w:rPr>
          <w:rFonts w:ascii="宋体"/>
          <w:color w:val="auto"/>
          <w:szCs w:val="24"/>
          <w:highlight w:val="none"/>
        </w:rPr>
        <w:fldChar w:fldCharType="end"/>
      </w:r>
    </w:p>
    <w:p w14:paraId="7F8EA0ED">
      <w:pPr>
        <w:pStyle w:val="56"/>
        <w:tabs>
          <w:tab w:val="right" w:leader="dot" w:pos="8306"/>
        </w:tabs>
        <w:rPr>
          <w:color w:val="auto"/>
        </w:rPr>
      </w:pPr>
      <w:r>
        <w:rPr>
          <w:rFonts w:ascii="宋体"/>
          <w:color w:val="auto"/>
          <w:szCs w:val="24"/>
          <w:highlight w:val="none"/>
        </w:rPr>
        <w:fldChar w:fldCharType="begin"/>
      </w:r>
      <w:r>
        <w:rPr>
          <w:rFonts w:ascii="宋体"/>
          <w:color w:val="auto"/>
          <w:szCs w:val="24"/>
          <w:highlight w:val="none"/>
        </w:rPr>
        <w:instrText xml:space="preserve"> HYPERLINK \l _Toc19778 </w:instrText>
      </w:r>
      <w:r>
        <w:rPr>
          <w:rFonts w:ascii="宋体"/>
          <w:color w:val="auto"/>
          <w:szCs w:val="24"/>
          <w:highlight w:val="none"/>
        </w:rPr>
        <w:fldChar w:fldCharType="separate"/>
      </w:r>
      <w:r>
        <w:rPr>
          <w:rFonts w:hint="eastAsia"/>
          <w:bCs/>
          <w:color w:val="auto"/>
          <w:szCs w:val="32"/>
          <w:highlight w:val="none"/>
        </w:rPr>
        <w:t>第</w:t>
      </w:r>
      <w:r>
        <w:rPr>
          <w:rFonts w:hint="eastAsia"/>
          <w:bCs/>
          <w:color w:val="auto"/>
          <w:szCs w:val="32"/>
          <w:highlight w:val="none"/>
          <w:lang w:val="en-US" w:eastAsia="zh-CN"/>
        </w:rPr>
        <w:t>六</w:t>
      </w:r>
      <w:r>
        <w:rPr>
          <w:rFonts w:hint="eastAsia"/>
          <w:bCs/>
          <w:color w:val="auto"/>
          <w:szCs w:val="32"/>
          <w:highlight w:val="none"/>
        </w:rPr>
        <w:t>章</w:t>
      </w:r>
      <w:r>
        <w:rPr>
          <w:bCs/>
          <w:color w:val="auto"/>
          <w:szCs w:val="32"/>
          <w:highlight w:val="none"/>
        </w:rPr>
        <w:t xml:space="preserve"> </w:t>
      </w:r>
      <w:r>
        <w:rPr>
          <w:rFonts w:hint="eastAsia"/>
          <w:bCs/>
          <w:color w:val="auto"/>
          <w:szCs w:val="32"/>
          <w:highlight w:val="none"/>
          <w:lang w:val="en-US" w:eastAsia="zh-CN"/>
        </w:rPr>
        <w:t xml:space="preserve"> </w:t>
      </w:r>
      <w:r>
        <w:rPr>
          <w:rFonts w:hint="eastAsia" w:ascii="宋体" w:hAnsi="Times New Roman" w:eastAsia="宋体" w:cs="Times New Roman"/>
          <w:bCs/>
          <w:color w:val="auto"/>
          <w:szCs w:val="32"/>
          <w:highlight w:val="none"/>
          <w:lang w:val="en-US" w:eastAsia="zh-CN"/>
        </w:rPr>
        <w:t>图纸</w:t>
      </w:r>
      <w:r>
        <w:rPr>
          <w:rFonts w:hint="eastAsia" w:cs="Times New Roman"/>
          <w:bCs/>
          <w:color w:val="auto"/>
          <w:szCs w:val="32"/>
          <w:highlight w:val="none"/>
          <w:lang w:val="en-US" w:eastAsia="zh-CN"/>
        </w:rPr>
        <w:t>及工程量清单</w:t>
      </w:r>
      <w:r>
        <w:rPr>
          <w:color w:val="auto"/>
        </w:rPr>
        <w:tab/>
      </w:r>
      <w:r>
        <w:rPr>
          <w:color w:val="auto"/>
        </w:rPr>
        <w:fldChar w:fldCharType="begin"/>
      </w:r>
      <w:r>
        <w:rPr>
          <w:color w:val="auto"/>
        </w:rPr>
        <w:instrText xml:space="preserve"> PAGEREF _Toc19778 \h </w:instrText>
      </w:r>
      <w:r>
        <w:rPr>
          <w:color w:val="auto"/>
        </w:rPr>
        <w:fldChar w:fldCharType="separate"/>
      </w:r>
      <w:r>
        <w:rPr>
          <w:color w:val="auto"/>
        </w:rPr>
        <w:t>105</w:t>
      </w:r>
      <w:r>
        <w:rPr>
          <w:color w:val="auto"/>
        </w:rPr>
        <w:fldChar w:fldCharType="end"/>
      </w:r>
      <w:r>
        <w:rPr>
          <w:rFonts w:ascii="宋体"/>
          <w:color w:val="auto"/>
          <w:szCs w:val="24"/>
          <w:highlight w:val="none"/>
        </w:rPr>
        <w:fldChar w:fldCharType="end"/>
      </w:r>
    </w:p>
    <w:p w14:paraId="46BBC7CB">
      <w:pPr>
        <w:spacing w:line="500" w:lineRule="exact"/>
        <w:jc w:val="left"/>
        <w:outlineLvl w:val="9"/>
        <w:rPr>
          <w:rFonts w:ascii="宋体"/>
          <w:b/>
          <w:color w:val="auto"/>
          <w:sz w:val="24"/>
          <w:szCs w:val="24"/>
          <w:highlight w:val="none"/>
        </w:rPr>
      </w:pPr>
      <w:r>
        <w:rPr>
          <w:rFonts w:ascii="宋体"/>
          <w:color w:val="auto"/>
          <w:szCs w:val="24"/>
          <w:highlight w:val="none"/>
        </w:rPr>
        <w:fldChar w:fldCharType="end"/>
      </w:r>
    </w:p>
    <w:p w14:paraId="771F53E8">
      <w:pPr>
        <w:pStyle w:val="102"/>
        <w:outlineLvl w:val="9"/>
        <w:rPr>
          <w:rFonts w:ascii="宋体"/>
          <w:b/>
          <w:color w:val="auto"/>
          <w:sz w:val="24"/>
          <w:szCs w:val="24"/>
          <w:highlight w:val="none"/>
        </w:rPr>
      </w:pPr>
    </w:p>
    <w:p w14:paraId="5F0F65DE">
      <w:pPr>
        <w:pStyle w:val="32"/>
        <w:outlineLvl w:val="9"/>
        <w:rPr>
          <w:color w:val="auto"/>
        </w:rPr>
      </w:pPr>
    </w:p>
    <w:p w14:paraId="0C895032">
      <w:pPr>
        <w:spacing w:line="500" w:lineRule="exact"/>
        <w:jc w:val="center"/>
        <w:outlineLvl w:val="9"/>
        <w:rPr>
          <w:rFonts w:ascii="宋体"/>
          <w:b/>
          <w:color w:val="auto"/>
          <w:sz w:val="32"/>
          <w:szCs w:val="32"/>
          <w:highlight w:val="none"/>
        </w:rPr>
      </w:pPr>
    </w:p>
    <w:p w14:paraId="621063DE">
      <w:pPr>
        <w:spacing w:line="500" w:lineRule="exact"/>
        <w:jc w:val="center"/>
        <w:outlineLvl w:val="9"/>
        <w:rPr>
          <w:rFonts w:ascii="宋体"/>
          <w:b/>
          <w:color w:val="auto"/>
          <w:sz w:val="32"/>
          <w:szCs w:val="32"/>
          <w:highlight w:val="none"/>
        </w:rPr>
      </w:pPr>
    </w:p>
    <w:p w14:paraId="22DFA203">
      <w:pPr>
        <w:spacing w:line="500" w:lineRule="exact"/>
        <w:jc w:val="center"/>
        <w:outlineLvl w:val="9"/>
        <w:rPr>
          <w:rFonts w:ascii="宋体"/>
          <w:b/>
          <w:color w:val="auto"/>
          <w:sz w:val="32"/>
          <w:szCs w:val="32"/>
          <w:highlight w:val="none"/>
        </w:rPr>
      </w:pPr>
    </w:p>
    <w:p w14:paraId="7548417F">
      <w:pPr>
        <w:spacing w:line="500" w:lineRule="exact"/>
        <w:jc w:val="center"/>
        <w:outlineLvl w:val="9"/>
        <w:rPr>
          <w:rFonts w:ascii="宋体"/>
          <w:b/>
          <w:color w:val="auto"/>
          <w:sz w:val="32"/>
          <w:szCs w:val="32"/>
          <w:highlight w:val="none"/>
        </w:rPr>
      </w:pPr>
    </w:p>
    <w:p w14:paraId="0FC30C4E">
      <w:pPr>
        <w:spacing w:line="500" w:lineRule="exact"/>
        <w:jc w:val="center"/>
        <w:outlineLvl w:val="9"/>
        <w:rPr>
          <w:rFonts w:ascii="宋体"/>
          <w:b/>
          <w:color w:val="auto"/>
          <w:sz w:val="32"/>
          <w:szCs w:val="32"/>
          <w:highlight w:val="none"/>
        </w:rPr>
      </w:pPr>
    </w:p>
    <w:p w14:paraId="6FCAFD71">
      <w:pPr>
        <w:spacing w:line="500" w:lineRule="exact"/>
        <w:jc w:val="center"/>
        <w:outlineLvl w:val="9"/>
        <w:rPr>
          <w:rFonts w:ascii="宋体"/>
          <w:b/>
          <w:color w:val="auto"/>
          <w:sz w:val="32"/>
          <w:szCs w:val="32"/>
          <w:highlight w:val="none"/>
        </w:rPr>
      </w:pPr>
    </w:p>
    <w:p w14:paraId="7CE2F406">
      <w:pPr>
        <w:spacing w:line="500" w:lineRule="exact"/>
        <w:jc w:val="center"/>
        <w:outlineLvl w:val="9"/>
        <w:rPr>
          <w:rFonts w:ascii="宋体"/>
          <w:b/>
          <w:color w:val="auto"/>
          <w:sz w:val="32"/>
          <w:szCs w:val="32"/>
          <w:highlight w:val="none"/>
        </w:rPr>
      </w:pPr>
    </w:p>
    <w:p w14:paraId="36369256">
      <w:pPr>
        <w:spacing w:line="500" w:lineRule="exact"/>
        <w:jc w:val="center"/>
        <w:outlineLvl w:val="9"/>
        <w:rPr>
          <w:rFonts w:ascii="宋体"/>
          <w:b/>
          <w:color w:val="auto"/>
          <w:sz w:val="32"/>
          <w:szCs w:val="32"/>
          <w:highlight w:val="none"/>
        </w:rPr>
      </w:pPr>
    </w:p>
    <w:p w14:paraId="268D41D4">
      <w:pPr>
        <w:spacing w:line="500" w:lineRule="exact"/>
        <w:jc w:val="center"/>
        <w:outlineLvl w:val="9"/>
        <w:rPr>
          <w:rFonts w:ascii="宋体"/>
          <w:b/>
          <w:color w:val="auto"/>
          <w:sz w:val="32"/>
          <w:szCs w:val="32"/>
          <w:highlight w:val="none"/>
        </w:rPr>
      </w:pPr>
    </w:p>
    <w:p w14:paraId="74AF254D">
      <w:pPr>
        <w:spacing w:line="500" w:lineRule="exact"/>
        <w:jc w:val="center"/>
        <w:outlineLvl w:val="9"/>
        <w:rPr>
          <w:rFonts w:ascii="宋体"/>
          <w:b/>
          <w:color w:val="auto"/>
          <w:sz w:val="32"/>
          <w:szCs w:val="32"/>
          <w:highlight w:val="none"/>
        </w:rPr>
      </w:pPr>
    </w:p>
    <w:p w14:paraId="3150C22C">
      <w:pPr>
        <w:spacing w:line="500" w:lineRule="exact"/>
        <w:jc w:val="center"/>
        <w:outlineLvl w:val="9"/>
        <w:rPr>
          <w:rFonts w:ascii="宋体"/>
          <w:b/>
          <w:color w:val="auto"/>
          <w:sz w:val="32"/>
          <w:szCs w:val="32"/>
          <w:highlight w:val="none"/>
        </w:rPr>
      </w:pPr>
    </w:p>
    <w:p w14:paraId="3253A776">
      <w:pPr>
        <w:spacing w:line="500" w:lineRule="exact"/>
        <w:jc w:val="center"/>
        <w:outlineLvl w:val="9"/>
        <w:rPr>
          <w:rFonts w:ascii="宋体"/>
          <w:b/>
          <w:color w:val="auto"/>
          <w:sz w:val="32"/>
          <w:szCs w:val="32"/>
          <w:highlight w:val="none"/>
        </w:rPr>
      </w:pPr>
    </w:p>
    <w:p w14:paraId="53FFC33E">
      <w:pPr>
        <w:spacing w:line="500" w:lineRule="exact"/>
        <w:jc w:val="center"/>
        <w:outlineLvl w:val="9"/>
        <w:rPr>
          <w:rFonts w:ascii="宋体"/>
          <w:b/>
          <w:color w:val="auto"/>
          <w:sz w:val="32"/>
          <w:szCs w:val="32"/>
          <w:highlight w:val="none"/>
        </w:rPr>
      </w:pPr>
    </w:p>
    <w:p w14:paraId="2237EC9F">
      <w:pPr>
        <w:spacing w:line="500" w:lineRule="exact"/>
        <w:jc w:val="center"/>
        <w:outlineLvl w:val="9"/>
        <w:rPr>
          <w:rFonts w:ascii="宋体"/>
          <w:b/>
          <w:color w:val="auto"/>
          <w:sz w:val="32"/>
          <w:szCs w:val="32"/>
          <w:highlight w:val="none"/>
        </w:rPr>
      </w:pPr>
    </w:p>
    <w:p w14:paraId="6F928A83">
      <w:pPr>
        <w:spacing w:line="500" w:lineRule="exact"/>
        <w:jc w:val="center"/>
        <w:outlineLvl w:val="9"/>
        <w:rPr>
          <w:rFonts w:ascii="宋体"/>
          <w:b/>
          <w:color w:val="auto"/>
          <w:sz w:val="32"/>
          <w:szCs w:val="32"/>
          <w:highlight w:val="none"/>
        </w:rPr>
      </w:pPr>
    </w:p>
    <w:p w14:paraId="5256E693">
      <w:pPr>
        <w:spacing w:line="500" w:lineRule="exact"/>
        <w:jc w:val="center"/>
        <w:outlineLvl w:val="9"/>
        <w:rPr>
          <w:rFonts w:ascii="宋体"/>
          <w:b/>
          <w:color w:val="auto"/>
          <w:sz w:val="32"/>
          <w:szCs w:val="32"/>
          <w:highlight w:val="none"/>
        </w:rPr>
      </w:pPr>
    </w:p>
    <w:p w14:paraId="260F953A">
      <w:pPr>
        <w:pStyle w:val="37"/>
        <w:outlineLvl w:val="9"/>
        <w:rPr>
          <w:color w:val="auto"/>
          <w:highlight w:val="none"/>
        </w:rPr>
      </w:pPr>
    </w:p>
    <w:p w14:paraId="51F81105">
      <w:pPr>
        <w:spacing w:line="400" w:lineRule="exact"/>
        <w:outlineLvl w:val="9"/>
        <w:rPr>
          <w:rFonts w:ascii="宋体"/>
          <w:b/>
          <w:color w:val="auto"/>
          <w:sz w:val="32"/>
          <w:szCs w:val="32"/>
          <w:highlight w:val="none"/>
        </w:rPr>
      </w:pPr>
    </w:p>
    <w:p w14:paraId="6D8AAE96">
      <w:pPr>
        <w:spacing w:line="400" w:lineRule="exact"/>
        <w:outlineLvl w:val="9"/>
        <w:rPr>
          <w:rFonts w:ascii="宋体"/>
          <w:b/>
          <w:color w:val="auto"/>
          <w:sz w:val="32"/>
          <w:szCs w:val="32"/>
          <w:highlight w:val="none"/>
        </w:rPr>
      </w:pPr>
    </w:p>
    <w:p w14:paraId="3E2DB01E">
      <w:pPr>
        <w:spacing w:line="400" w:lineRule="exact"/>
        <w:jc w:val="center"/>
        <w:outlineLvl w:val="9"/>
        <w:rPr>
          <w:rFonts w:ascii="宋体"/>
          <w:b/>
          <w:color w:val="auto"/>
          <w:sz w:val="32"/>
          <w:szCs w:val="32"/>
          <w:highlight w:val="none"/>
        </w:rPr>
        <w:sectPr>
          <w:footerReference r:id="rId4" w:type="default"/>
          <w:pgSz w:w="11906" w:h="16838"/>
          <w:pgMar w:top="1440" w:right="1800" w:bottom="1440" w:left="1800" w:header="851" w:footer="992" w:gutter="0"/>
          <w:pgNumType w:start="1"/>
          <w:cols w:space="720" w:num="1"/>
          <w:docGrid w:linePitch="286" w:charSpace="0"/>
        </w:sectPr>
      </w:pPr>
    </w:p>
    <w:p w14:paraId="2672D6A8">
      <w:pPr>
        <w:spacing w:line="400" w:lineRule="exact"/>
        <w:jc w:val="center"/>
        <w:outlineLvl w:val="0"/>
        <w:rPr>
          <w:rFonts w:hAnsi="宋体"/>
          <w:b/>
          <w:bCs/>
          <w:color w:val="auto"/>
          <w:sz w:val="32"/>
          <w:szCs w:val="32"/>
          <w:highlight w:val="none"/>
        </w:rPr>
      </w:pPr>
      <w:bookmarkStart w:id="0" w:name="_Toc28414"/>
      <w:bookmarkStart w:id="1" w:name="_Toc1742"/>
      <w:r>
        <w:rPr>
          <w:rFonts w:hint="eastAsia" w:ascii="宋体"/>
          <w:b/>
          <w:color w:val="auto"/>
          <w:sz w:val="32"/>
          <w:szCs w:val="32"/>
          <w:highlight w:val="none"/>
        </w:rPr>
        <w:t xml:space="preserve">第一章  </w:t>
      </w:r>
      <w:r>
        <w:rPr>
          <w:rFonts w:hint="eastAsia" w:hAnsi="宋体"/>
          <w:b/>
          <w:bCs/>
          <w:color w:val="auto"/>
          <w:sz w:val="32"/>
          <w:szCs w:val="32"/>
          <w:highlight w:val="none"/>
        </w:rPr>
        <w:t>竞争性磋商公告</w:t>
      </w:r>
      <w:bookmarkEnd w:id="0"/>
      <w:bookmarkEnd w:id="1"/>
    </w:p>
    <w:p w14:paraId="7B2174B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hAnsi="宋体"/>
          <w:b/>
          <w:bCs/>
          <w:color w:val="auto"/>
          <w:sz w:val="32"/>
          <w:szCs w:val="32"/>
          <w:highlight w:val="none"/>
          <w:lang w:eastAsia="zh-CN"/>
        </w:rPr>
      </w:pPr>
    </w:p>
    <w:p w14:paraId="02C0111D">
      <w:pPr>
        <w:spacing w:line="400" w:lineRule="exact"/>
        <w:outlineLvl w:val="9"/>
        <w:rPr>
          <w:rFonts w:hAnsi="宋体"/>
          <w:b/>
          <w:bCs/>
          <w:color w:val="auto"/>
          <w:sz w:val="32"/>
          <w:szCs w:val="32"/>
          <w:highlight w:val="none"/>
        </w:rPr>
      </w:pP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F8D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0682" w:type="dxa"/>
          </w:tcPr>
          <w:p w14:paraId="4948FAE7">
            <w:pPr>
              <w:keepNext w:val="0"/>
              <w:keepLines w:val="0"/>
              <w:pageBreakBefore w:val="0"/>
              <w:widowControl/>
              <w:shd w:val="clear" w:color="auto"/>
              <w:tabs>
                <w:tab w:val="left" w:pos="456"/>
              </w:tabs>
              <w:kinsoku/>
              <w:wordWrap/>
              <w:overflowPunct/>
              <w:topLinePunct w:val="0"/>
              <w:autoSpaceDE/>
              <w:autoSpaceDN/>
              <w:bidi w:val="0"/>
              <w:adjustRightInd/>
              <w:snapToGrid/>
              <w:spacing w:line="360" w:lineRule="auto"/>
              <w:textAlignment w:val="auto"/>
              <w:outlineLvl w:val="9"/>
              <w:rPr>
                <w:rFonts w:ascii="Tahoma" w:hAnsi="Tahoma" w:cs="Tahoma"/>
                <w:color w:val="auto"/>
                <w:kern w:val="0"/>
                <w:sz w:val="24"/>
                <w:szCs w:val="24"/>
                <w:highlight w:val="none"/>
              </w:rPr>
            </w:pPr>
            <w:r>
              <w:rPr>
                <w:rFonts w:hint="eastAsia" w:ascii="宋体" w:hAnsi="宋体" w:cs="Tahoma"/>
                <w:color w:val="auto"/>
                <w:kern w:val="0"/>
                <w:sz w:val="24"/>
                <w:szCs w:val="24"/>
                <w:highlight w:val="none"/>
              </w:rPr>
              <w:t>项目概况</w:t>
            </w:r>
          </w:p>
          <w:p w14:paraId="0F9794DD">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textAlignment w:val="auto"/>
              <w:outlineLvl w:val="9"/>
              <w:rPr>
                <w:rFonts w:ascii="Tahoma" w:hAnsi="Tahoma" w:cs="Tahoma"/>
                <w:color w:val="auto"/>
                <w:kern w:val="0"/>
                <w:sz w:val="24"/>
                <w:szCs w:val="24"/>
                <w:highlight w:val="none"/>
              </w:rPr>
            </w:pPr>
            <w:r>
              <w:rPr>
                <w:rFonts w:hint="eastAsia" w:hAnsi="宋体" w:cs="宋体"/>
                <w:color w:val="auto"/>
                <w:sz w:val="24"/>
                <w:szCs w:val="24"/>
                <w:highlight w:val="none"/>
                <w:u w:val="single"/>
                <w:lang w:eastAsia="zh-CN"/>
              </w:rPr>
              <w:t>防城区文昌大桥亮化工程</w:t>
            </w:r>
            <w:r>
              <w:rPr>
                <w:rFonts w:hint="eastAsia" w:hAnsi="宋体" w:cs="宋体"/>
                <w:color w:val="auto"/>
                <w:sz w:val="24"/>
                <w:szCs w:val="24"/>
                <w:highlight w:val="none"/>
                <w:u w:val="single"/>
                <w:lang w:val="en-US" w:eastAsia="zh-CN"/>
              </w:rPr>
              <w:t xml:space="preserve"> </w:t>
            </w:r>
            <w:r>
              <w:rPr>
                <w:rFonts w:hint="eastAsia" w:ascii="宋体" w:hAnsi="宋体" w:cs="Tahoma"/>
                <w:color w:val="auto"/>
                <w:kern w:val="0"/>
                <w:sz w:val="24"/>
                <w:szCs w:val="24"/>
                <w:highlight w:val="none"/>
              </w:rPr>
              <w:t>采购项目的潜在供应商在</w:t>
            </w:r>
            <w:r>
              <w:rPr>
                <w:rFonts w:hint="eastAsia" w:ascii="宋体" w:hAnsi="宋体" w:cs="Tahoma"/>
                <w:color w:val="auto"/>
                <w:kern w:val="0"/>
                <w:sz w:val="24"/>
                <w:szCs w:val="24"/>
                <w:highlight w:val="none"/>
                <w:u w:val="single"/>
                <w:lang w:eastAsia="zh-CN"/>
              </w:rPr>
              <w:t>广西政府采购云</w:t>
            </w:r>
            <w:r>
              <w:rPr>
                <w:rFonts w:hint="eastAsia" w:ascii="宋体" w:hAnsi="宋体" w:cs="Tahoma"/>
                <w:color w:val="auto"/>
                <w:kern w:val="0"/>
                <w:sz w:val="24"/>
                <w:szCs w:val="24"/>
                <w:highlight w:val="none"/>
                <w:u w:val="single"/>
              </w:rPr>
              <w:t>平台</w:t>
            </w:r>
            <w:r>
              <w:rPr>
                <w:rFonts w:hint="eastAsia" w:ascii="宋体" w:hAnsi="宋体" w:cs="Tahoma"/>
                <w:color w:val="auto"/>
                <w:kern w:val="0"/>
                <w:sz w:val="24"/>
                <w:szCs w:val="24"/>
                <w:highlight w:val="none"/>
              </w:rPr>
              <w:t>获取采购文件，并于</w:t>
            </w:r>
            <w:r>
              <w:rPr>
                <w:rFonts w:hint="eastAsia" w:ascii="宋体" w:hAnsi="宋体" w:cs="Tahoma"/>
                <w:color w:val="auto"/>
                <w:kern w:val="0"/>
                <w:sz w:val="24"/>
                <w:szCs w:val="24"/>
                <w:highlight w:val="none"/>
                <w:u w:val="single"/>
              </w:rPr>
              <w:t>202</w:t>
            </w:r>
            <w:r>
              <w:rPr>
                <w:rFonts w:hint="eastAsia" w:ascii="宋体" w:hAnsi="宋体" w:cs="Tahoma"/>
                <w:color w:val="auto"/>
                <w:kern w:val="0"/>
                <w:sz w:val="24"/>
                <w:szCs w:val="24"/>
                <w:highlight w:val="none"/>
                <w:u w:val="single"/>
                <w:lang w:val="en-US" w:eastAsia="zh-CN"/>
              </w:rPr>
              <w:t>6</w:t>
            </w:r>
            <w:r>
              <w:rPr>
                <w:rFonts w:hint="eastAsia" w:ascii="宋体" w:hAnsi="宋体" w:cs="Tahoma"/>
                <w:color w:val="auto"/>
                <w:kern w:val="0"/>
                <w:sz w:val="24"/>
                <w:szCs w:val="24"/>
                <w:highlight w:val="none"/>
                <w:u w:val="single"/>
              </w:rPr>
              <w:t>年</w:t>
            </w:r>
            <w:r>
              <w:rPr>
                <w:rFonts w:hint="eastAsia" w:ascii="宋体" w:hAnsi="宋体" w:cs="Tahoma"/>
                <w:color w:val="auto"/>
                <w:kern w:val="0"/>
                <w:sz w:val="24"/>
                <w:szCs w:val="24"/>
                <w:highlight w:val="none"/>
                <w:u w:val="single"/>
                <w:lang w:val="en-US" w:eastAsia="zh-CN"/>
              </w:rPr>
              <w:t>01</w:t>
            </w:r>
            <w:r>
              <w:rPr>
                <w:rFonts w:hint="eastAsia" w:ascii="宋体" w:hAnsi="宋体" w:cs="Tahoma"/>
                <w:color w:val="auto"/>
                <w:kern w:val="0"/>
                <w:sz w:val="24"/>
                <w:szCs w:val="24"/>
                <w:highlight w:val="none"/>
                <w:u w:val="single"/>
              </w:rPr>
              <w:t>月</w:t>
            </w:r>
            <w:r>
              <w:rPr>
                <w:rFonts w:hint="eastAsia" w:ascii="宋体" w:hAnsi="宋体" w:cs="Tahoma"/>
                <w:color w:val="auto"/>
                <w:kern w:val="0"/>
                <w:sz w:val="24"/>
                <w:szCs w:val="24"/>
                <w:highlight w:val="none"/>
                <w:u w:val="single"/>
                <w:lang w:val="en-US" w:eastAsia="zh-CN"/>
              </w:rPr>
              <w:t xml:space="preserve">23 </w:t>
            </w:r>
            <w:r>
              <w:rPr>
                <w:rFonts w:hint="eastAsia" w:ascii="宋体" w:hAnsi="宋体" w:cs="Tahoma"/>
                <w:color w:val="auto"/>
                <w:kern w:val="0"/>
                <w:sz w:val="24"/>
                <w:szCs w:val="24"/>
                <w:highlight w:val="none"/>
                <w:u w:val="single"/>
              </w:rPr>
              <w:t>日</w:t>
            </w:r>
            <w:r>
              <w:rPr>
                <w:rFonts w:hint="eastAsia" w:ascii="宋体" w:hAnsi="宋体" w:cs="Tahoma"/>
                <w:color w:val="auto"/>
                <w:kern w:val="0"/>
                <w:sz w:val="24"/>
                <w:szCs w:val="24"/>
                <w:highlight w:val="none"/>
                <w:u w:val="single"/>
                <w:lang w:val="en-US" w:eastAsia="zh-CN"/>
              </w:rPr>
              <w:t>09</w:t>
            </w:r>
            <w:r>
              <w:rPr>
                <w:rFonts w:hint="eastAsia" w:ascii="宋体" w:hAnsi="宋体" w:cs="Tahoma"/>
                <w:color w:val="auto"/>
                <w:kern w:val="0"/>
                <w:sz w:val="24"/>
                <w:szCs w:val="24"/>
                <w:highlight w:val="none"/>
                <w:u w:val="single"/>
              </w:rPr>
              <w:t>点</w:t>
            </w:r>
            <w:r>
              <w:rPr>
                <w:rFonts w:hint="eastAsia" w:ascii="宋体" w:hAnsi="宋体" w:cs="Tahoma"/>
                <w:color w:val="auto"/>
                <w:kern w:val="0"/>
                <w:sz w:val="24"/>
                <w:szCs w:val="24"/>
                <w:highlight w:val="none"/>
                <w:u w:val="single"/>
                <w:lang w:val="en-US" w:eastAsia="zh-CN"/>
              </w:rPr>
              <w:t>30</w:t>
            </w:r>
            <w:r>
              <w:rPr>
                <w:rFonts w:hint="eastAsia" w:ascii="宋体" w:hAnsi="宋体" w:cs="Tahoma"/>
                <w:color w:val="auto"/>
                <w:kern w:val="0"/>
                <w:sz w:val="24"/>
                <w:szCs w:val="24"/>
                <w:highlight w:val="none"/>
                <w:u w:val="single"/>
              </w:rPr>
              <w:t>分</w:t>
            </w:r>
            <w:r>
              <w:rPr>
                <w:rFonts w:hint="eastAsia" w:ascii="宋体" w:hAnsi="宋体" w:cs="Tahoma"/>
                <w:color w:val="auto"/>
                <w:kern w:val="0"/>
                <w:sz w:val="24"/>
                <w:szCs w:val="24"/>
                <w:highlight w:val="none"/>
              </w:rPr>
              <w:t>（北京时间）前提交响应文件。</w:t>
            </w:r>
          </w:p>
        </w:tc>
      </w:tr>
    </w:tbl>
    <w:p w14:paraId="40F0F481">
      <w:pPr>
        <w:keepNext w:val="0"/>
        <w:keepLines w:val="0"/>
        <w:pageBreakBefore w:val="0"/>
        <w:kinsoku/>
        <w:wordWrap/>
        <w:overflowPunct/>
        <w:topLinePunct w:val="0"/>
        <w:autoSpaceDE/>
        <w:autoSpaceDN/>
        <w:bidi w:val="0"/>
        <w:adjustRightInd/>
        <w:snapToGrid/>
        <w:spacing w:line="360" w:lineRule="auto"/>
        <w:jc w:val="left"/>
        <w:outlineLvl w:val="9"/>
        <w:rPr>
          <w:rFonts w:ascii="宋体" w:hAnsi="宋体"/>
          <w:b/>
          <w:bCs/>
          <w:color w:val="auto"/>
          <w:sz w:val="24"/>
          <w:szCs w:val="24"/>
          <w:highlight w:val="none"/>
        </w:rPr>
      </w:pPr>
    </w:p>
    <w:p w14:paraId="205D96BD">
      <w:pPr>
        <w:keepNext w:val="0"/>
        <w:keepLines w:val="0"/>
        <w:pageBreakBefore w:val="0"/>
        <w:kinsoku/>
        <w:wordWrap/>
        <w:overflowPunct/>
        <w:topLinePunct w:val="0"/>
        <w:autoSpaceDE/>
        <w:autoSpaceDN/>
        <w:bidi w:val="0"/>
        <w:adjustRightInd/>
        <w:snapToGrid/>
        <w:spacing w:line="360" w:lineRule="auto"/>
        <w:jc w:val="left"/>
        <w:outlineLvl w:val="9"/>
        <w:rPr>
          <w:rFonts w:ascii="宋体" w:hAnsi="宋体"/>
          <w:b/>
          <w:bCs/>
          <w:color w:val="auto"/>
          <w:sz w:val="24"/>
          <w:szCs w:val="24"/>
          <w:highlight w:val="none"/>
        </w:rPr>
      </w:pPr>
      <w:r>
        <w:rPr>
          <w:rFonts w:hint="eastAsia" w:ascii="宋体" w:hAnsi="宋体"/>
          <w:b/>
          <w:bCs/>
          <w:color w:val="auto"/>
          <w:sz w:val="24"/>
          <w:szCs w:val="24"/>
          <w:highlight w:val="none"/>
        </w:rPr>
        <w:t>一、项目基本情况</w:t>
      </w:r>
    </w:p>
    <w:p w14:paraId="24B01C70">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项目编号：FCZC2026-C2-030006-GXTM</w:t>
      </w:r>
      <w:r>
        <w:rPr>
          <w:rFonts w:hint="eastAsia" w:hAnsi="宋体" w:cs="宋体"/>
          <w:color w:val="auto"/>
          <w:sz w:val="24"/>
          <w:szCs w:val="24"/>
          <w:highlight w:val="none"/>
          <w:lang w:val="en-US" w:eastAsia="zh-CN"/>
        </w:rPr>
        <w:t xml:space="preserve">  </w:t>
      </w:r>
    </w:p>
    <w:p w14:paraId="3389E9B0">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项目名称：</w:t>
      </w:r>
      <w:r>
        <w:rPr>
          <w:rFonts w:hint="eastAsia" w:hAnsi="宋体" w:cs="宋体"/>
          <w:color w:val="auto"/>
          <w:sz w:val="24"/>
          <w:szCs w:val="24"/>
          <w:highlight w:val="none"/>
          <w:lang w:eastAsia="zh-CN"/>
        </w:rPr>
        <w:t>防城区文昌大桥亮化工程</w:t>
      </w:r>
    </w:p>
    <w:p w14:paraId="293A87EA">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 xml:space="preserve">采购方式：□竞争性谈判 </w:t>
      </w:r>
      <w:r>
        <w:rPr>
          <w:rFonts w:hint="eastAsia" w:ascii="宋体" w:hAnsi="宋体"/>
          <w:color w:val="auto"/>
          <w:sz w:val="24"/>
          <w:szCs w:val="24"/>
          <w:highlight w:val="none"/>
        </w:rPr>
        <w:sym w:font="Wingdings 2" w:char="0052"/>
      </w:r>
      <w:r>
        <w:rPr>
          <w:rFonts w:hint="eastAsia" w:ascii="宋体" w:hAnsi="宋体"/>
          <w:color w:val="auto"/>
          <w:sz w:val="24"/>
          <w:szCs w:val="24"/>
          <w:highlight w:val="none"/>
        </w:rPr>
        <w:t>竞争性磋商 □询价</w:t>
      </w:r>
    </w:p>
    <w:p w14:paraId="0B799EC1">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color w:val="auto"/>
          <w:sz w:val="24"/>
          <w:szCs w:val="24"/>
          <w:highlight w:val="none"/>
          <w:lang w:eastAsia="zh-CN"/>
        </w:rPr>
      </w:pPr>
      <w:r>
        <w:rPr>
          <w:rFonts w:hint="eastAsia" w:ascii="宋体" w:hAnsi="宋体"/>
          <w:color w:val="auto"/>
          <w:sz w:val="24"/>
          <w:szCs w:val="24"/>
          <w:highlight w:val="none"/>
        </w:rPr>
        <w:t>预算金额：</w:t>
      </w:r>
      <w:r>
        <w:rPr>
          <w:rFonts w:hint="eastAsia" w:ascii="宋体" w:hAnsi="宋体"/>
          <w:color w:val="auto"/>
          <w:sz w:val="24"/>
          <w:szCs w:val="24"/>
          <w:highlight w:val="none"/>
          <w:lang w:val="en-US" w:eastAsia="zh-CN"/>
        </w:rPr>
        <w:t>人民币陆拾肆万壹仟捌佰伍拾元玖角柒分</w:t>
      </w:r>
      <w:r>
        <w:rPr>
          <w:rFonts w:hint="eastAsia" w:ascii="宋体" w:hAnsi="宋体"/>
          <w:color w:val="auto"/>
          <w:sz w:val="24"/>
          <w:szCs w:val="24"/>
          <w:highlight w:val="none"/>
          <w:lang w:eastAsia="zh-CN"/>
        </w:rPr>
        <w:t>（</w:t>
      </w:r>
      <w:r>
        <w:rPr>
          <w:rFonts w:hint="default" w:ascii="宋体" w:hAnsi="宋体"/>
          <w:color w:val="auto"/>
          <w:sz w:val="24"/>
          <w:szCs w:val="24"/>
          <w:highlight w:val="none"/>
          <w:lang w:eastAsia="zh-CN"/>
        </w:rPr>
        <w:t>¥641850.97</w:t>
      </w:r>
      <w:r>
        <w:rPr>
          <w:rFonts w:hint="eastAsia" w:ascii="宋体" w:hAnsi="宋体"/>
          <w:color w:val="auto"/>
          <w:sz w:val="24"/>
          <w:szCs w:val="24"/>
          <w:highlight w:val="none"/>
          <w:lang w:eastAsia="zh-CN"/>
        </w:rPr>
        <w:t>）</w:t>
      </w:r>
    </w:p>
    <w:p w14:paraId="51E111BB">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最高限价：</w:t>
      </w:r>
      <w:r>
        <w:rPr>
          <w:rFonts w:hint="eastAsia" w:ascii="宋体" w:hAnsi="宋体"/>
          <w:color w:val="auto"/>
          <w:sz w:val="24"/>
          <w:szCs w:val="24"/>
          <w:highlight w:val="none"/>
          <w:lang w:val="en-US" w:eastAsia="zh-CN"/>
        </w:rPr>
        <w:t>人民币陆拾肆万壹仟捌佰伍拾元玖角柒分</w:t>
      </w:r>
      <w:r>
        <w:rPr>
          <w:rFonts w:hint="eastAsia" w:ascii="宋体" w:hAnsi="宋体"/>
          <w:color w:val="auto"/>
          <w:sz w:val="24"/>
          <w:szCs w:val="24"/>
          <w:highlight w:val="none"/>
          <w:lang w:eastAsia="zh-CN"/>
        </w:rPr>
        <w:t>（</w:t>
      </w:r>
      <w:r>
        <w:rPr>
          <w:rFonts w:hint="default" w:ascii="宋体" w:hAnsi="宋体"/>
          <w:color w:val="auto"/>
          <w:sz w:val="24"/>
          <w:szCs w:val="24"/>
          <w:highlight w:val="none"/>
          <w:lang w:eastAsia="zh-CN"/>
        </w:rPr>
        <w:t>¥641850.97</w:t>
      </w:r>
      <w:r>
        <w:rPr>
          <w:rFonts w:hint="eastAsia" w:ascii="宋体" w:hAnsi="宋体"/>
          <w:color w:val="auto"/>
          <w:sz w:val="24"/>
          <w:szCs w:val="24"/>
          <w:highlight w:val="none"/>
          <w:lang w:eastAsia="zh-CN"/>
        </w:rPr>
        <w:t>）</w:t>
      </w:r>
    </w:p>
    <w:p w14:paraId="7D9B20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color w:val="auto"/>
          <w:sz w:val="24"/>
          <w:szCs w:val="24"/>
          <w:highlight w:val="none"/>
          <w:lang w:eastAsia="zh-CN"/>
        </w:rPr>
      </w:pPr>
      <w:r>
        <w:rPr>
          <w:rFonts w:hint="eastAsia" w:ascii="宋体" w:hAnsi="宋体"/>
          <w:color w:val="auto"/>
          <w:sz w:val="24"/>
          <w:szCs w:val="24"/>
          <w:highlight w:val="none"/>
        </w:rPr>
        <w:t>采购需求：</w:t>
      </w:r>
      <w:r>
        <w:rPr>
          <w:rFonts w:hint="eastAsia" w:ascii="宋体" w:hAnsi="宋体"/>
          <w:color w:val="auto"/>
          <w:sz w:val="24"/>
          <w:szCs w:val="24"/>
          <w:highlight w:val="none"/>
          <w:lang w:eastAsia="zh-CN"/>
        </w:rPr>
        <w:t>防城区文昌大桥亮化工程，主要内容为桥上洗墙灯1252套、开关电源230个、主控器1台、分控器16台、电缆、配电箱等相关内容，具体详见施工设计图纸</w:t>
      </w:r>
      <w:r>
        <w:rPr>
          <w:rFonts w:hint="eastAsia" w:ascii="宋体" w:hAnsi="宋体"/>
          <w:color w:val="auto"/>
          <w:sz w:val="24"/>
          <w:szCs w:val="24"/>
          <w:highlight w:val="none"/>
          <w:lang w:val="en-US" w:eastAsia="zh-CN"/>
        </w:rPr>
        <w:t>和工程量清单</w:t>
      </w:r>
      <w:r>
        <w:rPr>
          <w:rFonts w:hint="eastAsia" w:ascii="宋体" w:hAnsi="宋体" w:eastAsia="宋体"/>
          <w:color w:val="auto"/>
          <w:sz w:val="24"/>
          <w:szCs w:val="24"/>
          <w:highlight w:val="none"/>
          <w:lang w:eastAsia="zh-CN"/>
        </w:rPr>
        <w:t>。</w:t>
      </w:r>
    </w:p>
    <w:p w14:paraId="266A4FFB">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合同履行期限：</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日历天</w:t>
      </w:r>
    </w:p>
    <w:p w14:paraId="52D1F33D">
      <w:pPr>
        <w:pStyle w:val="32"/>
        <w:keepNext w:val="0"/>
        <w:keepLines w:val="0"/>
        <w:pageBreakBefore w:val="0"/>
        <w:kinsoku/>
        <w:wordWrap/>
        <w:overflowPunct/>
        <w:topLinePunct w:val="0"/>
        <w:autoSpaceDE/>
        <w:autoSpaceDN/>
        <w:bidi w:val="0"/>
        <w:adjustRightInd/>
        <w:snapToGrid/>
        <w:spacing w:after="0" w:line="360" w:lineRule="auto"/>
        <w:outlineLvl w:val="9"/>
        <w:rPr>
          <w:rFonts w:ascii="宋体" w:hAnsi="宋体"/>
          <w:color w:val="auto"/>
          <w:sz w:val="24"/>
          <w:szCs w:val="24"/>
          <w:highlight w:val="none"/>
        </w:rPr>
      </w:pPr>
      <w:r>
        <w:rPr>
          <w:rFonts w:hint="eastAsia" w:ascii="宋体" w:hAnsi="宋体"/>
          <w:color w:val="auto"/>
          <w:sz w:val="24"/>
          <w:szCs w:val="24"/>
          <w:highlight w:val="none"/>
        </w:rPr>
        <w:t xml:space="preserve">    本项目不接受联合体。</w:t>
      </w:r>
    </w:p>
    <w:p w14:paraId="562BAB70">
      <w:pPr>
        <w:keepNext w:val="0"/>
        <w:keepLines w:val="0"/>
        <w:pageBreakBefore w:val="0"/>
        <w:kinsoku/>
        <w:wordWrap/>
        <w:overflowPunct/>
        <w:topLinePunct w:val="0"/>
        <w:autoSpaceDE/>
        <w:autoSpaceDN/>
        <w:bidi w:val="0"/>
        <w:adjustRightInd/>
        <w:snapToGrid/>
        <w:spacing w:line="360" w:lineRule="auto"/>
        <w:jc w:val="left"/>
        <w:outlineLvl w:val="9"/>
        <w:rPr>
          <w:rFonts w:ascii="宋体" w:hAnsi="宋体"/>
          <w:b/>
          <w:bCs/>
          <w:color w:val="auto"/>
          <w:sz w:val="24"/>
          <w:szCs w:val="24"/>
          <w:highlight w:val="none"/>
        </w:rPr>
      </w:pPr>
      <w:r>
        <w:rPr>
          <w:rFonts w:hint="eastAsia" w:ascii="宋体" w:hAnsi="宋体"/>
          <w:b/>
          <w:bCs/>
          <w:color w:val="auto"/>
          <w:sz w:val="24"/>
          <w:szCs w:val="24"/>
          <w:highlight w:val="none"/>
        </w:rPr>
        <w:t>二、申请人的资格要求：</w:t>
      </w:r>
    </w:p>
    <w:p w14:paraId="6C40B948">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1.满足《中华人民共和国政府采购法》第二十二条规定；</w:t>
      </w:r>
    </w:p>
    <w:p w14:paraId="38D2C6CB">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hint="eastAsia" w:ascii="宋体" w:hAnsi="宋体" w:cs="Times New Roman"/>
          <w:color w:val="auto"/>
          <w:sz w:val="24"/>
          <w:szCs w:val="24"/>
          <w:highlight w:val="none"/>
        </w:rPr>
      </w:pPr>
      <w:r>
        <w:rPr>
          <w:rFonts w:hint="eastAsia" w:ascii="宋体" w:hAnsi="宋体"/>
          <w:color w:val="auto"/>
          <w:sz w:val="24"/>
          <w:szCs w:val="24"/>
          <w:highlight w:val="none"/>
        </w:rPr>
        <w:t>2.落实政府采</w:t>
      </w:r>
      <w:r>
        <w:rPr>
          <w:rFonts w:hint="eastAsia" w:ascii="宋体" w:hAnsi="宋体" w:cs="Times New Roman"/>
          <w:color w:val="auto"/>
          <w:sz w:val="24"/>
          <w:szCs w:val="24"/>
          <w:highlight w:val="none"/>
        </w:rPr>
        <w:t>购政策需满足的资格要求：分标1：供应商为中小企业/小微企业。</w:t>
      </w:r>
    </w:p>
    <w:p w14:paraId="0A44DE65">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3.本项目的特定资格要求：</w:t>
      </w:r>
    </w:p>
    <w:p w14:paraId="2B4AC1DF">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宋体"/>
          <w:color w:val="auto"/>
          <w:sz w:val="24"/>
          <w:szCs w:val="24"/>
          <w:lang w:val="en-US" w:eastAsia="zh-CN"/>
        </w:rPr>
        <w:t>供应商具备</w:t>
      </w:r>
      <w:r>
        <w:rPr>
          <w:rFonts w:hint="eastAsia" w:ascii="宋体" w:hAnsi="宋体" w:eastAsia="宋体" w:cs="Times New Roman"/>
          <w:color w:val="auto"/>
          <w:sz w:val="24"/>
          <w:szCs w:val="24"/>
          <w:highlight w:val="none"/>
          <w:lang w:val="en-US" w:eastAsia="zh-CN"/>
        </w:rPr>
        <w:t>[市政公用工程施工总承包三级](含)以上或者[城市及道路照明工程专业承包三级](含)以上资质，并在人员、设备、资金等方面具备相应的施工能力</w:t>
      </w:r>
      <w:r>
        <w:rPr>
          <w:rFonts w:hint="eastAsia" w:ascii="宋体" w:hAnsi="宋体" w:eastAsia="宋体" w:cs="Times New Roman"/>
          <w:color w:val="auto"/>
          <w:sz w:val="24"/>
          <w:szCs w:val="24"/>
          <w:highlight w:val="none"/>
          <w:lang w:val="en-US"/>
        </w:rPr>
        <w:t>；</w:t>
      </w:r>
    </w:p>
    <w:p w14:paraId="029906A8">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rPr>
        <w:t>（2）</w:t>
      </w:r>
      <w:r>
        <w:rPr>
          <w:rFonts w:hint="eastAsia" w:ascii="宋体" w:hAnsi="宋体" w:eastAsia="宋体" w:cs="Times New Roman"/>
          <w:color w:val="auto"/>
          <w:sz w:val="24"/>
          <w:szCs w:val="24"/>
          <w:highlight w:val="none"/>
          <w:lang w:val="en-US" w:eastAsia="zh-CN"/>
        </w:rPr>
        <w:t>项目经理具备</w:t>
      </w:r>
      <w:r>
        <w:rPr>
          <w:rFonts w:hint="eastAsia" w:ascii="宋体" w:hAnsi="宋体" w:eastAsia="宋体" w:cs="Times New Roman"/>
          <w:color w:val="auto"/>
          <w:sz w:val="24"/>
          <w:szCs w:val="24"/>
          <w:highlight w:val="none"/>
          <w:lang w:val="en-US"/>
        </w:rPr>
        <w:t>市政公用工程专业</w:t>
      </w:r>
      <w:r>
        <w:rPr>
          <w:rFonts w:hint="eastAsia" w:ascii="宋体" w:hAnsi="宋体" w:eastAsia="宋体" w:cs="Times New Roman"/>
          <w:color w:val="auto"/>
          <w:sz w:val="24"/>
          <w:szCs w:val="24"/>
          <w:highlight w:val="none"/>
          <w:lang w:val="en-US" w:eastAsia="zh-CN"/>
        </w:rPr>
        <w:t>二级及以上</w:t>
      </w:r>
      <w:r>
        <w:rPr>
          <w:rFonts w:hint="eastAsia" w:ascii="宋体" w:hAnsi="宋体" w:eastAsia="宋体" w:cs="Times New Roman"/>
          <w:color w:val="auto"/>
          <w:sz w:val="24"/>
          <w:szCs w:val="24"/>
          <w:highlight w:val="none"/>
          <w:lang w:val="en-US"/>
        </w:rPr>
        <w:t>注册建造师</w:t>
      </w:r>
      <w:r>
        <w:rPr>
          <w:rFonts w:hint="eastAsia" w:ascii="宋体" w:hAnsi="宋体" w:eastAsia="宋体" w:cs="Times New Roman"/>
          <w:color w:val="auto"/>
          <w:sz w:val="24"/>
          <w:szCs w:val="24"/>
          <w:highlight w:val="none"/>
          <w:lang w:val="en-US" w:eastAsia="zh-CN"/>
        </w:rPr>
        <w:t>执业资格</w:t>
      </w:r>
      <w:r>
        <w:rPr>
          <w:rFonts w:hint="eastAsia" w:ascii="宋体" w:hAnsi="宋体" w:eastAsia="宋体" w:cs="Times New Roman"/>
          <w:color w:val="auto"/>
          <w:sz w:val="24"/>
          <w:szCs w:val="24"/>
          <w:highlight w:val="none"/>
          <w:lang w:val="en-US"/>
        </w:rPr>
        <w:t>和有效的安全生产考核合格证书（B类）。</w:t>
      </w:r>
      <w:r>
        <w:rPr>
          <w:rFonts w:hint="eastAsia" w:ascii="宋体" w:hAnsi="宋体" w:eastAsia="宋体" w:cs="Times New Roman"/>
          <w:color w:val="auto"/>
          <w:sz w:val="24"/>
          <w:szCs w:val="24"/>
          <w:highlight w:val="none"/>
          <w:lang w:val="en-US" w:eastAsia="zh-CN"/>
        </w:rPr>
        <w:t>本项目不接受有在建、已中标未开工或已列为其他项目中标候选人第一名的建造师作为项目经理（符合《广西壮族自治区建筑市场诚信卡管理暂行办法》第十六条第一款及桂建管﹝2016﹞70号、桂建管〔2019〕26号和桂建管〔2020〕11号文除外）。</w:t>
      </w:r>
    </w:p>
    <w:p w14:paraId="1ED251DA">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CC36C32">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p w14:paraId="43789558">
      <w:pPr>
        <w:keepNext w:val="0"/>
        <w:keepLines w:val="0"/>
        <w:pageBreakBefore w:val="0"/>
        <w:kinsoku/>
        <w:wordWrap/>
        <w:overflowPunct/>
        <w:topLinePunct w:val="0"/>
        <w:autoSpaceDE/>
        <w:autoSpaceDN/>
        <w:bidi w:val="0"/>
        <w:adjustRightInd/>
        <w:snapToGrid/>
        <w:spacing w:line="360" w:lineRule="auto"/>
        <w:jc w:val="left"/>
        <w:outlineLvl w:val="9"/>
        <w:rPr>
          <w:rFonts w:ascii="宋体" w:hAnsi="宋体"/>
          <w:b/>
          <w:bCs/>
          <w:color w:val="auto"/>
          <w:sz w:val="24"/>
          <w:szCs w:val="24"/>
          <w:highlight w:val="none"/>
        </w:rPr>
      </w:pPr>
      <w:r>
        <w:rPr>
          <w:rFonts w:hint="eastAsia" w:ascii="宋体" w:hAnsi="宋体"/>
          <w:b/>
          <w:bCs/>
          <w:color w:val="auto"/>
          <w:sz w:val="24"/>
          <w:szCs w:val="24"/>
          <w:highlight w:val="none"/>
        </w:rPr>
        <w:t>三、获取采购文件</w:t>
      </w:r>
    </w:p>
    <w:p w14:paraId="0A28157C">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01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12 </w:t>
      </w:r>
      <w:r>
        <w:rPr>
          <w:rFonts w:hint="eastAsia" w:ascii="宋体" w:hAnsi="宋体"/>
          <w:color w:val="auto"/>
          <w:sz w:val="24"/>
          <w:szCs w:val="24"/>
          <w:highlight w:val="none"/>
        </w:rPr>
        <w:t>日至202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01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19 </w:t>
      </w:r>
      <w:r>
        <w:rPr>
          <w:rFonts w:hint="eastAsia" w:ascii="宋体" w:hAnsi="宋体"/>
          <w:color w:val="auto"/>
          <w:sz w:val="24"/>
          <w:szCs w:val="24"/>
          <w:highlight w:val="none"/>
        </w:rPr>
        <w:t>日，每天上午8时00分至12时00分，下午15时00分至18时00分（北京时间，法定节假日除外）</w:t>
      </w:r>
    </w:p>
    <w:p w14:paraId="72FEA18B">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地点：</w:t>
      </w:r>
      <w:r>
        <w:rPr>
          <w:rFonts w:hint="eastAsia" w:ascii="宋体" w:hAnsi="宋体"/>
          <w:color w:val="auto"/>
          <w:sz w:val="24"/>
          <w:szCs w:val="24"/>
          <w:highlight w:val="none"/>
          <w:lang w:eastAsia="zh-CN"/>
        </w:rPr>
        <w:t>广西政府采购云</w:t>
      </w:r>
      <w:r>
        <w:rPr>
          <w:rFonts w:hint="eastAsia" w:ascii="宋体" w:hAnsi="宋体"/>
          <w:color w:val="auto"/>
          <w:sz w:val="24"/>
          <w:szCs w:val="24"/>
          <w:highlight w:val="none"/>
        </w:rPr>
        <w:t>平台</w:t>
      </w:r>
      <w:r>
        <w:rPr>
          <w:rFonts w:hint="eastAsia" w:ascii="宋体" w:hAnsi="宋体"/>
          <w:color w:val="auto"/>
          <w:sz w:val="24"/>
          <w:szCs w:val="24"/>
          <w:highlight w:val="none"/>
          <w:lang w:eastAsia="zh-CN"/>
        </w:rPr>
        <w:t>线上获取</w:t>
      </w:r>
    </w:p>
    <w:p w14:paraId="0D2D6342">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bCs/>
          <w:color w:val="auto"/>
          <w:sz w:val="24"/>
          <w:szCs w:val="24"/>
          <w:highlight w:val="none"/>
        </w:rPr>
      </w:pPr>
      <w:r>
        <w:rPr>
          <w:rFonts w:hint="eastAsia" w:ascii="宋体" w:hAnsi="宋体"/>
          <w:color w:val="auto"/>
          <w:sz w:val="24"/>
          <w:szCs w:val="24"/>
          <w:highlight w:val="none"/>
          <w:lang w:eastAsia="zh-CN"/>
        </w:rPr>
        <w:t>方式：供应商登录广西政府采购云平台在线申请获取采购文件（进入“项目采购”应用，在获取采购文件菜单中选择项目，申请获取采购文件）</w:t>
      </w:r>
    </w:p>
    <w:p w14:paraId="268F788F">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售价：0元。</w:t>
      </w:r>
    </w:p>
    <w:p w14:paraId="3AE3FD82">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9"/>
        <w:rPr>
          <w:rFonts w:ascii="宋体" w:hAnsi="宋体" w:cs="宋体"/>
          <w:b/>
          <w:color w:val="auto"/>
          <w:sz w:val="24"/>
          <w:szCs w:val="24"/>
          <w:highlight w:val="none"/>
        </w:rPr>
      </w:pPr>
      <w:r>
        <w:rPr>
          <w:rFonts w:hint="eastAsia" w:ascii="宋体" w:hAnsi="宋体" w:cs="宋体"/>
          <w:b/>
          <w:color w:val="auto"/>
          <w:sz w:val="24"/>
          <w:szCs w:val="24"/>
          <w:highlight w:val="none"/>
        </w:rPr>
        <w:t>四、响应文件提交</w:t>
      </w:r>
    </w:p>
    <w:p w14:paraId="0B88936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截止时间：</w:t>
      </w:r>
      <w:r>
        <w:rPr>
          <w:rFonts w:hint="eastAsia" w:ascii="宋体"/>
          <w:color w:val="auto"/>
          <w:sz w:val="24"/>
          <w:szCs w:val="24"/>
          <w:highlight w:val="none"/>
          <w:lang w:val="en-US" w:eastAsia="zh-CN"/>
        </w:rPr>
        <w:t>2026</w:t>
      </w:r>
      <w:r>
        <w:rPr>
          <w:rFonts w:hint="eastAsia" w:ascii="宋体"/>
          <w:color w:val="auto"/>
          <w:sz w:val="24"/>
          <w:szCs w:val="24"/>
          <w:highlight w:val="none"/>
        </w:rPr>
        <w:t>年</w:t>
      </w:r>
      <w:r>
        <w:rPr>
          <w:rFonts w:hint="eastAsia" w:ascii="宋体"/>
          <w:color w:val="auto"/>
          <w:sz w:val="24"/>
          <w:szCs w:val="24"/>
          <w:highlight w:val="none"/>
          <w:lang w:val="en-US" w:eastAsia="zh-CN"/>
        </w:rPr>
        <w:t>01</w:t>
      </w:r>
      <w:r>
        <w:rPr>
          <w:rFonts w:hint="eastAsia" w:ascii="宋体"/>
          <w:color w:val="auto"/>
          <w:sz w:val="24"/>
          <w:szCs w:val="24"/>
          <w:highlight w:val="none"/>
        </w:rPr>
        <w:t>月</w:t>
      </w:r>
      <w:r>
        <w:rPr>
          <w:rFonts w:hint="eastAsia" w:ascii="宋体"/>
          <w:color w:val="auto"/>
          <w:sz w:val="24"/>
          <w:szCs w:val="24"/>
          <w:highlight w:val="none"/>
          <w:lang w:val="en-US" w:eastAsia="zh-CN"/>
        </w:rPr>
        <w:t>23</w:t>
      </w:r>
      <w:r>
        <w:rPr>
          <w:rFonts w:hint="eastAsia" w:ascii="宋体"/>
          <w:color w:val="auto"/>
          <w:sz w:val="24"/>
          <w:szCs w:val="24"/>
          <w:highlight w:val="none"/>
        </w:rPr>
        <w:t>日</w:t>
      </w:r>
      <w:r>
        <w:rPr>
          <w:rFonts w:hint="eastAsia" w:ascii="宋体"/>
          <w:color w:val="auto"/>
          <w:sz w:val="24"/>
          <w:szCs w:val="24"/>
          <w:highlight w:val="none"/>
          <w:lang w:val="en-US" w:eastAsia="zh-CN"/>
        </w:rPr>
        <w:t xml:space="preserve">09 </w:t>
      </w:r>
      <w:r>
        <w:rPr>
          <w:rFonts w:hint="eastAsia" w:ascii="宋体"/>
          <w:color w:val="auto"/>
          <w:sz w:val="24"/>
          <w:szCs w:val="24"/>
          <w:highlight w:val="none"/>
        </w:rPr>
        <w:t>点</w:t>
      </w:r>
      <w:r>
        <w:rPr>
          <w:rFonts w:hint="eastAsia" w:ascii="宋体"/>
          <w:color w:val="auto"/>
          <w:sz w:val="24"/>
          <w:szCs w:val="24"/>
          <w:highlight w:val="none"/>
          <w:lang w:val="en-US" w:eastAsia="zh-CN"/>
        </w:rPr>
        <w:t>30</w:t>
      </w:r>
      <w:r>
        <w:rPr>
          <w:rFonts w:hint="eastAsia" w:ascii="宋体"/>
          <w:color w:val="auto"/>
          <w:sz w:val="24"/>
          <w:szCs w:val="24"/>
          <w:highlight w:val="none"/>
        </w:rPr>
        <w:t>分</w:t>
      </w:r>
      <w:r>
        <w:rPr>
          <w:rFonts w:hint="eastAsia" w:ascii="宋体" w:hAnsi="宋体" w:cs="宋体"/>
          <w:bCs/>
          <w:color w:val="auto"/>
          <w:sz w:val="24"/>
          <w:szCs w:val="24"/>
          <w:highlight w:val="none"/>
        </w:rPr>
        <w:t>（北京时间）</w:t>
      </w:r>
    </w:p>
    <w:p w14:paraId="622DA5A8">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outlineLvl w:val="9"/>
        <w:rPr>
          <w:rFonts w:ascii="宋体" w:hAnsi="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 xml:space="preserve">地点：请登录广西政府采购云平台投标客户端竞标 </w:t>
      </w:r>
      <w:r>
        <w:rPr>
          <w:rFonts w:hint="eastAsia" w:ascii="宋体" w:hAnsi="宋体" w:cs="宋体"/>
          <w:bCs/>
          <w:color w:val="auto"/>
          <w:sz w:val="24"/>
          <w:szCs w:val="24"/>
          <w:highlight w:val="none"/>
        </w:rPr>
        <w:t xml:space="preserve">                           </w:t>
      </w:r>
    </w:p>
    <w:p w14:paraId="42D1C507">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9"/>
        <w:rPr>
          <w:rFonts w:ascii="宋体" w:hAnsi="宋体" w:cs="宋体"/>
          <w:b/>
          <w:color w:val="auto"/>
          <w:sz w:val="24"/>
          <w:szCs w:val="24"/>
          <w:highlight w:val="none"/>
        </w:rPr>
      </w:pPr>
      <w:r>
        <w:rPr>
          <w:rFonts w:hint="eastAsia" w:ascii="宋体" w:hAnsi="宋体" w:cs="宋体"/>
          <w:b/>
          <w:color w:val="auto"/>
          <w:sz w:val="24"/>
          <w:szCs w:val="24"/>
          <w:highlight w:val="none"/>
        </w:rPr>
        <w:t>五、开启</w:t>
      </w:r>
    </w:p>
    <w:p w14:paraId="196BACF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时间：</w:t>
      </w:r>
      <w:r>
        <w:rPr>
          <w:rFonts w:hint="eastAsia" w:ascii="宋体"/>
          <w:color w:val="auto"/>
          <w:sz w:val="24"/>
          <w:szCs w:val="24"/>
          <w:highlight w:val="none"/>
          <w:lang w:val="en-US" w:eastAsia="zh-CN"/>
        </w:rPr>
        <w:t xml:space="preserve">2026 </w:t>
      </w:r>
      <w:r>
        <w:rPr>
          <w:rFonts w:hint="eastAsia" w:ascii="宋体"/>
          <w:color w:val="auto"/>
          <w:sz w:val="24"/>
          <w:szCs w:val="24"/>
          <w:highlight w:val="none"/>
        </w:rPr>
        <w:t>年</w:t>
      </w:r>
      <w:r>
        <w:rPr>
          <w:rFonts w:hint="eastAsia" w:ascii="宋体"/>
          <w:color w:val="auto"/>
          <w:sz w:val="24"/>
          <w:szCs w:val="24"/>
          <w:highlight w:val="none"/>
          <w:lang w:val="en-US" w:eastAsia="zh-CN"/>
        </w:rPr>
        <w:t>01</w:t>
      </w:r>
      <w:r>
        <w:rPr>
          <w:rFonts w:hint="eastAsia" w:ascii="宋体"/>
          <w:color w:val="auto"/>
          <w:sz w:val="24"/>
          <w:szCs w:val="24"/>
          <w:highlight w:val="none"/>
        </w:rPr>
        <w:t>月</w:t>
      </w:r>
      <w:r>
        <w:rPr>
          <w:rFonts w:hint="eastAsia" w:ascii="宋体"/>
          <w:color w:val="auto"/>
          <w:sz w:val="24"/>
          <w:szCs w:val="24"/>
          <w:highlight w:val="none"/>
          <w:lang w:val="en-US" w:eastAsia="zh-CN"/>
        </w:rPr>
        <w:t>23</w:t>
      </w:r>
      <w:r>
        <w:rPr>
          <w:rFonts w:hint="eastAsia" w:ascii="宋体"/>
          <w:color w:val="auto"/>
          <w:sz w:val="24"/>
          <w:szCs w:val="24"/>
          <w:highlight w:val="none"/>
        </w:rPr>
        <w:t>日</w:t>
      </w:r>
      <w:r>
        <w:rPr>
          <w:rFonts w:hint="eastAsia" w:ascii="宋体"/>
          <w:color w:val="auto"/>
          <w:sz w:val="24"/>
          <w:szCs w:val="24"/>
          <w:highlight w:val="none"/>
          <w:lang w:val="en-US" w:eastAsia="zh-CN"/>
        </w:rPr>
        <w:t xml:space="preserve">09 </w:t>
      </w:r>
      <w:r>
        <w:rPr>
          <w:rFonts w:hint="eastAsia" w:ascii="宋体"/>
          <w:color w:val="auto"/>
          <w:sz w:val="24"/>
          <w:szCs w:val="24"/>
          <w:highlight w:val="none"/>
        </w:rPr>
        <w:t>点</w:t>
      </w:r>
      <w:r>
        <w:rPr>
          <w:rFonts w:hint="eastAsia" w:ascii="宋体"/>
          <w:color w:val="auto"/>
          <w:sz w:val="24"/>
          <w:szCs w:val="24"/>
          <w:highlight w:val="none"/>
          <w:lang w:val="en-US" w:eastAsia="zh-CN"/>
        </w:rPr>
        <w:t>30</w:t>
      </w:r>
      <w:r>
        <w:rPr>
          <w:rFonts w:hint="eastAsia" w:ascii="宋体"/>
          <w:color w:val="auto"/>
          <w:sz w:val="24"/>
          <w:szCs w:val="24"/>
          <w:highlight w:val="none"/>
        </w:rPr>
        <w:t>分</w:t>
      </w:r>
      <w:r>
        <w:rPr>
          <w:rFonts w:hint="eastAsia" w:ascii="宋体" w:hAnsi="宋体" w:cs="宋体"/>
          <w:bCs/>
          <w:color w:val="auto"/>
          <w:sz w:val="24"/>
          <w:szCs w:val="24"/>
          <w:highlight w:val="none"/>
        </w:rPr>
        <w:t>（北京时间）</w:t>
      </w:r>
    </w:p>
    <w:p w14:paraId="5944695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9"/>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地点：</w:t>
      </w:r>
      <w:r>
        <w:rPr>
          <w:rFonts w:hint="eastAsia" w:ascii="宋体" w:hAnsi="宋体" w:eastAsia="宋体" w:cs="宋体"/>
          <w:bCs/>
          <w:color w:val="auto"/>
          <w:sz w:val="24"/>
          <w:szCs w:val="24"/>
          <w:highlight w:val="none"/>
        </w:rPr>
        <w:t>广西壮族自治区防城港市开标室</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政府采购开标室</w:t>
      </w:r>
      <w:r>
        <w:rPr>
          <w:rFonts w:hint="eastAsia" w:ascii="宋体" w:hAnsi="宋体" w:cs="宋体"/>
          <w:bCs/>
          <w:color w:val="auto"/>
          <w:sz w:val="24"/>
          <w:szCs w:val="24"/>
          <w:highlight w:val="none"/>
          <w:lang w:val="en-US" w:eastAsia="zh-CN"/>
        </w:rPr>
        <w:t>3</w:t>
      </w:r>
    </w:p>
    <w:p w14:paraId="15A743AF">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9"/>
        <w:rPr>
          <w:rFonts w:ascii="宋体" w:hAnsi="宋体" w:cs="宋体"/>
          <w:b/>
          <w:color w:val="auto"/>
          <w:sz w:val="24"/>
          <w:szCs w:val="24"/>
          <w:highlight w:val="none"/>
        </w:rPr>
      </w:pPr>
      <w:r>
        <w:rPr>
          <w:rFonts w:hint="eastAsia" w:ascii="宋体" w:hAnsi="宋体" w:cs="宋体"/>
          <w:b/>
          <w:color w:val="auto"/>
          <w:sz w:val="24"/>
          <w:szCs w:val="24"/>
          <w:highlight w:val="none"/>
        </w:rPr>
        <w:t>六、公告期限</w:t>
      </w:r>
    </w:p>
    <w:p w14:paraId="25A2E93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个工作日。</w:t>
      </w:r>
    </w:p>
    <w:p w14:paraId="6264EDAF">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9"/>
        <w:rPr>
          <w:rFonts w:ascii="宋体" w:hAnsi="宋体" w:cs="宋体"/>
          <w:b/>
          <w:color w:val="auto"/>
          <w:sz w:val="24"/>
          <w:szCs w:val="24"/>
          <w:highlight w:val="none"/>
        </w:rPr>
      </w:pPr>
      <w:r>
        <w:rPr>
          <w:rFonts w:hint="eastAsia" w:ascii="宋体" w:hAnsi="宋体" w:cs="宋体"/>
          <w:b/>
          <w:color w:val="auto"/>
          <w:sz w:val="24"/>
          <w:szCs w:val="24"/>
          <w:highlight w:val="none"/>
        </w:rPr>
        <w:t>七、其他补充事宜</w:t>
      </w:r>
    </w:p>
    <w:p w14:paraId="0E83F5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Times New Roman"/>
          <w:color w:val="auto"/>
          <w:sz w:val="24"/>
          <w:szCs w:val="24"/>
          <w:highlight w:val="none"/>
          <w:lang w:eastAsia="zh-CN"/>
        </w:rPr>
      </w:pPr>
      <w:r>
        <w:rPr>
          <w:rFonts w:hint="eastAsia" w:ascii="宋体" w:hAnsi="宋体" w:cs="宋体"/>
          <w:color w:val="auto"/>
          <w:kern w:val="0"/>
          <w:sz w:val="24"/>
          <w:szCs w:val="24"/>
          <w:highlight w:val="none"/>
        </w:rPr>
        <w:t>1.网上查询地</w:t>
      </w:r>
      <w:r>
        <w:rPr>
          <w:rFonts w:hint="eastAsia" w:ascii="宋体" w:hAnsi="宋体" w:eastAsia="宋体" w:cs="Times New Roman"/>
          <w:color w:val="auto"/>
          <w:sz w:val="24"/>
          <w:szCs w:val="24"/>
          <w:highlight w:val="none"/>
          <w:lang w:eastAsia="zh-CN"/>
        </w:rPr>
        <w:t>址：中国政府采购网、广西壮族自治区政府采购网、全国公共资源交易平台（广西·防城港）。</w:t>
      </w:r>
    </w:p>
    <w:p w14:paraId="3F00D4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2.本项目需要落实的政府采购政策：</w:t>
      </w:r>
    </w:p>
    <w:p w14:paraId="5E9ECD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（1）政府采购促进中小企业发展。</w:t>
      </w:r>
    </w:p>
    <w:p w14:paraId="50F794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（2）政府采购支持采用本国产品的政策。</w:t>
      </w:r>
    </w:p>
    <w:p w14:paraId="1C361F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（3）强制采购节能产品；优先采购节能产品、环境标志产品。</w:t>
      </w:r>
    </w:p>
    <w:p w14:paraId="0994DD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（4）政府采购促进残疾人就业政策。</w:t>
      </w:r>
    </w:p>
    <w:p w14:paraId="689110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（5）政府采购支持监狱企业发展。</w:t>
      </w:r>
    </w:p>
    <w:p w14:paraId="65DF89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磋商保证金：无。</w:t>
      </w:r>
    </w:p>
    <w:p w14:paraId="2D2939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监督部门：防城港市防城区政府采购中心       </w:t>
      </w:r>
    </w:p>
    <w:p w14:paraId="5131AB2C">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outlineLvl w:val="9"/>
        <w:rPr>
          <w:rFonts w:hint="default" w:ascii="宋体" w:hAnsi="宋体" w:eastAsia="宋体" w:cs="宋体"/>
          <w:color w:val="auto"/>
          <w:sz w:val="24"/>
          <w:szCs w:val="24"/>
          <w:highlight w:val="none"/>
          <w:lang w:val="en-US" w:eastAsia="zh-CN"/>
        </w:rPr>
      </w:pPr>
      <w:r>
        <w:rPr>
          <w:rFonts w:hint="eastAsia" w:ascii="宋体" w:hAnsi="宋体" w:eastAsia="宋体" w:cs="Times New Roman"/>
          <w:color w:val="auto"/>
          <w:sz w:val="24"/>
          <w:szCs w:val="24"/>
          <w:highlight w:val="none"/>
          <w:lang w:eastAsia="zh-CN"/>
        </w:rPr>
        <w:t>电话：0770-2213681</w:t>
      </w:r>
    </w:p>
    <w:p w14:paraId="3227E1AC">
      <w:pPr>
        <w:keepNext w:val="0"/>
        <w:keepLines w:val="0"/>
        <w:pageBreakBefore w:val="0"/>
        <w:kinsoku/>
        <w:wordWrap/>
        <w:overflowPunct/>
        <w:topLinePunct w:val="0"/>
        <w:autoSpaceDE/>
        <w:autoSpaceDN/>
        <w:bidi w:val="0"/>
        <w:adjustRightInd/>
        <w:snapToGrid/>
        <w:spacing w:line="360" w:lineRule="auto"/>
        <w:jc w:val="left"/>
        <w:outlineLvl w:val="9"/>
        <w:rPr>
          <w:rFonts w:ascii="宋体" w:hAnsi="宋体"/>
          <w:color w:val="auto"/>
          <w:sz w:val="24"/>
          <w:szCs w:val="24"/>
          <w:highlight w:val="none"/>
        </w:rPr>
      </w:pPr>
      <w:r>
        <w:rPr>
          <w:rFonts w:hint="eastAsia" w:ascii="宋体" w:hAnsi="宋体"/>
          <w:b/>
          <w:bCs/>
          <w:color w:val="auto"/>
          <w:sz w:val="24"/>
          <w:szCs w:val="24"/>
          <w:highlight w:val="none"/>
        </w:rPr>
        <w:t>八</w:t>
      </w:r>
      <w:r>
        <w:rPr>
          <w:rFonts w:hint="eastAsia" w:ascii="宋体" w:hAnsi="宋体"/>
          <w:color w:val="auto"/>
          <w:sz w:val="24"/>
          <w:szCs w:val="24"/>
          <w:highlight w:val="none"/>
        </w:rPr>
        <w:t>、</w:t>
      </w:r>
      <w:r>
        <w:rPr>
          <w:rStyle w:val="747"/>
          <w:rFonts w:hint="eastAsia" w:ascii="宋体" w:hAnsi="宋体" w:cs="宋体"/>
          <w:b/>
          <w:color w:val="auto"/>
          <w:sz w:val="24"/>
          <w:szCs w:val="24"/>
          <w:highlight w:val="none"/>
        </w:rPr>
        <w:t>对本次采购提出询问，请按以下方式联系</w:t>
      </w:r>
      <w:r>
        <w:rPr>
          <w:rFonts w:hint="eastAsia" w:ascii="宋体" w:hAnsi="宋体"/>
          <w:color w:val="auto"/>
          <w:sz w:val="24"/>
          <w:szCs w:val="24"/>
          <w:highlight w:val="none"/>
        </w:rPr>
        <w:t>。</w:t>
      </w:r>
    </w:p>
    <w:p w14:paraId="2CCE1EA1">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1.采购人信息</w:t>
      </w:r>
    </w:p>
    <w:p w14:paraId="584B0920">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称：</w:t>
      </w:r>
      <w:r>
        <w:rPr>
          <w:rFonts w:hint="eastAsia" w:ascii="宋体" w:hAnsi="宋体"/>
          <w:color w:val="auto"/>
          <w:sz w:val="24"/>
          <w:szCs w:val="24"/>
          <w:highlight w:val="none"/>
          <w:lang w:eastAsia="zh-CN"/>
        </w:rPr>
        <w:t>防城港市防城区住房和城乡建设局</w:t>
      </w:r>
    </w:p>
    <w:p w14:paraId="709E5762">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hint="eastAsia" w:ascii="宋体" w:hAnsi="宋体"/>
          <w:color w:val="auto"/>
          <w:sz w:val="24"/>
          <w:szCs w:val="24"/>
          <w:highlight w:val="none"/>
          <w:lang w:eastAsia="zh-CN"/>
        </w:rPr>
      </w:pPr>
      <w:r>
        <w:rPr>
          <w:rFonts w:hint="eastAsia" w:ascii="宋体" w:hAnsi="宋体"/>
          <w:color w:val="auto"/>
          <w:sz w:val="24"/>
          <w:szCs w:val="24"/>
          <w:highlight w:val="none"/>
        </w:rPr>
        <w:t>地</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址：</w:t>
      </w:r>
      <w:r>
        <w:rPr>
          <w:rFonts w:hint="eastAsia" w:ascii="宋体" w:hAnsi="宋体"/>
          <w:color w:val="auto"/>
          <w:sz w:val="24"/>
          <w:szCs w:val="24"/>
          <w:highlight w:val="none"/>
          <w:lang w:eastAsia="zh-CN"/>
        </w:rPr>
        <w:t xml:space="preserve">防城港市防城区人民路202号 </w:t>
      </w:r>
    </w:p>
    <w:p w14:paraId="1970B512">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hint="eastAsia" w:ascii="宋体" w:hAnsi="宋体"/>
          <w:color w:val="auto"/>
          <w:sz w:val="24"/>
          <w:szCs w:val="24"/>
          <w:highlight w:val="none"/>
          <w:lang w:eastAsia="zh-CN"/>
        </w:rPr>
      </w:pPr>
      <w:r>
        <w:rPr>
          <w:rFonts w:hint="eastAsia" w:ascii="宋体" w:hAnsi="宋体" w:cs="Times New Roman"/>
          <w:color w:val="auto"/>
          <w:sz w:val="24"/>
          <w:szCs w:val="24"/>
          <w:highlight w:val="none"/>
        </w:rPr>
        <w:t>联系方式：</w:t>
      </w:r>
      <w:r>
        <w:rPr>
          <w:rFonts w:hint="eastAsia" w:ascii="宋体" w:hAnsi="宋体" w:cs="宋体"/>
          <w:color w:val="auto"/>
          <w:sz w:val="24"/>
          <w:szCs w:val="24"/>
          <w:highlight w:val="none"/>
          <w:lang w:eastAsia="zh-CN"/>
        </w:rPr>
        <w:t>唐国宇，</w:t>
      </w:r>
      <w:r>
        <w:rPr>
          <w:rFonts w:hint="eastAsia" w:ascii="宋体" w:hAnsi="宋体"/>
          <w:color w:val="auto"/>
          <w:sz w:val="24"/>
          <w:szCs w:val="24"/>
          <w:highlight w:val="none"/>
          <w:lang w:eastAsia="zh-CN"/>
        </w:rPr>
        <w:t xml:space="preserve">0770-3252359 </w:t>
      </w:r>
    </w:p>
    <w:p w14:paraId="58875699">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2.采购代理机构信息</w:t>
      </w:r>
    </w:p>
    <w:p w14:paraId="3C3A7EFD">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名  称：广西天明建筑咨询有限公司</w:t>
      </w:r>
    </w:p>
    <w:p w14:paraId="7FB40FFE">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  址：</w:t>
      </w:r>
      <w:r>
        <w:rPr>
          <w:rFonts w:hint="eastAsia" w:ascii="宋体" w:hAnsi="宋体"/>
          <w:color w:val="auto"/>
          <w:sz w:val="24"/>
          <w:szCs w:val="24"/>
          <w:highlight w:val="none"/>
          <w:lang w:eastAsia="zh-CN"/>
        </w:rPr>
        <w:t>防城港市防城区防城镇城南区十一号地块内1栋301、302号</w:t>
      </w:r>
    </w:p>
    <w:p w14:paraId="4550B874">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联系方式：0770-3283899</w:t>
      </w:r>
    </w:p>
    <w:p w14:paraId="225C83FF">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jc w:val="left"/>
        <w:outlineLvl w:val="9"/>
        <w:rPr>
          <w:rFonts w:ascii="宋体" w:hAnsi="宋体" w:cs="宋体"/>
          <w:color w:val="auto"/>
          <w:sz w:val="24"/>
          <w:szCs w:val="24"/>
          <w:highlight w:val="none"/>
        </w:rPr>
      </w:pPr>
      <w:bookmarkStart w:id="2" w:name="_Toc35393808"/>
      <w:bookmarkStart w:id="3" w:name="_Toc35393639"/>
      <w:bookmarkStart w:id="4" w:name="_Toc28359098"/>
      <w:bookmarkStart w:id="5" w:name="_Toc28359021"/>
      <w:r>
        <w:rPr>
          <w:rFonts w:hint="eastAsia" w:ascii="宋体" w:hAnsi="宋体" w:cs="宋体"/>
          <w:color w:val="auto"/>
          <w:sz w:val="24"/>
          <w:szCs w:val="24"/>
          <w:highlight w:val="none"/>
        </w:rPr>
        <w:t>3.项目联系方式</w:t>
      </w:r>
      <w:bookmarkEnd w:id="2"/>
      <w:bookmarkEnd w:id="3"/>
      <w:bookmarkEnd w:id="4"/>
      <w:bookmarkEnd w:id="5"/>
      <w:bookmarkStart w:id="1897" w:name="_GoBack"/>
      <w:bookmarkEnd w:id="1897"/>
    </w:p>
    <w:p w14:paraId="59B31994">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项目联系人：</w:t>
      </w:r>
      <w:r>
        <w:rPr>
          <w:rFonts w:hint="eastAsia" w:ascii="宋体" w:hAnsi="宋体" w:cs="宋体"/>
          <w:color w:val="auto"/>
          <w:sz w:val="24"/>
          <w:szCs w:val="24"/>
          <w:highlight w:val="none"/>
          <w:lang w:eastAsia="zh-CN"/>
        </w:rPr>
        <w:t>韦慧</w:t>
      </w:r>
    </w:p>
    <w:p w14:paraId="558E0C5F">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电　话：0770-3283899    </w:t>
      </w:r>
    </w:p>
    <w:p w14:paraId="1864625F">
      <w:pPr>
        <w:pStyle w:val="32"/>
        <w:keepNext w:val="0"/>
        <w:keepLines w:val="0"/>
        <w:pageBreakBefore w:val="0"/>
        <w:kinsoku/>
        <w:wordWrap/>
        <w:overflowPunct/>
        <w:topLinePunct w:val="0"/>
        <w:autoSpaceDE/>
        <w:autoSpaceDN/>
        <w:bidi w:val="0"/>
        <w:adjustRightInd/>
        <w:snapToGrid/>
        <w:spacing w:after="0" w:line="360" w:lineRule="auto"/>
        <w:outlineLvl w:val="9"/>
        <w:rPr>
          <w:rFonts w:ascii="宋体" w:hAnsi="宋体"/>
          <w:color w:val="auto"/>
          <w:sz w:val="24"/>
          <w:szCs w:val="24"/>
          <w:highlight w:val="none"/>
        </w:rPr>
      </w:pPr>
    </w:p>
    <w:p w14:paraId="4AB5070E">
      <w:pPr>
        <w:pStyle w:val="70"/>
        <w:keepNext w:val="0"/>
        <w:keepLines w:val="0"/>
        <w:pageBreakBefore w:val="0"/>
        <w:kinsoku/>
        <w:wordWrap/>
        <w:overflowPunct/>
        <w:topLinePunct w:val="0"/>
        <w:autoSpaceDE/>
        <w:autoSpaceDN/>
        <w:bidi w:val="0"/>
        <w:adjustRightInd/>
        <w:snapToGrid/>
        <w:spacing w:line="360" w:lineRule="auto"/>
        <w:outlineLvl w:val="9"/>
        <w:rPr>
          <w:color w:val="auto"/>
          <w:sz w:val="24"/>
          <w:szCs w:val="24"/>
        </w:rPr>
      </w:pPr>
    </w:p>
    <w:p w14:paraId="24747FA8">
      <w:pPr>
        <w:pStyle w:val="32"/>
        <w:keepNext w:val="0"/>
        <w:keepLines w:val="0"/>
        <w:pageBreakBefore w:val="0"/>
        <w:kinsoku/>
        <w:wordWrap/>
        <w:overflowPunct/>
        <w:topLinePunct w:val="0"/>
        <w:autoSpaceDE/>
        <w:autoSpaceDN/>
        <w:bidi w:val="0"/>
        <w:adjustRightInd/>
        <w:snapToGrid/>
        <w:spacing w:after="0" w:line="360" w:lineRule="auto"/>
        <w:ind w:firstLine="4800" w:firstLineChars="2000"/>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采购人：</w:t>
      </w:r>
      <w:r>
        <w:rPr>
          <w:rFonts w:hint="eastAsia" w:ascii="宋体" w:hAnsi="宋体"/>
          <w:color w:val="auto"/>
          <w:sz w:val="24"/>
          <w:szCs w:val="24"/>
          <w:highlight w:val="none"/>
          <w:lang w:eastAsia="zh-CN"/>
        </w:rPr>
        <w:t>防城港市防城区住房和城乡建设局</w:t>
      </w:r>
    </w:p>
    <w:p w14:paraId="39E85F27">
      <w:pPr>
        <w:keepNext w:val="0"/>
        <w:keepLines w:val="0"/>
        <w:pageBreakBefore w:val="0"/>
        <w:kinsoku/>
        <w:wordWrap/>
        <w:overflowPunct/>
        <w:topLinePunct w:val="0"/>
        <w:autoSpaceDE/>
        <w:autoSpaceDN/>
        <w:bidi w:val="0"/>
        <w:adjustRightInd/>
        <w:snapToGrid/>
        <w:spacing w:line="360" w:lineRule="auto"/>
        <w:ind w:firstLine="4800" w:firstLineChars="2000"/>
        <w:jc w:val="left"/>
        <w:outlineLvl w:val="9"/>
        <w:rPr>
          <w:color w:val="auto"/>
          <w:sz w:val="24"/>
          <w:szCs w:val="24"/>
          <w:highlight w:val="none"/>
        </w:rPr>
      </w:pPr>
      <w:r>
        <w:rPr>
          <w:rFonts w:hint="eastAsia" w:ascii="宋体" w:hAnsi="宋体"/>
          <w:color w:val="auto"/>
          <w:sz w:val="24"/>
          <w:szCs w:val="24"/>
          <w:highlight w:val="none"/>
        </w:rPr>
        <w:t>采购代理机构：广西天明建筑咨询有限公司</w:t>
      </w:r>
    </w:p>
    <w:p w14:paraId="50CEEDA0">
      <w:pPr>
        <w:keepNext w:val="0"/>
        <w:keepLines w:val="0"/>
        <w:pageBreakBefore w:val="0"/>
        <w:kinsoku/>
        <w:wordWrap/>
        <w:overflowPunct/>
        <w:topLinePunct w:val="0"/>
        <w:autoSpaceDE/>
        <w:autoSpaceDN/>
        <w:bidi w:val="0"/>
        <w:adjustRightInd/>
        <w:snapToGrid/>
        <w:spacing w:line="360" w:lineRule="auto"/>
        <w:ind w:firstLine="5040" w:firstLineChars="2100"/>
        <w:jc w:val="left"/>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01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日</w:t>
      </w:r>
    </w:p>
    <w:p w14:paraId="6BC68AE9">
      <w:pPr>
        <w:spacing w:line="300" w:lineRule="exact"/>
        <w:ind w:firstLine="420" w:firstLineChars="200"/>
        <w:jc w:val="left"/>
        <w:outlineLvl w:val="9"/>
        <w:rPr>
          <w:rFonts w:ascii="宋体" w:hAnsi="宋体"/>
          <w:color w:val="auto"/>
          <w:szCs w:val="21"/>
          <w:highlight w:val="none"/>
        </w:rPr>
      </w:pPr>
    </w:p>
    <w:p w14:paraId="072465A7">
      <w:pPr>
        <w:pStyle w:val="102"/>
        <w:outlineLvl w:val="9"/>
        <w:rPr>
          <w:rFonts w:ascii="宋体" w:hAnsi="宋体"/>
          <w:color w:val="auto"/>
          <w:szCs w:val="21"/>
          <w:highlight w:val="none"/>
        </w:rPr>
      </w:pPr>
    </w:p>
    <w:p w14:paraId="5A2DB1B9">
      <w:pPr>
        <w:pStyle w:val="32"/>
        <w:outlineLvl w:val="9"/>
        <w:rPr>
          <w:rFonts w:ascii="宋体" w:hAnsi="宋体"/>
          <w:color w:val="auto"/>
          <w:szCs w:val="21"/>
          <w:highlight w:val="none"/>
        </w:rPr>
      </w:pPr>
    </w:p>
    <w:p w14:paraId="1919555A">
      <w:pPr>
        <w:pStyle w:val="70"/>
        <w:outlineLvl w:val="9"/>
        <w:rPr>
          <w:rFonts w:ascii="宋体" w:hAnsi="宋体"/>
          <w:color w:val="auto"/>
          <w:szCs w:val="21"/>
          <w:highlight w:val="none"/>
        </w:rPr>
      </w:pPr>
    </w:p>
    <w:p w14:paraId="5912F434">
      <w:pPr>
        <w:outlineLvl w:val="9"/>
        <w:rPr>
          <w:rFonts w:ascii="宋体" w:hAnsi="宋体"/>
          <w:color w:val="auto"/>
          <w:szCs w:val="21"/>
          <w:highlight w:val="none"/>
        </w:rPr>
      </w:pPr>
    </w:p>
    <w:p w14:paraId="50409619">
      <w:pPr>
        <w:pStyle w:val="102"/>
        <w:outlineLvl w:val="9"/>
        <w:rPr>
          <w:rFonts w:ascii="宋体" w:hAnsi="宋体"/>
          <w:color w:val="auto"/>
          <w:szCs w:val="21"/>
          <w:highlight w:val="none"/>
        </w:rPr>
      </w:pPr>
    </w:p>
    <w:p w14:paraId="3E98721B">
      <w:pPr>
        <w:pStyle w:val="32"/>
        <w:outlineLvl w:val="9"/>
        <w:rPr>
          <w:rFonts w:ascii="宋体" w:hAnsi="宋体"/>
          <w:color w:val="auto"/>
          <w:szCs w:val="21"/>
          <w:highlight w:val="none"/>
        </w:rPr>
      </w:pPr>
    </w:p>
    <w:p w14:paraId="363AA119">
      <w:pPr>
        <w:pStyle w:val="70"/>
        <w:outlineLvl w:val="9"/>
        <w:rPr>
          <w:rFonts w:ascii="宋体" w:hAnsi="宋体"/>
          <w:color w:val="auto"/>
          <w:szCs w:val="21"/>
          <w:highlight w:val="none"/>
        </w:rPr>
      </w:pPr>
    </w:p>
    <w:p w14:paraId="7036ACC2">
      <w:pPr>
        <w:outlineLvl w:val="9"/>
        <w:rPr>
          <w:rFonts w:ascii="宋体" w:hAnsi="宋体"/>
          <w:color w:val="auto"/>
          <w:szCs w:val="21"/>
          <w:highlight w:val="none"/>
        </w:rPr>
      </w:pPr>
    </w:p>
    <w:p w14:paraId="3575A084">
      <w:pPr>
        <w:pStyle w:val="102"/>
        <w:outlineLvl w:val="9"/>
        <w:rPr>
          <w:rFonts w:ascii="宋体" w:hAnsi="宋体"/>
          <w:color w:val="auto"/>
          <w:szCs w:val="21"/>
          <w:highlight w:val="none"/>
        </w:rPr>
      </w:pPr>
    </w:p>
    <w:p w14:paraId="7B8B78B6">
      <w:pPr>
        <w:outlineLvl w:val="9"/>
        <w:rPr>
          <w:rFonts w:ascii="宋体" w:hAnsi="宋体"/>
          <w:color w:val="auto"/>
          <w:szCs w:val="21"/>
          <w:highlight w:val="none"/>
        </w:rPr>
      </w:pPr>
      <w:r>
        <w:rPr>
          <w:rFonts w:ascii="宋体" w:hAnsi="宋体"/>
          <w:color w:val="auto"/>
          <w:szCs w:val="21"/>
          <w:highlight w:val="none"/>
        </w:rPr>
        <w:br w:type="page"/>
      </w:r>
    </w:p>
    <w:p w14:paraId="401416F0">
      <w:pPr>
        <w:spacing w:line="400" w:lineRule="exact"/>
        <w:jc w:val="center"/>
        <w:outlineLvl w:val="0"/>
        <w:rPr>
          <w:rFonts w:ascii="宋体"/>
          <w:b/>
          <w:color w:val="auto"/>
          <w:sz w:val="32"/>
          <w:szCs w:val="32"/>
          <w:highlight w:val="none"/>
        </w:rPr>
      </w:pPr>
      <w:bookmarkStart w:id="6" w:name="_Toc18778"/>
      <w:bookmarkStart w:id="7" w:name="_Toc17546"/>
      <w:r>
        <w:rPr>
          <w:rFonts w:hint="eastAsia" w:ascii="宋体"/>
          <w:b/>
          <w:color w:val="auto"/>
          <w:sz w:val="32"/>
          <w:szCs w:val="32"/>
          <w:highlight w:val="none"/>
        </w:rPr>
        <w:t>第二章</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磋商须知</w:t>
      </w:r>
      <w:bookmarkEnd w:id="6"/>
      <w:bookmarkEnd w:id="7"/>
    </w:p>
    <w:p w14:paraId="2B05A8AD">
      <w:pPr>
        <w:spacing w:line="500" w:lineRule="exact"/>
        <w:jc w:val="center"/>
        <w:outlineLvl w:val="9"/>
        <w:rPr>
          <w:rFonts w:ascii="宋体"/>
          <w:b/>
          <w:color w:val="auto"/>
          <w:sz w:val="32"/>
          <w:szCs w:val="32"/>
          <w:highlight w:val="none"/>
        </w:rPr>
      </w:pPr>
      <w:r>
        <w:rPr>
          <w:rFonts w:hint="eastAsia" w:ascii="宋体"/>
          <w:b/>
          <w:color w:val="auto"/>
          <w:sz w:val="32"/>
          <w:szCs w:val="32"/>
          <w:highlight w:val="none"/>
        </w:rPr>
        <w:t>供应商须知前附表</w:t>
      </w:r>
    </w:p>
    <w:tbl>
      <w:tblPr>
        <w:tblStyle w:val="84"/>
        <w:tblW w:w="9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2028"/>
        <w:gridCol w:w="7032"/>
      </w:tblGrid>
      <w:tr w14:paraId="6DDAD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27211EBF">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序号</w:t>
            </w:r>
          </w:p>
        </w:tc>
        <w:tc>
          <w:tcPr>
            <w:tcW w:w="2028" w:type="dxa"/>
            <w:tcBorders>
              <w:top w:val="single" w:color="000000" w:sz="4" w:space="0"/>
              <w:left w:val="single" w:color="000000" w:sz="4" w:space="0"/>
              <w:bottom w:val="single" w:color="000000" w:sz="4" w:space="0"/>
              <w:right w:val="single" w:color="000000" w:sz="4" w:space="0"/>
            </w:tcBorders>
            <w:vAlign w:val="center"/>
          </w:tcPr>
          <w:p w14:paraId="3451A9DE">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cs="宋体"/>
                <w:b/>
                <w:bCs/>
                <w:color w:val="auto"/>
                <w:sz w:val="24"/>
                <w:szCs w:val="24"/>
                <w:highlight w:val="none"/>
              </w:rPr>
              <w:t>说明名称</w:t>
            </w:r>
          </w:p>
        </w:tc>
        <w:tc>
          <w:tcPr>
            <w:tcW w:w="7032" w:type="dxa"/>
            <w:tcBorders>
              <w:top w:val="single" w:color="000000" w:sz="4" w:space="0"/>
              <w:left w:val="single" w:color="000000" w:sz="4" w:space="0"/>
              <w:bottom w:val="single" w:color="000000" w:sz="4" w:space="0"/>
              <w:right w:val="single" w:color="000000" w:sz="4" w:space="0"/>
            </w:tcBorders>
            <w:vAlign w:val="center"/>
          </w:tcPr>
          <w:p w14:paraId="2DAA7314">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内容与要求</w:t>
            </w:r>
          </w:p>
        </w:tc>
      </w:tr>
      <w:tr w14:paraId="1488B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80" w:type="dxa"/>
            <w:tcBorders>
              <w:top w:val="single" w:color="000000" w:sz="4" w:space="0"/>
              <w:left w:val="single" w:color="000000" w:sz="4" w:space="0"/>
              <w:right w:val="single" w:color="000000" w:sz="4" w:space="0"/>
            </w:tcBorders>
            <w:vAlign w:val="center"/>
          </w:tcPr>
          <w:p w14:paraId="1D855D97">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1</w:t>
            </w:r>
          </w:p>
        </w:tc>
        <w:tc>
          <w:tcPr>
            <w:tcW w:w="2028" w:type="dxa"/>
            <w:tcBorders>
              <w:top w:val="single" w:color="000000" w:sz="4" w:space="0"/>
              <w:left w:val="single" w:color="000000" w:sz="4" w:space="0"/>
              <w:bottom w:val="single" w:color="000000" w:sz="4" w:space="0"/>
              <w:right w:val="single" w:color="000000" w:sz="4" w:space="0"/>
            </w:tcBorders>
            <w:vAlign w:val="center"/>
          </w:tcPr>
          <w:p w14:paraId="3E2AA849">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项目名称及编号</w:t>
            </w:r>
          </w:p>
        </w:tc>
        <w:tc>
          <w:tcPr>
            <w:tcW w:w="7032" w:type="dxa"/>
            <w:tcBorders>
              <w:top w:val="single" w:color="000000" w:sz="4" w:space="0"/>
              <w:left w:val="single" w:color="000000" w:sz="4" w:space="0"/>
              <w:bottom w:val="single" w:color="000000" w:sz="4" w:space="0"/>
              <w:right w:val="single" w:color="000000" w:sz="4" w:space="0"/>
            </w:tcBorders>
            <w:vAlign w:val="center"/>
          </w:tcPr>
          <w:p w14:paraId="71A8D3A9">
            <w:pPr>
              <w:keepNext w:val="0"/>
              <w:keepLines w:val="0"/>
              <w:pageBreakBefore w:val="0"/>
              <w:kinsoku/>
              <w:wordWrap/>
              <w:overflowPunct/>
              <w:topLinePunct w:val="0"/>
              <w:bidi w:val="0"/>
              <w:adjustRightInd/>
              <w:spacing w:line="360" w:lineRule="auto"/>
              <w:outlineLvl w:val="9"/>
              <w:rPr>
                <w:rFonts w:hint="eastAsia" w:ascii="宋体" w:eastAsia="宋体"/>
                <w:color w:val="auto"/>
                <w:sz w:val="24"/>
                <w:szCs w:val="24"/>
                <w:highlight w:val="none"/>
                <w:lang w:eastAsia="zh-CN"/>
              </w:rPr>
            </w:pPr>
            <w:r>
              <w:rPr>
                <w:rFonts w:hint="eastAsia" w:ascii="宋体"/>
                <w:color w:val="auto"/>
                <w:sz w:val="24"/>
                <w:szCs w:val="24"/>
                <w:highlight w:val="none"/>
              </w:rPr>
              <w:t>项目名称：</w:t>
            </w:r>
            <w:r>
              <w:rPr>
                <w:rFonts w:hint="eastAsia" w:hAnsi="宋体" w:cs="宋体"/>
                <w:color w:val="auto"/>
                <w:sz w:val="24"/>
                <w:szCs w:val="24"/>
                <w:highlight w:val="none"/>
                <w:lang w:eastAsia="zh-CN"/>
              </w:rPr>
              <w:t>防城区文昌大桥亮化工程</w:t>
            </w:r>
          </w:p>
          <w:p w14:paraId="4A53752C">
            <w:pPr>
              <w:keepNext w:val="0"/>
              <w:keepLines w:val="0"/>
              <w:pageBreakBefore w:val="0"/>
              <w:kinsoku/>
              <w:wordWrap/>
              <w:overflowPunct/>
              <w:topLinePunct w:val="0"/>
              <w:bidi w:val="0"/>
              <w:adjustRightInd/>
              <w:spacing w:line="360" w:lineRule="auto"/>
              <w:outlineLvl w:val="9"/>
              <w:rPr>
                <w:rFonts w:hint="eastAsia" w:ascii="宋体" w:eastAsia="宋体"/>
                <w:color w:val="auto"/>
                <w:sz w:val="24"/>
                <w:szCs w:val="24"/>
                <w:highlight w:val="none"/>
                <w:lang w:eastAsia="zh-CN"/>
              </w:rPr>
            </w:pPr>
            <w:r>
              <w:rPr>
                <w:rFonts w:hint="eastAsia" w:ascii="宋体"/>
                <w:color w:val="auto"/>
                <w:sz w:val="24"/>
                <w:szCs w:val="24"/>
                <w:highlight w:val="none"/>
              </w:rPr>
              <w:t>项目编号：FCZC2026-C2-030006-GXTM</w:t>
            </w:r>
          </w:p>
        </w:tc>
      </w:tr>
      <w:tr w14:paraId="7066E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left w:val="single" w:color="000000" w:sz="4" w:space="0"/>
              <w:bottom w:val="single" w:color="000000" w:sz="4" w:space="0"/>
              <w:right w:val="single" w:color="000000" w:sz="4" w:space="0"/>
            </w:tcBorders>
            <w:vAlign w:val="center"/>
          </w:tcPr>
          <w:p w14:paraId="70F65445">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2</w:t>
            </w:r>
          </w:p>
        </w:tc>
        <w:tc>
          <w:tcPr>
            <w:tcW w:w="2028" w:type="dxa"/>
            <w:tcBorders>
              <w:top w:val="single" w:color="000000" w:sz="4" w:space="0"/>
              <w:left w:val="single" w:color="000000" w:sz="4" w:space="0"/>
              <w:bottom w:val="single" w:color="000000" w:sz="4" w:space="0"/>
              <w:right w:val="single" w:color="000000" w:sz="4" w:space="0"/>
            </w:tcBorders>
            <w:vAlign w:val="center"/>
          </w:tcPr>
          <w:p w14:paraId="6423D04A">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预算金额</w:t>
            </w:r>
          </w:p>
        </w:tc>
        <w:tc>
          <w:tcPr>
            <w:tcW w:w="7032" w:type="dxa"/>
            <w:tcBorders>
              <w:top w:val="single" w:color="000000" w:sz="4" w:space="0"/>
              <w:left w:val="single" w:color="000000" w:sz="4" w:space="0"/>
              <w:bottom w:val="single" w:color="000000" w:sz="4" w:space="0"/>
              <w:right w:val="single" w:color="000000" w:sz="4" w:space="0"/>
            </w:tcBorders>
            <w:vAlign w:val="center"/>
          </w:tcPr>
          <w:p w14:paraId="64A43F84">
            <w:pPr>
              <w:keepNext w:val="0"/>
              <w:keepLines w:val="0"/>
              <w:pageBreakBefore w:val="0"/>
              <w:kinsoku/>
              <w:wordWrap/>
              <w:overflowPunct/>
              <w:topLinePunct w:val="0"/>
              <w:autoSpaceDE/>
              <w:autoSpaceDN/>
              <w:bidi w:val="0"/>
              <w:adjustRightInd/>
              <w:snapToGrid/>
              <w:spacing w:line="360" w:lineRule="auto"/>
              <w:jc w:val="left"/>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人民币陆拾肆万壹仟捌佰伍拾元玖角柒分</w:t>
            </w:r>
            <w:r>
              <w:rPr>
                <w:rFonts w:hint="eastAsia" w:ascii="宋体" w:hAnsi="宋体"/>
                <w:color w:val="auto"/>
                <w:sz w:val="24"/>
                <w:szCs w:val="24"/>
                <w:highlight w:val="none"/>
                <w:lang w:eastAsia="zh-CN"/>
              </w:rPr>
              <w:t>（</w:t>
            </w:r>
            <w:r>
              <w:rPr>
                <w:rFonts w:hint="default" w:ascii="宋体" w:hAnsi="宋体"/>
                <w:color w:val="auto"/>
                <w:sz w:val="24"/>
                <w:szCs w:val="24"/>
                <w:highlight w:val="none"/>
                <w:lang w:eastAsia="zh-CN"/>
              </w:rPr>
              <w:t>¥641850.97</w:t>
            </w:r>
            <w:r>
              <w:rPr>
                <w:rFonts w:hint="eastAsia" w:ascii="宋体" w:hAnsi="宋体"/>
                <w:color w:val="auto"/>
                <w:sz w:val="24"/>
                <w:szCs w:val="24"/>
                <w:highlight w:val="none"/>
                <w:lang w:eastAsia="zh-CN"/>
              </w:rPr>
              <w:t>）</w:t>
            </w:r>
          </w:p>
        </w:tc>
      </w:tr>
      <w:tr w14:paraId="6E6AF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vAlign w:val="center"/>
          </w:tcPr>
          <w:p w14:paraId="687146CC">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3</w:t>
            </w:r>
          </w:p>
        </w:tc>
        <w:tc>
          <w:tcPr>
            <w:tcW w:w="2028" w:type="dxa"/>
            <w:tcBorders>
              <w:top w:val="single" w:color="000000" w:sz="4" w:space="0"/>
              <w:left w:val="single" w:color="000000" w:sz="4" w:space="0"/>
              <w:bottom w:val="single" w:color="000000" w:sz="4" w:space="0"/>
              <w:right w:val="single" w:color="000000" w:sz="4" w:space="0"/>
            </w:tcBorders>
            <w:vAlign w:val="center"/>
          </w:tcPr>
          <w:p w14:paraId="53B4D554">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项目简要描述</w:t>
            </w:r>
          </w:p>
        </w:tc>
        <w:tc>
          <w:tcPr>
            <w:tcW w:w="7032" w:type="dxa"/>
            <w:tcBorders>
              <w:top w:val="single" w:color="000000" w:sz="4" w:space="0"/>
              <w:left w:val="single" w:color="000000" w:sz="4" w:space="0"/>
              <w:bottom w:val="single" w:color="000000" w:sz="4" w:space="0"/>
              <w:right w:val="single" w:color="000000" w:sz="4" w:space="0"/>
            </w:tcBorders>
            <w:vAlign w:val="center"/>
          </w:tcPr>
          <w:p w14:paraId="76CD8225">
            <w:pPr>
              <w:keepNext w:val="0"/>
              <w:keepLines w:val="0"/>
              <w:pageBreakBefore w:val="0"/>
              <w:kinsoku/>
              <w:wordWrap/>
              <w:overflowPunct/>
              <w:topLinePunct w:val="0"/>
              <w:bidi w:val="0"/>
              <w:adjustRightInd/>
              <w:spacing w:line="360" w:lineRule="auto"/>
              <w:jc w:val="left"/>
              <w:outlineLvl w:val="9"/>
              <w:rPr>
                <w:rFonts w:hint="eastAsia" w:ascii="宋体" w:hAnsi="宋体" w:eastAsia="宋体"/>
                <w:color w:val="auto"/>
                <w:sz w:val="24"/>
                <w:szCs w:val="24"/>
                <w:highlight w:val="none"/>
              </w:rPr>
            </w:pPr>
            <w:r>
              <w:rPr>
                <w:rFonts w:hint="eastAsia" w:ascii="宋体" w:hAnsi="宋体"/>
                <w:color w:val="auto"/>
                <w:sz w:val="24"/>
                <w:szCs w:val="24"/>
                <w:highlight w:val="none"/>
              </w:rPr>
              <w:t>1.建设规模：</w:t>
            </w:r>
            <w:r>
              <w:rPr>
                <w:rFonts w:hint="eastAsia" w:ascii="宋体" w:hAnsi="宋体"/>
                <w:color w:val="auto"/>
                <w:sz w:val="24"/>
                <w:szCs w:val="24"/>
                <w:highlight w:val="none"/>
                <w:lang w:eastAsia="zh-CN"/>
              </w:rPr>
              <w:t>防城区文昌大桥亮化工程，主要内容为桥上洗墙灯1252套、开关电源230个、主控器1台、分控器16台、电缆、配电箱等相关内容，具体详见施工设计图纸</w:t>
            </w:r>
            <w:r>
              <w:rPr>
                <w:rFonts w:hint="eastAsia" w:ascii="宋体" w:hAnsi="宋体"/>
                <w:color w:val="auto"/>
                <w:sz w:val="24"/>
                <w:szCs w:val="24"/>
                <w:highlight w:val="none"/>
                <w:lang w:val="en-US" w:eastAsia="zh-CN"/>
              </w:rPr>
              <w:t>和工程量清单</w:t>
            </w:r>
            <w:r>
              <w:rPr>
                <w:rFonts w:hint="eastAsia" w:ascii="宋体" w:hAnsi="宋体" w:eastAsia="宋体"/>
                <w:color w:val="auto"/>
                <w:sz w:val="24"/>
                <w:szCs w:val="24"/>
                <w:highlight w:val="none"/>
                <w:lang w:eastAsia="zh-CN"/>
              </w:rPr>
              <w:t>。</w:t>
            </w:r>
          </w:p>
          <w:p w14:paraId="38031F3F">
            <w:pPr>
              <w:keepNext w:val="0"/>
              <w:keepLines w:val="0"/>
              <w:pageBreakBefore w:val="0"/>
              <w:kinsoku/>
              <w:wordWrap/>
              <w:overflowPunct/>
              <w:topLinePunct w:val="0"/>
              <w:bidi w:val="0"/>
              <w:adjustRightInd/>
              <w:spacing w:line="360" w:lineRule="auto"/>
              <w:outlineLvl w:val="9"/>
              <w:rPr>
                <w:rFonts w:ascii="宋体" w:hAnsi="宋体"/>
                <w:color w:val="auto"/>
                <w:sz w:val="24"/>
                <w:szCs w:val="24"/>
                <w:highlight w:val="none"/>
              </w:rPr>
            </w:pPr>
            <w:r>
              <w:rPr>
                <w:rFonts w:hint="eastAsia" w:ascii="宋体" w:hAnsi="宋体"/>
                <w:color w:val="auto"/>
                <w:sz w:val="24"/>
                <w:szCs w:val="24"/>
                <w:highlight w:val="none"/>
              </w:rPr>
              <w:t>2.建设地点：</w:t>
            </w:r>
            <w:r>
              <w:rPr>
                <w:rFonts w:hint="eastAsia" w:ascii="宋体" w:hAnsi="宋体"/>
                <w:color w:val="auto"/>
                <w:sz w:val="24"/>
                <w:szCs w:val="24"/>
                <w:highlight w:val="none"/>
                <w:lang w:eastAsia="zh-CN"/>
              </w:rPr>
              <w:t>防城港市防城区</w:t>
            </w:r>
            <w:r>
              <w:rPr>
                <w:rFonts w:hint="eastAsia" w:ascii="宋体" w:hAnsi="宋体"/>
                <w:color w:val="auto"/>
                <w:sz w:val="24"/>
                <w:szCs w:val="24"/>
                <w:highlight w:val="none"/>
                <w:lang w:val="en-US" w:eastAsia="zh-CN"/>
              </w:rPr>
              <w:t>。</w:t>
            </w:r>
          </w:p>
          <w:p w14:paraId="3520A975">
            <w:pPr>
              <w:keepNext w:val="0"/>
              <w:keepLines w:val="0"/>
              <w:pageBreakBefore w:val="0"/>
              <w:kinsoku/>
              <w:wordWrap/>
              <w:overflowPunct/>
              <w:topLinePunct w:val="0"/>
              <w:bidi w:val="0"/>
              <w:adjustRightInd/>
              <w:spacing w:line="360" w:lineRule="auto"/>
              <w:outlineLvl w:val="9"/>
              <w:rPr>
                <w:rFonts w:hint="eastAsia" w:ascii="宋体" w:hAnsi="宋体" w:eastAsia="宋体" w:cs="Times New Roman"/>
                <w:color w:val="auto"/>
                <w:sz w:val="24"/>
                <w:szCs w:val="24"/>
                <w:highlight w:val="none"/>
                <w:lang w:eastAsia="zh-CN"/>
              </w:rPr>
            </w:pPr>
            <w:r>
              <w:rPr>
                <w:rFonts w:hint="eastAsia" w:ascii="宋体" w:hAnsi="宋体"/>
                <w:color w:val="auto"/>
                <w:sz w:val="24"/>
                <w:szCs w:val="24"/>
                <w:highlight w:val="none"/>
              </w:rPr>
              <w:t>3.工</w:t>
            </w:r>
            <w:r>
              <w:rPr>
                <w:rFonts w:hint="eastAsia" w:ascii="宋体" w:hAnsi="宋体" w:eastAsia="宋体" w:cs="Times New Roman"/>
                <w:color w:val="auto"/>
                <w:sz w:val="24"/>
                <w:szCs w:val="24"/>
                <w:highlight w:val="none"/>
              </w:rPr>
              <w:t>期：</w:t>
            </w:r>
            <w:r>
              <w:rPr>
                <w:rFonts w:hint="eastAsia" w:ascii="宋体" w:hAnsi="宋体" w:eastAsia="宋体" w:cs="Times New Roman"/>
                <w:color w:val="auto"/>
                <w:sz w:val="24"/>
                <w:szCs w:val="24"/>
                <w:highlight w:val="none"/>
                <w:lang w:val="en-US" w:eastAsia="zh-CN"/>
              </w:rPr>
              <w:t>30</w:t>
            </w:r>
            <w:r>
              <w:rPr>
                <w:rFonts w:hint="eastAsia" w:ascii="宋体" w:hAnsi="宋体" w:eastAsia="宋体" w:cs="Times New Roman"/>
                <w:color w:val="auto"/>
                <w:sz w:val="24"/>
                <w:szCs w:val="24"/>
                <w:highlight w:val="none"/>
              </w:rPr>
              <w:t>日历天</w:t>
            </w:r>
            <w:r>
              <w:rPr>
                <w:rFonts w:hint="eastAsia" w:ascii="宋体" w:hAnsi="宋体" w:eastAsia="宋体" w:cs="Times New Roman"/>
                <w:color w:val="auto"/>
                <w:sz w:val="24"/>
                <w:szCs w:val="24"/>
                <w:highlight w:val="none"/>
                <w:lang w:eastAsia="zh-CN"/>
              </w:rPr>
              <w:t>。</w:t>
            </w:r>
          </w:p>
          <w:p w14:paraId="0C19CB8B">
            <w:pPr>
              <w:keepNext w:val="0"/>
              <w:keepLines w:val="0"/>
              <w:pageBreakBefore w:val="0"/>
              <w:kinsoku/>
              <w:wordWrap/>
              <w:overflowPunct/>
              <w:topLinePunct w:val="0"/>
              <w:bidi w:val="0"/>
              <w:adjustRightInd/>
              <w:spacing w:line="360" w:lineRule="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质量：</w:t>
            </w:r>
            <w:r>
              <w:rPr>
                <w:rFonts w:hint="eastAsia" w:ascii="宋体" w:hAnsi="宋体" w:eastAsia="宋体" w:cs="宋体"/>
                <w:color w:val="auto"/>
                <w:sz w:val="24"/>
                <w:szCs w:val="24"/>
                <w:highlight w:val="none"/>
              </w:rPr>
              <w:t>达到国家施工验收规范</w:t>
            </w:r>
            <w:r>
              <w:rPr>
                <w:rFonts w:hint="eastAsia" w:ascii="宋体" w:hAnsi="宋体" w:eastAsia="宋体" w:cs="宋体"/>
                <w:b w:val="0"/>
                <w:bCs w:val="0"/>
                <w:color w:val="auto"/>
                <w:sz w:val="24"/>
                <w:szCs w:val="24"/>
                <w:highlight w:val="none"/>
              </w:rPr>
              <w:t>合格标</w:t>
            </w:r>
            <w:r>
              <w:rPr>
                <w:rFonts w:hint="eastAsia" w:ascii="宋体" w:hAnsi="宋体" w:eastAsia="宋体" w:cs="宋体"/>
                <w:color w:val="auto"/>
                <w:sz w:val="24"/>
                <w:szCs w:val="24"/>
                <w:highlight w:val="none"/>
              </w:rPr>
              <w:t>准</w:t>
            </w:r>
            <w:r>
              <w:rPr>
                <w:rFonts w:hint="eastAsia" w:ascii="宋体" w:hAnsi="宋体" w:eastAsia="宋体" w:cs="Times New Roman"/>
                <w:color w:val="auto"/>
                <w:sz w:val="24"/>
                <w:szCs w:val="24"/>
                <w:highlight w:val="none"/>
              </w:rPr>
              <w:t>。</w:t>
            </w:r>
          </w:p>
          <w:p w14:paraId="319ED8BE">
            <w:pPr>
              <w:keepNext w:val="0"/>
              <w:keepLines w:val="0"/>
              <w:pageBreakBefore w:val="0"/>
              <w:kinsoku/>
              <w:wordWrap/>
              <w:overflowPunct/>
              <w:topLinePunct w:val="0"/>
              <w:bidi w:val="0"/>
              <w:adjustRightInd/>
              <w:spacing w:line="360" w:lineRule="auto"/>
              <w:jc w:val="left"/>
              <w:outlineLvl w:val="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发包方式：包工包料。</w:t>
            </w:r>
          </w:p>
          <w:p w14:paraId="4FF27718">
            <w:pPr>
              <w:keepNext w:val="0"/>
              <w:keepLines w:val="0"/>
              <w:pageBreakBefore w:val="0"/>
              <w:kinsoku/>
              <w:wordWrap/>
              <w:overflowPunct/>
              <w:topLinePunct w:val="0"/>
              <w:bidi w:val="0"/>
              <w:adjustRightInd/>
              <w:spacing w:line="360" w:lineRule="auto"/>
              <w:jc w:val="left"/>
              <w:outlineLvl w:val="9"/>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6.资金来源：财政资金。</w:t>
            </w:r>
          </w:p>
        </w:tc>
      </w:tr>
      <w:tr w14:paraId="6A31B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C2688DC">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4</w:t>
            </w:r>
          </w:p>
        </w:tc>
        <w:tc>
          <w:tcPr>
            <w:tcW w:w="2028" w:type="dxa"/>
            <w:tcBorders>
              <w:top w:val="single" w:color="000000" w:sz="4" w:space="0"/>
              <w:left w:val="single" w:color="000000" w:sz="4" w:space="0"/>
              <w:bottom w:val="single" w:color="000000" w:sz="4" w:space="0"/>
              <w:right w:val="single" w:color="000000" w:sz="4" w:space="0"/>
            </w:tcBorders>
            <w:vAlign w:val="center"/>
          </w:tcPr>
          <w:p w14:paraId="05D26636">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b/>
                <w:color w:val="auto"/>
                <w:sz w:val="24"/>
                <w:szCs w:val="24"/>
                <w:highlight w:val="none"/>
              </w:rPr>
              <w:t>磋商供应商资格要求</w:t>
            </w:r>
          </w:p>
        </w:tc>
        <w:tc>
          <w:tcPr>
            <w:tcW w:w="7032" w:type="dxa"/>
            <w:tcBorders>
              <w:top w:val="single" w:color="000000" w:sz="4" w:space="0"/>
              <w:left w:val="single" w:color="000000" w:sz="4" w:space="0"/>
              <w:bottom w:val="single" w:color="000000" w:sz="4" w:space="0"/>
              <w:right w:val="single" w:color="000000" w:sz="4" w:space="0"/>
            </w:tcBorders>
            <w:vAlign w:val="center"/>
          </w:tcPr>
          <w:p w14:paraId="7B19322C">
            <w:pPr>
              <w:keepNext w:val="0"/>
              <w:keepLines w:val="0"/>
              <w:pageBreakBefore w:val="0"/>
              <w:kinsoku/>
              <w:wordWrap/>
              <w:overflowPunct/>
              <w:topLinePunct w:val="0"/>
              <w:bidi w:val="0"/>
              <w:adjustRightInd/>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6814037C">
            <w:pPr>
              <w:keepNext w:val="0"/>
              <w:keepLines w:val="0"/>
              <w:pageBreakBefore w:val="0"/>
              <w:kinsoku/>
              <w:wordWrap/>
              <w:overflowPunct/>
              <w:topLinePunct w:val="0"/>
              <w:bidi w:val="0"/>
              <w:adjustRightInd/>
              <w:spacing w:line="360" w:lineRule="auto"/>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2.落实政府采购政策需满足的资格要求：分标1：供应商为中小企业/小微企业</w:t>
            </w:r>
            <w:r>
              <w:rPr>
                <w:rFonts w:hint="eastAsia" w:ascii="宋体" w:hAnsi="宋体" w:cs="宋体"/>
                <w:color w:val="auto"/>
                <w:sz w:val="24"/>
                <w:szCs w:val="24"/>
                <w:highlight w:val="none"/>
                <w:shd w:val="clear" w:color="auto" w:fill="FFFFFF"/>
              </w:rPr>
              <w:t>。</w:t>
            </w:r>
          </w:p>
          <w:p w14:paraId="321BE12C">
            <w:pPr>
              <w:keepNext w:val="0"/>
              <w:keepLines w:val="0"/>
              <w:pageBreakBefore w:val="0"/>
              <w:kinsoku/>
              <w:wordWrap/>
              <w:overflowPunct/>
              <w:topLinePunct w:val="0"/>
              <w:bidi w:val="0"/>
              <w:adjustRightInd/>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3.本项目的特定资格要求：</w:t>
            </w:r>
            <w:r>
              <w:rPr>
                <w:rFonts w:hint="eastAsia" w:ascii="宋体" w:hAnsi="宋体" w:cs="宋体"/>
                <w:color w:val="auto"/>
                <w:sz w:val="24"/>
                <w:szCs w:val="24"/>
                <w:highlight w:val="none"/>
                <w:lang w:val="en-US" w:eastAsia="zh-CN"/>
              </w:rPr>
              <w:t xml:space="preserve"> </w:t>
            </w:r>
          </w:p>
          <w:p w14:paraId="255883CB">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宋体"/>
                <w:color w:val="auto"/>
                <w:sz w:val="24"/>
                <w:szCs w:val="24"/>
                <w:lang w:val="en-US" w:eastAsia="zh-CN"/>
              </w:rPr>
              <w:t>供应商具备</w:t>
            </w:r>
            <w:r>
              <w:rPr>
                <w:rFonts w:hint="eastAsia" w:ascii="宋体" w:hAnsi="宋体" w:eastAsia="宋体" w:cs="Times New Roman"/>
                <w:color w:val="auto"/>
                <w:sz w:val="24"/>
                <w:szCs w:val="24"/>
                <w:highlight w:val="none"/>
                <w:lang w:val="en-US" w:eastAsia="zh-CN"/>
              </w:rPr>
              <w:t>[市政公用工程施工总承包三级](含)以上或者[城市及道路照明工程专业承包三级](含)以上资质，并在人员、设备、资金等方面具备相应的施工能力</w:t>
            </w:r>
            <w:r>
              <w:rPr>
                <w:rFonts w:hint="eastAsia" w:ascii="宋体" w:hAnsi="宋体" w:eastAsia="宋体" w:cs="Times New Roman"/>
                <w:color w:val="auto"/>
                <w:sz w:val="24"/>
                <w:szCs w:val="24"/>
                <w:highlight w:val="none"/>
                <w:lang w:val="en-US"/>
              </w:rPr>
              <w:t>；</w:t>
            </w:r>
          </w:p>
          <w:p w14:paraId="53A8AAB9">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rPr>
              <w:t>（2）</w:t>
            </w:r>
            <w:r>
              <w:rPr>
                <w:rFonts w:hint="eastAsia" w:ascii="宋体" w:hAnsi="宋体" w:eastAsia="宋体" w:cs="Times New Roman"/>
                <w:color w:val="auto"/>
                <w:sz w:val="24"/>
                <w:szCs w:val="24"/>
                <w:highlight w:val="none"/>
                <w:lang w:val="en-US" w:eastAsia="zh-CN"/>
              </w:rPr>
              <w:t>项目经理具备</w:t>
            </w:r>
            <w:r>
              <w:rPr>
                <w:rFonts w:hint="eastAsia" w:ascii="宋体" w:hAnsi="宋体" w:eastAsia="宋体" w:cs="Times New Roman"/>
                <w:color w:val="auto"/>
                <w:sz w:val="24"/>
                <w:szCs w:val="24"/>
                <w:highlight w:val="none"/>
                <w:lang w:val="en-US"/>
              </w:rPr>
              <w:t>市政公用工程专业</w:t>
            </w:r>
            <w:r>
              <w:rPr>
                <w:rFonts w:hint="eastAsia" w:ascii="宋体" w:hAnsi="宋体" w:eastAsia="宋体" w:cs="Times New Roman"/>
                <w:color w:val="auto"/>
                <w:sz w:val="24"/>
                <w:szCs w:val="24"/>
                <w:highlight w:val="none"/>
                <w:lang w:val="en-US" w:eastAsia="zh-CN"/>
              </w:rPr>
              <w:t>二级及以上</w:t>
            </w:r>
            <w:r>
              <w:rPr>
                <w:rFonts w:hint="eastAsia" w:ascii="宋体" w:hAnsi="宋体" w:eastAsia="宋体" w:cs="Times New Roman"/>
                <w:color w:val="auto"/>
                <w:sz w:val="24"/>
                <w:szCs w:val="24"/>
                <w:highlight w:val="none"/>
                <w:lang w:val="en-US"/>
              </w:rPr>
              <w:t>注册建造师</w:t>
            </w:r>
            <w:r>
              <w:rPr>
                <w:rFonts w:hint="eastAsia" w:ascii="宋体" w:hAnsi="宋体" w:eastAsia="宋体" w:cs="Times New Roman"/>
                <w:color w:val="auto"/>
                <w:sz w:val="24"/>
                <w:szCs w:val="24"/>
                <w:highlight w:val="none"/>
                <w:lang w:val="en-US" w:eastAsia="zh-CN"/>
              </w:rPr>
              <w:t>执业资格</w:t>
            </w:r>
            <w:r>
              <w:rPr>
                <w:rFonts w:hint="eastAsia" w:ascii="宋体" w:hAnsi="宋体" w:eastAsia="宋体" w:cs="Times New Roman"/>
                <w:color w:val="auto"/>
                <w:sz w:val="24"/>
                <w:szCs w:val="24"/>
                <w:highlight w:val="none"/>
                <w:lang w:val="en-US"/>
              </w:rPr>
              <w:t>和有效的安全生产考核合格证书（B类）。</w:t>
            </w:r>
            <w:r>
              <w:rPr>
                <w:rFonts w:hint="eastAsia" w:ascii="宋体" w:hAnsi="宋体" w:eastAsia="宋体" w:cs="Times New Roman"/>
                <w:color w:val="auto"/>
                <w:sz w:val="24"/>
                <w:szCs w:val="24"/>
                <w:highlight w:val="none"/>
                <w:lang w:val="en-US" w:eastAsia="zh-CN"/>
              </w:rPr>
              <w:t>本项目不接受有在建、已中标未开工或已列为其他项目中标候选人第一名的建造师作为项目经理（符合《广西壮族自治区建筑市场诚信卡管理暂行办法》第十六条第一款及桂建管﹝2016﹞70号、桂建管〔2019〕26号和桂建管〔2020〕11号文除外）。</w:t>
            </w:r>
          </w:p>
          <w:p w14:paraId="58765EAA">
            <w:pPr>
              <w:keepNext w:val="0"/>
              <w:keepLines w:val="0"/>
              <w:pageBreakBefore w:val="0"/>
              <w:kinsoku/>
              <w:wordWrap/>
              <w:overflowPunct/>
              <w:topLinePunct w:val="0"/>
              <w:bidi w:val="0"/>
              <w:adjustRightInd/>
              <w:spacing w:line="360" w:lineRule="auto"/>
              <w:jc w:val="left"/>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4CF9C7D">
            <w:pPr>
              <w:keepNext w:val="0"/>
              <w:keepLines w:val="0"/>
              <w:pageBreakBefore w:val="0"/>
              <w:kinsoku/>
              <w:wordWrap/>
              <w:overflowPunct/>
              <w:topLinePunct w:val="0"/>
              <w:bidi w:val="0"/>
              <w:adjustRightInd/>
              <w:spacing w:line="360" w:lineRule="auto"/>
              <w:jc w:val="left"/>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tc>
      </w:tr>
      <w:tr w14:paraId="58AE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1F1BE094">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5</w:t>
            </w:r>
          </w:p>
        </w:tc>
        <w:tc>
          <w:tcPr>
            <w:tcW w:w="2028" w:type="dxa"/>
            <w:tcBorders>
              <w:top w:val="single" w:color="000000" w:sz="4" w:space="0"/>
              <w:left w:val="single" w:color="000000" w:sz="4" w:space="0"/>
              <w:bottom w:val="single" w:color="000000" w:sz="4" w:space="0"/>
              <w:right w:val="single" w:color="000000" w:sz="4" w:space="0"/>
            </w:tcBorders>
            <w:vAlign w:val="center"/>
          </w:tcPr>
          <w:p w14:paraId="10410899">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b/>
                <w:color w:val="auto"/>
                <w:sz w:val="24"/>
                <w:szCs w:val="24"/>
                <w:highlight w:val="none"/>
              </w:rPr>
              <w:t>磋商保证金</w:t>
            </w:r>
          </w:p>
        </w:tc>
        <w:tc>
          <w:tcPr>
            <w:tcW w:w="7032" w:type="dxa"/>
            <w:tcBorders>
              <w:top w:val="single" w:color="000000" w:sz="4" w:space="0"/>
              <w:left w:val="single" w:color="000000" w:sz="4" w:space="0"/>
              <w:bottom w:val="single" w:color="000000" w:sz="4" w:space="0"/>
              <w:right w:val="single" w:color="000000" w:sz="4" w:space="0"/>
            </w:tcBorders>
            <w:vAlign w:val="center"/>
          </w:tcPr>
          <w:p w14:paraId="57ADD007">
            <w:pPr>
              <w:keepNext w:val="0"/>
              <w:keepLines w:val="0"/>
              <w:pageBreakBefore w:val="0"/>
              <w:kinsoku/>
              <w:wordWrap/>
              <w:overflowPunct/>
              <w:topLinePunct w:val="0"/>
              <w:bidi w:val="0"/>
              <w:adjustRightInd/>
              <w:spacing w:line="360" w:lineRule="auto"/>
              <w:outlineLvl w:val="9"/>
              <w:rPr>
                <w:rFonts w:ascii="宋体"/>
                <w:color w:val="auto"/>
                <w:sz w:val="24"/>
                <w:szCs w:val="24"/>
                <w:highlight w:val="none"/>
              </w:rPr>
            </w:pPr>
            <w:r>
              <w:rPr>
                <w:rFonts w:hint="eastAsia" w:ascii="宋体"/>
                <w:b/>
                <w:color w:val="auto"/>
                <w:sz w:val="24"/>
                <w:szCs w:val="24"/>
                <w:highlight w:val="none"/>
              </w:rPr>
              <w:t>无</w:t>
            </w:r>
          </w:p>
        </w:tc>
      </w:tr>
      <w:tr w14:paraId="0047D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A7B277B">
            <w:pPr>
              <w:keepNext w:val="0"/>
              <w:keepLines w:val="0"/>
              <w:pageBreakBefore w:val="0"/>
              <w:kinsoku/>
              <w:wordWrap/>
              <w:overflowPunct/>
              <w:topLinePunct w:val="0"/>
              <w:autoSpaceDE w:val="0"/>
              <w:autoSpaceDN w:val="0"/>
              <w:bidi w:val="0"/>
              <w:adjustRightInd/>
              <w:spacing w:line="360" w:lineRule="auto"/>
              <w:jc w:val="center"/>
              <w:outlineLvl w:val="9"/>
              <w:rPr>
                <w:rFonts w:hAnsi="宋体" w:cs="宋体"/>
                <w:b/>
                <w:color w:val="auto"/>
                <w:sz w:val="24"/>
                <w:szCs w:val="24"/>
                <w:highlight w:val="none"/>
              </w:rPr>
            </w:pPr>
            <w:r>
              <w:rPr>
                <w:rFonts w:hint="eastAsia" w:hAnsi="宋体" w:cs="宋体"/>
                <w:b/>
                <w:color w:val="auto"/>
                <w:sz w:val="24"/>
                <w:szCs w:val="24"/>
                <w:highlight w:val="none"/>
              </w:rPr>
              <w:t>6</w:t>
            </w:r>
          </w:p>
        </w:tc>
        <w:tc>
          <w:tcPr>
            <w:tcW w:w="2028" w:type="dxa"/>
            <w:tcBorders>
              <w:top w:val="single" w:color="000000" w:sz="4" w:space="0"/>
              <w:left w:val="single" w:color="000000" w:sz="4" w:space="0"/>
              <w:bottom w:val="single" w:color="000000" w:sz="4" w:space="0"/>
              <w:right w:val="single" w:color="000000" w:sz="4" w:space="0"/>
            </w:tcBorders>
            <w:vAlign w:val="center"/>
          </w:tcPr>
          <w:p w14:paraId="527E477F">
            <w:pPr>
              <w:keepNext w:val="0"/>
              <w:keepLines w:val="0"/>
              <w:pageBreakBefore w:val="0"/>
              <w:kinsoku/>
              <w:wordWrap/>
              <w:overflowPunct/>
              <w:topLinePunct w:val="0"/>
              <w:autoSpaceDE w:val="0"/>
              <w:autoSpaceDN w:val="0"/>
              <w:bidi w:val="0"/>
              <w:adjustRightInd/>
              <w:spacing w:line="360" w:lineRule="auto"/>
              <w:jc w:val="center"/>
              <w:outlineLvl w:val="9"/>
              <w:rPr>
                <w:rFonts w:hAnsi="宋体" w:cs="宋体"/>
                <w:b/>
                <w:color w:val="auto"/>
                <w:sz w:val="24"/>
                <w:szCs w:val="24"/>
                <w:highlight w:val="none"/>
              </w:rPr>
            </w:pPr>
            <w:r>
              <w:rPr>
                <w:rFonts w:hint="eastAsia" w:hAnsi="宋体" w:cs="宋体"/>
                <w:b/>
                <w:color w:val="auto"/>
                <w:sz w:val="24"/>
                <w:szCs w:val="24"/>
                <w:highlight w:val="none"/>
              </w:rPr>
              <w:t>履约保证金</w:t>
            </w:r>
          </w:p>
        </w:tc>
        <w:tc>
          <w:tcPr>
            <w:tcW w:w="7032" w:type="dxa"/>
            <w:tcBorders>
              <w:top w:val="single" w:color="000000" w:sz="4" w:space="0"/>
              <w:left w:val="single" w:color="000000" w:sz="4" w:space="0"/>
              <w:bottom w:val="single" w:color="000000" w:sz="4" w:space="0"/>
              <w:right w:val="single" w:color="000000" w:sz="4" w:space="0"/>
            </w:tcBorders>
          </w:tcPr>
          <w:p w14:paraId="750BF5D7">
            <w:pPr>
              <w:keepNext w:val="0"/>
              <w:keepLines w:val="0"/>
              <w:pageBreakBefore w:val="0"/>
              <w:kinsoku/>
              <w:wordWrap/>
              <w:overflowPunct/>
              <w:topLinePunct w:val="0"/>
              <w:autoSpaceDE w:val="0"/>
              <w:autoSpaceDN w:val="0"/>
              <w:bidi w:val="0"/>
              <w:adjustRightInd/>
              <w:spacing w:line="360" w:lineRule="auto"/>
              <w:outlineLvl w:val="9"/>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履约保证金金额：</w:t>
            </w:r>
            <w:r>
              <w:rPr>
                <w:rFonts w:hint="eastAsia" w:hAnsi="宋体" w:cs="宋体"/>
                <w:bCs/>
                <w:color w:val="auto"/>
                <w:sz w:val="24"/>
                <w:szCs w:val="24"/>
                <w:highlight w:val="none"/>
                <w:lang w:val="en-US" w:eastAsia="zh-CN"/>
              </w:rPr>
              <w:t>无。</w:t>
            </w:r>
          </w:p>
        </w:tc>
      </w:tr>
      <w:tr w14:paraId="2A472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07FDB119">
            <w:pPr>
              <w:keepNext w:val="0"/>
              <w:keepLines w:val="0"/>
              <w:pageBreakBefore w:val="0"/>
              <w:kinsoku/>
              <w:wordWrap/>
              <w:overflowPunct/>
              <w:topLinePunct w:val="0"/>
              <w:autoSpaceDE w:val="0"/>
              <w:autoSpaceDN w:val="0"/>
              <w:bidi w:val="0"/>
              <w:adjustRightInd/>
              <w:spacing w:line="360" w:lineRule="auto"/>
              <w:jc w:val="center"/>
              <w:outlineLvl w:val="9"/>
              <w:rPr>
                <w:rFonts w:hAnsi="宋体" w:cs="宋体"/>
                <w:b/>
                <w:color w:val="auto"/>
                <w:sz w:val="24"/>
                <w:szCs w:val="24"/>
                <w:highlight w:val="none"/>
              </w:rPr>
            </w:pPr>
            <w:r>
              <w:rPr>
                <w:rFonts w:hint="eastAsia" w:hAnsi="宋体" w:cs="宋体"/>
                <w:b/>
                <w:color w:val="auto"/>
                <w:sz w:val="24"/>
                <w:szCs w:val="24"/>
                <w:highlight w:val="none"/>
              </w:rPr>
              <w:t>7</w:t>
            </w:r>
          </w:p>
        </w:tc>
        <w:tc>
          <w:tcPr>
            <w:tcW w:w="2028" w:type="dxa"/>
            <w:tcBorders>
              <w:top w:val="single" w:color="000000" w:sz="4" w:space="0"/>
              <w:left w:val="single" w:color="000000" w:sz="4" w:space="0"/>
              <w:bottom w:val="single" w:color="000000" w:sz="4" w:space="0"/>
              <w:right w:val="single" w:color="000000" w:sz="4" w:space="0"/>
            </w:tcBorders>
            <w:vAlign w:val="center"/>
          </w:tcPr>
          <w:p w14:paraId="57E8AE42">
            <w:pPr>
              <w:keepNext w:val="0"/>
              <w:keepLines w:val="0"/>
              <w:pageBreakBefore w:val="0"/>
              <w:kinsoku/>
              <w:wordWrap/>
              <w:overflowPunct/>
              <w:topLinePunct w:val="0"/>
              <w:autoSpaceDE w:val="0"/>
              <w:autoSpaceDN w:val="0"/>
              <w:bidi w:val="0"/>
              <w:adjustRightInd/>
              <w:spacing w:line="360" w:lineRule="auto"/>
              <w:jc w:val="center"/>
              <w:outlineLvl w:val="9"/>
              <w:rPr>
                <w:rFonts w:hAnsi="宋体" w:cs="宋体"/>
                <w:b/>
                <w:color w:val="auto"/>
                <w:sz w:val="24"/>
                <w:szCs w:val="24"/>
                <w:highlight w:val="none"/>
              </w:rPr>
            </w:pPr>
            <w:r>
              <w:rPr>
                <w:rFonts w:hint="eastAsia" w:hAnsi="宋体" w:cs="宋体"/>
                <w:b/>
                <w:color w:val="auto"/>
                <w:sz w:val="24"/>
                <w:szCs w:val="24"/>
                <w:highlight w:val="none"/>
              </w:rPr>
              <w:t>农民工工资保证金</w:t>
            </w:r>
          </w:p>
        </w:tc>
        <w:tc>
          <w:tcPr>
            <w:tcW w:w="7032" w:type="dxa"/>
            <w:tcBorders>
              <w:top w:val="single" w:color="000000" w:sz="4" w:space="0"/>
              <w:left w:val="single" w:color="000000" w:sz="4" w:space="0"/>
              <w:bottom w:val="single" w:color="000000" w:sz="4" w:space="0"/>
              <w:right w:val="single" w:color="000000" w:sz="4" w:space="0"/>
            </w:tcBorders>
          </w:tcPr>
          <w:p w14:paraId="1B30EB54">
            <w:pPr>
              <w:keepNext w:val="0"/>
              <w:keepLines w:val="0"/>
              <w:pageBreakBefore w:val="0"/>
              <w:kinsoku/>
              <w:wordWrap/>
              <w:overflowPunct/>
              <w:topLinePunct w:val="0"/>
              <w:autoSpaceDE w:val="0"/>
              <w:autoSpaceDN w:val="0"/>
              <w:bidi w:val="0"/>
              <w:adjustRightInd/>
              <w:spacing w:line="360" w:lineRule="auto"/>
              <w:outlineLvl w:val="9"/>
              <w:rPr>
                <w:rFonts w:hAnsi="宋体" w:cs="宋体"/>
                <w:bCs/>
                <w:color w:val="auto"/>
                <w:sz w:val="24"/>
                <w:szCs w:val="24"/>
                <w:highlight w:val="none"/>
              </w:rPr>
            </w:pPr>
            <w:r>
              <w:rPr>
                <w:rFonts w:hint="eastAsia" w:ascii="宋体" w:hAnsi="宋体"/>
                <w:color w:val="auto"/>
                <w:sz w:val="24"/>
                <w:szCs w:val="24"/>
                <w:highlight w:val="none"/>
              </w:rPr>
              <w:t>按广西壮族自治区人力资源和社会保障厅等8部门《关于印发广西壮族自治区工程建设领域农民工工资专用帐户管理暂行办法实施细则的通知》（桂人社规[2022]5号）执行，承包人在合签订之日起30日内，自主选择在自治区行政区域内依法设立或设有分支机构的银行开立专用帐户。办理得施工许可证后，按照《关于印发广西壮族自治区工程建设领域农民工工资保证金规定实施办法的通知》桂人社规[2021]16号）缴存保证金，也可以使用银行保函。工程竣工验收结算经审定后，按照规定程序，将农民工工资保证金没有使用或剩余的金额退还给承包人。</w:t>
            </w:r>
          </w:p>
        </w:tc>
      </w:tr>
      <w:tr w14:paraId="1D3AA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E19004E">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8</w:t>
            </w:r>
          </w:p>
        </w:tc>
        <w:tc>
          <w:tcPr>
            <w:tcW w:w="2028" w:type="dxa"/>
            <w:tcBorders>
              <w:top w:val="single" w:color="000000" w:sz="4" w:space="0"/>
              <w:left w:val="single" w:color="000000" w:sz="4" w:space="0"/>
              <w:bottom w:val="single" w:color="000000" w:sz="4" w:space="0"/>
              <w:right w:val="single" w:color="000000" w:sz="4" w:space="0"/>
            </w:tcBorders>
            <w:vAlign w:val="center"/>
          </w:tcPr>
          <w:p w14:paraId="7C28B3E3">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响应文件份数</w:t>
            </w:r>
          </w:p>
        </w:tc>
        <w:tc>
          <w:tcPr>
            <w:tcW w:w="7032" w:type="dxa"/>
            <w:tcBorders>
              <w:top w:val="single" w:color="000000" w:sz="4" w:space="0"/>
              <w:left w:val="single" w:color="000000" w:sz="4" w:space="0"/>
              <w:bottom w:val="single" w:color="000000" w:sz="4" w:space="0"/>
              <w:right w:val="single" w:color="000000" w:sz="4" w:space="0"/>
            </w:tcBorders>
            <w:vAlign w:val="center"/>
          </w:tcPr>
          <w:p w14:paraId="084554FA">
            <w:pPr>
              <w:keepNext w:val="0"/>
              <w:keepLines w:val="0"/>
              <w:pageBreakBefore w:val="0"/>
              <w:kinsoku/>
              <w:wordWrap/>
              <w:overflowPunct/>
              <w:topLinePunct w:val="0"/>
              <w:bidi w:val="0"/>
              <w:adjustRightInd/>
              <w:spacing w:line="360" w:lineRule="auto"/>
              <w:outlineLvl w:val="9"/>
              <w:rPr>
                <w:rFonts w:ascii="宋体"/>
                <w:color w:val="auto"/>
                <w:sz w:val="24"/>
                <w:szCs w:val="24"/>
                <w:highlight w:val="none"/>
              </w:rPr>
            </w:pPr>
            <w:r>
              <w:rPr>
                <w:rFonts w:hint="eastAsia" w:ascii="宋体"/>
                <w:b/>
                <w:color w:val="auto"/>
                <w:sz w:val="24"/>
                <w:szCs w:val="24"/>
                <w:highlight w:val="none"/>
              </w:rPr>
              <w:t>无</w:t>
            </w:r>
            <w:r>
              <w:rPr>
                <w:rFonts w:hint="eastAsia" w:ascii="宋体"/>
                <w:color w:val="auto"/>
                <w:sz w:val="24"/>
                <w:szCs w:val="24"/>
                <w:highlight w:val="none"/>
              </w:rPr>
              <w:t>。</w:t>
            </w:r>
          </w:p>
        </w:tc>
      </w:tr>
      <w:tr w14:paraId="253BD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vAlign w:val="center"/>
          </w:tcPr>
          <w:p w14:paraId="71EB8008">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9</w:t>
            </w:r>
          </w:p>
        </w:tc>
        <w:tc>
          <w:tcPr>
            <w:tcW w:w="2028" w:type="dxa"/>
            <w:tcBorders>
              <w:top w:val="single" w:color="000000" w:sz="4" w:space="0"/>
              <w:left w:val="single" w:color="000000" w:sz="4" w:space="0"/>
              <w:bottom w:val="single" w:color="000000" w:sz="4" w:space="0"/>
              <w:right w:val="single" w:color="000000" w:sz="4" w:space="0"/>
            </w:tcBorders>
            <w:vAlign w:val="center"/>
          </w:tcPr>
          <w:p w14:paraId="5B5B6B95">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响应文件</w:t>
            </w:r>
          </w:p>
          <w:p w14:paraId="23CC8252">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b/>
                <w:color w:val="auto"/>
                <w:sz w:val="24"/>
                <w:szCs w:val="24"/>
                <w:highlight w:val="none"/>
              </w:rPr>
              <w:t>递交截止时间</w:t>
            </w:r>
          </w:p>
        </w:tc>
        <w:tc>
          <w:tcPr>
            <w:tcW w:w="7032" w:type="dxa"/>
            <w:tcBorders>
              <w:top w:val="single" w:color="000000" w:sz="4" w:space="0"/>
              <w:left w:val="single" w:color="000000" w:sz="4" w:space="0"/>
              <w:bottom w:val="single" w:color="000000" w:sz="4" w:space="0"/>
              <w:right w:val="single" w:color="000000" w:sz="4" w:space="0"/>
            </w:tcBorders>
            <w:vAlign w:val="center"/>
          </w:tcPr>
          <w:p w14:paraId="7776FC61">
            <w:pPr>
              <w:keepNext w:val="0"/>
              <w:keepLines w:val="0"/>
              <w:pageBreakBefore w:val="0"/>
              <w:kinsoku/>
              <w:wordWrap/>
              <w:overflowPunct/>
              <w:topLinePunct w:val="0"/>
              <w:bidi w:val="0"/>
              <w:adjustRightInd/>
              <w:spacing w:line="360" w:lineRule="auto"/>
              <w:jc w:val="left"/>
              <w:outlineLvl w:val="9"/>
              <w:rPr>
                <w:rFonts w:ascii="宋体"/>
                <w:b w:val="0"/>
                <w:bCs w:val="0"/>
                <w:color w:val="auto"/>
                <w:sz w:val="24"/>
                <w:szCs w:val="24"/>
                <w:highlight w:val="none"/>
              </w:rPr>
            </w:pPr>
            <w:r>
              <w:rPr>
                <w:rFonts w:hint="eastAsia" w:ascii="宋体"/>
                <w:b w:val="0"/>
                <w:bCs w:val="0"/>
                <w:color w:val="auto"/>
                <w:sz w:val="24"/>
                <w:szCs w:val="24"/>
                <w:highlight w:val="none"/>
              </w:rPr>
              <w:t>响应文件递交截止时间：</w:t>
            </w:r>
            <w:r>
              <w:rPr>
                <w:rFonts w:hint="eastAsia" w:ascii="宋体"/>
                <w:b w:val="0"/>
                <w:bCs w:val="0"/>
                <w:color w:val="auto"/>
                <w:sz w:val="24"/>
                <w:szCs w:val="24"/>
                <w:highlight w:val="none"/>
                <w:lang w:val="en-US" w:eastAsia="zh-CN"/>
              </w:rPr>
              <w:t xml:space="preserve">2026 </w:t>
            </w:r>
            <w:r>
              <w:rPr>
                <w:rFonts w:hint="eastAsia" w:ascii="宋体"/>
                <w:b w:val="0"/>
                <w:bCs w:val="0"/>
                <w:color w:val="auto"/>
                <w:sz w:val="24"/>
                <w:szCs w:val="24"/>
                <w:highlight w:val="none"/>
              </w:rPr>
              <w:t>年</w:t>
            </w:r>
            <w:r>
              <w:rPr>
                <w:rFonts w:hint="eastAsia" w:ascii="宋体"/>
                <w:b w:val="0"/>
                <w:bCs w:val="0"/>
                <w:color w:val="auto"/>
                <w:sz w:val="24"/>
                <w:szCs w:val="24"/>
                <w:highlight w:val="none"/>
                <w:lang w:val="en-US" w:eastAsia="zh-CN"/>
              </w:rPr>
              <w:t>01</w:t>
            </w:r>
            <w:r>
              <w:rPr>
                <w:rFonts w:hint="eastAsia" w:ascii="宋体"/>
                <w:b w:val="0"/>
                <w:bCs w:val="0"/>
                <w:color w:val="auto"/>
                <w:sz w:val="24"/>
                <w:szCs w:val="24"/>
                <w:highlight w:val="none"/>
              </w:rPr>
              <w:t>月</w:t>
            </w:r>
            <w:r>
              <w:rPr>
                <w:rFonts w:hint="eastAsia" w:ascii="宋体"/>
                <w:b w:val="0"/>
                <w:bCs w:val="0"/>
                <w:color w:val="auto"/>
                <w:sz w:val="24"/>
                <w:szCs w:val="24"/>
                <w:highlight w:val="none"/>
                <w:lang w:val="en-US" w:eastAsia="zh-CN"/>
              </w:rPr>
              <w:t xml:space="preserve">23 </w:t>
            </w:r>
            <w:r>
              <w:rPr>
                <w:rFonts w:hint="eastAsia" w:ascii="宋体"/>
                <w:b w:val="0"/>
                <w:bCs w:val="0"/>
                <w:color w:val="auto"/>
                <w:sz w:val="24"/>
                <w:szCs w:val="24"/>
                <w:highlight w:val="none"/>
              </w:rPr>
              <w:t>日</w:t>
            </w:r>
            <w:r>
              <w:rPr>
                <w:rFonts w:hint="eastAsia" w:ascii="宋体"/>
                <w:b w:val="0"/>
                <w:bCs w:val="0"/>
                <w:color w:val="auto"/>
                <w:sz w:val="24"/>
                <w:szCs w:val="24"/>
                <w:highlight w:val="none"/>
                <w:lang w:val="en-US" w:eastAsia="zh-CN"/>
              </w:rPr>
              <w:t>09</w:t>
            </w:r>
            <w:r>
              <w:rPr>
                <w:rFonts w:hint="eastAsia" w:ascii="宋体"/>
                <w:b w:val="0"/>
                <w:bCs w:val="0"/>
                <w:color w:val="auto"/>
                <w:sz w:val="24"/>
                <w:szCs w:val="24"/>
                <w:highlight w:val="none"/>
              </w:rPr>
              <w:t>点</w:t>
            </w:r>
            <w:r>
              <w:rPr>
                <w:rFonts w:hint="eastAsia" w:ascii="宋体"/>
                <w:b w:val="0"/>
                <w:bCs w:val="0"/>
                <w:color w:val="auto"/>
                <w:sz w:val="24"/>
                <w:szCs w:val="24"/>
                <w:highlight w:val="none"/>
                <w:lang w:val="en-US" w:eastAsia="zh-CN"/>
              </w:rPr>
              <w:t xml:space="preserve"> 30 </w:t>
            </w:r>
            <w:r>
              <w:rPr>
                <w:rFonts w:hint="eastAsia" w:ascii="宋体"/>
                <w:b w:val="0"/>
                <w:bCs w:val="0"/>
                <w:color w:val="auto"/>
                <w:sz w:val="24"/>
                <w:szCs w:val="24"/>
                <w:highlight w:val="none"/>
              </w:rPr>
              <w:t>分；</w:t>
            </w:r>
          </w:p>
          <w:p w14:paraId="3B0D6109">
            <w:pPr>
              <w:keepNext w:val="0"/>
              <w:keepLines w:val="0"/>
              <w:pageBreakBefore w:val="0"/>
              <w:kinsoku/>
              <w:wordWrap/>
              <w:overflowPunct/>
              <w:topLinePunct w:val="0"/>
              <w:bidi w:val="0"/>
              <w:adjustRightInd/>
              <w:spacing w:line="360" w:lineRule="auto"/>
              <w:outlineLvl w:val="9"/>
              <w:rPr>
                <w:rFonts w:ascii="宋体"/>
                <w:b w:val="0"/>
                <w:bCs w:val="0"/>
                <w:color w:val="auto"/>
                <w:sz w:val="24"/>
                <w:szCs w:val="24"/>
                <w:highlight w:val="none"/>
              </w:rPr>
            </w:pPr>
            <w:r>
              <w:rPr>
                <w:rFonts w:hint="eastAsia" w:ascii="宋体"/>
                <w:b w:val="0"/>
                <w:bCs w:val="0"/>
                <w:color w:val="auto"/>
                <w:sz w:val="24"/>
                <w:szCs w:val="24"/>
                <w:highlight w:val="none"/>
              </w:rPr>
              <w:t>竞标人递交响应文件的地点：“</w:t>
            </w:r>
            <w:r>
              <w:rPr>
                <w:rFonts w:hint="eastAsia" w:ascii="宋体" w:hAnsi="宋体" w:cs="Tahoma"/>
                <w:b w:val="0"/>
                <w:bCs w:val="0"/>
                <w:color w:val="auto"/>
                <w:kern w:val="0"/>
                <w:sz w:val="24"/>
                <w:szCs w:val="24"/>
                <w:highlight w:val="none"/>
                <w:u w:val="none"/>
                <w:lang w:eastAsia="zh-CN"/>
              </w:rPr>
              <w:t>广西政府采购云</w:t>
            </w:r>
            <w:r>
              <w:rPr>
                <w:rFonts w:hint="eastAsia" w:ascii="宋体"/>
                <w:b w:val="0"/>
                <w:bCs w:val="0"/>
                <w:color w:val="auto"/>
                <w:sz w:val="24"/>
                <w:szCs w:val="24"/>
                <w:highlight w:val="none"/>
              </w:rPr>
              <w:t xml:space="preserve">”平台开标大厅   </w:t>
            </w:r>
          </w:p>
        </w:tc>
      </w:tr>
      <w:tr w14:paraId="1A98C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vAlign w:val="center"/>
          </w:tcPr>
          <w:p w14:paraId="58B49F5A">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10</w:t>
            </w:r>
          </w:p>
        </w:tc>
        <w:tc>
          <w:tcPr>
            <w:tcW w:w="2028" w:type="dxa"/>
            <w:tcBorders>
              <w:top w:val="single" w:color="000000" w:sz="4" w:space="0"/>
              <w:left w:val="single" w:color="000000" w:sz="4" w:space="0"/>
              <w:bottom w:val="single" w:color="000000" w:sz="4" w:space="0"/>
              <w:right w:val="single" w:color="000000" w:sz="4" w:space="0"/>
            </w:tcBorders>
            <w:vAlign w:val="center"/>
          </w:tcPr>
          <w:p w14:paraId="0DBF0702">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磋商时间</w:t>
            </w:r>
          </w:p>
        </w:tc>
        <w:tc>
          <w:tcPr>
            <w:tcW w:w="7032" w:type="dxa"/>
            <w:tcBorders>
              <w:top w:val="single" w:color="000000" w:sz="4" w:space="0"/>
              <w:left w:val="single" w:color="000000" w:sz="4" w:space="0"/>
              <w:bottom w:val="single" w:color="000000" w:sz="4" w:space="0"/>
              <w:right w:val="single" w:color="000000" w:sz="4" w:space="0"/>
            </w:tcBorders>
            <w:vAlign w:val="center"/>
          </w:tcPr>
          <w:p w14:paraId="410E544F">
            <w:pPr>
              <w:keepNext w:val="0"/>
              <w:keepLines w:val="0"/>
              <w:pageBreakBefore w:val="0"/>
              <w:kinsoku/>
              <w:wordWrap/>
              <w:overflowPunct/>
              <w:topLinePunct w:val="0"/>
              <w:bidi w:val="0"/>
              <w:adjustRightInd/>
              <w:spacing w:line="360" w:lineRule="auto"/>
              <w:jc w:val="left"/>
              <w:outlineLvl w:val="9"/>
              <w:rPr>
                <w:rFonts w:ascii="宋体"/>
                <w:b w:val="0"/>
                <w:bCs w:val="0"/>
                <w:color w:val="auto"/>
                <w:sz w:val="24"/>
                <w:szCs w:val="24"/>
                <w:highlight w:val="none"/>
              </w:rPr>
            </w:pPr>
            <w:r>
              <w:rPr>
                <w:rFonts w:hint="eastAsia" w:ascii="宋体"/>
                <w:b w:val="0"/>
                <w:bCs w:val="0"/>
                <w:color w:val="auto"/>
                <w:sz w:val="24"/>
                <w:szCs w:val="24"/>
                <w:highlight w:val="none"/>
              </w:rPr>
              <w:t>磋商时间：</w:t>
            </w:r>
            <w:r>
              <w:rPr>
                <w:rFonts w:hint="eastAsia" w:ascii="宋体"/>
                <w:b w:val="0"/>
                <w:bCs w:val="0"/>
                <w:color w:val="auto"/>
                <w:sz w:val="24"/>
                <w:szCs w:val="24"/>
                <w:highlight w:val="none"/>
                <w:lang w:val="en-US" w:eastAsia="zh-CN"/>
              </w:rPr>
              <w:t xml:space="preserve">2026 </w:t>
            </w:r>
            <w:r>
              <w:rPr>
                <w:rFonts w:hint="eastAsia" w:ascii="宋体"/>
                <w:b w:val="0"/>
                <w:bCs w:val="0"/>
                <w:color w:val="auto"/>
                <w:sz w:val="24"/>
                <w:szCs w:val="24"/>
                <w:highlight w:val="none"/>
              </w:rPr>
              <w:t>年</w:t>
            </w:r>
            <w:r>
              <w:rPr>
                <w:rFonts w:hint="eastAsia" w:ascii="宋体"/>
                <w:b w:val="0"/>
                <w:bCs w:val="0"/>
                <w:color w:val="auto"/>
                <w:sz w:val="24"/>
                <w:szCs w:val="24"/>
                <w:highlight w:val="none"/>
                <w:lang w:val="en-US" w:eastAsia="zh-CN"/>
              </w:rPr>
              <w:t>01</w:t>
            </w:r>
            <w:r>
              <w:rPr>
                <w:rFonts w:hint="eastAsia" w:ascii="宋体"/>
                <w:b w:val="0"/>
                <w:bCs w:val="0"/>
                <w:color w:val="auto"/>
                <w:sz w:val="24"/>
                <w:szCs w:val="24"/>
                <w:highlight w:val="none"/>
              </w:rPr>
              <w:t>月</w:t>
            </w:r>
            <w:r>
              <w:rPr>
                <w:rFonts w:hint="eastAsia" w:ascii="宋体"/>
                <w:b w:val="0"/>
                <w:bCs w:val="0"/>
                <w:color w:val="auto"/>
                <w:sz w:val="24"/>
                <w:szCs w:val="24"/>
                <w:highlight w:val="none"/>
                <w:lang w:val="en-US" w:eastAsia="zh-CN"/>
              </w:rPr>
              <w:t xml:space="preserve">23 </w:t>
            </w:r>
            <w:r>
              <w:rPr>
                <w:rFonts w:hint="eastAsia" w:ascii="宋体"/>
                <w:b w:val="0"/>
                <w:bCs w:val="0"/>
                <w:color w:val="auto"/>
                <w:sz w:val="24"/>
                <w:szCs w:val="24"/>
                <w:highlight w:val="none"/>
              </w:rPr>
              <w:t>日</w:t>
            </w:r>
            <w:r>
              <w:rPr>
                <w:rFonts w:hint="eastAsia" w:ascii="宋体"/>
                <w:b w:val="0"/>
                <w:bCs w:val="0"/>
                <w:color w:val="auto"/>
                <w:sz w:val="24"/>
                <w:szCs w:val="24"/>
                <w:highlight w:val="none"/>
                <w:lang w:val="en-US" w:eastAsia="zh-CN"/>
              </w:rPr>
              <w:t>09</w:t>
            </w:r>
            <w:r>
              <w:rPr>
                <w:rFonts w:hint="eastAsia" w:ascii="宋体"/>
                <w:b w:val="0"/>
                <w:bCs w:val="0"/>
                <w:color w:val="auto"/>
                <w:sz w:val="24"/>
                <w:szCs w:val="24"/>
                <w:highlight w:val="none"/>
              </w:rPr>
              <w:t>点</w:t>
            </w:r>
            <w:r>
              <w:rPr>
                <w:rFonts w:hint="eastAsia" w:ascii="宋体"/>
                <w:b w:val="0"/>
                <w:bCs w:val="0"/>
                <w:color w:val="auto"/>
                <w:sz w:val="24"/>
                <w:szCs w:val="24"/>
                <w:highlight w:val="none"/>
                <w:lang w:val="en-US" w:eastAsia="zh-CN"/>
              </w:rPr>
              <w:t xml:space="preserve"> 30 </w:t>
            </w:r>
            <w:r>
              <w:rPr>
                <w:rFonts w:hint="eastAsia" w:ascii="宋体"/>
                <w:b w:val="0"/>
                <w:bCs w:val="0"/>
                <w:color w:val="auto"/>
                <w:sz w:val="24"/>
                <w:szCs w:val="24"/>
                <w:highlight w:val="none"/>
              </w:rPr>
              <w:t>分截标后（具体时间由代理机构工作人员另行通知）</w:t>
            </w:r>
          </w:p>
          <w:p w14:paraId="1CA08F3A">
            <w:pPr>
              <w:keepNext w:val="0"/>
              <w:keepLines w:val="0"/>
              <w:pageBreakBefore w:val="0"/>
              <w:kinsoku/>
              <w:wordWrap/>
              <w:overflowPunct/>
              <w:topLinePunct w:val="0"/>
              <w:bidi w:val="0"/>
              <w:adjustRightInd/>
              <w:spacing w:line="360" w:lineRule="auto"/>
              <w:outlineLvl w:val="9"/>
              <w:rPr>
                <w:rFonts w:ascii="宋体"/>
                <w:b w:val="0"/>
                <w:bCs w:val="0"/>
                <w:color w:val="auto"/>
                <w:sz w:val="24"/>
                <w:szCs w:val="24"/>
                <w:highlight w:val="none"/>
              </w:rPr>
            </w:pPr>
            <w:r>
              <w:rPr>
                <w:rFonts w:hint="eastAsia" w:ascii="宋体"/>
                <w:b w:val="0"/>
                <w:bCs w:val="0"/>
                <w:color w:val="auto"/>
                <w:sz w:val="24"/>
                <w:szCs w:val="24"/>
                <w:highlight w:val="none"/>
              </w:rPr>
              <w:t>磋商地点：“</w:t>
            </w:r>
            <w:r>
              <w:rPr>
                <w:rFonts w:hint="eastAsia" w:ascii="宋体" w:hAnsi="宋体" w:cs="Tahoma"/>
                <w:b w:val="0"/>
                <w:bCs w:val="0"/>
                <w:color w:val="auto"/>
                <w:kern w:val="0"/>
                <w:sz w:val="24"/>
                <w:szCs w:val="24"/>
                <w:highlight w:val="none"/>
                <w:u w:val="none"/>
                <w:lang w:eastAsia="zh-CN"/>
              </w:rPr>
              <w:t>广西政府采购云</w:t>
            </w:r>
            <w:r>
              <w:rPr>
                <w:rFonts w:hint="eastAsia" w:ascii="宋体"/>
                <w:b w:val="0"/>
                <w:bCs w:val="0"/>
                <w:color w:val="auto"/>
                <w:sz w:val="24"/>
                <w:szCs w:val="24"/>
                <w:highlight w:val="none"/>
              </w:rPr>
              <w:t>”平台开标大厅实行在线竞标响应</w:t>
            </w:r>
          </w:p>
        </w:tc>
      </w:tr>
      <w:tr w14:paraId="2AE1D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vAlign w:val="center"/>
          </w:tcPr>
          <w:p w14:paraId="6EDDFB5F">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11</w:t>
            </w:r>
          </w:p>
        </w:tc>
        <w:tc>
          <w:tcPr>
            <w:tcW w:w="2028" w:type="dxa"/>
            <w:tcBorders>
              <w:top w:val="single" w:color="000000" w:sz="4" w:space="0"/>
              <w:left w:val="single" w:color="000000" w:sz="4" w:space="0"/>
              <w:bottom w:val="single" w:color="000000" w:sz="4" w:space="0"/>
              <w:right w:val="single" w:color="000000" w:sz="4" w:space="0"/>
            </w:tcBorders>
            <w:vAlign w:val="center"/>
          </w:tcPr>
          <w:p w14:paraId="082A0085">
            <w:pPr>
              <w:pStyle w:val="723"/>
              <w:keepNext w:val="0"/>
              <w:keepLines w:val="0"/>
              <w:pageBreakBefore w:val="0"/>
              <w:widowControl/>
              <w:kinsoku/>
              <w:wordWrap/>
              <w:overflowPunct/>
              <w:topLinePunct w:val="0"/>
              <w:bidi w:val="0"/>
              <w:adjustRightInd/>
              <w:spacing w:line="360" w:lineRule="auto"/>
              <w:jc w:val="center"/>
              <w:textAlignment w:val="baseline"/>
              <w:outlineLvl w:val="9"/>
              <w:rPr>
                <w:rStyle w:val="747"/>
                <w:rFonts w:ascii="宋体" w:hAnsi="宋体" w:cs="宋体"/>
                <w:b/>
                <w:color w:val="auto"/>
                <w:sz w:val="24"/>
                <w:szCs w:val="24"/>
                <w:highlight w:val="none"/>
              </w:rPr>
            </w:pPr>
            <w:r>
              <w:rPr>
                <w:rStyle w:val="747"/>
                <w:rFonts w:hint="eastAsia" w:ascii="宋体" w:hAnsi="宋体" w:cs="宋体"/>
                <w:b/>
                <w:color w:val="auto"/>
                <w:sz w:val="24"/>
                <w:szCs w:val="24"/>
                <w:highlight w:val="none"/>
              </w:rPr>
              <w:t>在线竞标响应</w:t>
            </w:r>
          </w:p>
          <w:p w14:paraId="5A865EB3">
            <w:pPr>
              <w:pStyle w:val="723"/>
              <w:keepNext w:val="0"/>
              <w:keepLines w:val="0"/>
              <w:pageBreakBefore w:val="0"/>
              <w:widowControl/>
              <w:kinsoku/>
              <w:wordWrap/>
              <w:overflowPunct/>
              <w:topLinePunct w:val="0"/>
              <w:bidi w:val="0"/>
              <w:adjustRightInd/>
              <w:spacing w:line="360" w:lineRule="auto"/>
              <w:jc w:val="center"/>
              <w:textAlignment w:val="baseline"/>
              <w:outlineLvl w:val="9"/>
              <w:rPr>
                <w:rStyle w:val="747"/>
                <w:rFonts w:ascii="宋体" w:hAnsi="宋体" w:cs="宋体"/>
                <w:b/>
                <w:color w:val="auto"/>
                <w:sz w:val="24"/>
                <w:szCs w:val="24"/>
                <w:highlight w:val="none"/>
              </w:rPr>
            </w:pPr>
            <w:r>
              <w:rPr>
                <w:rStyle w:val="747"/>
                <w:rFonts w:hint="eastAsia" w:ascii="宋体" w:hAnsi="宋体" w:cs="宋体"/>
                <w:b/>
                <w:color w:val="auto"/>
                <w:sz w:val="24"/>
                <w:szCs w:val="24"/>
                <w:highlight w:val="none"/>
              </w:rPr>
              <w:t>（电子竞标）</w:t>
            </w:r>
          </w:p>
          <w:p w14:paraId="259E6BAD">
            <w:pPr>
              <w:pStyle w:val="723"/>
              <w:keepNext w:val="0"/>
              <w:keepLines w:val="0"/>
              <w:pageBreakBefore w:val="0"/>
              <w:widowControl/>
              <w:kinsoku/>
              <w:wordWrap/>
              <w:overflowPunct/>
              <w:topLinePunct w:val="0"/>
              <w:bidi w:val="0"/>
              <w:adjustRightInd/>
              <w:spacing w:line="360" w:lineRule="auto"/>
              <w:jc w:val="center"/>
              <w:textAlignment w:val="baseline"/>
              <w:outlineLvl w:val="9"/>
              <w:rPr>
                <w:rStyle w:val="747"/>
                <w:rFonts w:ascii="宋体" w:hAnsi="宋体" w:cs="宋体"/>
                <w:b/>
                <w:color w:val="auto"/>
                <w:sz w:val="24"/>
                <w:szCs w:val="24"/>
                <w:highlight w:val="none"/>
              </w:rPr>
            </w:pPr>
            <w:r>
              <w:rPr>
                <w:rStyle w:val="747"/>
                <w:rFonts w:hint="eastAsia" w:ascii="宋体" w:hAnsi="宋体" w:cs="宋体"/>
                <w:b/>
                <w:color w:val="auto"/>
                <w:sz w:val="24"/>
                <w:szCs w:val="24"/>
                <w:highlight w:val="none"/>
              </w:rPr>
              <w:t>说明及注意事项</w:t>
            </w:r>
          </w:p>
          <w:p w14:paraId="5CE9ABC6">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p>
        </w:tc>
        <w:tc>
          <w:tcPr>
            <w:tcW w:w="7032" w:type="dxa"/>
            <w:tcBorders>
              <w:top w:val="single" w:color="000000" w:sz="4" w:space="0"/>
              <w:left w:val="single" w:color="000000" w:sz="4" w:space="0"/>
              <w:bottom w:val="single" w:color="000000" w:sz="4" w:space="0"/>
              <w:right w:val="single" w:color="000000" w:sz="4" w:space="0"/>
            </w:tcBorders>
            <w:vAlign w:val="center"/>
          </w:tcPr>
          <w:p w14:paraId="180050F7">
            <w:pPr>
              <w:pStyle w:val="723"/>
              <w:keepNext w:val="0"/>
              <w:keepLines w:val="0"/>
              <w:pageBreakBefore w:val="0"/>
              <w:widowControl/>
              <w:kinsoku/>
              <w:wordWrap/>
              <w:overflowPunct/>
              <w:topLinePunct w:val="0"/>
              <w:bidi w:val="0"/>
              <w:adjustRightInd/>
              <w:spacing w:line="360" w:lineRule="auto"/>
              <w:jc w:val="left"/>
              <w:textAlignment w:val="baseline"/>
              <w:outlineLvl w:val="9"/>
              <w:rPr>
                <w:rStyle w:val="747"/>
                <w:rFonts w:hint="eastAsia" w:ascii="宋体" w:hAnsi="宋体" w:eastAsia="宋体" w:cs="宋体"/>
                <w:b w:val="0"/>
                <w:bCs/>
                <w:color w:val="auto"/>
                <w:sz w:val="24"/>
                <w:szCs w:val="24"/>
                <w:highlight w:val="none"/>
              </w:rPr>
            </w:pPr>
            <w:r>
              <w:rPr>
                <w:rStyle w:val="747"/>
                <w:rFonts w:hint="eastAsia" w:ascii="宋体" w:hAnsi="宋体" w:eastAsia="宋体" w:cs="宋体"/>
                <w:b w:val="0"/>
                <w:bCs/>
                <w:color w:val="auto"/>
                <w:sz w:val="24"/>
                <w:szCs w:val="24"/>
                <w:highlight w:val="none"/>
              </w:rPr>
              <w:t>1.本项目为全流程电子化采购项目，通过“</w:t>
            </w:r>
            <w:r>
              <w:rPr>
                <w:rStyle w:val="747"/>
                <w:rFonts w:hint="eastAsia" w:ascii="宋体" w:hAnsi="宋体" w:eastAsia="宋体" w:cs="宋体"/>
                <w:b w:val="0"/>
                <w:bCs/>
                <w:color w:val="auto"/>
                <w:sz w:val="24"/>
                <w:szCs w:val="24"/>
                <w:highlight w:val="none"/>
                <w:lang w:eastAsia="zh-CN"/>
              </w:rPr>
              <w:t>广西政府采购云</w:t>
            </w:r>
            <w:r>
              <w:rPr>
                <w:rStyle w:val="747"/>
                <w:rFonts w:hint="eastAsia" w:ascii="宋体" w:hAnsi="宋体" w:eastAsia="宋体" w:cs="宋体"/>
                <w:b w:val="0"/>
                <w:bCs/>
                <w:color w:val="auto"/>
                <w:sz w:val="24"/>
                <w:szCs w:val="24"/>
                <w:highlight w:val="none"/>
              </w:rPr>
              <w:t>”平台实行在线电子竞标，供应商应先安装“</w:t>
            </w:r>
            <w:r>
              <w:rPr>
                <w:rStyle w:val="747"/>
                <w:rFonts w:hint="eastAsia" w:ascii="宋体" w:hAnsi="宋体" w:eastAsia="宋体" w:cs="宋体"/>
                <w:b w:val="0"/>
                <w:bCs/>
                <w:color w:val="auto"/>
                <w:sz w:val="24"/>
                <w:szCs w:val="24"/>
                <w:highlight w:val="none"/>
                <w:lang w:eastAsia="zh-CN"/>
              </w:rPr>
              <w:t>广西政府采购云</w:t>
            </w:r>
            <w:r>
              <w:rPr>
                <w:rStyle w:val="747"/>
                <w:rFonts w:hint="eastAsia" w:ascii="宋体" w:hAnsi="宋体" w:eastAsia="宋体" w:cs="宋体"/>
                <w:b w:val="0"/>
                <w:bCs/>
                <w:color w:val="auto"/>
                <w:sz w:val="24"/>
                <w:szCs w:val="24"/>
                <w:highlight w:val="none"/>
              </w:rPr>
              <w:t>电子交易客户端”（请自行前往“</w:t>
            </w:r>
            <w:r>
              <w:rPr>
                <w:rStyle w:val="747"/>
                <w:rFonts w:hint="eastAsia" w:ascii="宋体" w:hAnsi="宋体" w:eastAsia="宋体" w:cs="宋体"/>
                <w:b w:val="0"/>
                <w:bCs/>
                <w:color w:val="auto"/>
                <w:sz w:val="24"/>
                <w:szCs w:val="24"/>
                <w:highlight w:val="none"/>
                <w:lang w:eastAsia="zh-CN"/>
              </w:rPr>
              <w:t>广西政府采购云</w:t>
            </w:r>
            <w:r>
              <w:rPr>
                <w:rStyle w:val="747"/>
                <w:rFonts w:hint="eastAsia" w:ascii="宋体" w:hAnsi="宋体" w:eastAsia="宋体" w:cs="宋体"/>
                <w:b w:val="0"/>
                <w:bCs/>
                <w:color w:val="auto"/>
                <w:sz w:val="24"/>
                <w:szCs w:val="24"/>
                <w:highlight w:val="none"/>
              </w:rPr>
              <w:t>”平台进行下载），并按照本项目采购文件和“</w:t>
            </w:r>
            <w:r>
              <w:rPr>
                <w:rStyle w:val="747"/>
                <w:rFonts w:hint="eastAsia" w:ascii="宋体" w:hAnsi="宋体" w:eastAsia="宋体" w:cs="宋体"/>
                <w:b w:val="0"/>
                <w:bCs/>
                <w:color w:val="auto"/>
                <w:sz w:val="24"/>
                <w:szCs w:val="24"/>
                <w:highlight w:val="none"/>
                <w:lang w:eastAsia="zh-CN"/>
              </w:rPr>
              <w:t>广西政府采购云</w:t>
            </w:r>
            <w:r>
              <w:rPr>
                <w:rStyle w:val="747"/>
                <w:rFonts w:hint="eastAsia" w:ascii="宋体" w:hAnsi="宋体" w:eastAsia="宋体" w:cs="宋体"/>
                <w:b w:val="0"/>
                <w:bCs/>
                <w:color w:val="auto"/>
                <w:sz w:val="24"/>
                <w:szCs w:val="24"/>
                <w:highlight w:val="none"/>
              </w:rPr>
              <w:t>”平台的要求编制、加密后在响应文件递交截止时间前通过网络上传至 “</w:t>
            </w:r>
            <w:r>
              <w:rPr>
                <w:rStyle w:val="747"/>
                <w:rFonts w:hint="eastAsia" w:ascii="宋体" w:hAnsi="宋体" w:eastAsia="宋体" w:cs="宋体"/>
                <w:b w:val="0"/>
                <w:bCs/>
                <w:color w:val="auto"/>
                <w:sz w:val="24"/>
                <w:szCs w:val="24"/>
                <w:highlight w:val="none"/>
                <w:lang w:eastAsia="zh-CN"/>
              </w:rPr>
              <w:t>广西政府采购云</w:t>
            </w:r>
            <w:r>
              <w:rPr>
                <w:rStyle w:val="747"/>
                <w:rFonts w:hint="eastAsia" w:ascii="宋体" w:hAnsi="宋体" w:eastAsia="宋体" w:cs="宋体"/>
                <w:b w:val="0"/>
                <w:bCs/>
                <w:color w:val="auto"/>
                <w:sz w:val="24"/>
                <w:szCs w:val="24"/>
                <w:highlight w:val="none"/>
              </w:rPr>
              <w:t>”平台，供应商在“</w:t>
            </w:r>
            <w:r>
              <w:rPr>
                <w:rStyle w:val="747"/>
                <w:rFonts w:hint="eastAsia" w:ascii="宋体" w:hAnsi="宋体" w:eastAsia="宋体" w:cs="宋体"/>
                <w:b w:val="0"/>
                <w:bCs/>
                <w:color w:val="auto"/>
                <w:sz w:val="24"/>
                <w:szCs w:val="24"/>
                <w:highlight w:val="none"/>
                <w:lang w:eastAsia="zh-CN"/>
              </w:rPr>
              <w:t>广西政府采购云</w:t>
            </w:r>
            <w:r>
              <w:rPr>
                <w:rStyle w:val="747"/>
                <w:rFonts w:hint="eastAsia" w:ascii="宋体" w:hAnsi="宋体" w:eastAsia="宋体" w:cs="宋体"/>
                <w:b w:val="0"/>
                <w:bCs/>
                <w:color w:val="auto"/>
                <w:sz w:val="24"/>
                <w:szCs w:val="24"/>
                <w:highlight w:val="none"/>
              </w:rPr>
              <w:t>”平台提交电子响应文件时，请填写参加远程开标活动经办人联系方式。供应商登录“</w:t>
            </w:r>
            <w:r>
              <w:rPr>
                <w:rStyle w:val="747"/>
                <w:rFonts w:hint="eastAsia" w:ascii="宋体" w:hAnsi="宋体" w:eastAsia="宋体" w:cs="宋体"/>
                <w:b w:val="0"/>
                <w:bCs/>
                <w:color w:val="auto"/>
                <w:sz w:val="24"/>
                <w:szCs w:val="24"/>
                <w:highlight w:val="none"/>
                <w:lang w:eastAsia="zh-CN"/>
              </w:rPr>
              <w:t>广西政府采购云</w:t>
            </w:r>
            <w:r>
              <w:rPr>
                <w:rStyle w:val="747"/>
                <w:rFonts w:hint="eastAsia" w:ascii="宋体" w:hAnsi="宋体" w:eastAsia="宋体" w:cs="宋体"/>
                <w:b w:val="0"/>
                <w:bCs/>
                <w:color w:val="auto"/>
                <w:sz w:val="24"/>
                <w:szCs w:val="24"/>
                <w:highlight w:val="none"/>
              </w:rPr>
              <w:t>”平台，依次进入“服务中心-项目采购-操作流程-电子招投标-政府采购项目电子交易管理操作指南-供应商”查看电子投标具体操作流程。</w:t>
            </w:r>
          </w:p>
          <w:p w14:paraId="0DDC0B34">
            <w:pPr>
              <w:pStyle w:val="723"/>
              <w:keepNext w:val="0"/>
              <w:keepLines w:val="0"/>
              <w:pageBreakBefore w:val="0"/>
              <w:widowControl/>
              <w:kinsoku/>
              <w:wordWrap/>
              <w:overflowPunct/>
              <w:topLinePunct w:val="0"/>
              <w:bidi w:val="0"/>
              <w:adjustRightInd/>
              <w:spacing w:line="360" w:lineRule="auto"/>
              <w:jc w:val="left"/>
              <w:textAlignment w:val="baseline"/>
              <w:outlineLvl w:val="9"/>
              <w:rPr>
                <w:rStyle w:val="747"/>
                <w:rFonts w:hint="eastAsia" w:ascii="宋体" w:hAnsi="宋体" w:eastAsia="宋体" w:cs="宋体"/>
                <w:b w:val="0"/>
                <w:bCs/>
                <w:color w:val="auto"/>
                <w:sz w:val="24"/>
                <w:szCs w:val="24"/>
                <w:highlight w:val="none"/>
              </w:rPr>
            </w:pPr>
            <w:r>
              <w:rPr>
                <w:rStyle w:val="747"/>
                <w:rFonts w:hint="eastAsia" w:ascii="宋体" w:hAnsi="宋体" w:eastAsia="宋体" w:cs="宋体"/>
                <w:b w:val="0"/>
                <w:bCs/>
                <w:color w:val="auto"/>
                <w:sz w:val="24"/>
                <w:szCs w:val="24"/>
                <w:highlight w:val="none"/>
              </w:rPr>
              <w:t>2.未进行网上注册并办理数字证书（CA认证）的供应商将无法参与本项目政府采购活动，供应商应当在响应文件递交截止时间前，完成电子交易平台上的CA数字证书办理（供应商可登录“广西政府采购网”，依次进入“办事服务-下载专区”或者登陆“</w:t>
            </w:r>
            <w:r>
              <w:rPr>
                <w:rStyle w:val="747"/>
                <w:rFonts w:hint="eastAsia" w:ascii="宋体" w:hAnsi="宋体" w:eastAsia="宋体" w:cs="宋体"/>
                <w:b w:val="0"/>
                <w:bCs/>
                <w:color w:val="auto"/>
                <w:sz w:val="24"/>
                <w:szCs w:val="24"/>
                <w:highlight w:val="none"/>
                <w:lang w:eastAsia="zh-CN"/>
              </w:rPr>
              <w:t>广西政府采购云</w:t>
            </w:r>
            <w:r>
              <w:rPr>
                <w:rStyle w:val="747"/>
                <w:rFonts w:hint="eastAsia" w:ascii="宋体" w:hAnsi="宋体" w:eastAsia="宋体" w:cs="宋体"/>
                <w:b w:val="0"/>
                <w:bCs/>
                <w:color w:val="auto"/>
                <w:sz w:val="24"/>
                <w:szCs w:val="24"/>
                <w:highlight w:val="none"/>
              </w:rPr>
              <w:t>”平台，依次进入“服务中心-入驻与配置”中查看CA数字证书办理操作流程。如在操作过程中遇到问题或者需要技术支持，请致电</w:t>
            </w:r>
            <w:r>
              <w:rPr>
                <w:rStyle w:val="747"/>
                <w:rFonts w:hint="eastAsia" w:ascii="宋体" w:hAnsi="宋体" w:eastAsia="宋体" w:cs="宋体"/>
                <w:b w:val="0"/>
                <w:bCs/>
                <w:color w:val="auto"/>
                <w:sz w:val="24"/>
                <w:szCs w:val="24"/>
                <w:highlight w:val="none"/>
                <w:lang w:eastAsia="zh-CN"/>
              </w:rPr>
              <w:t>广西政府采购云</w:t>
            </w:r>
            <w:r>
              <w:rPr>
                <w:rStyle w:val="747"/>
                <w:rFonts w:hint="eastAsia" w:ascii="宋体" w:hAnsi="宋体" w:eastAsia="宋体" w:cs="宋体"/>
                <w:b w:val="0"/>
                <w:bCs/>
                <w:color w:val="auto"/>
                <w:sz w:val="24"/>
                <w:szCs w:val="24"/>
                <w:highlight w:val="none"/>
              </w:rPr>
              <w:t>客服热线：</w:t>
            </w:r>
            <w:r>
              <w:rPr>
                <w:rStyle w:val="747"/>
                <w:rFonts w:hint="eastAsia" w:ascii="宋体" w:hAnsi="宋体" w:eastAsia="宋体" w:cs="宋体"/>
                <w:b w:val="0"/>
                <w:bCs/>
                <w:color w:val="auto"/>
                <w:sz w:val="24"/>
                <w:szCs w:val="24"/>
                <w:highlight w:val="none"/>
                <w:lang w:val="en-US" w:eastAsia="zh-CN"/>
              </w:rPr>
              <w:t>95763</w:t>
            </w:r>
            <w:r>
              <w:rPr>
                <w:rStyle w:val="747"/>
                <w:rFonts w:hint="eastAsia" w:ascii="宋体" w:hAnsi="宋体" w:eastAsia="宋体" w:cs="宋体"/>
                <w:b w:val="0"/>
                <w:bCs/>
                <w:color w:val="auto"/>
                <w:sz w:val="24"/>
                <w:szCs w:val="24"/>
                <w:highlight w:val="none"/>
              </w:rPr>
              <w:t>或者0771-3381253）及响应文件的提交。</w:t>
            </w:r>
          </w:p>
          <w:p w14:paraId="7E4722A9">
            <w:pPr>
              <w:pStyle w:val="723"/>
              <w:keepNext w:val="0"/>
              <w:keepLines w:val="0"/>
              <w:pageBreakBefore w:val="0"/>
              <w:widowControl/>
              <w:kinsoku/>
              <w:wordWrap/>
              <w:overflowPunct/>
              <w:topLinePunct w:val="0"/>
              <w:bidi w:val="0"/>
              <w:adjustRightInd/>
              <w:spacing w:line="360" w:lineRule="auto"/>
              <w:jc w:val="left"/>
              <w:textAlignment w:val="baseline"/>
              <w:outlineLvl w:val="9"/>
              <w:rPr>
                <w:rStyle w:val="747"/>
                <w:rFonts w:hint="eastAsia" w:ascii="宋体" w:hAnsi="宋体" w:eastAsia="宋体" w:cs="宋体"/>
                <w:b w:val="0"/>
                <w:bCs/>
                <w:color w:val="auto"/>
                <w:sz w:val="24"/>
                <w:szCs w:val="24"/>
                <w:highlight w:val="none"/>
              </w:rPr>
            </w:pPr>
            <w:r>
              <w:rPr>
                <w:rStyle w:val="747"/>
                <w:rFonts w:hint="eastAsia" w:ascii="宋体" w:hAnsi="宋体" w:eastAsia="宋体" w:cs="宋体"/>
                <w:b w:val="0"/>
                <w:bCs/>
                <w:color w:val="auto"/>
                <w:sz w:val="24"/>
                <w:szCs w:val="24"/>
                <w:highlight w:val="none"/>
              </w:rPr>
              <w:t>3.CA证书在线解密：供应商竞标时，需携带制作响应文件时用来加密的有效数字证书（CA认证）登录“</w:t>
            </w:r>
            <w:r>
              <w:rPr>
                <w:rStyle w:val="747"/>
                <w:rFonts w:hint="eastAsia" w:ascii="宋体" w:hAnsi="宋体" w:eastAsia="宋体" w:cs="宋体"/>
                <w:b w:val="0"/>
                <w:bCs/>
                <w:color w:val="auto"/>
                <w:sz w:val="24"/>
                <w:szCs w:val="24"/>
                <w:highlight w:val="none"/>
                <w:lang w:eastAsia="zh-CN"/>
              </w:rPr>
              <w:t>广西政府采购云</w:t>
            </w:r>
            <w:r>
              <w:rPr>
                <w:rStyle w:val="747"/>
                <w:rFonts w:hint="eastAsia" w:ascii="宋体" w:hAnsi="宋体" w:eastAsia="宋体" w:cs="宋体"/>
                <w:b w:val="0"/>
                <w:bCs/>
                <w:color w:val="auto"/>
                <w:sz w:val="24"/>
                <w:szCs w:val="24"/>
                <w:highlight w:val="none"/>
              </w:rPr>
              <w:t>”平台电子开标大厅现场按规定时间对加密的响应文件进行解密，否则后果自负。</w:t>
            </w:r>
          </w:p>
          <w:p w14:paraId="7229ACC8">
            <w:pPr>
              <w:pStyle w:val="723"/>
              <w:keepNext w:val="0"/>
              <w:keepLines w:val="0"/>
              <w:pageBreakBefore w:val="0"/>
              <w:widowControl/>
              <w:kinsoku/>
              <w:wordWrap/>
              <w:overflowPunct/>
              <w:topLinePunct w:val="0"/>
              <w:bidi w:val="0"/>
              <w:adjustRightInd/>
              <w:spacing w:line="360" w:lineRule="auto"/>
              <w:jc w:val="left"/>
              <w:textAlignment w:val="baseline"/>
              <w:outlineLvl w:val="9"/>
              <w:rPr>
                <w:rStyle w:val="747"/>
                <w:rFonts w:hint="eastAsia" w:ascii="宋体" w:hAnsi="宋体" w:eastAsia="宋体" w:cs="宋体"/>
                <w:b w:val="0"/>
                <w:bCs/>
                <w:color w:val="auto"/>
                <w:sz w:val="24"/>
                <w:szCs w:val="24"/>
                <w:highlight w:val="none"/>
              </w:rPr>
            </w:pPr>
            <w:r>
              <w:rPr>
                <w:rStyle w:val="747"/>
                <w:rFonts w:hint="eastAsia" w:ascii="宋体" w:hAnsi="宋体" w:eastAsia="宋体" w:cs="宋体"/>
                <w:b w:val="0"/>
                <w:bCs/>
                <w:color w:val="auto"/>
                <w:sz w:val="24"/>
                <w:szCs w:val="24"/>
                <w:highlight w:val="none"/>
              </w:rPr>
              <w:t>4.通过“广西政府</w:t>
            </w:r>
            <w:r>
              <w:rPr>
                <w:rStyle w:val="747"/>
                <w:rFonts w:hint="eastAsia" w:ascii="宋体" w:hAnsi="宋体" w:eastAsia="宋体" w:cs="宋体"/>
                <w:b w:val="0"/>
                <w:bCs/>
                <w:color w:val="auto"/>
                <w:sz w:val="24"/>
                <w:szCs w:val="24"/>
                <w:highlight w:val="none"/>
                <w:lang w:eastAsia="zh-CN"/>
              </w:rPr>
              <w:t>采购云</w:t>
            </w:r>
            <w:r>
              <w:rPr>
                <w:rStyle w:val="747"/>
                <w:rFonts w:hint="eastAsia" w:ascii="宋体" w:hAnsi="宋体" w:eastAsia="宋体" w:cs="宋体"/>
                <w:b w:val="0"/>
                <w:bCs/>
                <w:color w:val="auto"/>
                <w:sz w:val="24"/>
                <w:szCs w:val="24"/>
                <w:highlight w:val="none"/>
              </w:rPr>
              <w:t>平台”上传递交的“电子加密响应文件”无法按时解密，供应商递交了电子备份响应文件的，以电子备份响应文件为依据，否则视为响应文件撤回。通过</w:t>
            </w:r>
            <w:r>
              <w:rPr>
                <w:rStyle w:val="747"/>
                <w:rFonts w:hint="eastAsia" w:ascii="宋体" w:hAnsi="宋体" w:eastAsia="宋体" w:cs="宋体"/>
                <w:b w:val="0"/>
                <w:bCs/>
                <w:color w:val="auto"/>
                <w:sz w:val="24"/>
                <w:szCs w:val="24"/>
                <w:highlight w:val="none"/>
                <w:lang w:eastAsia="zh-CN"/>
              </w:rPr>
              <w:t>广西政府采购云</w:t>
            </w:r>
            <w:r>
              <w:rPr>
                <w:rStyle w:val="747"/>
                <w:rFonts w:hint="eastAsia" w:ascii="宋体" w:hAnsi="宋体" w:eastAsia="宋体" w:cs="宋体"/>
                <w:b w:val="0"/>
                <w:bCs/>
                <w:color w:val="auto"/>
                <w:sz w:val="24"/>
                <w:szCs w:val="24"/>
                <w:highlight w:val="none"/>
              </w:rPr>
              <w:t>平台上传递交的电子加密响应文件已按时解密的，电子备份响应文件自动失效。供应商仅递交电子备份响应文件的，竞标无效。</w:t>
            </w:r>
          </w:p>
          <w:p w14:paraId="357367E9">
            <w:pPr>
              <w:pStyle w:val="723"/>
              <w:keepNext w:val="0"/>
              <w:keepLines w:val="0"/>
              <w:pageBreakBefore w:val="0"/>
              <w:widowControl/>
              <w:kinsoku/>
              <w:wordWrap/>
              <w:overflowPunct/>
              <w:topLinePunct w:val="0"/>
              <w:bidi w:val="0"/>
              <w:adjustRightInd/>
              <w:spacing w:line="360" w:lineRule="auto"/>
              <w:jc w:val="left"/>
              <w:textAlignment w:val="baseline"/>
              <w:outlineLvl w:val="9"/>
              <w:rPr>
                <w:rStyle w:val="747"/>
                <w:rFonts w:hint="eastAsia" w:ascii="宋体" w:hAnsi="宋体" w:eastAsia="宋体" w:cs="宋体"/>
                <w:b w:val="0"/>
                <w:bCs/>
                <w:color w:val="auto"/>
                <w:sz w:val="24"/>
                <w:szCs w:val="24"/>
                <w:highlight w:val="none"/>
              </w:rPr>
            </w:pPr>
            <w:r>
              <w:rPr>
                <w:rStyle w:val="747"/>
                <w:rFonts w:hint="eastAsia" w:ascii="宋体" w:hAnsi="宋体" w:eastAsia="宋体" w:cs="宋体"/>
                <w:b w:val="0"/>
                <w:bCs/>
                <w:color w:val="auto"/>
                <w:sz w:val="24"/>
                <w:szCs w:val="24"/>
                <w:highlight w:val="none"/>
              </w:rPr>
              <w:t>5.本项目不接受未登陆“</w:t>
            </w:r>
            <w:r>
              <w:rPr>
                <w:rStyle w:val="747"/>
                <w:rFonts w:hint="eastAsia" w:ascii="宋体" w:hAnsi="宋体" w:eastAsia="宋体" w:cs="宋体"/>
                <w:b w:val="0"/>
                <w:bCs/>
                <w:color w:val="auto"/>
                <w:sz w:val="24"/>
                <w:szCs w:val="24"/>
                <w:highlight w:val="none"/>
                <w:lang w:eastAsia="zh-CN"/>
              </w:rPr>
              <w:t>广西政府采购云</w:t>
            </w:r>
            <w:r>
              <w:rPr>
                <w:rStyle w:val="747"/>
                <w:rFonts w:hint="eastAsia" w:ascii="宋体" w:hAnsi="宋体" w:eastAsia="宋体" w:cs="宋体"/>
                <w:b w:val="0"/>
                <w:bCs/>
                <w:color w:val="auto"/>
                <w:sz w:val="24"/>
                <w:szCs w:val="24"/>
                <w:highlight w:val="none"/>
              </w:rPr>
              <w:t>”平台获取本项目竞争性磋商文件的供应商竞标。</w:t>
            </w:r>
          </w:p>
          <w:p w14:paraId="19E26BB4">
            <w:pPr>
              <w:pStyle w:val="723"/>
              <w:keepNext w:val="0"/>
              <w:keepLines w:val="0"/>
              <w:pageBreakBefore w:val="0"/>
              <w:widowControl/>
              <w:kinsoku/>
              <w:wordWrap/>
              <w:overflowPunct/>
              <w:topLinePunct w:val="0"/>
              <w:bidi w:val="0"/>
              <w:adjustRightInd/>
              <w:spacing w:line="360" w:lineRule="auto"/>
              <w:jc w:val="left"/>
              <w:textAlignment w:val="baseline"/>
              <w:outlineLvl w:val="9"/>
              <w:rPr>
                <w:rStyle w:val="747"/>
                <w:rFonts w:hint="eastAsia" w:ascii="宋体" w:hAnsi="宋体" w:eastAsia="宋体" w:cs="宋体"/>
                <w:b w:val="0"/>
                <w:bCs/>
                <w:color w:val="auto"/>
                <w:sz w:val="24"/>
                <w:szCs w:val="24"/>
                <w:highlight w:val="none"/>
              </w:rPr>
            </w:pPr>
          </w:p>
          <w:p w14:paraId="4E66C9D6">
            <w:pPr>
              <w:pStyle w:val="723"/>
              <w:keepNext w:val="0"/>
              <w:keepLines w:val="0"/>
              <w:pageBreakBefore w:val="0"/>
              <w:widowControl/>
              <w:kinsoku/>
              <w:wordWrap/>
              <w:overflowPunct/>
              <w:topLinePunct w:val="0"/>
              <w:bidi w:val="0"/>
              <w:adjustRightInd/>
              <w:spacing w:line="360" w:lineRule="auto"/>
              <w:jc w:val="left"/>
              <w:textAlignment w:val="baseline"/>
              <w:outlineLvl w:val="9"/>
              <w:rPr>
                <w:rStyle w:val="747"/>
                <w:rFonts w:hint="eastAsia" w:ascii="宋体" w:hAnsi="宋体" w:eastAsia="宋体" w:cs="宋体"/>
                <w:b w:val="0"/>
                <w:bCs/>
                <w:color w:val="auto"/>
                <w:sz w:val="24"/>
                <w:szCs w:val="24"/>
                <w:highlight w:val="none"/>
              </w:rPr>
            </w:pPr>
            <w:r>
              <w:rPr>
                <w:rStyle w:val="747"/>
                <w:rFonts w:hint="eastAsia" w:ascii="宋体" w:hAnsi="宋体" w:eastAsia="宋体" w:cs="宋体"/>
                <w:b w:val="0"/>
                <w:bCs/>
                <w:color w:val="auto"/>
                <w:sz w:val="24"/>
                <w:szCs w:val="24"/>
                <w:highlight w:val="none"/>
              </w:rPr>
              <w:t>注：①为确保网上操作合法、有效和安全，请供应商确保在电子竞标过程中能够对相关数据电文进行加密和使用电子签章，妥善保管CA数字证书并使用有效的CA数字证书参与整个竞标活动。</w:t>
            </w:r>
          </w:p>
          <w:p w14:paraId="52C3FF60">
            <w:pPr>
              <w:pStyle w:val="723"/>
              <w:keepNext w:val="0"/>
              <w:keepLines w:val="0"/>
              <w:pageBreakBefore w:val="0"/>
              <w:widowControl/>
              <w:kinsoku/>
              <w:wordWrap/>
              <w:overflowPunct/>
              <w:topLinePunct w:val="0"/>
              <w:bidi w:val="0"/>
              <w:adjustRightInd/>
              <w:spacing w:line="360" w:lineRule="auto"/>
              <w:jc w:val="left"/>
              <w:textAlignment w:val="baseline"/>
              <w:outlineLvl w:val="9"/>
              <w:rPr>
                <w:rStyle w:val="747"/>
                <w:rFonts w:hint="eastAsia" w:ascii="宋体" w:hAnsi="宋体" w:eastAsia="宋体" w:cs="宋体"/>
                <w:b w:val="0"/>
                <w:bCs/>
                <w:color w:val="auto"/>
                <w:sz w:val="24"/>
                <w:szCs w:val="24"/>
                <w:highlight w:val="none"/>
              </w:rPr>
            </w:pPr>
            <w:r>
              <w:rPr>
                <w:rStyle w:val="747"/>
                <w:rFonts w:hint="eastAsia" w:ascii="宋体" w:hAnsi="宋体" w:eastAsia="宋体" w:cs="宋体"/>
                <w:b w:val="0"/>
                <w:bCs/>
                <w:color w:val="auto"/>
                <w:sz w:val="24"/>
                <w:szCs w:val="24"/>
                <w:highlight w:val="none"/>
              </w:rPr>
              <w:t>②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Style w:val="747"/>
                <w:rFonts w:hint="eastAsia" w:ascii="宋体" w:hAnsi="宋体" w:eastAsia="宋体" w:cs="宋体"/>
                <w:b w:val="0"/>
                <w:bCs/>
                <w:color w:val="auto"/>
                <w:sz w:val="24"/>
                <w:szCs w:val="24"/>
                <w:highlight w:val="none"/>
                <w:lang w:eastAsia="zh-CN"/>
              </w:rPr>
              <w:t>广西政府采购云</w:t>
            </w:r>
            <w:r>
              <w:rPr>
                <w:rStyle w:val="747"/>
                <w:rFonts w:hint="eastAsia" w:ascii="宋体" w:hAnsi="宋体" w:eastAsia="宋体" w:cs="宋体"/>
                <w:b w:val="0"/>
                <w:bCs/>
                <w:color w:val="auto"/>
                <w:sz w:val="24"/>
                <w:szCs w:val="24"/>
                <w:highlight w:val="none"/>
              </w:rPr>
              <w:t>”平台将予以拒收。</w:t>
            </w:r>
          </w:p>
        </w:tc>
      </w:tr>
      <w:tr w14:paraId="2CF6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197405FD">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12</w:t>
            </w:r>
          </w:p>
        </w:tc>
        <w:tc>
          <w:tcPr>
            <w:tcW w:w="2028" w:type="dxa"/>
            <w:tcBorders>
              <w:top w:val="single" w:color="000000" w:sz="4" w:space="0"/>
              <w:left w:val="single" w:color="000000" w:sz="4" w:space="0"/>
              <w:bottom w:val="single" w:color="000000" w:sz="4" w:space="0"/>
              <w:right w:val="single" w:color="000000" w:sz="4" w:space="0"/>
            </w:tcBorders>
            <w:vAlign w:val="center"/>
          </w:tcPr>
          <w:p w14:paraId="434FC331">
            <w:pPr>
              <w:keepNext w:val="0"/>
              <w:keepLines w:val="0"/>
              <w:pageBreakBefore w:val="0"/>
              <w:kinsoku/>
              <w:wordWrap/>
              <w:overflowPunct/>
              <w:topLinePunct w:val="0"/>
              <w:bidi w:val="0"/>
              <w:adjustRightInd/>
              <w:spacing w:line="360" w:lineRule="auto"/>
              <w:jc w:val="center"/>
              <w:outlineLvl w:val="9"/>
              <w:rPr>
                <w:rFonts w:ascii="宋体" w:hAnsi="宋体" w:cs="宋体"/>
                <w:b/>
                <w:bCs/>
                <w:color w:val="auto"/>
                <w:sz w:val="24"/>
                <w:szCs w:val="24"/>
                <w:highlight w:val="none"/>
              </w:rPr>
            </w:pPr>
            <w:r>
              <w:rPr>
                <w:rFonts w:hint="eastAsia" w:ascii="宋体" w:hAnsi="宋体" w:cs="宋体"/>
                <w:b/>
                <w:bCs/>
                <w:color w:val="auto"/>
                <w:sz w:val="24"/>
                <w:szCs w:val="24"/>
                <w:highlight w:val="none"/>
              </w:rPr>
              <w:t>响应文件要求</w:t>
            </w:r>
          </w:p>
          <w:p w14:paraId="661571BB">
            <w:pPr>
              <w:keepNext w:val="0"/>
              <w:keepLines w:val="0"/>
              <w:pageBreakBefore w:val="0"/>
              <w:kinsoku/>
              <w:wordWrap/>
              <w:overflowPunct/>
              <w:topLinePunct w:val="0"/>
              <w:bidi w:val="0"/>
              <w:adjustRightInd/>
              <w:spacing w:line="360" w:lineRule="auto"/>
              <w:jc w:val="center"/>
              <w:outlineLvl w:val="9"/>
              <w:rPr>
                <w:rFonts w:ascii="宋体"/>
                <w:b/>
                <w:bCs/>
                <w:color w:val="auto"/>
                <w:sz w:val="24"/>
                <w:szCs w:val="24"/>
                <w:highlight w:val="none"/>
              </w:rPr>
            </w:pPr>
            <w:r>
              <w:rPr>
                <w:rFonts w:hint="eastAsia" w:ascii="宋体" w:hAnsi="宋体" w:cs="宋体"/>
                <w:b/>
                <w:bCs/>
                <w:color w:val="auto"/>
                <w:sz w:val="24"/>
                <w:szCs w:val="24"/>
                <w:highlight w:val="none"/>
              </w:rPr>
              <w:t>（电子版）</w:t>
            </w:r>
          </w:p>
        </w:tc>
        <w:tc>
          <w:tcPr>
            <w:tcW w:w="7032" w:type="dxa"/>
            <w:tcBorders>
              <w:top w:val="single" w:color="000000" w:sz="4" w:space="0"/>
              <w:left w:val="single" w:color="000000" w:sz="4" w:space="0"/>
              <w:bottom w:val="single" w:color="000000" w:sz="4" w:space="0"/>
              <w:right w:val="single" w:color="000000" w:sz="4" w:space="0"/>
            </w:tcBorders>
            <w:vAlign w:val="center"/>
          </w:tcPr>
          <w:p w14:paraId="34056111">
            <w:pPr>
              <w:keepNext w:val="0"/>
              <w:keepLines w:val="0"/>
              <w:pageBreakBefore w:val="0"/>
              <w:kinsoku/>
              <w:wordWrap/>
              <w:overflowPunct/>
              <w:topLinePunct w:val="0"/>
              <w:bidi w:val="0"/>
              <w:adjustRightInd/>
              <w:snapToGrid w:val="0"/>
              <w:spacing w:line="360" w:lineRule="auto"/>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1.响应文件电子版要求：按照本采购文件“</w:t>
            </w:r>
            <w:r>
              <w:rPr>
                <w:rFonts w:hint="eastAsia" w:ascii="宋体" w:hAnsi="宋体"/>
                <w:color w:val="auto"/>
                <w:sz w:val="24"/>
                <w:szCs w:val="24"/>
                <w:highlight w:val="none"/>
              </w:rPr>
              <w:t>第五章 响应文件格式</w:t>
            </w:r>
            <w:r>
              <w:rPr>
                <w:rFonts w:hint="eastAsia" w:ascii="宋体" w:hAnsi="宋体" w:cs="宋体"/>
                <w:color w:val="auto"/>
                <w:sz w:val="24"/>
                <w:szCs w:val="24"/>
                <w:highlight w:val="none"/>
              </w:rPr>
              <w:t>”编写（第五章未附格式的，由供应商自行拟定），不可涂改并在规定加盖公章处加盖电子公章，</w:t>
            </w:r>
            <w:r>
              <w:rPr>
                <w:rFonts w:hint="eastAsia" w:ascii="宋体" w:hAnsi="宋体" w:cs="宋体"/>
                <w:b/>
                <w:color w:val="auto"/>
                <w:sz w:val="24"/>
                <w:szCs w:val="24"/>
                <w:highlight w:val="none"/>
              </w:rPr>
              <w:t>否则响应文件按无效响应处理</w:t>
            </w:r>
            <w:r>
              <w:rPr>
                <w:rFonts w:hint="eastAsia" w:ascii="宋体" w:hAnsi="宋体" w:cs="宋体"/>
                <w:color w:val="auto"/>
                <w:sz w:val="24"/>
                <w:szCs w:val="24"/>
                <w:highlight w:val="none"/>
              </w:rPr>
              <w:t>。</w:t>
            </w:r>
          </w:p>
          <w:p w14:paraId="4AB861B9">
            <w:pPr>
              <w:keepNext w:val="0"/>
              <w:keepLines w:val="0"/>
              <w:pageBreakBefore w:val="0"/>
              <w:kinsoku/>
              <w:wordWrap/>
              <w:overflowPunct/>
              <w:topLinePunct w:val="0"/>
              <w:bidi w:val="0"/>
              <w:adjustRightInd/>
              <w:spacing w:line="360" w:lineRule="auto"/>
              <w:jc w:val="left"/>
              <w:outlineLvl w:val="9"/>
              <w:rPr>
                <w:rFonts w:ascii="宋体"/>
                <w:color w:val="auto"/>
                <w:sz w:val="24"/>
                <w:szCs w:val="24"/>
                <w:highlight w:val="none"/>
              </w:rPr>
            </w:pPr>
            <w:r>
              <w:rPr>
                <w:rFonts w:hint="eastAsia" w:ascii="宋体" w:hAnsi="宋体" w:cs="宋体"/>
                <w:color w:val="auto"/>
                <w:sz w:val="24"/>
                <w:szCs w:val="24"/>
                <w:highlight w:val="none"/>
              </w:rPr>
              <w:t>2</w:t>
            </w:r>
            <w:r>
              <w:rPr>
                <w:rFonts w:hint="eastAsia" w:ascii="宋体" w:hAnsi="宋体" w:cs="Courier New"/>
                <w:color w:val="auto"/>
                <w:sz w:val="24"/>
                <w:szCs w:val="24"/>
                <w:highlight w:val="none"/>
              </w:rPr>
              <w:t>.响应文件电子版密封方式：电子响应文件通过平台有效CA加密后在“</w:t>
            </w:r>
            <w:r>
              <w:rPr>
                <w:rFonts w:hint="eastAsia" w:ascii="宋体" w:hAnsi="宋体" w:cs="Courier New"/>
                <w:color w:val="auto"/>
                <w:sz w:val="24"/>
                <w:szCs w:val="24"/>
                <w:highlight w:val="none"/>
                <w:lang w:eastAsia="zh-CN"/>
              </w:rPr>
              <w:t>广西政府采购云</w:t>
            </w:r>
            <w:r>
              <w:rPr>
                <w:rFonts w:hint="eastAsia" w:ascii="宋体" w:hAnsi="宋体" w:cs="Courier New"/>
                <w:color w:val="auto"/>
                <w:sz w:val="24"/>
                <w:szCs w:val="24"/>
                <w:highlight w:val="none"/>
              </w:rPr>
              <w:t>”平台投送。</w:t>
            </w:r>
          </w:p>
        </w:tc>
      </w:tr>
      <w:tr w14:paraId="7DF5A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2DF1849D">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13</w:t>
            </w:r>
          </w:p>
        </w:tc>
        <w:tc>
          <w:tcPr>
            <w:tcW w:w="2028" w:type="dxa"/>
            <w:tcBorders>
              <w:top w:val="single" w:color="000000" w:sz="4" w:space="0"/>
              <w:left w:val="single" w:color="000000" w:sz="4" w:space="0"/>
              <w:bottom w:val="single" w:color="000000" w:sz="4" w:space="0"/>
              <w:right w:val="single" w:color="000000" w:sz="4" w:space="0"/>
            </w:tcBorders>
            <w:vAlign w:val="center"/>
          </w:tcPr>
          <w:p w14:paraId="44618FC9">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评定方法</w:t>
            </w:r>
          </w:p>
        </w:tc>
        <w:tc>
          <w:tcPr>
            <w:tcW w:w="7032" w:type="dxa"/>
            <w:tcBorders>
              <w:top w:val="single" w:color="000000" w:sz="4" w:space="0"/>
              <w:left w:val="single" w:color="000000" w:sz="4" w:space="0"/>
              <w:bottom w:val="single" w:color="000000" w:sz="4" w:space="0"/>
              <w:right w:val="single" w:color="000000" w:sz="4" w:space="0"/>
            </w:tcBorders>
            <w:vAlign w:val="center"/>
          </w:tcPr>
          <w:p w14:paraId="536109F8">
            <w:pPr>
              <w:keepNext w:val="0"/>
              <w:keepLines w:val="0"/>
              <w:pageBreakBefore w:val="0"/>
              <w:kinsoku/>
              <w:wordWrap/>
              <w:overflowPunct/>
              <w:topLinePunct w:val="0"/>
              <w:bidi w:val="0"/>
              <w:adjustRightInd/>
              <w:spacing w:line="360" w:lineRule="auto"/>
              <w:outlineLvl w:val="9"/>
              <w:rPr>
                <w:rFonts w:ascii="宋体"/>
                <w:color w:val="auto"/>
                <w:sz w:val="24"/>
                <w:szCs w:val="24"/>
                <w:highlight w:val="none"/>
              </w:rPr>
            </w:pPr>
            <w:r>
              <w:rPr>
                <w:rFonts w:hint="eastAsia" w:ascii="宋体"/>
                <w:color w:val="auto"/>
                <w:sz w:val="24"/>
                <w:szCs w:val="24"/>
                <w:highlight w:val="none"/>
              </w:rPr>
              <w:t xml:space="preserve">评定方法：综合评估法 </w:t>
            </w:r>
          </w:p>
        </w:tc>
      </w:tr>
      <w:tr w14:paraId="6E9B3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33EBBCDC">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14</w:t>
            </w:r>
          </w:p>
        </w:tc>
        <w:tc>
          <w:tcPr>
            <w:tcW w:w="2028" w:type="dxa"/>
            <w:tcBorders>
              <w:top w:val="single" w:color="000000" w:sz="4" w:space="0"/>
              <w:left w:val="single" w:color="000000" w:sz="4" w:space="0"/>
              <w:bottom w:val="single" w:color="000000" w:sz="4" w:space="0"/>
              <w:right w:val="single" w:color="000000" w:sz="4" w:space="0"/>
            </w:tcBorders>
            <w:vAlign w:val="center"/>
          </w:tcPr>
          <w:p w14:paraId="1B09C260">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磋商有效期</w:t>
            </w:r>
          </w:p>
        </w:tc>
        <w:tc>
          <w:tcPr>
            <w:tcW w:w="7032" w:type="dxa"/>
            <w:tcBorders>
              <w:top w:val="single" w:color="000000" w:sz="4" w:space="0"/>
              <w:left w:val="single" w:color="000000" w:sz="4" w:space="0"/>
              <w:bottom w:val="single" w:color="000000" w:sz="4" w:space="0"/>
              <w:right w:val="single" w:color="000000" w:sz="4" w:space="0"/>
            </w:tcBorders>
            <w:vAlign w:val="center"/>
          </w:tcPr>
          <w:p w14:paraId="7EFCCA48">
            <w:pPr>
              <w:pStyle w:val="19"/>
              <w:keepNext w:val="0"/>
              <w:keepLines w:val="0"/>
              <w:pageBreakBefore w:val="0"/>
              <w:kinsoku/>
              <w:wordWrap/>
              <w:overflowPunct/>
              <w:topLinePunct w:val="0"/>
              <w:bidi w:val="0"/>
              <w:adjustRightInd/>
              <w:snapToGrid w:val="0"/>
              <w:spacing w:after="120" w:line="360" w:lineRule="auto"/>
              <w:ind w:left="0" w:firstLine="0"/>
              <w:outlineLvl w:val="9"/>
              <w:rPr>
                <w:rFonts w:ascii="宋体"/>
                <w:color w:val="auto"/>
                <w:kern w:val="2"/>
                <w:sz w:val="24"/>
                <w:szCs w:val="24"/>
                <w:highlight w:val="none"/>
              </w:rPr>
            </w:pPr>
            <w:r>
              <w:rPr>
                <w:rFonts w:hint="eastAsia" w:ascii="宋体"/>
                <w:color w:val="auto"/>
                <w:kern w:val="2"/>
                <w:sz w:val="24"/>
                <w:szCs w:val="24"/>
                <w:highlight w:val="none"/>
              </w:rPr>
              <w:t>磋商有效期：60日历天 （从磋商截止之日算起）</w:t>
            </w:r>
          </w:p>
        </w:tc>
      </w:tr>
      <w:tr w14:paraId="5F579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03482431">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15</w:t>
            </w:r>
          </w:p>
        </w:tc>
        <w:tc>
          <w:tcPr>
            <w:tcW w:w="2028" w:type="dxa"/>
            <w:tcBorders>
              <w:top w:val="single" w:color="000000" w:sz="4" w:space="0"/>
              <w:left w:val="single" w:color="000000" w:sz="4" w:space="0"/>
              <w:bottom w:val="single" w:color="000000" w:sz="4" w:space="0"/>
              <w:right w:val="single" w:color="000000" w:sz="4" w:space="0"/>
            </w:tcBorders>
            <w:vAlign w:val="center"/>
          </w:tcPr>
          <w:p w14:paraId="387FF6D0">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b/>
                <w:color w:val="auto"/>
                <w:sz w:val="24"/>
                <w:szCs w:val="24"/>
                <w:highlight w:val="none"/>
              </w:rPr>
              <w:t>采购代理服务费</w:t>
            </w:r>
          </w:p>
        </w:tc>
        <w:tc>
          <w:tcPr>
            <w:tcW w:w="7032" w:type="dxa"/>
            <w:tcBorders>
              <w:top w:val="single" w:color="000000" w:sz="4" w:space="0"/>
              <w:left w:val="single" w:color="000000" w:sz="4" w:space="0"/>
              <w:bottom w:val="single" w:color="000000" w:sz="4" w:space="0"/>
              <w:right w:val="single" w:color="000000" w:sz="4" w:space="0"/>
            </w:tcBorders>
            <w:vAlign w:val="center"/>
          </w:tcPr>
          <w:p w14:paraId="70F938F2">
            <w:pPr>
              <w:keepNext w:val="0"/>
              <w:keepLines w:val="0"/>
              <w:pageBreakBefore w:val="0"/>
              <w:kinsoku/>
              <w:wordWrap/>
              <w:overflowPunct/>
              <w:topLinePunct w:val="0"/>
              <w:autoSpaceDE w:val="0"/>
              <w:autoSpaceDN w:val="0"/>
              <w:bidi w:val="0"/>
              <w:adjustRightInd/>
              <w:snapToGrid w:val="0"/>
              <w:spacing w:line="360" w:lineRule="auto"/>
              <w:textAlignment w:val="bottom"/>
              <w:outlineLvl w:val="9"/>
              <w:rPr>
                <w:rFonts w:hint="eastAsia"/>
                <w:color w:val="auto"/>
                <w:sz w:val="24"/>
                <w:szCs w:val="24"/>
                <w:highlight w:val="none"/>
              </w:rPr>
            </w:pPr>
            <w:r>
              <w:rPr>
                <w:rFonts w:hint="eastAsia"/>
                <w:color w:val="auto"/>
                <w:sz w:val="24"/>
                <w:szCs w:val="24"/>
                <w:highlight w:val="none"/>
              </w:rPr>
              <w:t>采购代理服务费：按国家发展计划委员会计价格〔2002〕1980号《招标代理服务费管理暂行办法》及发改价格〔2011〕534号文的规定的收费标准收取，由成交人在领取成交通知书前一次性向招标代理机构支付。</w:t>
            </w:r>
          </w:p>
          <w:p w14:paraId="1D6A588E">
            <w:pPr>
              <w:pStyle w:val="32"/>
              <w:keepNext w:val="0"/>
              <w:keepLines w:val="0"/>
              <w:pageBreakBefore w:val="0"/>
              <w:kinsoku/>
              <w:wordWrap/>
              <w:overflowPunct/>
              <w:topLinePunct w:val="0"/>
              <w:autoSpaceDE/>
              <w:autoSpaceDN/>
              <w:bidi w:val="0"/>
              <w:spacing w:line="360" w:lineRule="auto"/>
              <w:outlineLvl w:val="9"/>
              <w:rPr>
                <w:rFonts w:ascii="宋体" w:hAnsi="宋体"/>
                <w:color w:val="auto"/>
                <w:sz w:val="24"/>
                <w:szCs w:val="24"/>
                <w:highlight w:val="none"/>
              </w:rPr>
            </w:pPr>
            <w:r>
              <w:rPr>
                <w:rFonts w:hint="eastAsia" w:ascii="宋体" w:hAnsi="宋体"/>
                <w:b/>
                <w:bCs/>
                <w:color w:val="auto"/>
                <w:sz w:val="24"/>
                <w:szCs w:val="24"/>
                <w:highlight w:val="none"/>
              </w:rPr>
              <w:t>采购代理服务费的采购代理机构银行账户：</w:t>
            </w:r>
          </w:p>
          <w:p w14:paraId="22CC2695">
            <w:pPr>
              <w:pStyle w:val="32"/>
              <w:keepNext w:val="0"/>
              <w:keepLines w:val="0"/>
              <w:pageBreakBefore w:val="0"/>
              <w:kinsoku/>
              <w:wordWrap/>
              <w:overflowPunct/>
              <w:topLinePunct w:val="0"/>
              <w:autoSpaceDE/>
              <w:autoSpaceDN/>
              <w:bidi w:val="0"/>
              <w:spacing w:line="360" w:lineRule="auto"/>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开户名称：广西天明建筑咨询有限公司</w:t>
            </w:r>
          </w:p>
          <w:p w14:paraId="6A483B51">
            <w:pPr>
              <w:pStyle w:val="32"/>
              <w:keepNext w:val="0"/>
              <w:keepLines w:val="0"/>
              <w:pageBreakBefore w:val="0"/>
              <w:kinsoku/>
              <w:wordWrap/>
              <w:overflowPunct/>
              <w:topLinePunct w:val="0"/>
              <w:autoSpaceDE/>
              <w:autoSpaceDN/>
              <w:bidi w:val="0"/>
              <w:spacing w:line="360" w:lineRule="auto"/>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开户银行：中国农业银行防城港港口区支行</w:t>
            </w:r>
          </w:p>
          <w:p w14:paraId="41BDF29A">
            <w:pPr>
              <w:keepNext w:val="0"/>
              <w:keepLines w:val="0"/>
              <w:pageBreakBefore w:val="0"/>
              <w:kinsoku/>
              <w:wordWrap/>
              <w:overflowPunct/>
              <w:topLinePunct w:val="0"/>
              <w:autoSpaceDE w:val="0"/>
              <w:autoSpaceDN w:val="0"/>
              <w:bidi w:val="0"/>
              <w:adjustRightInd/>
              <w:snapToGrid w:val="0"/>
              <w:spacing w:line="360" w:lineRule="auto"/>
              <w:textAlignment w:val="bottom"/>
              <w:outlineLvl w:val="9"/>
              <w:rPr>
                <w:rFonts w:hint="eastAsia"/>
                <w:color w:val="auto"/>
                <w:sz w:val="24"/>
                <w:szCs w:val="24"/>
                <w:highlight w:val="none"/>
              </w:rPr>
            </w:pPr>
            <w:r>
              <w:rPr>
                <w:rFonts w:hint="eastAsia" w:ascii="Times New Roman" w:hAnsi="Times New Roman" w:eastAsia="宋体" w:cs="Times New Roman"/>
                <w:color w:val="auto"/>
                <w:kern w:val="2"/>
                <w:sz w:val="24"/>
                <w:szCs w:val="24"/>
                <w:highlight w:val="none"/>
                <w:lang w:val="en-US" w:eastAsia="zh-CN" w:bidi="ar-SA"/>
              </w:rPr>
              <w:t>银行账号：20767201040002666</w:t>
            </w:r>
          </w:p>
        </w:tc>
      </w:tr>
    </w:tbl>
    <w:p w14:paraId="11C1A779">
      <w:pPr>
        <w:widowControl/>
        <w:spacing w:beforeAutospacing="1" w:afterAutospacing="1"/>
        <w:jc w:val="left"/>
        <w:outlineLvl w:val="9"/>
        <w:rPr>
          <w:rFonts w:ascii="宋体"/>
          <w:b/>
          <w:color w:val="auto"/>
          <w:sz w:val="32"/>
          <w:szCs w:val="32"/>
          <w:highlight w:val="none"/>
        </w:rPr>
        <w:sectPr>
          <w:footerReference r:id="rId5" w:type="default"/>
          <w:pgSz w:w="11906" w:h="16838"/>
          <w:pgMar w:top="720" w:right="1134" w:bottom="1134" w:left="1134" w:header="851" w:footer="992" w:gutter="0"/>
          <w:pgNumType w:fmt="decimal" w:start="1"/>
          <w:cols w:space="720" w:num="1"/>
          <w:docGrid w:linePitch="286" w:charSpace="0"/>
        </w:sectPr>
      </w:pPr>
    </w:p>
    <w:p w14:paraId="3C9CCF86">
      <w:pPr>
        <w:spacing w:line="500" w:lineRule="exact"/>
        <w:jc w:val="center"/>
        <w:outlineLvl w:val="9"/>
        <w:rPr>
          <w:rFonts w:ascii="宋体"/>
          <w:b/>
          <w:color w:val="auto"/>
          <w:sz w:val="32"/>
          <w:szCs w:val="32"/>
          <w:highlight w:val="none"/>
        </w:rPr>
      </w:pPr>
      <w:r>
        <w:rPr>
          <w:rFonts w:hint="eastAsia" w:ascii="宋体"/>
          <w:b/>
          <w:color w:val="auto"/>
          <w:sz w:val="32"/>
          <w:szCs w:val="32"/>
          <w:highlight w:val="none"/>
        </w:rPr>
        <w:t>供应商须知</w:t>
      </w:r>
    </w:p>
    <w:p w14:paraId="6B8DC6AB">
      <w:pPr>
        <w:spacing w:line="340" w:lineRule="exact"/>
        <w:outlineLvl w:val="9"/>
        <w:rPr>
          <w:rFonts w:ascii="宋体" w:hAnsi="宋体"/>
          <w:b/>
          <w:color w:val="auto"/>
          <w:szCs w:val="21"/>
          <w:highlight w:val="none"/>
        </w:rPr>
      </w:pPr>
    </w:p>
    <w:p w14:paraId="01BDBEE0">
      <w:pPr>
        <w:spacing w:line="460" w:lineRule="exact"/>
        <w:jc w:val="center"/>
        <w:outlineLvl w:val="9"/>
        <w:rPr>
          <w:b/>
          <w:bCs/>
          <w:color w:val="auto"/>
          <w:sz w:val="28"/>
          <w:szCs w:val="28"/>
        </w:rPr>
      </w:pPr>
      <w:r>
        <w:rPr>
          <w:rFonts w:hint="eastAsia"/>
          <w:b/>
          <w:bCs/>
          <w:color w:val="auto"/>
          <w:sz w:val="28"/>
          <w:szCs w:val="28"/>
        </w:rPr>
        <w:t>一、总则</w:t>
      </w:r>
    </w:p>
    <w:p w14:paraId="5F15DBFB">
      <w:pPr>
        <w:spacing w:line="460" w:lineRule="exact"/>
        <w:ind w:firstLine="422" w:firstLineChars="200"/>
        <w:outlineLvl w:val="9"/>
        <w:rPr>
          <w:rFonts w:ascii="宋体" w:hAnsi="宋体" w:cs="宋体"/>
          <w:b/>
          <w:bCs/>
          <w:color w:val="auto"/>
          <w:sz w:val="21"/>
          <w:szCs w:val="21"/>
        </w:rPr>
      </w:pPr>
      <w:bookmarkStart w:id="8" w:name="_Toc25853"/>
      <w:bookmarkStart w:id="9" w:name="_Toc923"/>
      <w:bookmarkStart w:id="10" w:name="_Toc6626"/>
      <w:r>
        <w:rPr>
          <w:rFonts w:hint="eastAsia" w:ascii="宋体" w:hAnsi="宋体" w:cs="宋体"/>
          <w:b/>
          <w:bCs/>
          <w:color w:val="auto"/>
          <w:sz w:val="21"/>
          <w:szCs w:val="21"/>
        </w:rPr>
        <w:t>1. 适应范围</w:t>
      </w:r>
      <w:bookmarkEnd w:id="8"/>
      <w:bookmarkEnd w:id="9"/>
      <w:bookmarkEnd w:id="10"/>
    </w:p>
    <w:p w14:paraId="6833D3FF">
      <w:pPr>
        <w:spacing w:line="460" w:lineRule="exact"/>
        <w:ind w:firstLine="411" w:firstLineChars="196"/>
        <w:outlineLvl w:val="9"/>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94CAA49">
      <w:pPr>
        <w:spacing w:line="460" w:lineRule="exact"/>
        <w:ind w:firstLine="411" w:firstLineChars="196"/>
        <w:outlineLvl w:val="9"/>
        <w:rPr>
          <w:rFonts w:ascii="宋体" w:hAnsi="宋体" w:cs="宋体"/>
          <w:color w:val="auto"/>
          <w:szCs w:val="21"/>
        </w:rPr>
      </w:pPr>
      <w:r>
        <w:rPr>
          <w:rFonts w:hint="eastAsia" w:ascii="宋体" w:hAnsi="宋体" w:cs="宋体"/>
          <w:color w:val="auto"/>
          <w:szCs w:val="21"/>
        </w:rPr>
        <w:t>1.2本竞争性磋商文件（以下简称磋商文件）适用于本项目的所有采购程序和环节（法律、法规另有规定的，从其规定）。</w:t>
      </w:r>
    </w:p>
    <w:p w14:paraId="031E5921">
      <w:pPr>
        <w:spacing w:line="460" w:lineRule="exact"/>
        <w:ind w:firstLine="422" w:firstLineChars="200"/>
        <w:outlineLvl w:val="9"/>
        <w:rPr>
          <w:rFonts w:ascii="宋体" w:hAnsi="宋体" w:cs="宋体"/>
          <w:b/>
          <w:bCs/>
          <w:color w:val="auto"/>
          <w:sz w:val="21"/>
          <w:szCs w:val="21"/>
        </w:rPr>
      </w:pPr>
      <w:bookmarkStart w:id="11" w:name="_Toc17438"/>
      <w:bookmarkStart w:id="12" w:name="_Toc28671"/>
      <w:bookmarkStart w:id="13" w:name="_Toc28336"/>
      <w:r>
        <w:rPr>
          <w:rFonts w:hint="eastAsia" w:ascii="宋体" w:hAnsi="宋体" w:cs="宋体"/>
          <w:b/>
          <w:bCs/>
          <w:color w:val="auto"/>
          <w:sz w:val="21"/>
          <w:szCs w:val="21"/>
        </w:rPr>
        <w:t>2. 定义</w:t>
      </w:r>
      <w:bookmarkEnd w:id="11"/>
      <w:bookmarkEnd w:id="12"/>
      <w:bookmarkEnd w:id="13"/>
    </w:p>
    <w:p w14:paraId="5F1680C3">
      <w:pPr>
        <w:spacing w:line="500" w:lineRule="exact"/>
        <w:ind w:firstLine="435"/>
        <w:outlineLvl w:val="9"/>
        <w:rPr>
          <w:rFonts w:ascii="宋体" w:hAnsi="宋体" w:cs="宋体"/>
          <w:color w:val="auto"/>
          <w:szCs w:val="21"/>
        </w:rPr>
      </w:pPr>
      <w:r>
        <w:rPr>
          <w:rFonts w:hint="eastAsia" w:ascii="宋体" w:hAnsi="宋体" w:cs="宋体"/>
          <w:color w:val="auto"/>
          <w:szCs w:val="21"/>
        </w:rPr>
        <w:t xml:space="preserve">2.1“供应商”是指符合本次采购项目的供应商资格并提交响应文件、参加磋商的供应商。如果该供应商在本次磋商中中标，即成为“成交供应商”。 </w:t>
      </w:r>
    </w:p>
    <w:p w14:paraId="68380DF0">
      <w:pPr>
        <w:spacing w:line="500" w:lineRule="exact"/>
        <w:ind w:firstLine="435"/>
        <w:outlineLvl w:val="9"/>
        <w:rPr>
          <w:rFonts w:ascii="宋体" w:hAnsi="宋体" w:cs="宋体"/>
          <w:color w:val="auto"/>
          <w:szCs w:val="21"/>
        </w:rPr>
      </w:pPr>
      <w:r>
        <w:rPr>
          <w:rFonts w:hint="eastAsia" w:ascii="宋体" w:hAnsi="宋体" w:cs="宋体"/>
          <w:color w:val="auto"/>
          <w:szCs w:val="21"/>
        </w:rPr>
        <w:t>2.2“书面形式”包括信函、传真、电报等。</w:t>
      </w:r>
    </w:p>
    <w:p w14:paraId="21A3D238">
      <w:pPr>
        <w:spacing w:line="460" w:lineRule="exact"/>
        <w:ind w:firstLine="435"/>
        <w:outlineLvl w:val="9"/>
        <w:rPr>
          <w:rFonts w:ascii="宋体" w:hAnsi="宋体" w:cs="宋体"/>
          <w:color w:val="auto"/>
          <w:szCs w:val="21"/>
        </w:rPr>
      </w:pPr>
      <w:r>
        <w:rPr>
          <w:rFonts w:hint="eastAsia" w:ascii="宋体" w:hAnsi="宋体" w:cs="宋体"/>
          <w:color w:val="auto"/>
          <w:szCs w:val="21"/>
        </w:rPr>
        <w:t>2.3“项目”系指供应商按磋商文件规定向采购人提供</w:t>
      </w:r>
      <w:r>
        <w:rPr>
          <w:rFonts w:hint="eastAsia" w:ascii="宋体" w:hAnsi="宋体" w:cs="宋体"/>
          <w:color w:val="auto"/>
        </w:rPr>
        <w:t>施工图纸及工程量清单等所包含的施工内容</w:t>
      </w:r>
      <w:r>
        <w:rPr>
          <w:rFonts w:hint="eastAsia" w:ascii="宋体" w:hAnsi="宋体" w:cs="宋体"/>
          <w:color w:val="auto"/>
          <w:szCs w:val="21"/>
        </w:rPr>
        <w:t>。</w:t>
      </w:r>
    </w:p>
    <w:p w14:paraId="577FC2F2">
      <w:pPr>
        <w:spacing w:line="460" w:lineRule="exact"/>
        <w:ind w:firstLine="435"/>
        <w:outlineLvl w:val="9"/>
        <w:rPr>
          <w:rFonts w:ascii="宋体" w:hAnsi="宋体" w:cs="宋体"/>
          <w:color w:val="auto"/>
          <w:szCs w:val="21"/>
        </w:rPr>
      </w:pPr>
      <w:r>
        <w:rPr>
          <w:rFonts w:hint="eastAsia" w:ascii="宋体" w:hAnsi="宋体" w:cs="宋体"/>
          <w:color w:val="auto"/>
          <w:szCs w:val="21"/>
        </w:rPr>
        <w:t>2.4“书面形式”包括信函、传真、电报等。</w:t>
      </w:r>
    </w:p>
    <w:p w14:paraId="6773FA7B">
      <w:pPr>
        <w:spacing w:line="460" w:lineRule="exact"/>
        <w:ind w:firstLine="420" w:firstLineChars="200"/>
        <w:outlineLvl w:val="9"/>
        <w:rPr>
          <w:rFonts w:ascii="宋体" w:hAnsi="宋体" w:cs="宋体"/>
          <w:color w:val="auto"/>
          <w:sz w:val="21"/>
          <w:szCs w:val="21"/>
        </w:rPr>
      </w:pPr>
      <w:bookmarkStart w:id="14" w:name="_Toc10187"/>
      <w:bookmarkStart w:id="15" w:name="_Toc13613"/>
      <w:bookmarkStart w:id="16" w:name="_Toc25441"/>
      <w:r>
        <w:rPr>
          <w:rFonts w:hint="eastAsia" w:ascii="宋体" w:hAnsi="宋体" w:cs="宋体"/>
          <w:color w:val="auto"/>
          <w:sz w:val="21"/>
          <w:szCs w:val="21"/>
        </w:rPr>
        <w:t>3. 供应商资格</w:t>
      </w:r>
      <w:bookmarkEnd w:id="14"/>
      <w:bookmarkEnd w:id="15"/>
      <w:bookmarkEnd w:id="16"/>
    </w:p>
    <w:p w14:paraId="6E6F7A42">
      <w:pPr>
        <w:spacing w:line="500" w:lineRule="exact"/>
        <w:ind w:firstLine="420" w:firstLineChars="200"/>
        <w:outlineLvl w:val="9"/>
        <w:rPr>
          <w:rFonts w:ascii="宋体" w:hAnsi="宋体" w:cs="宋体"/>
          <w:color w:val="auto"/>
          <w:szCs w:val="21"/>
        </w:rPr>
      </w:pPr>
      <w:bookmarkStart w:id="17" w:name="_Toc16496"/>
      <w:r>
        <w:rPr>
          <w:rFonts w:hint="eastAsia" w:ascii="宋体" w:hAnsi="宋体" w:cs="宋体"/>
          <w:color w:val="auto"/>
          <w:szCs w:val="21"/>
        </w:rPr>
        <w:t>详见“供应商须知前附表”</w:t>
      </w:r>
      <w:r>
        <w:rPr>
          <w:rFonts w:hint="eastAsia" w:ascii="宋体" w:hAnsi="宋体" w:cs="宋体"/>
          <w:bCs/>
          <w:color w:val="auto"/>
        </w:rPr>
        <w:t>。</w:t>
      </w:r>
    </w:p>
    <w:p w14:paraId="5910520C">
      <w:pPr>
        <w:spacing w:line="460" w:lineRule="exact"/>
        <w:ind w:firstLine="422" w:firstLineChars="200"/>
        <w:outlineLvl w:val="9"/>
        <w:rPr>
          <w:rFonts w:ascii="宋体" w:hAnsi="宋体" w:cs="宋体"/>
          <w:b/>
          <w:bCs/>
          <w:color w:val="auto"/>
          <w:sz w:val="21"/>
          <w:szCs w:val="21"/>
        </w:rPr>
      </w:pPr>
      <w:bookmarkStart w:id="18" w:name="_Toc14124"/>
      <w:bookmarkStart w:id="19" w:name="_Toc19795"/>
      <w:r>
        <w:rPr>
          <w:rFonts w:hint="eastAsia" w:ascii="宋体" w:hAnsi="宋体" w:cs="宋体"/>
          <w:b/>
          <w:bCs/>
          <w:color w:val="auto"/>
          <w:sz w:val="21"/>
          <w:szCs w:val="21"/>
        </w:rPr>
        <w:t>4. 磋商费用</w:t>
      </w:r>
      <w:bookmarkEnd w:id="17"/>
      <w:bookmarkEnd w:id="18"/>
      <w:bookmarkEnd w:id="19"/>
    </w:p>
    <w:p w14:paraId="08E39EC3">
      <w:pPr>
        <w:tabs>
          <w:tab w:val="left" w:pos="1635"/>
        </w:tabs>
        <w:spacing w:line="460" w:lineRule="exact"/>
        <w:ind w:firstLine="435"/>
        <w:outlineLvl w:val="9"/>
        <w:rPr>
          <w:rFonts w:ascii="宋体" w:hAnsi="宋体" w:cs="宋体"/>
          <w:color w:val="auto"/>
          <w:szCs w:val="21"/>
        </w:rPr>
      </w:pPr>
      <w:r>
        <w:rPr>
          <w:rFonts w:hint="eastAsia" w:ascii="宋体" w:hAnsi="宋体" w:cs="宋体"/>
          <w:color w:val="auto"/>
          <w:szCs w:val="21"/>
        </w:rPr>
        <w:t>不论磋商结果如何，供应商均应自行承担所有与磋商有关的全部费用。</w:t>
      </w:r>
    </w:p>
    <w:p w14:paraId="223917B5">
      <w:pPr>
        <w:spacing w:line="460" w:lineRule="exact"/>
        <w:ind w:firstLine="422" w:firstLineChars="200"/>
        <w:outlineLvl w:val="9"/>
        <w:rPr>
          <w:rFonts w:ascii="宋体" w:hAnsi="宋体" w:cs="宋体"/>
          <w:b/>
          <w:bCs/>
          <w:color w:val="auto"/>
          <w:sz w:val="21"/>
          <w:szCs w:val="21"/>
        </w:rPr>
      </w:pPr>
      <w:bookmarkStart w:id="20" w:name="_Toc10971"/>
      <w:bookmarkStart w:id="21" w:name="_Toc31376"/>
      <w:bookmarkStart w:id="22" w:name="_Toc30661"/>
      <w:r>
        <w:rPr>
          <w:rFonts w:hint="eastAsia" w:ascii="宋体" w:hAnsi="宋体" w:cs="宋体"/>
          <w:b/>
          <w:bCs/>
          <w:color w:val="auto"/>
          <w:sz w:val="21"/>
          <w:szCs w:val="21"/>
        </w:rPr>
        <w:t>5. 联合体要求</w:t>
      </w:r>
      <w:bookmarkEnd w:id="20"/>
      <w:bookmarkEnd w:id="21"/>
      <w:bookmarkEnd w:id="22"/>
    </w:p>
    <w:p w14:paraId="7216D55D">
      <w:pPr>
        <w:spacing w:line="460" w:lineRule="exact"/>
        <w:ind w:firstLine="420" w:firstLineChars="200"/>
        <w:outlineLvl w:val="9"/>
        <w:rPr>
          <w:rFonts w:ascii="宋体" w:hAnsi="宋体" w:cs="宋体"/>
          <w:bCs/>
          <w:color w:val="auto"/>
          <w:szCs w:val="21"/>
        </w:rPr>
      </w:pPr>
      <w:r>
        <w:rPr>
          <w:rFonts w:hint="eastAsia" w:ascii="宋体" w:hAnsi="宋体" w:cs="宋体"/>
          <w:bCs/>
          <w:color w:val="auto"/>
          <w:szCs w:val="21"/>
        </w:rPr>
        <w:t>本项目不接受联合体参与磋商</w:t>
      </w:r>
    </w:p>
    <w:p w14:paraId="1B9318C9">
      <w:pPr>
        <w:spacing w:line="460" w:lineRule="exact"/>
        <w:ind w:firstLine="422" w:firstLineChars="200"/>
        <w:outlineLvl w:val="9"/>
        <w:rPr>
          <w:rFonts w:ascii="宋体" w:hAnsi="宋体" w:cs="宋体"/>
          <w:b/>
          <w:bCs/>
          <w:color w:val="auto"/>
          <w:sz w:val="21"/>
          <w:szCs w:val="21"/>
        </w:rPr>
      </w:pPr>
      <w:bookmarkStart w:id="23" w:name="_Toc17501"/>
      <w:bookmarkStart w:id="24" w:name="_Toc14142"/>
      <w:bookmarkStart w:id="25" w:name="_Toc4152"/>
      <w:r>
        <w:rPr>
          <w:rFonts w:hint="eastAsia" w:ascii="宋体" w:hAnsi="宋体" w:cs="宋体"/>
          <w:b/>
          <w:bCs/>
          <w:color w:val="auto"/>
          <w:sz w:val="21"/>
          <w:szCs w:val="21"/>
        </w:rPr>
        <w:t>6. 质疑和投诉</w:t>
      </w:r>
      <w:bookmarkEnd w:id="23"/>
      <w:bookmarkEnd w:id="24"/>
      <w:bookmarkEnd w:id="25"/>
    </w:p>
    <w:p w14:paraId="4C54A1F9">
      <w:pPr>
        <w:tabs>
          <w:tab w:val="left" w:pos="2190"/>
        </w:tabs>
        <w:spacing w:line="460" w:lineRule="exact"/>
        <w:ind w:firstLine="435"/>
        <w:outlineLvl w:val="9"/>
        <w:rPr>
          <w:rFonts w:ascii="宋体" w:hAnsi="宋体" w:cs="宋体"/>
          <w:color w:val="auto"/>
          <w:szCs w:val="21"/>
        </w:rPr>
      </w:pPr>
      <w:bookmarkStart w:id="26" w:name="_Toc26087"/>
      <w:bookmarkStart w:id="27" w:name="_Toc8195"/>
      <w:r>
        <w:rPr>
          <w:rFonts w:hint="eastAsia" w:ascii="宋体" w:hAnsi="宋体" w:cs="宋体"/>
          <w:color w:val="auto"/>
          <w:szCs w:val="21"/>
        </w:rPr>
        <w:t>6.1供应对政府采购活动事项有疑问的，可以向采购人提出询问。采购人应当及时作出答复，但答复的内容不得涉及商业秘密。</w:t>
      </w:r>
    </w:p>
    <w:p w14:paraId="2BCCE4D3">
      <w:pPr>
        <w:tabs>
          <w:tab w:val="left" w:pos="2190"/>
        </w:tabs>
        <w:spacing w:line="460" w:lineRule="exact"/>
        <w:ind w:firstLine="435"/>
        <w:outlineLvl w:val="9"/>
        <w:rPr>
          <w:rFonts w:ascii="宋体" w:hAnsi="宋体" w:cs="宋体"/>
          <w:color w:val="auto"/>
          <w:szCs w:val="21"/>
        </w:rPr>
      </w:pPr>
      <w:r>
        <w:rPr>
          <w:rFonts w:hint="eastAsia" w:ascii="宋体" w:hAnsi="宋体" w:cs="宋体"/>
          <w:color w:val="auto"/>
          <w:szCs w:val="21"/>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w:t>
      </w:r>
      <w:r>
        <w:rPr>
          <w:rFonts w:hint="eastAsia"/>
          <w:color w:val="auto"/>
        </w:rPr>
        <w:t>供应商在法定的质疑期内一次性提出针对同一采购程序环节的质疑，</w:t>
      </w:r>
      <w:r>
        <w:rPr>
          <w:rFonts w:hint="eastAsia" w:ascii="宋体" w:hAnsi="宋体" w:cs="宋体"/>
          <w:color w:val="auto"/>
          <w:szCs w:val="21"/>
        </w:rPr>
        <w:t>采购代理机构应认真做好质疑处理工作。</w:t>
      </w:r>
    </w:p>
    <w:p w14:paraId="4C82134A">
      <w:pPr>
        <w:tabs>
          <w:tab w:val="left" w:pos="2190"/>
        </w:tabs>
        <w:spacing w:line="460" w:lineRule="exact"/>
        <w:ind w:firstLine="435"/>
        <w:outlineLvl w:val="9"/>
        <w:rPr>
          <w:rFonts w:ascii="宋体" w:hAnsi="宋体" w:cs="宋体"/>
          <w:color w:val="auto"/>
          <w:szCs w:val="21"/>
        </w:rPr>
      </w:pPr>
      <w:r>
        <w:rPr>
          <w:rFonts w:hint="eastAsia" w:ascii="宋体" w:hAnsi="宋体" w:cs="宋体"/>
          <w:color w:val="auto"/>
          <w:szCs w:val="21"/>
        </w:rPr>
        <w:t>6.3供应商对采购代理机构的质疑答复不满意或者采购代理机构未在规定的时间内作出答复的，可以在答复期满后十五个工作日内向相关监管部门投诉。</w:t>
      </w:r>
    </w:p>
    <w:p w14:paraId="2471503E">
      <w:pPr>
        <w:tabs>
          <w:tab w:val="left" w:pos="2190"/>
        </w:tabs>
        <w:spacing w:line="460" w:lineRule="exact"/>
        <w:ind w:firstLine="435"/>
        <w:outlineLvl w:val="9"/>
        <w:rPr>
          <w:rFonts w:ascii="宋体" w:hAnsi="宋体" w:cs="宋体"/>
          <w:color w:val="auto"/>
          <w:szCs w:val="21"/>
        </w:rPr>
      </w:pPr>
      <w:r>
        <w:rPr>
          <w:rFonts w:hint="eastAsia" w:ascii="宋体" w:hAnsi="宋体" w:cs="宋体"/>
          <w:color w:val="auto"/>
          <w:szCs w:val="21"/>
        </w:rPr>
        <w:t>6.4质疑、投诉应当采用书面形式，质疑书、投诉书实行实名制，均应明确阐述磋商文件、采购过程或成交结果中使自己合法权益受到损害的实质性内容，提供相关事实、明确的请求，并提供必要的证明材料。质疑函和投诉书格式详见附件。</w:t>
      </w:r>
    </w:p>
    <w:p w14:paraId="48840718">
      <w:pPr>
        <w:tabs>
          <w:tab w:val="left" w:pos="2190"/>
        </w:tabs>
        <w:spacing w:line="460" w:lineRule="exact"/>
        <w:ind w:firstLine="420" w:firstLineChars="200"/>
        <w:outlineLvl w:val="9"/>
        <w:rPr>
          <w:color w:val="auto"/>
        </w:rPr>
      </w:pPr>
      <w:r>
        <w:rPr>
          <w:rFonts w:hint="eastAsia" w:ascii="宋体" w:hAnsi="宋体" w:cs="宋体"/>
          <w:color w:val="auto"/>
          <w:szCs w:val="21"/>
        </w:rPr>
        <w:t>6.5</w:t>
      </w:r>
      <w:r>
        <w:rPr>
          <w:rFonts w:hint="eastAsia"/>
          <w:color w:val="auto"/>
        </w:rPr>
        <w:t>质疑联系部门及联系方式：</w:t>
      </w:r>
    </w:p>
    <w:p w14:paraId="572D79F9">
      <w:pPr>
        <w:tabs>
          <w:tab w:val="left" w:pos="2190"/>
        </w:tabs>
        <w:spacing w:line="460" w:lineRule="exact"/>
        <w:ind w:firstLine="435"/>
        <w:outlineLvl w:val="9"/>
        <w:rPr>
          <w:rFonts w:hint="default" w:ascii="宋体" w:hAnsi="宋体" w:eastAsia="宋体" w:cs="宋体"/>
          <w:color w:val="auto"/>
          <w:szCs w:val="21"/>
          <w:lang w:val="en-US" w:eastAsia="zh-CN"/>
        </w:rPr>
      </w:pPr>
      <w:r>
        <w:rPr>
          <w:rFonts w:hint="eastAsia"/>
          <w:color w:val="auto"/>
        </w:rPr>
        <w:t>质疑联系部门：</w:t>
      </w:r>
      <w:r>
        <w:rPr>
          <w:rFonts w:hint="eastAsia" w:ascii="宋体" w:hAnsi="宋体"/>
          <w:color w:val="auto"/>
          <w:szCs w:val="21"/>
          <w:highlight w:val="none"/>
        </w:rPr>
        <w:t>广西天明建筑咨询有限公司</w:t>
      </w:r>
      <w:r>
        <w:rPr>
          <w:rFonts w:hint="eastAsia"/>
          <w:color w:val="auto"/>
        </w:rPr>
        <w:t xml:space="preserve">   联系电话：</w:t>
      </w:r>
      <w:r>
        <w:rPr>
          <w:rFonts w:hint="eastAsia"/>
          <w:color w:val="auto"/>
          <w:lang w:val="en-US" w:eastAsia="zh-CN"/>
        </w:rPr>
        <w:t>0770-3283899</w:t>
      </w:r>
    </w:p>
    <w:p w14:paraId="2FCB6A5B">
      <w:pPr>
        <w:tabs>
          <w:tab w:val="left" w:pos="2190"/>
        </w:tabs>
        <w:spacing w:line="460" w:lineRule="exact"/>
        <w:ind w:firstLine="435"/>
        <w:outlineLvl w:val="9"/>
        <w:rPr>
          <w:rFonts w:ascii="宋体" w:hAnsi="宋体" w:cs="宋体"/>
          <w:color w:val="auto"/>
        </w:rPr>
      </w:pPr>
      <w:r>
        <w:rPr>
          <w:rFonts w:hint="eastAsia"/>
          <w:color w:val="auto"/>
        </w:rPr>
        <w:t>通讯地址：</w:t>
      </w:r>
      <w:r>
        <w:rPr>
          <w:rFonts w:hint="eastAsia" w:ascii="宋体" w:hAnsi="宋体"/>
          <w:color w:val="auto"/>
          <w:szCs w:val="21"/>
          <w:highlight w:val="none"/>
          <w:lang w:eastAsia="zh-CN"/>
        </w:rPr>
        <w:t>防城港市防城区防城镇城南区十一号地块内1栋301、302号</w:t>
      </w:r>
    </w:p>
    <w:p w14:paraId="35C5A02F">
      <w:pPr>
        <w:tabs>
          <w:tab w:val="left" w:pos="2190"/>
        </w:tabs>
        <w:spacing w:line="460" w:lineRule="exact"/>
        <w:ind w:firstLine="435"/>
        <w:outlineLvl w:val="9"/>
        <w:rPr>
          <w:rFonts w:ascii="宋体" w:hAnsi="宋体" w:cs="宋体"/>
          <w:color w:val="auto"/>
        </w:rPr>
      </w:pPr>
      <w:r>
        <w:rPr>
          <w:rFonts w:hint="eastAsia" w:ascii="宋体" w:hAnsi="宋体" w:cs="宋体"/>
          <w:color w:val="auto"/>
        </w:rPr>
        <w:t>现场提交质疑办理业务时间（北京时间）：8时</w:t>
      </w:r>
      <w:r>
        <w:rPr>
          <w:rFonts w:hint="eastAsia" w:ascii="宋体" w:hAnsi="宋体" w:cs="宋体"/>
          <w:color w:val="auto"/>
          <w:lang w:val="en-US" w:eastAsia="zh-CN"/>
        </w:rPr>
        <w:t>3</w:t>
      </w:r>
      <w:r>
        <w:rPr>
          <w:rFonts w:hint="eastAsia" w:ascii="宋体" w:hAnsi="宋体" w:cs="宋体"/>
          <w:color w:val="auto"/>
        </w:rPr>
        <w:t>0分到12时00分，15时00分到18时00分，业务时间以外、双休日和法定节假日不办理业务。</w:t>
      </w:r>
    </w:p>
    <w:bookmarkEnd w:id="26"/>
    <w:bookmarkEnd w:id="27"/>
    <w:p w14:paraId="1EBCC715">
      <w:pPr>
        <w:spacing w:line="460" w:lineRule="exact"/>
        <w:ind w:firstLine="422" w:firstLineChars="200"/>
        <w:outlineLvl w:val="9"/>
        <w:rPr>
          <w:rFonts w:ascii="宋体" w:hAnsi="宋体" w:cs="宋体"/>
          <w:b/>
          <w:bCs/>
          <w:color w:val="auto"/>
          <w:sz w:val="21"/>
          <w:szCs w:val="21"/>
        </w:rPr>
      </w:pPr>
      <w:bookmarkStart w:id="28" w:name="_Toc6998"/>
      <w:bookmarkStart w:id="29" w:name="_Toc7795"/>
      <w:bookmarkStart w:id="30" w:name="_Toc13690"/>
      <w:r>
        <w:rPr>
          <w:rFonts w:hint="eastAsia" w:ascii="宋体" w:hAnsi="宋体" w:cs="宋体"/>
          <w:b/>
          <w:bCs/>
          <w:color w:val="auto"/>
          <w:sz w:val="21"/>
          <w:szCs w:val="21"/>
        </w:rPr>
        <w:t>7. 转包与分包</w:t>
      </w:r>
      <w:bookmarkEnd w:id="28"/>
      <w:bookmarkEnd w:id="29"/>
      <w:bookmarkEnd w:id="30"/>
    </w:p>
    <w:p w14:paraId="0853CCDF">
      <w:pPr>
        <w:tabs>
          <w:tab w:val="left" w:pos="2190"/>
        </w:tabs>
        <w:spacing w:line="460" w:lineRule="exact"/>
        <w:ind w:firstLine="435"/>
        <w:outlineLvl w:val="9"/>
        <w:rPr>
          <w:rFonts w:ascii="宋体" w:hAnsi="宋体" w:cs="宋体"/>
          <w:color w:val="auto"/>
          <w:szCs w:val="21"/>
        </w:rPr>
      </w:pPr>
      <w:r>
        <w:rPr>
          <w:rFonts w:hint="eastAsia" w:ascii="宋体" w:hAnsi="宋体" w:cs="宋体"/>
          <w:color w:val="auto"/>
          <w:szCs w:val="21"/>
        </w:rPr>
        <w:t>7.1 本项目不允许转包。</w:t>
      </w:r>
    </w:p>
    <w:p w14:paraId="6A92F199">
      <w:pPr>
        <w:tabs>
          <w:tab w:val="left" w:pos="2190"/>
        </w:tabs>
        <w:spacing w:line="460" w:lineRule="exact"/>
        <w:ind w:firstLine="435"/>
        <w:outlineLvl w:val="9"/>
        <w:rPr>
          <w:rFonts w:ascii="宋体" w:hAnsi="宋体" w:cs="宋体"/>
          <w:color w:val="auto"/>
          <w:szCs w:val="21"/>
        </w:rPr>
      </w:pPr>
      <w:r>
        <w:rPr>
          <w:rFonts w:hint="eastAsia" w:ascii="宋体" w:hAnsi="宋体" w:cs="宋体"/>
          <w:color w:val="auto"/>
          <w:szCs w:val="21"/>
        </w:rPr>
        <w:t>7.2 本项目不可以分包。</w:t>
      </w:r>
    </w:p>
    <w:p w14:paraId="3EE39261">
      <w:pPr>
        <w:spacing w:line="460" w:lineRule="exact"/>
        <w:ind w:firstLine="422" w:firstLineChars="200"/>
        <w:outlineLvl w:val="9"/>
        <w:rPr>
          <w:rFonts w:ascii="宋体" w:hAnsi="宋体" w:cs="宋体"/>
          <w:b/>
          <w:bCs/>
          <w:color w:val="auto"/>
          <w:sz w:val="21"/>
          <w:szCs w:val="21"/>
        </w:rPr>
      </w:pPr>
      <w:bookmarkStart w:id="31" w:name="_Toc3368"/>
      <w:bookmarkStart w:id="32" w:name="_Toc15275"/>
      <w:bookmarkStart w:id="33" w:name="_Toc28010"/>
      <w:r>
        <w:rPr>
          <w:rFonts w:hint="eastAsia" w:ascii="宋体" w:hAnsi="宋体" w:cs="宋体"/>
          <w:b/>
          <w:bCs/>
          <w:color w:val="auto"/>
          <w:sz w:val="21"/>
          <w:szCs w:val="21"/>
        </w:rPr>
        <w:t>8. 特别说明</w:t>
      </w:r>
      <w:bookmarkEnd w:id="31"/>
      <w:bookmarkEnd w:id="32"/>
      <w:bookmarkEnd w:id="33"/>
    </w:p>
    <w:p w14:paraId="718F0389">
      <w:pPr>
        <w:tabs>
          <w:tab w:val="left" w:pos="1635"/>
        </w:tabs>
        <w:spacing w:line="460" w:lineRule="exact"/>
        <w:ind w:firstLine="422" w:firstLineChars="200"/>
        <w:outlineLvl w:val="9"/>
        <w:rPr>
          <w:rFonts w:ascii="宋体" w:hAnsi="宋体" w:cs="宋体"/>
          <w:b/>
          <w:color w:val="auto"/>
          <w:szCs w:val="21"/>
        </w:rPr>
      </w:pPr>
      <w:r>
        <w:rPr>
          <w:rFonts w:hint="eastAsia" w:ascii="宋体" w:hAnsi="宋体" w:cs="宋体"/>
          <w:b/>
          <w:color w:val="auto"/>
          <w:szCs w:val="21"/>
        </w:rPr>
        <w:t>8.1关联供应商不得参加同一合同项下政府采购活动，否则响应文件将被视为无效：</w:t>
      </w:r>
    </w:p>
    <w:p w14:paraId="349129BA">
      <w:pPr>
        <w:tabs>
          <w:tab w:val="left" w:pos="1635"/>
        </w:tabs>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（1）单位负责人为同一人或者存在直接控股、管理关系的，不得参加同一合同项下的政府采购活动。</w:t>
      </w:r>
    </w:p>
    <w:p w14:paraId="0E9BF1FD">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（2）为本采购项目提供整体设计、规范编制或者项目管理、监理、检测等服务的供应商，不得再参加本次采购活动。</w:t>
      </w:r>
      <w:bookmarkStart w:id="34" w:name="_Toc254970673"/>
      <w:bookmarkStart w:id="35" w:name="_Toc254970532"/>
    </w:p>
    <w:bookmarkEnd w:id="34"/>
    <w:bookmarkEnd w:id="35"/>
    <w:p w14:paraId="45C01629">
      <w:pPr>
        <w:spacing w:line="360" w:lineRule="auto"/>
        <w:ind w:firstLine="420" w:firstLineChars="200"/>
        <w:outlineLvl w:val="9"/>
        <w:rPr>
          <w:rFonts w:ascii="宋体" w:hAnsi="宋体" w:cs="宋体"/>
          <w:color w:val="auto"/>
          <w:szCs w:val="21"/>
        </w:rPr>
      </w:pPr>
      <w:bookmarkStart w:id="36" w:name="_8.1提供相同品牌产品且通过资格审查、符合性审查的不同投标人参加同一合"/>
      <w:bookmarkEnd w:id="36"/>
      <w:r>
        <w:rPr>
          <w:rFonts w:hint="eastAsia" w:ascii="宋体" w:hAnsi="宋体" w:cs="宋体"/>
          <w:color w:val="auto"/>
          <w:szCs w:val="21"/>
        </w:rPr>
        <w:t>8.2</w:t>
      </w:r>
      <w:r>
        <w:rPr>
          <w:rFonts w:hint="eastAsia" w:ascii="宋体" w:hAnsi="宋体"/>
          <w:color w:val="auto"/>
          <w:szCs w:val="21"/>
        </w:rPr>
        <w:t>如果本磋商文件要求供应商提供资格、信誉、荣誉、业绩与企业认证等材料的，则供应商所提供的以上材料必须为本供应商所拥有</w:t>
      </w:r>
      <w:r>
        <w:rPr>
          <w:rFonts w:hint="eastAsia" w:ascii="宋体" w:hAnsi="宋体" w:cs="宋体"/>
          <w:color w:val="auto"/>
          <w:szCs w:val="21"/>
        </w:rPr>
        <w:t>。</w:t>
      </w:r>
    </w:p>
    <w:p w14:paraId="0586C49E">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8.3供应商应仔细阅读磋商文件的所有内容，按照磋商文件的要求提交响应文件，并对所提供的全部资料的真实性承担法律责任。</w:t>
      </w:r>
    </w:p>
    <w:p w14:paraId="03C39442">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8.4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5E31811">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8.5在政府采购活动中，采购人员及相关人员与供应商有下列利害关系之一的，应当回避：</w:t>
      </w:r>
    </w:p>
    <w:p w14:paraId="73FB8DA8">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（1）参加采购活动前3年内与供应商存在劳动关系；</w:t>
      </w:r>
    </w:p>
    <w:p w14:paraId="6197CA40">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（2）参加采购活动前3年内担任供应商的董事、监事；</w:t>
      </w:r>
    </w:p>
    <w:p w14:paraId="543DFED6">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00E2FD9A">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14FBA580">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2D24589C">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988940C">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8.6有下列情形之一的视为供应商相互串通竞标，响应文件将被视为无效：</w:t>
      </w:r>
    </w:p>
    <w:p w14:paraId="5274F84B">
      <w:pPr>
        <w:spacing w:line="360" w:lineRule="auto"/>
        <w:ind w:firstLine="422" w:firstLineChars="200"/>
        <w:outlineLvl w:val="9"/>
        <w:rPr>
          <w:rFonts w:ascii="宋体" w:hAnsi="宋体" w:cs="宋体"/>
          <w:b/>
          <w:bCs/>
          <w:color w:val="auto"/>
          <w:szCs w:val="21"/>
        </w:rPr>
      </w:pPr>
      <w:r>
        <w:rPr>
          <w:rFonts w:hint="eastAsia" w:ascii="宋体" w:hAnsi="宋体" w:cs="宋体"/>
          <w:b/>
          <w:bCs/>
          <w:color w:val="auto"/>
          <w:szCs w:val="21"/>
        </w:rPr>
        <w:t>（1）不同供应商的响应文件由同一单位或者个人编制；或者不同供应商报名的IP地址一致的；</w:t>
      </w:r>
    </w:p>
    <w:p w14:paraId="4581CDC1">
      <w:pPr>
        <w:spacing w:line="360" w:lineRule="auto"/>
        <w:ind w:firstLine="422" w:firstLineChars="200"/>
        <w:outlineLvl w:val="9"/>
        <w:rPr>
          <w:rFonts w:ascii="宋体" w:hAnsi="宋体" w:cs="宋体"/>
          <w:b/>
          <w:bCs/>
          <w:color w:val="auto"/>
          <w:szCs w:val="21"/>
        </w:rPr>
      </w:pPr>
      <w:r>
        <w:rPr>
          <w:rFonts w:hint="eastAsia" w:ascii="宋体" w:hAnsi="宋体" w:cs="宋体"/>
          <w:b/>
          <w:bCs/>
          <w:color w:val="auto"/>
          <w:szCs w:val="21"/>
        </w:rPr>
        <w:t>（2）不同供应商委托同一单位或者个人办理竞标事宜；</w:t>
      </w:r>
    </w:p>
    <w:p w14:paraId="6EE18070">
      <w:pPr>
        <w:spacing w:line="360" w:lineRule="auto"/>
        <w:ind w:firstLine="422" w:firstLineChars="200"/>
        <w:outlineLvl w:val="9"/>
        <w:rPr>
          <w:rFonts w:ascii="宋体" w:hAnsi="宋体" w:cs="宋体"/>
          <w:b/>
          <w:bCs/>
          <w:color w:val="auto"/>
          <w:szCs w:val="21"/>
        </w:rPr>
      </w:pPr>
      <w:r>
        <w:rPr>
          <w:rFonts w:hint="eastAsia" w:ascii="宋体" w:hAnsi="宋体" w:cs="宋体"/>
          <w:b/>
          <w:bCs/>
          <w:color w:val="auto"/>
          <w:szCs w:val="21"/>
        </w:rPr>
        <w:t>（3）不同的供应商的响应文件载明的项目管理员或者联系人员为同一个人；</w:t>
      </w:r>
    </w:p>
    <w:p w14:paraId="384C05DC">
      <w:pPr>
        <w:spacing w:line="360" w:lineRule="auto"/>
        <w:ind w:firstLine="422" w:firstLineChars="200"/>
        <w:outlineLvl w:val="9"/>
        <w:rPr>
          <w:rFonts w:ascii="宋体" w:hAnsi="宋体" w:cs="宋体"/>
          <w:b/>
          <w:bCs/>
          <w:color w:val="auto"/>
          <w:szCs w:val="21"/>
        </w:rPr>
      </w:pPr>
      <w:r>
        <w:rPr>
          <w:rFonts w:hint="eastAsia" w:ascii="宋体" w:hAnsi="宋体" w:cs="宋体"/>
          <w:b/>
          <w:bCs/>
          <w:color w:val="auto"/>
          <w:szCs w:val="21"/>
        </w:rPr>
        <w:t>（4）不同供应商的响应文件异常一致或者报价呈规律性差异；</w:t>
      </w:r>
    </w:p>
    <w:p w14:paraId="31243C74">
      <w:pPr>
        <w:spacing w:line="360" w:lineRule="auto"/>
        <w:ind w:firstLine="422" w:firstLineChars="200"/>
        <w:outlineLvl w:val="9"/>
        <w:rPr>
          <w:rFonts w:ascii="宋体" w:hAnsi="宋体" w:cs="宋体"/>
          <w:b/>
          <w:bCs/>
          <w:color w:val="auto"/>
          <w:szCs w:val="21"/>
        </w:rPr>
      </w:pPr>
      <w:r>
        <w:rPr>
          <w:rFonts w:hint="eastAsia" w:ascii="宋体" w:hAnsi="宋体" w:cs="宋体"/>
          <w:b/>
          <w:bCs/>
          <w:color w:val="auto"/>
          <w:szCs w:val="21"/>
        </w:rPr>
        <w:t>（5）不同供应商的响应文件相互混装。</w:t>
      </w:r>
      <w:r>
        <w:rPr>
          <w:rFonts w:ascii="宋体" w:hAnsi="宋体" w:cs="宋体"/>
          <w:b/>
          <w:bCs/>
          <w:color w:val="auto"/>
          <w:szCs w:val="21"/>
        </w:rPr>
        <w:tab/>
      </w:r>
    </w:p>
    <w:p w14:paraId="77060F72">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8.7供应商有下列情形之一的，属于恶意串通行为，将报同级监督管理部门：</w:t>
      </w:r>
    </w:p>
    <w:p w14:paraId="023F48BB">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38C60CB2">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459E3F7F">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3DE9958E">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0F29A67A">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7B6533E3">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7FE1EE52">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7B30EF4A">
      <w:pPr>
        <w:pStyle w:val="32"/>
        <w:spacing w:line="460" w:lineRule="exact"/>
        <w:outlineLvl w:val="9"/>
        <w:rPr>
          <w:rFonts w:ascii="宋体" w:hAnsi="宋体" w:cs="宋体"/>
          <w:color w:val="auto"/>
        </w:rPr>
      </w:pPr>
    </w:p>
    <w:p w14:paraId="49DB9C67">
      <w:pPr>
        <w:spacing w:line="460" w:lineRule="exact"/>
        <w:jc w:val="center"/>
        <w:outlineLvl w:val="9"/>
        <w:rPr>
          <w:b/>
          <w:bCs/>
          <w:color w:val="auto"/>
          <w:sz w:val="28"/>
          <w:szCs w:val="28"/>
        </w:rPr>
      </w:pPr>
      <w:bookmarkStart w:id="37" w:name="_Toc17322"/>
      <w:bookmarkStart w:id="38" w:name="_Toc22498"/>
      <w:bookmarkStart w:id="39" w:name="_Toc13302"/>
      <w:r>
        <w:rPr>
          <w:rFonts w:hint="eastAsia"/>
          <w:b/>
          <w:bCs/>
          <w:color w:val="auto"/>
          <w:sz w:val="28"/>
          <w:szCs w:val="28"/>
        </w:rPr>
        <w:t>二、磋商文件</w:t>
      </w:r>
      <w:bookmarkEnd w:id="37"/>
      <w:bookmarkEnd w:id="38"/>
      <w:bookmarkEnd w:id="39"/>
    </w:p>
    <w:p w14:paraId="56A64701">
      <w:pPr>
        <w:spacing w:line="460" w:lineRule="exact"/>
        <w:ind w:firstLine="422" w:firstLineChars="200"/>
        <w:outlineLvl w:val="9"/>
        <w:rPr>
          <w:rFonts w:ascii="宋体" w:hAnsi="宋体" w:cs="宋体"/>
          <w:color w:val="auto"/>
          <w:sz w:val="21"/>
          <w:szCs w:val="21"/>
          <w:lang w:val="pt-BR"/>
        </w:rPr>
      </w:pPr>
      <w:bookmarkStart w:id="40" w:name="_Toc18964"/>
      <w:bookmarkStart w:id="41" w:name="_Toc9387"/>
      <w:bookmarkStart w:id="42" w:name="_Toc17448"/>
      <w:r>
        <w:rPr>
          <w:rFonts w:hint="eastAsia" w:ascii="宋体" w:hAnsi="宋体" w:cs="宋体"/>
          <w:b/>
          <w:bCs/>
          <w:color w:val="auto"/>
          <w:sz w:val="21"/>
          <w:szCs w:val="21"/>
          <w:lang w:val="pt-BR"/>
        </w:rPr>
        <w:t xml:space="preserve">9. </w:t>
      </w:r>
      <w:r>
        <w:rPr>
          <w:rFonts w:hint="eastAsia" w:ascii="宋体" w:hAnsi="宋体" w:cs="宋体"/>
          <w:b/>
          <w:bCs/>
          <w:color w:val="auto"/>
          <w:sz w:val="21"/>
          <w:szCs w:val="21"/>
        </w:rPr>
        <w:t>磋商文件的构成</w:t>
      </w:r>
      <w:bookmarkEnd w:id="40"/>
      <w:bookmarkEnd w:id="41"/>
      <w:bookmarkEnd w:id="42"/>
    </w:p>
    <w:p w14:paraId="698E94B8">
      <w:pPr>
        <w:tabs>
          <w:tab w:val="left" w:pos="2190"/>
        </w:tabs>
        <w:spacing w:line="500" w:lineRule="exact"/>
        <w:ind w:firstLine="437"/>
        <w:outlineLvl w:val="9"/>
        <w:rPr>
          <w:rFonts w:ascii="宋体" w:hAnsi="宋体" w:cs="宋体"/>
          <w:color w:val="auto"/>
          <w:szCs w:val="21"/>
        </w:rPr>
      </w:pPr>
      <w:r>
        <w:rPr>
          <w:rFonts w:hint="eastAsia" w:ascii="宋体" w:hAnsi="宋体" w:cs="宋体"/>
          <w:color w:val="auto"/>
          <w:szCs w:val="21"/>
        </w:rPr>
        <w:t>（1）竞争性磋商公告；</w:t>
      </w:r>
    </w:p>
    <w:p w14:paraId="738714D5">
      <w:pPr>
        <w:tabs>
          <w:tab w:val="left" w:pos="2190"/>
        </w:tabs>
        <w:spacing w:line="500" w:lineRule="exact"/>
        <w:ind w:firstLine="437"/>
        <w:outlineLvl w:val="9"/>
        <w:rPr>
          <w:rFonts w:ascii="宋体" w:hAnsi="宋体" w:cs="宋体"/>
          <w:color w:val="auto"/>
          <w:szCs w:val="21"/>
        </w:rPr>
      </w:pPr>
      <w:r>
        <w:rPr>
          <w:rFonts w:hint="eastAsia" w:ascii="宋体" w:hAnsi="宋体" w:cs="宋体"/>
          <w:color w:val="auto"/>
          <w:szCs w:val="21"/>
        </w:rPr>
        <w:t>（2）供应商须知；</w:t>
      </w:r>
    </w:p>
    <w:p w14:paraId="49C2566C">
      <w:pPr>
        <w:tabs>
          <w:tab w:val="left" w:pos="2190"/>
        </w:tabs>
        <w:spacing w:line="500" w:lineRule="exact"/>
        <w:ind w:firstLine="437"/>
        <w:outlineLvl w:val="9"/>
        <w:rPr>
          <w:rFonts w:ascii="宋体" w:hAnsi="宋体" w:cs="宋体"/>
          <w:color w:val="auto"/>
          <w:szCs w:val="21"/>
        </w:rPr>
      </w:pPr>
      <w:r>
        <w:rPr>
          <w:rFonts w:hint="eastAsia" w:ascii="宋体" w:hAnsi="宋体" w:cs="宋体"/>
          <w:color w:val="auto"/>
          <w:szCs w:val="21"/>
        </w:rPr>
        <w:t>（3）评标办法；</w:t>
      </w:r>
    </w:p>
    <w:p w14:paraId="6FBA4362">
      <w:pPr>
        <w:tabs>
          <w:tab w:val="left" w:pos="2190"/>
        </w:tabs>
        <w:spacing w:line="500" w:lineRule="exact"/>
        <w:ind w:firstLine="437"/>
        <w:outlineLvl w:val="9"/>
        <w:rPr>
          <w:rFonts w:ascii="宋体" w:hAnsi="宋体" w:cs="宋体"/>
          <w:color w:val="auto"/>
          <w:szCs w:val="21"/>
        </w:rPr>
      </w:pPr>
      <w:r>
        <w:rPr>
          <w:rFonts w:hint="eastAsia" w:ascii="宋体" w:hAnsi="宋体" w:cs="宋体"/>
          <w:color w:val="auto"/>
          <w:szCs w:val="21"/>
        </w:rPr>
        <w:t>（4）采购合同（合同主要条款及格式）；</w:t>
      </w:r>
    </w:p>
    <w:p w14:paraId="05CF5C7D">
      <w:pPr>
        <w:tabs>
          <w:tab w:val="left" w:pos="2190"/>
        </w:tabs>
        <w:spacing w:line="500" w:lineRule="exact"/>
        <w:ind w:firstLine="437"/>
        <w:outlineLvl w:val="9"/>
        <w:rPr>
          <w:rFonts w:hint="eastAsia" w:ascii="宋体" w:hAnsi="宋体" w:cs="宋体"/>
          <w:color w:val="auto"/>
          <w:szCs w:val="21"/>
          <w:lang w:val="en-US" w:eastAsia="zh-CN"/>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）响应文件（格式）</w:t>
      </w:r>
      <w:r>
        <w:rPr>
          <w:rFonts w:hint="eastAsia" w:ascii="宋体" w:hAnsi="宋体" w:cs="宋体"/>
          <w:color w:val="auto"/>
          <w:szCs w:val="21"/>
          <w:lang w:val="en-US" w:eastAsia="zh-CN"/>
        </w:rPr>
        <w:t>；</w:t>
      </w:r>
    </w:p>
    <w:p w14:paraId="763A0ABA">
      <w:pPr>
        <w:tabs>
          <w:tab w:val="left" w:pos="2190"/>
        </w:tabs>
        <w:spacing w:line="500" w:lineRule="exact"/>
        <w:ind w:firstLine="437"/>
        <w:outlineLvl w:val="9"/>
        <w:rPr>
          <w:rFonts w:hint="default" w:ascii="宋体" w:hAnsi="宋体" w:cs="宋体"/>
          <w:color w:val="auto"/>
          <w:szCs w:val="21"/>
          <w:lang w:val="en-US" w:eastAsia="zh-CN"/>
        </w:rPr>
      </w:pPr>
      <w:r>
        <w:rPr>
          <w:rFonts w:hint="eastAsia" w:ascii="宋体" w:hAnsi="宋体" w:cs="宋体"/>
          <w:color w:val="auto"/>
          <w:szCs w:val="21"/>
          <w:lang w:val="en-US" w:eastAsia="zh-CN"/>
        </w:rPr>
        <w:t>（6）工程量清单、图纸</w:t>
      </w:r>
    </w:p>
    <w:p w14:paraId="6A3FDCD5">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outlineLvl w:val="9"/>
        <w:rPr>
          <w:rFonts w:ascii="宋体" w:hAnsi="宋体" w:cs="宋体"/>
          <w:b/>
          <w:bCs/>
          <w:color w:val="auto"/>
          <w:sz w:val="21"/>
          <w:szCs w:val="21"/>
        </w:rPr>
      </w:pPr>
      <w:bookmarkStart w:id="43" w:name="_Toc5939"/>
      <w:bookmarkStart w:id="44" w:name="_Toc9103"/>
      <w:bookmarkStart w:id="45" w:name="_Toc4844"/>
      <w:r>
        <w:rPr>
          <w:rFonts w:hint="eastAsia" w:ascii="宋体" w:hAnsi="宋体" w:cs="宋体"/>
          <w:b/>
          <w:bCs/>
          <w:color w:val="auto"/>
          <w:sz w:val="21"/>
          <w:szCs w:val="21"/>
        </w:rPr>
        <w:t>10. 磋商文件的澄清与修改</w:t>
      </w:r>
      <w:bookmarkEnd w:id="43"/>
      <w:bookmarkEnd w:id="44"/>
      <w:bookmarkEnd w:id="45"/>
    </w:p>
    <w:p w14:paraId="294F7A2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ascii="宋体" w:hAnsi="宋体"/>
          <w:color w:val="auto"/>
          <w:szCs w:val="21"/>
        </w:rPr>
      </w:pPr>
      <w:r>
        <w:rPr>
          <w:rFonts w:hint="eastAsia" w:ascii="宋体" w:hAnsi="宋体"/>
          <w:color w:val="auto"/>
          <w:szCs w:val="21"/>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应当顺延提交首次响应文件截止时间。澄清或者更正公告在竞争性磋商公告发布媒体上发布，一经发布，视作已以书面形式通知所有获取竞争性磋商采购文件的潜在供应商，所有潜在供应商应密切关注原竞争性磋商公告发布媒体，因未能及时获知，由此产生的后果均应自行承担。</w:t>
      </w:r>
    </w:p>
    <w:p w14:paraId="0B07DA3C">
      <w:pPr>
        <w:spacing w:line="460" w:lineRule="exact"/>
        <w:outlineLvl w:val="9"/>
        <w:rPr>
          <w:b/>
          <w:bCs/>
          <w:color w:val="auto"/>
          <w:sz w:val="28"/>
          <w:szCs w:val="28"/>
        </w:rPr>
      </w:pPr>
      <w:bookmarkStart w:id="46" w:name="_Toc20830"/>
      <w:bookmarkStart w:id="47" w:name="_Toc31896"/>
    </w:p>
    <w:p w14:paraId="24E91B72">
      <w:pPr>
        <w:spacing w:line="460" w:lineRule="exact"/>
        <w:jc w:val="center"/>
        <w:outlineLvl w:val="9"/>
        <w:rPr>
          <w:b/>
          <w:bCs/>
          <w:color w:val="auto"/>
          <w:sz w:val="28"/>
          <w:szCs w:val="28"/>
        </w:rPr>
      </w:pPr>
      <w:bookmarkStart w:id="48" w:name="_Toc10449"/>
      <w:r>
        <w:rPr>
          <w:rFonts w:hint="eastAsia"/>
          <w:b/>
          <w:bCs/>
          <w:color w:val="auto"/>
          <w:sz w:val="28"/>
          <w:szCs w:val="28"/>
        </w:rPr>
        <w:t>三、竞争性磋商响应文件的编制</w:t>
      </w:r>
      <w:bookmarkEnd w:id="46"/>
      <w:bookmarkEnd w:id="47"/>
      <w:bookmarkEnd w:id="48"/>
    </w:p>
    <w:p w14:paraId="66E892E2">
      <w:pPr>
        <w:spacing w:line="460" w:lineRule="exact"/>
        <w:ind w:firstLine="420" w:firstLineChars="200"/>
        <w:outlineLvl w:val="9"/>
        <w:rPr>
          <w:rFonts w:ascii="宋体" w:hAnsi="宋体" w:cs="宋体"/>
          <w:color w:val="auto"/>
          <w:sz w:val="21"/>
          <w:szCs w:val="21"/>
        </w:rPr>
      </w:pPr>
      <w:bookmarkStart w:id="49" w:name="_Toc18371"/>
      <w:bookmarkStart w:id="50" w:name="_Toc13470"/>
      <w:r>
        <w:rPr>
          <w:rFonts w:hint="eastAsia" w:ascii="宋体" w:hAnsi="宋体" w:cs="宋体"/>
          <w:color w:val="auto"/>
          <w:sz w:val="21"/>
          <w:szCs w:val="21"/>
        </w:rPr>
        <w:t>11.竞争性磋商响应文件编制基本要求</w:t>
      </w:r>
      <w:bookmarkEnd w:id="49"/>
      <w:bookmarkEnd w:id="50"/>
    </w:p>
    <w:p w14:paraId="32C75387">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lang w:val="en-US" w:eastAsia="zh-CN"/>
        </w:rPr>
        <w:t>11</w:t>
      </w:r>
      <w:r>
        <w:rPr>
          <w:rFonts w:hint="eastAsia" w:ascii="宋体" w:hAnsi="宋体"/>
          <w:b/>
          <w:color w:val="auto"/>
          <w:szCs w:val="21"/>
          <w:highlight w:val="none"/>
        </w:rPr>
        <w:t>.1响应文件电子版要求</w:t>
      </w:r>
    </w:p>
    <w:p w14:paraId="58D9FB81">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b w:val="0"/>
          <w:bCs/>
          <w:color w:val="auto"/>
          <w:szCs w:val="21"/>
          <w:highlight w:val="none"/>
        </w:rPr>
      </w:pPr>
      <w:r>
        <w:rPr>
          <w:rFonts w:hint="eastAsia" w:ascii="宋体" w:hAnsi="宋体"/>
          <w:b w:val="0"/>
          <w:bCs/>
          <w:color w:val="auto"/>
          <w:szCs w:val="21"/>
          <w:highlight w:val="none"/>
          <w:lang w:val="en-US" w:eastAsia="zh-CN"/>
        </w:rPr>
        <w:t>11</w:t>
      </w:r>
      <w:r>
        <w:rPr>
          <w:rFonts w:hint="eastAsia" w:ascii="宋体" w:hAnsi="宋体"/>
          <w:b w:val="0"/>
          <w:bCs/>
          <w:color w:val="auto"/>
          <w:szCs w:val="21"/>
          <w:highlight w:val="none"/>
        </w:rPr>
        <w:t>.1.1各供应商在编制响应文件时请按照文件“第五章 响应文件格式”规定的格式进行，混乱的编排导致响应文件被误读或评审小组查找不到有效文件是供应商的风险。不完整、编排混乱导致响应文件被误读、漏读或者查找不到相关内容的，由此引发的后果由供应商承担。</w:t>
      </w:r>
    </w:p>
    <w:p w14:paraId="6C7A2FB9">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b w:val="0"/>
          <w:bCs/>
          <w:color w:val="auto"/>
          <w:szCs w:val="21"/>
          <w:highlight w:val="none"/>
        </w:rPr>
      </w:pPr>
      <w:r>
        <w:rPr>
          <w:rFonts w:hint="eastAsia" w:ascii="宋体" w:hAnsi="宋体"/>
          <w:b w:val="0"/>
          <w:bCs/>
          <w:color w:val="auto"/>
          <w:szCs w:val="21"/>
          <w:highlight w:val="none"/>
          <w:lang w:val="en-US" w:eastAsia="zh-CN"/>
        </w:rPr>
        <w:t>11</w:t>
      </w:r>
      <w:r>
        <w:rPr>
          <w:rFonts w:hint="eastAsia" w:ascii="宋体" w:hAnsi="宋体"/>
          <w:b w:val="0"/>
          <w:bCs/>
          <w:color w:val="auto"/>
          <w:szCs w:val="21"/>
          <w:highlight w:val="none"/>
        </w:rPr>
        <w:t>.1.2本项目只接收电子版响应文件。</w:t>
      </w:r>
    </w:p>
    <w:p w14:paraId="1E4DDA70">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s="Times New Roman"/>
          <w:b w:val="0"/>
          <w:bCs/>
          <w:color w:val="auto"/>
          <w:szCs w:val="21"/>
          <w:highlight w:val="none"/>
        </w:rPr>
      </w:pPr>
      <w:r>
        <w:rPr>
          <w:rFonts w:hint="eastAsia" w:ascii="宋体" w:hAnsi="宋体"/>
          <w:b w:val="0"/>
          <w:bCs/>
          <w:color w:val="auto"/>
          <w:szCs w:val="21"/>
          <w:highlight w:val="none"/>
          <w:lang w:val="en-US" w:eastAsia="zh-CN"/>
        </w:rPr>
        <w:t>11</w:t>
      </w:r>
      <w:r>
        <w:rPr>
          <w:rFonts w:hint="eastAsia" w:ascii="宋体" w:hAnsi="宋体"/>
          <w:b w:val="0"/>
          <w:bCs/>
          <w:color w:val="auto"/>
          <w:szCs w:val="21"/>
          <w:highlight w:val="none"/>
        </w:rPr>
        <w:t>.1.</w:t>
      </w:r>
      <w:bookmarkStart w:id="51" w:name="_Hlk65832699"/>
      <w:r>
        <w:rPr>
          <w:rFonts w:hint="eastAsia" w:ascii="宋体" w:hAnsi="宋体"/>
          <w:b w:val="0"/>
          <w:bCs/>
          <w:color w:val="auto"/>
          <w:szCs w:val="21"/>
          <w:highlight w:val="none"/>
        </w:rPr>
        <w:t>3响应文件须由供应商在</w:t>
      </w:r>
      <w:r>
        <w:rPr>
          <w:rFonts w:hint="eastAsia" w:ascii="宋体" w:hAnsi="宋体" w:eastAsia="宋体" w:cs="Times New Roman"/>
          <w:b w:val="0"/>
          <w:bCs/>
          <w:color w:val="auto"/>
          <w:szCs w:val="21"/>
          <w:highlight w:val="none"/>
          <w:lang w:val="zh-CN"/>
        </w:rPr>
        <w:t>“</w:t>
      </w:r>
      <w:r>
        <w:rPr>
          <w:rFonts w:hint="eastAsia" w:ascii="宋体" w:hAnsi="宋体" w:eastAsia="宋体" w:cs="Times New Roman"/>
          <w:b w:val="0"/>
          <w:bCs/>
          <w:color w:val="auto"/>
          <w:szCs w:val="21"/>
          <w:highlight w:val="none"/>
        </w:rPr>
        <w:t>第</w:t>
      </w:r>
      <w:r>
        <w:rPr>
          <w:rFonts w:hint="eastAsia" w:ascii="宋体" w:hAnsi="宋体" w:eastAsia="宋体" w:cs="Times New Roman"/>
          <w:b w:val="0"/>
          <w:bCs/>
          <w:color w:val="auto"/>
          <w:szCs w:val="21"/>
          <w:highlight w:val="none"/>
          <w:lang w:val="en-US" w:eastAsia="zh-CN"/>
        </w:rPr>
        <w:t>五</w:t>
      </w:r>
      <w:r>
        <w:rPr>
          <w:rFonts w:hint="eastAsia" w:ascii="宋体" w:hAnsi="宋体" w:eastAsia="宋体" w:cs="Times New Roman"/>
          <w:b w:val="0"/>
          <w:bCs/>
          <w:color w:val="auto"/>
          <w:szCs w:val="21"/>
          <w:highlight w:val="none"/>
        </w:rPr>
        <w:t>章 响应文件格式</w:t>
      </w:r>
      <w:r>
        <w:rPr>
          <w:rFonts w:hint="eastAsia" w:ascii="宋体" w:hAnsi="宋体" w:eastAsia="宋体" w:cs="Times New Roman"/>
          <w:b w:val="0"/>
          <w:bCs/>
          <w:color w:val="auto"/>
          <w:szCs w:val="21"/>
          <w:highlight w:val="none"/>
          <w:lang w:val="zh-CN"/>
        </w:rPr>
        <w:t>”</w:t>
      </w:r>
      <w:r>
        <w:rPr>
          <w:rFonts w:hint="eastAsia" w:ascii="宋体" w:hAnsi="宋体" w:eastAsia="宋体" w:cs="Times New Roman"/>
          <w:b w:val="0"/>
          <w:bCs/>
          <w:color w:val="auto"/>
          <w:szCs w:val="21"/>
          <w:highlight w:val="none"/>
        </w:rPr>
        <w:t>规定位置进行签署、盖章</w:t>
      </w:r>
      <w:bookmarkEnd w:id="51"/>
      <w:r>
        <w:rPr>
          <w:rFonts w:hint="eastAsia" w:ascii="宋体" w:hAnsi="宋体" w:eastAsia="宋体" w:cs="Times New Roman"/>
          <w:b w:val="0"/>
          <w:bCs/>
          <w:color w:val="auto"/>
          <w:szCs w:val="21"/>
          <w:highlight w:val="none"/>
        </w:rPr>
        <w:t>，否则其响应文件按无效响应处理。骑缝盖公章不视为在规定位置盖章。</w:t>
      </w:r>
    </w:p>
    <w:p w14:paraId="772615FE">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b w:val="0"/>
          <w:bCs/>
          <w:color w:val="auto"/>
          <w:szCs w:val="21"/>
          <w:highlight w:val="none"/>
        </w:rPr>
      </w:pPr>
      <w:r>
        <w:rPr>
          <w:rFonts w:hint="eastAsia" w:ascii="宋体" w:hAnsi="宋体"/>
          <w:b w:val="0"/>
          <w:bCs/>
          <w:color w:val="auto"/>
          <w:szCs w:val="21"/>
          <w:highlight w:val="none"/>
          <w:lang w:val="en-US" w:eastAsia="zh-CN"/>
        </w:rPr>
        <w:t>11</w:t>
      </w:r>
      <w:r>
        <w:rPr>
          <w:rFonts w:hint="eastAsia" w:ascii="宋体" w:hAnsi="宋体"/>
          <w:b w:val="0"/>
          <w:bCs/>
          <w:color w:val="auto"/>
          <w:szCs w:val="21"/>
          <w:highlight w:val="none"/>
        </w:rPr>
        <w:t>.1.4响应文件中标注的供应商名称应与营业执照（事业单位法人证书、执业许可证、自然人身份证）及电子公章一致，否则其响应文件按无效响应处理。</w:t>
      </w:r>
    </w:p>
    <w:p w14:paraId="7FDA79B4">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b w:val="0"/>
          <w:bCs/>
          <w:color w:val="auto"/>
          <w:szCs w:val="21"/>
          <w:highlight w:val="none"/>
        </w:rPr>
      </w:pPr>
      <w:r>
        <w:rPr>
          <w:rFonts w:hint="eastAsia" w:ascii="宋体" w:hAnsi="宋体"/>
          <w:b w:val="0"/>
          <w:bCs/>
          <w:color w:val="auto"/>
          <w:szCs w:val="21"/>
          <w:highlight w:val="none"/>
          <w:lang w:val="en-US" w:eastAsia="zh-CN"/>
        </w:rPr>
        <w:t>11</w:t>
      </w:r>
      <w:r>
        <w:rPr>
          <w:rFonts w:hint="eastAsia" w:ascii="宋体" w:hAnsi="宋体"/>
          <w:b w:val="0"/>
          <w:bCs/>
          <w:color w:val="auto"/>
          <w:szCs w:val="21"/>
          <w:highlight w:val="none"/>
        </w:rPr>
        <w:t>.1.5响应文件应避免涂改、行间插字或者删除，否则其响应文件按无效响应处理。</w:t>
      </w:r>
    </w:p>
    <w:p w14:paraId="056058D4">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color w:val="auto"/>
          <w:szCs w:val="21"/>
          <w:highlight w:val="none"/>
        </w:rPr>
      </w:pPr>
      <w:r>
        <w:rPr>
          <w:rFonts w:hint="eastAsia" w:ascii="宋体" w:hAnsi="宋体"/>
          <w:b/>
          <w:color w:val="auto"/>
          <w:szCs w:val="21"/>
          <w:highlight w:val="none"/>
          <w:lang w:val="en-US" w:eastAsia="zh-CN"/>
        </w:rPr>
        <w:t>11</w:t>
      </w:r>
      <w:r>
        <w:rPr>
          <w:rFonts w:hint="eastAsia" w:ascii="宋体" w:hAnsi="宋体"/>
          <w:b/>
          <w:color w:val="auto"/>
          <w:szCs w:val="21"/>
          <w:highlight w:val="none"/>
        </w:rPr>
        <w:t>.2响应文件的组成：</w:t>
      </w:r>
      <w:r>
        <w:rPr>
          <w:rFonts w:hint="eastAsia" w:ascii="宋体" w:hAnsi="MS Mincho" w:eastAsia="MS Mincho" w:cs="MS Mincho"/>
          <w:b/>
          <w:color w:val="auto"/>
          <w:szCs w:val="21"/>
          <w:highlight w:val="none"/>
        </w:rPr>
        <w:t>☑</w:t>
      </w:r>
      <w:r>
        <w:rPr>
          <w:rFonts w:hint="eastAsia" w:ascii="宋体" w:hAnsi="宋体"/>
          <w:b/>
          <w:color w:val="auto"/>
          <w:szCs w:val="21"/>
          <w:highlight w:val="none"/>
        </w:rPr>
        <w:t>资格审查</w:t>
      </w:r>
      <w:r>
        <w:rPr>
          <w:rFonts w:hint="eastAsia" w:ascii="宋体" w:hAnsi="宋体" w:cs="MS Mincho"/>
          <w:b/>
          <w:color w:val="auto"/>
          <w:szCs w:val="21"/>
          <w:highlight w:val="none"/>
        </w:rPr>
        <w:t xml:space="preserve">  </w:t>
      </w:r>
      <w:r>
        <w:rPr>
          <w:rFonts w:hint="eastAsia" w:ascii="宋体" w:hAnsi="MS Mincho" w:eastAsia="MS Mincho" w:cs="MS Mincho"/>
          <w:b/>
          <w:color w:val="auto"/>
          <w:szCs w:val="21"/>
          <w:highlight w:val="none"/>
        </w:rPr>
        <w:t>☑</w:t>
      </w:r>
      <w:r>
        <w:rPr>
          <w:rFonts w:hint="eastAsia" w:ascii="宋体" w:hAnsi="宋体"/>
          <w:b/>
          <w:color w:val="auto"/>
          <w:szCs w:val="21"/>
          <w:highlight w:val="none"/>
        </w:rPr>
        <w:t xml:space="preserve">技术部分  </w:t>
      </w:r>
      <w:r>
        <w:rPr>
          <w:rFonts w:hint="eastAsia" w:ascii="宋体" w:hAnsi="MS Mincho" w:eastAsia="MS Mincho" w:cs="MS Mincho"/>
          <w:b/>
          <w:color w:val="auto"/>
          <w:szCs w:val="21"/>
          <w:highlight w:val="none"/>
        </w:rPr>
        <w:t>☑商</w:t>
      </w:r>
      <w:r>
        <w:rPr>
          <w:rFonts w:hint="eastAsia" w:ascii="宋体" w:hAnsi="宋体" w:cs="宋体"/>
          <w:b/>
          <w:color w:val="auto"/>
          <w:szCs w:val="21"/>
          <w:highlight w:val="none"/>
        </w:rPr>
        <w:t>务</w:t>
      </w:r>
      <w:r>
        <w:rPr>
          <w:rFonts w:hint="eastAsia" w:ascii="MS Mincho" w:hAnsi="MS Mincho" w:eastAsia="MS Mincho" w:cs="MS Mincho"/>
          <w:b/>
          <w:color w:val="auto"/>
          <w:szCs w:val="21"/>
          <w:highlight w:val="none"/>
        </w:rPr>
        <w:t>及</w:t>
      </w:r>
      <w:r>
        <w:rPr>
          <w:rFonts w:hint="eastAsia" w:ascii="宋体" w:hAnsi="宋体" w:cs="宋体"/>
          <w:b/>
          <w:color w:val="auto"/>
          <w:szCs w:val="21"/>
          <w:highlight w:val="none"/>
        </w:rPr>
        <w:t>资</w:t>
      </w:r>
      <w:r>
        <w:rPr>
          <w:rFonts w:hint="eastAsia" w:ascii="MS Mincho" w:hAnsi="MS Mincho" w:eastAsia="MS Mincho" w:cs="MS Mincho"/>
          <w:b/>
          <w:color w:val="auto"/>
          <w:szCs w:val="21"/>
          <w:highlight w:val="none"/>
        </w:rPr>
        <w:t>信</w:t>
      </w:r>
      <w:r>
        <w:rPr>
          <w:rFonts w:hint="eastAsia" w:ascii="宋体" w:hAnsi="宋体" w:cs="宋体"/>
          <w:b/>
          <w:color w:val="auto"/>
          <w:szCs w:val="21"/>
          <w:highlight w:val="none"/>
        </w:rPr>
        <w:t>业绩</w:t>
      </w:r>
    </w:p>
    <w:p w14:paraId="6F90822D">
      <w:pPr>
        <w:keepNext w:val="0"/>
        <w:keepLines w:val="0"/>
        <w:pageBreakBefore w:val="0"/>
        <w:kinsoku/>
        <w:wordWrap/>
        <w:overflowPunct/>
        <w:topLinePunct w:val="0"/>
        <w:autoSpaceDE/>
        <w:autoSpaceDN/>
        <w:bidi w:val="0"/>
        <w:adjustRightInd w:val="0"/>
        <w:snapToGrid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lang w:val="en-US" w:eastAsia="zh-CN"/>
        </w:rPr>
        <w:t>11</w:t>
      </w:r>
      <w:r>
        <w:rPr>
          <w:rFonts w:hint="eastAsia" w:ascii="宋体" w:hAnsi="宋体"/>
          <w:b/>
          <w:color w:val="auto"/>
          <w:szCs w:val="21"/>
          <w:highlight w:val="none"/>
        </w:rPr>
        <w:t>.2.1资格审查</w:t>
      </w:r>
    </w:p>
    <w:p w14:paraId="2BD0DAA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宋体" w:cs="宋体"/>
          <w:b/>
          <w:bCs/>
          <w:color w:val="auto"/>
          <w:szCs w:val="21"/>
        </w:rPr>
      </w:pPr>
      <w:r>
        <w:rPr>
          <w:rFonts w:hint="eastAsia" w:ascii="宋体" w:cs="宋体"/>
          <w:b/>
          <w:bCs/>
          <w:color w:val="auto"/>
          <w:szCs w:val="21"/>
          <w:lang w:eastAsia="zh-CN"/>
        </w:rPr>
        <w:t>（</w:t>
      </w:r>
      <w:r>
        <w:rPr>
          <w:rFonts w:hint="eastAsia" w:ascii="宋体" w:cs="宋体"/>
          <w:b/>
          <w:bCs/>
          <w:color w:val="auto"/>
          <w:szCs w:val="21"/>
          <w:lang w:val="en-US" w:eastAsia="zh-CN"/>
        </w:rPr>
        <w:t>1）</w:t>
      </w:r>
      <w:r>
        <w:rPr>
          <w:rFonts w:hint="eastAsia" w:ascii="宋体" w:cs="宋体"/>
          <w:b/>
          <w:bCs/>
          <w:color w:val="auto"/>
          <w:szCs w:val="21"/>
        </w:rPr>
        <w:t>响应文件签署授权委托书；</w:t>
      </w:r>
    </w:p>
    <w:p w14:paraId="4DED9DF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宋体" w:cs="宋体"/>
          <w:b/>
          <w:bCs/>
          <w:color w:val="auto"/>
          <w:szCs w:val="21"/>
        </w:rPr>
      </w:pPr>
      <w:r>
        <w:rPr>
          <w:rFonts w:hint="eastAsia" w:ascii="宋体" w:cs="宋体"/>
          <w:b/>
          <w:bCs/>
          <w:color w:val="auto"/>
          <w:szCs w:val="21"/>
          <w:lang w:eastAsia="zh-CN"/>
        </w:rPr>
        <w:t>（</w:t>
      </w:r>
      <w:r>
        <w:rPr>
          <w:rFonts w:hint="eastAsia" w:ascii="宋体" w:cs="宋体"/>
          <w:b/>
          <w:bCs/>
          <w:color w:val="auto"/>
          <w:szCs w:val="21"/>
          <w:lang w:val="en-US" w:eastAsia="zh-CN"/>
        </w:rPr>
        <w:t>2）</w:t>
      </w:r>
      <w:r>
        <w:rPr>
          <w:rFonts w:hint="eastAsia" w:ascii="宋体" w:cs="宋体"/>
          <w:b/>
          <w:bCs/>
          <w:color w:val="auto"/>
          <w:szCs w:val="21"/>
        </w:rPr>
        <w:t>供应商基本情况表；</w:t>
      </w:r>
    </w:p>
    <w:p w14:paraId="741B5D1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宋体" w:cs="宋体"/>
          <w:b/>
          <w:bCs/>
          <w:color w:val="auto"/>
          <w:szCs w:val="21"/>
          <w:lang w:val="en-US" w:eastAsia="zh-CN"/>
        </w:rPr>
      </w:pPr>
      <w:r>
        <w:rPr>
          <w:rFonts w:hint="eastAsia" w:ascii="宋体" w:cs="宋体"/>
          <w:b/>
          <w:bCs/>
          <w:color w:val="auto"/>
          <w:szCs w:val="21"/>
        </w:rPr>
        <w:t>（</w:t>
      </w:r>
      <w:r>
        <w:rPr>
          <w:rFonts w:hint="eastAsia" w:ascii="宋体" w:cs="宋体"/>
          <w:b/>
          <w:bCs/>
          <w:color w:val="auto"/>
          <w:szCs w:val="21"/>
          <w:lang w:val="en-US" w:eastAsia="zh-CN"/>
        </w:rPr>
        <w:t>3</w:t>
      </w:r>
      <w:r>
        <w:rPr>
          <w:rFonts w:hint="eastAsia" w:ascii="宋体" w:cs="宋体"/>
          <w:b/>
          <w:bCs/>
          <w:color w:val="auto"/>
          <w:szCs w:val="21"/>
        </w:rPr>
        <w:t>）基本账户开户许可证</w:t>
      </w:r>
      <w:r>
        <w:rPr>
          <w:rFonts w:hint="eastAsia" w:ascii="宋体" w:cs="宋体"/>
          <w:b/>
          <w:bCs/>
          <w:color w:val="auto"/>
          <w:szCs w:val="21"/>
          <w:lang w:val="en-US" w:eastAsia="zh-CN"/>
        </w:rPr>
        <w:t>；</w:t>
      </w:r>
    </w:p>
    <w:p w14:paraId="69C99080">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宋体" w:cs="宋体"/>
          <w:b/>
          <w:bCs/>
          <w:color w:val="auto"/>
          <w:szCs w:val="21"/>
          <w:lang w:val="en-US" w:eastAsia="zh-CN"/>
        </w:rPr>
      </w:pPr>
      <w:r>
        <w:rPr>
          <w:rFonts w:hint="eastAsia" w:ascii="宋体" w:cs="宋体"/>
          <w:b/>
          <w:bCs/>
          <w:color w:val="auto"/>
          <w:szCs w:val="21"/>
        </w:rPr>
        <w:t>（</w:t>
      </w:r>
      <w:r>
        <w:rPr>
          <w:rFonts w:hint="eastAsia" w:ascii="宋体" w:cs="宋体"/>
          <w:b/>
          <w:bCs/>
          <w:color w:val="auto"/>
          <w:szCs w:val="21"/>
          <w:lang w:val="en-US" w:eastAsia="zh-CN"/>
        </w:rPr>
        <w:t>4</w:t>
      </w:r>
      <w:r>
        <w:rPr>
          <w:rFonts w:hint="eastAsia" w:ascii="宋体" w:cs="宋体"/>
          <w:b/>
          <w:bCs/>
          <w:color w:val="auto"/>
          <w:szCs w:val="21"/>
        </w:rPr>
        <w:t>）建设工程项目管理承诺书</w:t>
      </w:r>
      <w:r>
        <w:rPr>
          <w:rFonts w:hint="eastAsia" w:ascii="宋体" w:cs="宋体"/>
          <w:b/>
          <w:bCs/>
          <w:color w:val="auto"/>
          <w:szCs w:val="21"/>
          <w:lang w:val="en-US" w:eastAsia="zh-CN"/>
        </w:rPr>
        <w:t>；</w:t>
      </w:r>
    </w:p>
    <w:p w14:paraId="111790C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宋体" w:cs="宋体"/>
          <w:b/>
          <w:bCs/>
          <w:color w:val="auto"/>
          <w:szCs w:val="21"/>
        </w:rPr>
      </w:pPr>
      <w:r>
        <w:rPr>
          <w:rFonts w:hint="eastAsia" w:ascii="宋体" w:cs="宋体"/>
          <w:b/>
          <w:bCs/>
          <w:color w:val="auto"/>
          <w:szCs w:val="21"/>
          <w:lang w:eastAsia="zh-CN"/>
        </w:rPr>
        <w:t>（</w:t>
      </w:r>
      <w:r>
        <w:rPr>
          <w:rFonts w:hint="eastAsia" w:ascii="宋体" w:cs="宋体"/>
          <w:b/>
          <w:bCs/>
          <w:color w:val="auto"/>
          <w:szCs w:val="21"/>
          <w:lang w:val="en-US" w:eastAsia="zh-CN"/>
        </w:rPr>
        <w:t>5）</w:t>
      </w:r>
      <w:r>
        <w:rPr>
          <w:rFonts w:hint="eastAsia" w:ascii="宋体" w:cs="宋体"/>
          <w:b/>
          <w:bCs/>
          <w:color w:val="auto"/>
          <w:szCs w:val="21"/>
        </w:rPr>
        <w:t>防城港市政府采购供应商信用承诺函（格式后附）；</w:t>
      </w:r>
    </w:p>
    <w:p w14:paraId="44B58537">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宋体" w:cs="宋体"/>
          <w:b/>
          <w:bCs/>
          <w:color w:val="auto"/>
          <w:szCs w:val="21"/>
          <w:lang w:val="en-US" w:eastAsia="zh-CN"/>
        </w:rPr>
      </w:pPr>
      <w:r>
        <w:rPr>
          <w:rFonts w:hint="eastAsia" w:ascii="宋体" w:cs="宋体"/>
          <w:b/>
          <w:bCs/>
          <w:color w:val="auto"/>
          <w:szCs w:val="21"/>
          <w:lang w:val="en-US" w:eastAsia="zh-CN"/>
        </w:rPr>
        <w:t>（6）</w:t>
      </w:r>
      <w:r>
        <w:rPr>
          <w:rFonts w:hint="eastAsia" w:ascii="宋体" w:cs="宋体"/>
          <w:b/>
          <w:bCs/>
          <w:color w:val="auto"/>
          <w:szCs w:val="21"/>
        </w:rPr>
        <w:t>投标人直接控股、管理关系信息表</w:t>
      </w:r>
      <w:r>
        <w:rPr>
          <w:rFonts w:hint="eastAsia" w:ascii="宋体" w:cs="宋体"/>
          <w:b/>
          <w:bCs/>
          <w:color w:val="auto"/>
          <w:szCs w:val="21"/>
          <w:lang w:val="en-US" w:eastAsia="zh-CN"/>
        </w:rPr>
        <w:t>；</w:t>
      </w:r>
    </w:p>
    <w:p w14:paraId="49C9D44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宋体" w:cs="宋体"/>
          <w:b/>
          <w:bCs/>
          <w:color w:val="auto"/>
          <w:szCs w:val="21"/>
        </w:rPr>
      </w:pPr>
      <w:r>
        <w:rPr>
          <w:rFonts w:hint="eastAsia" w:ascii="宋体" w:cs="宋体"/>
          <w:b/>
          <w:bCs/>
          <w:color w:val="auto"/>
          <w:szCs w:val="21"/>
        </w:rPr>
        <w:t>（</w:t>
      </w:r>
      <w:r>
        <w:rPr>
          <w:rFonts w:hint="eastAsia" w:ascii="宋体" w:cs="宋体"/>
          <w:b/>
          <w:bCs/>
          <w:color w:val="auto"/>
          <w:szCs w:val="21"/>
          <w:lang w:val="en-US" w:eastAsia="zh-CN"/>
        </w:rPr>
        <w:t>7</w:t>
      </w:r>
      <w:r>
        <w:rPr>
          <w:rFonts w:hint="eastAsia" w:ascii="宋体" w:cs="宋体"/>
          <w:b/>
          <w:bCs/>
          <w:color w:val="auto"/>
          <w:szCs w:val="21"/>
        </w:rPr>
        <w:t>）项目经理注册建造师证书和安全生产考核合格证书（B类）、项目施工专职安全员安全生产考核合格证书（C类）</w:t>
      </w:r>
    </w:p>
    <w:p w14:paraId="545DFAE0">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9"/>
        <w:rPr>
          <w:rFonts w:ascii="宋体" w:hAnsi="宋体"/>
          <w:b/>
          <w:bCs/>
          <w:color w:val="auto"/>
          <w:szCs w:val="21"/>
          <w:highlight w:val="none"/>
        </w:rPr>
      </w:pPr>
      <w:r>
        <w:rPr>
          <w:rFonts w:hint="eastAsia" w:ascii="宋体" w:cs="宋体"/>
          <w:b/>
          <w:bCs/>
          <w:color w:val="auto"/>
          <w:szCs w:val="21"/>
          <w:lang w:eastAsia="zh-CN"/>
        </w:rPr>
        <w:t>（</w:t>
      </w:r>
      <w:r>
        <w:rPr>
          <w:rFonts w:hint="eastAsia" w:ascii="宋体" w:cs="宋体"/>
          <w:b/>
          <w:bCs/>
          <w:color w:val="auto"/>
          <w:szCs w:val="21"/>
          <w:lang w:val="en-US" w:eastAsia="zh-CN"/>
        </w:rPr>
        <w:t>8）</w:t>
      </w:r>
      <w:r>
        <w:rPr>
          <w:rFonts w:hint="eastAsia" w:ascii="宋体" w:cs="宋体"/>
          <w:b/>
          <w:bCs/>
          <w:color w:val="auto"/>
          <w:szCs w:val="21"/>
        </w:rPr>
        <w:t>资格审查需要</w:t>
      </w:r>
      <w:r>
        <w:rPr>
          <w:rFonts w:hint="eastAsia" w:ascii="宋体" w:hAnsi="宋体"/>
          <w:b/>
          <w:bCs/>
          <w:color w:val="auto"/>
          <w:szCs w:val="21"/>
          <w:highlight w:val="none"/>
        </w:rPr>
        <w:t>的其他材料：中小企业声明函、企业信誉实力一览表、近三年发生的诉讼和仲裁情况等。</w:t>
      </w:r>
    </w:p>
    <w:p w14:paraId="654D5D39">
      <w:pPr>
        <w:pStyle w:val="83"/>
        <w:spacing w:after="0" w:line="460" w:lineRule="exact"/>
        <w:ind w:left="0" w:leftChars="0" w:firstLine="422"/>
        <w:outlineLvl w:val="9"/>
        <w:rPr>
          <w:rFonts w:ascii="宋体" w:hAnsi="宋体" w:cs="宋体"/>
          <w:b/>
          <w:bCs/>
          <w:color w:val="auto"/>
        </w:rPr>
      </w:pPr>
      <w:r>
        <w:rPr>
          <w:rFonts w:hint="eastAsia" w:ascii="宋体" w:hAnsi="宋体" w:cs="宋体"/>
          <w:b/>
          <w:bCs/>
          <w:color w:val="auto"/>
          <w:szCs w:val="21"/>
        </w:rPr>
        <w:t>11.2.</w:t>
      </w:r>
      <w:r>
        <w:rPr>
          <w:rFonts w:hint="eastAsia" w:ascii="宋体" w:hAnsi="宋体" w:cs="宋体"/>
          <w:b/>
          <w:bCs/>
          <w:color w:val="auto"/>
          <w:szCs w:val="21"/>
          <w:lang w:val="en-US" w:eastAsia="zh-CN"/>
        </w:rPr>
        <w:t>2技术部分</w:t>
      </w:r>
      <w:r>
        <w:rPr>
          <w:rFonts w:hint="eastAsia" w:ascii="宋体" w:hAnsi="宋体" w:cs="宋体"/>
          <w:b/>
          <w:bCs/>
          <w:color w:val="auto"/>
          <w:szCs w:val="21"/>
        </w:rPr>
        <w:t>：</w:t>
      </w:r>
    </w:p>
    <w:p w14:paraId="252EC064">
      <w:pPr>
        <w:tabs>
          <w:tab w:val="left" w:pos="1305"/>
        </w:tabs>
        <w:spacing w:line="500" w:lineRule="exact"/>
        <w:ind w:firstLine="422" w:firstLineChars="200"/>
        <w:outlineLvl w:val="9"/>
        <w:rPr>
          <w:rFonts w:ascii="宋体" w:hAnsi="宋体" w:cs="宋体"/>
          <w:b/>
          <w:bCs/>
          <w:color w:val="auto"/>
          <w:szCs w:val="21"/>
        </w:rPr>
      </w:pPr>
      <w:r>
        <w:rPr>
          <w:rFonts w:hint="eastAsia" w:ascii="宋体" w:hAnsi="宋体" w:cs="宋体"/>
          <w:b/>
          <w:bCs/>
          <w:color w:val="auto"/>
          <w:szCs w:val="21"/>
        </w:rPr>
        <w:t>（</w:t>
      </w:r>
      <w:r>
        <w:rPr>
          <w:rFonts w:hint="eastAsia" w:ascii="宋体" w:hAnsi="宋体" w:cs="宋体"/>
          <w:b/>
          <w:bCs/>
          <w:color w:val="auto"/>
          <w:szCs w:val="21"/>
          <w:lang w:val="en-US" w:eastAsia="zh-CN"/>
        </w:rPr>
        <w:t>1</w:t>
      </w:r>
      <w:r>
        <w:rPr>
          <w:rFonts w:hint="eastAsia" w:ascii="宋体" w:hAnsi="宋体" w:cs="宋体"/>
          <w:b/>
          <w:bCs/>
          <w:color w:val="auto"/>
          <w:szCs w:val="21"/>
        </w:rPr>
        <w:t>）施工组织设计；</w:t>
      </w:r>
    </w:p>
    <w:p w14:paraId="14D5B8F9">
      <w:pPr>
        <w:pStyle w:val="83"/>
        <w:keepNext w:val="0"/>
        <w:keepLines w:val="0"/>
        <w:pageBreakBefore w:val="0"/>
        <w:widowControl w:val="0"/>
        <w:kinsoku/>
        <w:wordWrap/>
        <w:overflowPunct/>
        <w:topLinePunct w:val="0"/>
        <w:autoSpaceDE/>
        <w:autoSpaceDN/>
        <w:bidi w:val="0"/>
        <w:snapToGrid/>
        <w:spacing w:after="0" w:line="440" w:lineRule="exact"/>
        <w:ind w:left="0" w:leftChars="0" w:firstLine="422"/>
        <w:outlineLvl w:val="9"/>
        <w:rPr>
          <w:rFonts w:ascii="宋体" w:hAnsi="宋体" w:cs="宋体"/>
          <w:b/>
          <w:bCs/>
          <w:color w:val="auto"/>
          <w:szCs w:val="21"/>
        </w:rPr>
      </w:pPr>
      <w:r>
        <w:rPr>
          <w:rFonts w:hint="eastAsia" w:ascii="宋体" w:hAnsi="宋体" w:cs="宋体"/>
          <w:b/>
          <w:bCs/>
          <w:color w:val="auto"/>
          <w:szCs w:val="21"/>
        </w:rPr>
        <w:t>11.2.3</w:t>
      </w:r>
      <w:r>
        <w:rPr>
          <w:rFonts w:hint="eastAsia" w:ascii="宋体" w:hAnsi="MS Mincho" w:eastAsia="MS Mincho" w:cs="MS Mincho"/>
          <w:b/>
          <w:bCs/>
          <w:color w:val="auto"/>
          <w:szCs w:val="21"/>
          <w:highlight w:val="none"/>
        </w:rPr>
        <w:t>商</w:t>
      </w:r>
      <w:r>
        <w:rPr>
          <w:rFonts w:hint="eastAsia" w:ascii="宋体" w:hAnsi="宋体" w:cs="宋体"/>
          <w:b/>
          <w:bCs/>
          <w:color w:val="auto"/>
          <w:szCs w:val="21"/>
          <w:highlight w:val="none"/>
        </w:rPr>
        <w:t>务</w:t>
      </w:r>
      <w:r>
        <w:rPr>
          <w:rFonts w:hint="eastAsia" w:ascii="MS Mincho" w:hAnsi="MS Mincho" w:eastAsia="MS Mincho" w:cs="MS Mincho"/>
          <w:b/>
          <w:bCs/>
          <w:color w:val="auto"/>
          <w:szCs w:val="21"/>
          <w:highlight w:val="none"/>
        </w:rPr>
        <w:t>及</w:t>
      </w:r>
      <w:r>
        <w:rPr>
          <w:rFonts w:hint="eastAsia" w:ascii="宋体" w:hAnsi="宋体" w:cs="宋体"/>
          <w:b/>
          <w:bCs/>
          <w:color w:val="auto"/>
          <w:szCs w:val="21"/>
          <w:highlight w:val="none"/>
        </w:rPr>
        <w:t>资</w:t>
      </w:r>
      <w:r>
        <w:rPr>
          <w:rFonts w:hint="eastAsia" w:ascii="MS Mincho" w:hAnsi="MS Mincho" w:eastAsia="MS Mincho" w:cs="MS Mincho"/>
          <w:b/>
          <w:bCs/>
          <w:color w:val="auto"/>
          <w:szCs w:val="21"/>
          <w:highlight w:val="none"/>
        </w:rPr>
        <w:t>信</w:t>
      </w:r>
      <w:r>
        <w:rPr>
          <w:rFonts w:hint="eastAsia" w:ascii="宋体" w:hAnsi="宋体" w:cs="宋体"/>
          <w:b/>
          <w:bCs/>
          <w:color w:val="auto"/>
          <w:szCs w:val="21"/>
          <w:highlight w:val="none"/>
        </w:rPr>
        <w:t>业绩</w:t>
      </w:r>
    </w:p>
    <w:p w14:paraId="42EC169B">
      <w:pPr>
        <w:keepNext w:val="0"/>
        <w:keepLines w:val="0"/>
        <w:pageBreakBefore w:val="0"/>
        <w:widowControl w:val="0"/>
        <w:tabs>
          <w:tab w:val="left" w:pos="0"/>
        </w:tabs>
        <w:kinsoku/>
        <w:wordWrap/>
        <w:overflowPunct/>
        <w:topLinePunct w:val="0"/>
        <w:autoSpaceDE/>
        <w:autoSpaceDN/>
        <w:bidi w:val="0"/>
        <w:adjustRightInd w:val="0"/>
        <w:snapToGrid/>
        <w:spacing w:line="440" w:lineRule="exact"/>
        <w:ind w:firstLine="422" w:firstLineChars="200"/>
        <w:jc w:val="left"/>
        <w:textAlignment w:val="baseline"/>
        <w:outlineLvl w:val="9"/>
        <w:rPr>
          <w:rFonts w:ascii="宋体" w:hAnsi="宋体"/>
          <w:b/>
          <w:bCs/>
          <w:color w:val="auto"/>
          <w:szCs w:val="21"/>
          <w:highlight w:val="none"/>
        </w:rPr>
      </w:pPr>
      <w:r>
        <w:rPr>
          <w:rFonts w:hint="eastAsia" w:ascii="宋体" w:hAnsi="宋体" w:cs="宋体"/>
          <w:b/>
          <w:bCs/>
          <w:color w:val="auto"/>
          <w:szCs w:val="21"/>
          <w:highlight w:val="none"/>
        </w:rPr>
        <w:t>（1）磋商函；</w:t>
      </w:r>
    </w:p>
    <w:p w14:paraId="2AA28DB4">
      <w:pPr>
        <w:keepNext w:val="0"/>
        <w:keepLines w:val="0"/>
        <w:pageBreakBefore w:val="0"/>
        <w:widowControl w:val="0"/>
        <w:tabs>
          <w:tab w:val="left" w:pos="-49"/>
          <w:tab w:val="left" w:pos="0"/>
        </w:tabs>
        <w:kinsoku/>
        <w:wordWrap/>
        <w:overflowPunct/>
        <w:topLinePunct w:val="0"/>
        <w:autoSpaceDE/>
        <w:autoSpaceDN/>
        <w:bidi w:val="0"/>
        <w:adjustRightInd w:val="0"/>
        <w:snapToGrid/>
        <w:spacing w:line="440" w:lineRule="exact"/>
        <w:ind w:firstLine="422" w:firstLineChars="200"/>
        <w:jc w:val="left"/>
        <w:textAlignment w:val="baseline"/>
        <w:outlineLvl w:val="9"/>
        <w:rPr>
          <w:rFonts w:hint="eastAsia" w:ascii="宋体" w:hAnsi="宋体" w:eastAsia="宋体"/>
          <w:b/>
          <w:bCs/>
          <w:color w:val="auto"/>
          <w:szCs w:val="21"/>
          <w:highlight w:val="none"/>
          <w:lang w:val="en-US" w:eastAsia="zh-CN"/>
        </w:rPr>
      </w:pPr>
      <w:r>
        <w:rPr>
          <w:rFonts w:hint="eastAsia" w:ascii="宋体" w:hAnsi="宋体" w:cs="宋体"/>
          <w:b/>
          <w:bCs/>
          <w:color w:val="auto"/>
          <w:szCs w:val="21"/>
          <w:highlight w:val="none"/>
        </w:rPr>
        <w:t>（2）磋商函附录</w:t>
      </w:r>
      <w:r>
        <w:rPr>
          <w:rFonts w:hint="eastAsia" w:ascii="宋体" w:hAnsi="宋体" w:cs="宋体"/>
          <w:b/>
          <w:bCs/>
          <w:color w:val="auto"/>
          <w:szCs w:val="21"/>
          <w:highlight w:val="none"/>
          <w:lang w:val="en-US" w:eastAsia="zh-CN"/>
        </w:rPr>
        <w:t>；</w:t>
      </w:r>
    </w:p>
    <w:p w14:paraId="07B09B6B">
      <w:pPr>
        <w:keepNext w:val="0"/>
        <w:keepLines w:val="0"/>
        <w:pageBreakBefore w:val="0"/>
        <w:widowControl w:val="0"/>
        <w:tabs>
          <w:tab w:val="left" w:pos="-49"/>
          <w:tab w:val="left" w:pos="0"/>
        </w:tabs>
        <w:kinsoku/>
        <w:wordWrap/>
        <w:overflowPunct/>
        <w:topLinePunct w:val="0"/>
        <w:autoSpaceDE/>
        <w:autoSpaceDN/>
        <w:bidi w:val="0"/>
        <w:adjustRightInd w:val="0"/>
        <w:snapToGrid/>
        <w:spacing w:line="440" w:lineRule="exact"/>
        <w:ind w:firstLine="422" w:firstLineChars="200"/>
        <w:jc w:val="left"/>
        <w:textAlignment w:val="baseline"/>
        <w:outlineLvl w:val="9"/>
        <w:rPr>
          <w:rFonts w:hint="eastAsia" w:ascii="宋体" w:hAnsi="宋体" w:eastAsia="宋体" w:cs="宋体"/>
          <w:b/>
          <w:bCs/>
          <w:color w:val="auto"/>
          <w:szCs w:val="21"/>
          <w:highlight w:val="none"/>
          <w:lang w:val="en-US" w:eastAsia="zh-CN"/>
        </w:rPr>
      </w:pPr>
      <w:r>
        <w:rPr>
          <w:rFonts w:hint="eastAsia" w:ascii="宋体" w:hAnsi="宋体"/>
          <w:b/>
          <w:bCs/>
          <w:color w:val="auto"/>
          <w:szCs w:val="21"/>
          <w:highlight w:val="none"/>
        </w:rPr>
        <w:t>（3）</w:t>
      </w:r>
      <w:r>
        <w:rPr>
          <w:rFonts w:hint="eastAsia" w:ascii="宋体" w:hAnsi="宋体" w:cs="宋体"/>
          <w:b/>
          <w:bCs/>
          <w:color w:val="auto"/>
          <w:szCs w:val="21"/>
          <w:highlight w:val="none"/>
        </w:rPr>
        <w:t>工程量清单</w:t>
      </w:r>
      <w:r>
        <w:rPr>
          <w:rFonts w:hint="eastAsia" w:ascii="宋体" w:hAnsi="宋体" w:eastAsia="宋体" w:cs="宋体"/>
          <w:b/>
          <w:bCs/>
          <w:color w:val="auto"/>
          <w:szCs w:val="21"/>
          <w:highlight w:val="none"/>
        </w:rPr>
        <w:t>报价文件</w:t>
      </w:r>
      <w:r>
        <w:rPr>
          <w:rFonts w:hint="eastAsia" w:ascii="宋体" w:hAnsi="宋体" w:eastAsia="宋体" w:cs="宋体"/>
          <w:b/>
          <w:bCs/>
          <w:color w:val="auto"/>
          <w:szCs w:val="21"/>
          <w:highlight w:val="none"/>
          <w:lang w:val="en-US" w:eastAsia="zh-CN"/>
        </w:rPr>
        <w:t>；</w:t>
      </w:r>
    </w:p>
    <w:p w14:paraId="77592DC1">
      <w:pPr>
        <w:keepNext w:val="0"/>
        <w:keepLines w:val="0"/>
        <w:pageBreakBefore w:val="0"/>
        <w:widowControl w:val="0"/>
        <w:tabs>
          <w:tab w:val="left" w:pos="-49"/>
          <w:tab w:val="left" w:pos="0"/>
        </w:tabs>
        <w:kinsoku/>
        <w:wordWrap/>
        <w:overflowPunct/>
        <w:topLinePunct w:val="0"/>
        <w:autoSpaceDE/>
        <w:autoSpaceDN/>
        <w:bidi w:val="0"/>
        <w:adjustRightInd w:val="0"/>
        <w:snapToGrid/>
        <w:spacing w:line="440" w:lineRule="exact"/>
        <w:ind w:firstLine="422" w:firstLineChars="200"/>
        <w:jc w:val="left"/>
        <w:textAlignment w:val="baseline"/>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（4）资信业绩（</w:t>
      </w:r>
      <w:r>
        <w:rPr>
          <w:rFonts w:hint="eastAsia" w:ascii="宋体" w:hAnsi="宋体" w:eastAsia="宋体" w:cs="宋体"/>
          <w:b/>
          <w:bCs/>
          <w:color w:val="auto"/>
          <w:szCs w:val="21"/>
          <w:highlight w:val="none"/>
          <w:lang w:val="en-US" w:eastAsia="zh-CN"/>
        </w:rPr>
        <w:t>如有，</w:t>
      </w:r>
      <w:r>
        <w:rPr>
          <w:rFonts w:hint="eastAsia" w:ascii="宋体" w:hAnsi="宋体" w:eastAsia="宋体" w:cs="宋体"/>
          <w:b/>
          <w:bCs/>
          <w:color w:val="auto"/>
          <w:szCs w:val="21"/>
          <w:highlight w:val="none"/>
        </w:rPr>
        <w:t>格式自拟）</w:t>
      </w:r>
      <w:r>
        <w:rPr>
          <w:rFonts w:hint="eastAsia" w:ascii="宋体" w:hAnsi="宋体" w:eastAsia="宋体" w:cs="宋体"/>
          <w:b/>
          <w:bCs/>
          <w:color w:val="auto"/>
          <w:szCs w:val="21"/>
          <w:highlight w:val="none"/>
          <w:lang w:val="en-US" w:eastAsia="zh-CN"/>
        </w:rPr>
        <w:t>；</w:t>
      </w:r>
    </w:p>
    <w:p w14:paraId="7E607CE5">
      <w:pPr>
        <w:keepNext w:val="0"/>
        <w:keepLines w:val="0"/>
        <w:pageBreakBefore w:val="0"/>
        <w:widowControl w:val="0"/>
        <w:tabs>
          <w:tab w:val="left" w:pos="-49"/>
          <w:tab w:val="left" w:pos="0"/>
        </w:tabs>
        <w:kinsoku/>
        <w:wordWrap/>
        <w:overflowPunct/>
        <w:topLinePunct w:val="0"/>
        <w:autoSpaceDE/>
        <w:autoSpaceDN/>
        <w:bidi w:val="0"/>
        <w:adjustRightInd w:val="0"/>
        <w:snapToGrid/>
        <w:spacing w:line="440" w:lineRule="exact"/>
        <w:ind w:firstLine="422" w:firstLineChars="200"/>
        <w:jc w:val="left"/>
        <w:textAlignment w:val="baseline"/>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）供应商认为需要提供的其他证明文件。</w:t>
      </w:r>
    </w:p>
    <w:p w14:paraId="581D4995">
      <w:pPr>
        <w:keepNext w:val="0"/>
        <w:keepLines w:val="0"/>
        <w:pageBreakBefore w:val="0"/>
        <w:widowControl w:val="0"/>
        <w:kinsoku/>
        <w:wordWrap/>
        <w:overflowPunct/>
        <w:topLinePunct w:val="0"/>
        <w:autoSpaceDE/>
        <w:autoSpaceDN/>
        <w:bidi w:val="0"/>
        <w:snapToGrid/>
        <w:spacing w:line="440" w:lineRule="exact"/>
        <w:ind w:firstLine="420"/>
        <w:outlineLvl w:val="9"/>
        <w:rPr>
          <w:rFonts w:ascii="宋体" w:hAnsi="宋体" w:cs="宋体"/>
          <w:color w:val="auto"/>
          <w:szCs w:val="21"/>
        </w:rPr>
      </w:pPr>
      <w:r>
        <w:rPr>
          <w:rFonts w:hint="eastAsia" w:ascii="宋体" w:hAnsi="宋体" w:cs="宋体"/>
          <w:b/>
          <w:bCs/>
          <w:color w:val="auto"/>
          <w:szCs w:val="21"/>
        </w:rPr>
        <w:t>供应商</w:t>
      </w:r>
      <w:r>
        <w:rPr>
          <w:rFonts w:hint="eastAsia" w:ascii="宋体" w:hAnsi="宋体" w:cs="宋体"/>
          <w:b/>
          <w:bCs/>
          <w:color w:val="auto"/>
        </w:rPr>
        <w:t>提供的以上相关证明材料属于“必须提供”的文件应加盖磋商供应商公章（CA签章）/自然人签字或个人CA签章，否则响应无效。</w:t>
      </w:r>
    </w:p>
    <w:p w14:paraId="537B1546">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11.3 供应商应按竞争性磋商文件第</w:t>
      </w:r>
      <w:r>
        <w:rPr>
          <w:rFonts w:hint="eastAsia" w:ascii="宋体" w:hAnsi="宋体" w:cs="宋体"/>
          <w:color w:val="auto"/>
          <w:szCs w:val="21"/>
          <w:lang w:val="en-US" w:eastAsia="zh-CN"/>
        </w:rPr>
        <w:t>五</w:t>
      </w:r>
      <w:r>
        <w:rPr>
          <w:rFonts w:hint="eastAsia" w:ascii="宋体" w:hAnsi="宋体" w:cs="宋体"/>
          <w:color w:val="auto"/>
          <w:szCs w:val="21"/>
        </w:rPr>
        <w:t>章“响应文件（格式）”编制响应文件。</w:t>
      </w:r>
    </w:p>
    <w:p w14:paraId="413C8B9B">
      <w:pPr>
        <w:spacing w:line="460" w:lineRule="exact"/>
        <w:ind w:firstLine="422" w:firstLineChars="200"/>
        <w:outlineLvl w:val="9"/>
        <w:rPr>
          <w:rFonts w:ascii="宋体" w:hAnsi="宋体" w:cs="宋体"/>
          <w:b/>
          <w:bCs/>
          <w:color w:val="auto"/>
          <w:szCs w:val="21"/>
        </w:rPr>
      </w:pPr>
      <w:r>
        <w:rPr>
          <w:rFonts w:hint="eastAsia" w:ascii="宋体" w:hAnsi="宋体" w:cs="宋体"/>
          <w:b/>
          <w:bCs/>
          <w:color w:val="auto"/>
          <w:szCs w:val="21"/>
        </w:rPr>
        <w:t>特别说明：</w:t>
      </w:r>
    </w:p>
    <w:p w14:paraId="10BFFCD2">
      <w:pPr>
        <w:spacing w:line="460" w:lineRule="exact"/>
        <w:ind w:firstLine="422" w:firstLineChars="200"/>
        <w:outlineLvl w:val="9"/>
        <w:rPr>
          <w:rFonts w:ascii="宋体" w:hAnsi="宋体" w:cs="宋体"/>
          <w:b/>
          <w:color w:val="auto"/>
          <w:szCs w:val="21"/>
        </w:rPr>
      </w:pPr>
      <w:r>
        <w:rPr>
          <w:rFonts w:hint="eastAsia" w:ascii="宋体" w:hAnsi="宋体" w:cs="宋体"/>
          <w:b/>
          <w:bCs/>
          <w:color w:val="auto"/>
          <w:szCs w:val="21"/>
        </w:rPr>
        <w:t>（1）响</w:t>
      </w:r>
      <w:r>
        <w:rPr>
          <w:rFonts w:hint="eastAsia" w:ascii="宋体" w:hAnsi="宋体" w:cs="宋体"/>
          <w:b/>
          <w:color w:val="auto"/>
          <w:szCs w:val="21"/>
        </w:rPr>
        <w:t>应文件（电子响应文件），其中电子响应文件中所须加盖公章部分均采用CA签章。若磋商文件中有专门标注的某关联点，并要求供应商在电子响应系统中作出磋商响应的，如供应商未对关联点进行响应或者在响应文件其它内容进行描述，造成电子评审不能查询的责任由供应商自行承担。</w:t>
      </w:r>
    </w:p>
    <w:p w14:paraId="4E206862">
      <w:pPr>
        <w:numPr>
          <w:ilvl w:val="0"/>
          <w:numId w:val="7"/>
        </w:numPr>
        <w:spacing w:line="460" w:lineRule="exact"/>
        <w:ind w:firstLine="422" w:firstLineChars="200"/>
        <w:outlineLvl w:val="9"/>
        <w:rPr>
          <w:rFonts w:ascii="宋体" w:hAnsi="宋体" w:cs="宋体"/>
          <w:b/>
          <w:color w:val="auto"/>
          <w:szCs w:val="21"/>
        </w:rPr>
      </w:pPr>
      <w:r>
        <w:rPr>
          <w:rFonts w:hint="eastAsia" w:ascii="宋体" w:hAnsi="宋体" w:cs="宋体"/>
          <w:b/>
          <w:bCs/>
          <w:color w:val="auto"/>
          <w:szCs w:val="21"/>
        </w:rPr>
        <w:t>磋商文件要求法定代表人（负责人）或委托代理人签字的部分必须签字然后扫描或者拍照做成.pdf格式上传（签字可以以加盖个人CA签章代替），无签字的视为响应无效。</w:t>
      </w:r>
    </w:p>
    <w:p w14:paraId="39018664">
      <w:pPr>
        <w:spacing w:line="460" w:lineRule="exact"/>
        <w:ind w:firstLine="422" w:firstLineChars="200"/>
        <w:outlineLvl w:val="9"/>
        <w:rPr>
          <w:rFonts w:ascii="宋体" w:hAnsi="宋体" w:cs="宋体"/>
          <w:b/>
          <w:bCs/>
          <w:color w:val="auto"/>
          <w:sz w:val="21"/>
          <w:szCs w:val="21"/>
        </w:rPr>
      </w:pPr>
      <w:bookmarkStart w:id="52" w:name="_Toc13916"/>
      <w:bookmarkStart w:id="53" w:name="_Toc21373"/>
      <w:bookmarkStart w:id="54" w:name="_Toc2180"/>
      <w:r>
        <w:rPr>
          <w:rFonts w:hint="eastAsia" w:ascii="宋体" w:hAnsi="宋体" w:cs="宋体"/>
          <w:b/>
          <w:bCs/>
          <w:color w:val="auto"/>
          <w:sz w:val="21"/>
          <w:szCs w:val="21"/>
        </w:rPr>
        <w:t>12. 响应文件的语言及计量</w:t>
      </w:r>
      <w:bookmarkEnd w:id="52"/>
      <w:bookmarkEnd w:id="53"/>
      <w:bookmarkEnd w:id="54"/>
    </w:p>
    <w:p w14:paraId="7BF8C356">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7B5013E0">
      <w:pPr>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12.2 磋商计量单位，磋商文件已有明确规定的，使用磋商文件规定的计量单位；磋商文件没有规定的，应采用中华人民共和国法定计量单位（货币单位：人民币元），否则视同未响应。</w:t>
      </w:r>
    </w:p>
    <w:p w14:paraId="5C1278B3">
      <w:pPr>
        <w:spacing w:line="360" w:lineRule="auto"/>
        <w:ind w:firstLine="422" w:firstLineChars="200"/>
        <w:outlineLvl w:val="9"/>
        <w:rPr>
          <w:rFonts w:ascii="宋体" w:hAnsi="宋体" w:cs="宋体"/>
          <w:b/>
          <w:bCs/>
          <w:color w:val="auto"/>
          <w:sz w:val="21"/>
          <w:szCs w:val="21"/>
        </w:rPr>
      </w:pPr>
      <w:bookmarkStart w:id="55" w:name="_Toc19558"/>
      <w:bookmarkStart w:id="56" w:name="_Toc10838"/>
      <w:bookmarkStart w:id="57" w:name="_Toc5966"/>
      <w:r>
        <w:rPr>
          <w:rFonts w:hint="eastAsia" w:ascii="宋体" w:hAnsi="宋体" w:cs="宋体"/>
          <w:b/>
          <w:bCs/>
          <w:color w:val="auto"/>
          <w:sz w:val="21"/>
          <w:szCs w:val="21"/>
        </w:rPr>
        <w:t>13. 磋商报价及采购预算金额</w:t>
      </w:r>
      <w:bookmarkEnd w:id="55"/>
      <w:bookmarkEnd w:id="56"/>
      <w:bookmarkEnd w:id="57"/>
    </w:p>
    <w:p w14:paraId="407CCAE7">
      <w:pPr>
        <w:autoSpaceDE w:val="0"/>
        <w:autoSpaceDN w:val="0"/>
        <w:adjustRightInd w:val="0"/>
        <w:spacing w:line="360" w:lineRule="auto"/>
        <w:ind w:firstLine="420" w:firstLineChars="200"/>
        <w:outlineLvl w:val="9"/>
        <w:rPr>
          <w:rFonts w:ascii="宋体" w:hAnsi="宋体" w:cs="宋体"/>
          <w:bCs/>
          <w:color w:val="auto"/>
          <w:szCs w:val="21"/>
        </w:rPr>
      </w:pPr>
      <w:r>
        <w:rPr>
          <w:rFonts w:hint="eastAsia" w:ascii="宋体" w:hAnsi="宋体" w:cs="宋体"/>
          <w:color w:val="auto"/>
          <w:szCs w:val="21"/>
        </w:rPr>
        <w:t>13.1  磋商报价（</w:t>
      </w:r>
      <w:r>
        <w:rPr>
          <w:rFonts w:hint="eastAsia" w:ascii="宋体" w:hAnsi="宋体" w:cs="宋体"/>
          <w:bCs/>
          <w:color w:val="auto"/>
          <w:szCs w:val="21"/>
        </w:rPr>
        <w:t>本项目采用多次报价方式，作最终报价时采购人将书面告知供应商，</w:t>
      </w:r>
      <w:r>
        <w:rPr>
          <w:rFonts w:hint="eastAsia" w:ascii="宋体" w:hAnsi="宋体" w:cs="宋体"/>
          <w:b/>
          <w:color w:val="auto"/>
          <w:szCs w:val="21"/>
        </w:rPr>
        <w:t>供应商的最终报价如有变动，则必须以工程量清单报价表的格式编制，不得以总价下浮的方式作最终报价，供应商须提前做好相关准备并按时递交最终报价文件</w:t>
      </w:r>
      <w:r>
        <w:rPr>
          <w:rFonts w:hint="eastAsia" w:ascii="宋体" w:hAnsi="宋体" w:cs="宋体"/>
          <w:bCs/>
          <w:color w:val="auto"/>
          <w:szCs w:val="21"/>
        </w:rPr>
        <w:t>。）</w:t>
      </w:r>
    </w:p>
    <w:p w14:paraId="6E33CC3C">
      <w:pPr>
        <w:tabs>
          <w:tab w:val="left" w:pos="2160"/>
        </w:tabs>
        <w:autoSpaceDE w:val="0"/>
        <w:autoSpaceDN w:val="0"/>
        <w:adjustRightInd w:val="0"/>
        <w:spacing w:line="360" w:lineRule="auto"/>
        <w:ind w:right="84" w:firstLine="420" w:firstLineChars="200"/>
        <w:outlineLvl w:val="9"/>
        <w:rPr>
          <w:rFonts w:ascii="宋体" w:hAnsi="宋体" w:cs="宋体"/>
          <w:color w:val="auto"/>
          <w:szCs w:val="21"/>
        </w:rPr>
      </w:pPr>
      <w:r>
        <w:rPr>
          <w:rFonts w:hint="eastAsia" w:ascii="宋体" w:hAnsi="宋体" w:cs="宋体"/>
          <w:color w:val="auto"/>
          <w:szCs w:val="21"/>
        </w:rPr>
        <w:t>13.1.1 本工程采用</w:t>
      </w:r>
      <w:r>
        <w:rPr>
          <w:rFonts w:hint="eastAsia" w:ascii="宋体" w:hAnsi="宋体" w:cs="宋体"/>
          <w:b/>
          <w:bCs/>
          <w:color w:val="auto"/>
          <w:szCs w:val="21"/>
          <w:u w:val="single"/>
        </w:rPr>
        <w:t>工程量清单报价，固定综合单价</w:t>
      </w:r>
      <w:r>
        <w:rPr>
          <w:rFonts w:hint="eastAsia" w:ascii="宋体" w:hAnsi="宋体" w:cs="宋体"/>
          <w:color w:val="auto"/>
          <w:szCs w:val="21"/>
        </w:rPr>
        <w:t>合同方式。</w:t>
      </w:r>
    </w:p>
    <w:p w14:paraId="417F8453">
      <w:pPr>
        <w:autoSpaceDE w:val="0"/>
        <w:autoSpaceDN w:val="0"/>
        <w:adjustRightInd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13.1.2  磋商报价为供应商在响应文件中提出的各项支付金额的总和。</w:t>
      </w:r>
    </w:p>
    <w:p w14:paraId="71EE3457">
      <w:pPr>
        <w:autoSpaceDE w:val="0"/>
        <w:autoSpaceDN w:val="0"/>
        <w:adjustRightInd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13.1.3  供应商的磋商报价，应以在要求工期内完成本工程施工图纸及工程量清单范围的全部内容为依据，施工过程中，除设计变更、强制执行的政策性调整，以及在施工合同或工程量清单中规定为工程暂定价（包括暂定数量或暂定单价项目）部分外，不得以其他任何理由提出增加费用签证。</w:t>
      </w:r>
    </w:p>
    <w:p w14:paraId="5EA0662E">
      <w:pPr>
        <w:autoSpaceDE w:val="0"/>
        <w:autoSpaceDN w:val="0"/>
        <w:adjustRightInd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13.1.4  供应商应根据施工图纸等资料，认真核对采购人发出的工程量清单，如发现该工程量清单中存在错项、漏（缺）项应在提交响应文件截止时间前3日内提出，否则，视为认同该工程量清单中所有内容。</w:t>
      </w:r>
    </w:p>
    <w:p w14:paraId="7140237E">
      <w:pPr>
        <w:autoSpaceDE w:val="0"/>
        <w:autoSpaceDN w:val="0"/>
        <w:adjustRightInd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13.1.5  供应商的磋商报价，应以在要求工期内完成本采购工程范围的全部内容为依据，不得以任何理由重复计算。</w:t>
      </w:r>
    </w:p>
    <w:p w14:paraId="779DA9D5">
      <w:pPr>
        <w:autoSpaceDE w:val="0"/>
        <w:autoSpaceDN w:val="0"/>
        <w:adjustRightInd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13.1.6  除非采购人对竞争性磋商文件进行修改，供应商应按采购人提供的工程量清单中列出工程项目和工程量填报单价和合价。每一项目只允许有一个报价。任何有选择的报价将不予接受。供应商未填报单价或合价的工程项目，承包人必须实施且在实施后，采购人将不予支付，并视为该项费用已包括在其他有价款的单价或合价内。无工程量的项目不能报价，否则作废标处理。</w:t>
      </w:r>
    </w:p>
    <w:p w14:paraId="76AF70AC">
      <w:pPr>
        <w:autoSpaceDE w:val="0"/>
        <w:autoSpaceDN w:val="0"/>
        <w:adjustRightInd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13.1.7 采购代理机构所提供的工程量清单，应认为已包括完成本工程的所有项目。凡施工图纸已指明的工程或完成图纸所示的附属工程、相关工程、衔接与后续工程所需的费用，竞标单位应计入相关项目的单价中。</w:t>
      </w:r>
    </w:p>
    <w:p w14:paraId="6801A079">
      <w:pPr>
        <w:autoSpaceDE w:val="0"/>
        <w:autoSpaceDN w:val="0"/>
        <w:adjustRightInd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13.1.8 供应商的临时占地（项目部驻地等）租用费（含拆迁补偿）、临时用地的环保、恢复及地面附着物发生的费用均由供应商负责；由于供应商原因引起工期延长造成供应商临时占地的租用费增加由供应商负责。以上费用在竞标价中自行考虑。</w:t>
      </w:r>
    </w:p>
    <w:p w14:paraId="170DC1E4">
      <w:pPr>
        <w:autoSpaceDE w:val="0"/>
        <w:autoSpaceDN w:val="0"/>
        <w:adjustRightInd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13.1.9  供应商工程量清单总报价应包括完成该工程项目的成本、利润、税金、技术措施费、大型机械进出场费、风险费、政策性文件规定费用等所有费用。</w:t>
      </w:r>
    </w:p>
    <w:p w14:paraId="586225CE">
      <w:pPr>
        <w:autoSpaceDE w:val="0"/>
        <w:autoSpaceDN w:val="0"/>
        <w:adjustRightInd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13.1.10  与本采购工程项目有关的技术规范要求的费用应包括在磋商报价中。</w:t>
      </w:r>
    </w:p>
    <w:p w14:paraId="24AD8B7C">
      <w:pPr>
        <w:autoSpaceDE w:val="0"/>
        <w:autoSpaceDN w:val="0"/>
        <w:adjustRightInd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13.1.11  供应商应按照采购人提供的工程量清单进行报价。</w:t>
      </w:r>
    </w:p>
    <w:p w14:paraId="703BA7B6">
      <w:pPr>
        <w:autoSpaceDE w:val="0"/>
        <w:autoSpaceDN w:val="0"/>
        <w:adjustRightInd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13.1.12  供应商应采用工程量清单报价方式，不得采用总价让利或以百分比让利等形式报价。工程量清单总造价与磋商函中文字表示的磋商报价应一致。</w:t>
      </w:r>
    </w:p>
    <w:p w14:paraId="2E385D33">
      <w:pPr>
        <w:spacing w:line="460" w:lineRule="exact"/>
        <w:ind w:firstLine="420" w:firstLineChars="200"/>
        <w:outlineLvl w:val="9"/>
        <w:rPr>
          <w:rFonts w:ascii="宋体" w:hAnsi="宋体" w:cs="宋体"/>
          <w:b/>
          <w:bCs/>
          <w:color w:val="auto"/>
          <w:szCs w:val="21"/>
        </w:rPr>
      </w:pPr>
      <w:r>
        <w:rPr>
          <w:rFonts w:hint="eastAsia" w:ascii="宋体" w:hAnsi="宋体" w:cs="宋体"/>
          <w:color w:val="auto"/>
          <w:szCs w:val="21"/>
        </w:rPr>
        <w:t>13.1.12供应商应在规定时间内在广西政府采购云平台系统上提交最后报价，超出磋商小组设定的最后报价时限或其最后报价超出采购预算导致已通过评审的响应文件无效的，按供应商在提交响应文件截止时间后撤回响应文件处理。</w:t>
      </w:r>
    </w:p>
    <w:p w14:paraId="6DCF605B">
      <w:pPr>
        <w:spacing w:line="460" w:lineRule="exact"/>
        <w:ind w:firstLine="422" w:firstLineChars="200"/>
        <w:outlineLvl w:val="9"/>
        <w:rPr>
          <w:rFonts w:ascii="宋体" w:hAnsi="宋体" w:cs="宋体"/>
          <w:b/>
          <w:bCs/>
          <w:color w:val="auto"/>
          <w:sz w:val="21"/>
          <w:szCs w:val="21"/>
        </w:rPr>
      </w:pPr>
      <w:bookmarkStart w:id="58" w:name="_Toc29902"/>
      <w:bookmarkStart w:id="59" w:name="_Toc11881"/>
      <w:bookmarkStart w:id="60" w:name="_Toc26881"/>
      <w:r>
        <w:rPr>
          <w:rFonts w:hint="eastAsia" w:ascii="宋体" w:hAnsi="宋体" w:cs="宋体"/>
          <w:b/>
          <w:bCs/>
          <w:color w:val="auto"/>
          <w:sz w:val="21"/>
          <w:szCs w:val="21"/>
        </w:rPr>
        <w:t>14. 响应文件有效期</w:t>
      </w:r>
      <w:bookmarkEnd w:id="58"/>
      <w:bookmarkEnd w:id="59"/>
      <w:bookmarkEnd w:id="60"/>
    </w:p>
    <w:p w14:paraId="16561067">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14.1 响应文件有效期：响应文件递交截止时间之日起60天，有效期不足的响应文件将被拒绝。</w:t>
      </w:r>
    </w:p>
    <w:p w14:paraId="25AB0E25">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14.2 出现特殊情况下，需要延长响应文件有效期的，采购代理机构书面通知供应商延长响应文件有效期。供应商同意延长的，但不能修改响应文件。供应商拒绝延长的，其响应文件无效。</w:t>
      </w:r>
    </w:p>
    <w:p w14:paraId="2D9B4688">
      <w:pPr>
        <w:spacing w:line="460" w:lineRule="exact"/>
        <w:ind w:firstLine="422" w:firstLineChars="200"/>
        <w:outlineLvl w:val="9"/>
        <w:rPr>
          <w:rFonts w:ascii="宋体" w:hAnsi="宋体" w:cs="宋体"/>
          <w:color w:val="auto"/>
          <w:sz w:val="21"/>
          <w:szCs w:val="21"/>
        </w:rPr>
      </w:pPr>
      <w:bookmarkStart w:id="61" w:name="_Toc1954"/>
      <w:bookmarkStart w:id="62" w:name="_Toc31274"/>
      <w:bookmarkStart w:id="63" w:name="_Toc22602"/>
      <w:r>
        <w:rPr>
          <w:rFonts w:hint="eastAsia" w:ascii="宋体" w:hAnsi="宋体" w:cs="宋体"/>
          <w:b/>
          <w:bCs/>
          <w:color w:val="auto"/>
          <w:sz w:val="21"/>
          <w:szCs w:val="21"/>
        </w:rPr>
        <w:t>15. 保证金</w:t>
      </w:r>
      <w:bookmarkEnd w:id="61"/>
      <w:bookmarkEnd w:id="62"/>
      <w:bookmarkEnd w:id="63"/>
    </w:p>
    <w:p w14:paraId="4C7E19A0">
      <w:pPr>
        <w:spacing w:line="460" w:lineRule="exact"/>
        <w:ind w:firstLine="420" w:firstLineChars="200"/>
        <w:outlineLvl w:val="9"/>
        <w:rPr>
          <w:rFonts w:ascii="宋体" w:hAnsi="宋体" w:cs="宋体"/>
          <w:b/>
          <w:bCs/>
          <w:color w:val="auto"/>
          <w:szCs w:val="21"/>
        </w:rPr>
      </w:pPr>
      <w:r>
        <w:rPr>
          <w:rFonts w:hint="eastAsia" w:ascii="宋体" w:hAnsi="宋体" w:cs="宋体"/>
          <w:color w:val="auto"/>
          <w:szCs w:val="21"/>
        </w:rPr>
        <w:t>本项目无需交纳磋商保证金。</w:t>
      </w:r>
    </w:p>
    <w:p w14:paraId="0C4F51BC">
      <w:pPr>
        <w:spacing w:line="460" w:lineRule="exact"/>
        <w:ind w:firstLine="420" w:firstLineChars="200"/>
        <w:outlineLvl w:val="9"/>
        <w:rPr>
          <w:rFonts w:ascii="宋体" w:hAnsi="宋体" w:cs="宋体"/>
          <w:color w:val="auto"/>
          <w:sz w:val="21"/>
          <w:szCs w:val="21"/>
        </w:rPr>
      </w:pPr>
      <w:bookmarkStart w:id="64" w:name="_Toc387"/>
      <w:bookmarkStart w:id="65" w:name="_Toc6809"/>
      <w:bookmarkStart w:id="66" w:name="_Toc26360"/>
      <w:r>
        <w:rPr>
          <w:rFonts w:hint="eastAsia" w:ascii="宋体" w:hAnsi="宋体" w:cs="宋体"/>
          <w:color w:val="auto"/>
          <w:sz w:val="21"/>
          <w:szCs w:val="21"/>
        </w:rPr>
        <w:t>16. 竞争性磋商响应文件的</w:t>
      </w:r>
      <w:bookmarkEnd w:id="64"/>
      <w:r>
        <w:rPr>
          <w:rFonts w:hint="eastAsia" w:ascii="宋体" w:hAnsi="宋体" w:cs="宋体"/>
          <w:color w:val="auto"/>
          <w:sz w:val="21"/>
          <w:szCs w:val="21"/>
        </w:rPr>
        <w:t>制作</w:t>
      </w:r>
      <w:bookmarkEnd w:id="65"/>
      <w:bookmarkEnd w:id="66"/>
    </w:p>
    <w:p w14:paraId="3ECE3C38">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4ECC4E1">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16.2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23F418D2">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16.3 磋商响应文件不得涂改，若有修改错漏处，须法定代表人（负责人）或授权委托人签字（或个人CA签章）。磋商响应文件因字迹潦草或表达不清所引起的后果由供应商负责。</w:t>
      </w:r>
    </w:p>
    <w:p w14:paraId="0CD1974F">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16.4磋商前准备 </w:t>
      </w:r>
    </w:p>
    <w:p w14:paraId="4CC9F9A3">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16.4.1本项目实行在线磋商，采用电子磋商响应文件。若供应商参与磋商，自行承担磋商一切费用。 </w:t>
      </w:r>
    </w:p>
    <w:p w14:paraId="4C7CB5F4">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0DF8F3D4">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16.4.3供应商将广西政府采购云平台客户端下载、安装完成后，可通过账号密码或 CA 登录客户端进行响应文件制作。客户端请至网站下载专区查看，如有问题可拨打广西政府采购云平台客户服务热线 95763 进行咨询。</w:t>
      </w:r>
    </w:p>
    <w:p w14:paraId="1B4EACE1">
      <w:pPr>
        <w:spacing w:line="460" w:lineRule="exact"/>
        <w:ind w:firstLine="422" w:firstLineChars="200"/>
        <w:outlineLvl w:val="9"/>
        <w:rPr>
          <w:rFonts w:ascii="宋体" w:hAnsi="宋体" w:cs="宋体"/>
          <w:color w:val="auto"/>
          <w:sz w:val="21"/>
          <w:szCs w:val="21"/>
        </w:rPr>
      </w:pPr>
      <w:bookmarkStart w:id="67" w:name="_Toc12"/>
      <w:bookmarkStart w:id="68" w:name="_Toc22287"/>
      <w:r>
        <w:rPr>
          <w:rFonts w:hint="eastAsia" w:ascii="宋体" w:hAnsi="宋体" w:cs="宋体"/>
          <w:b/>
          <w:bCs/>
          <w:color w:val="auto"/>
          <w:sz w:val="21"/>
          <w:szCs w:val="21"/>
        </w:rPr>
        <w:t>17. 响应文件的修改和撤回</w:t>
      </w:r>
      <w:bookmarkEnd w:id="67"/>
      <w:bookmarkEnd w:id="68"/>
    </w:p>
    <w:p w14:paraId="2E764065">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34C7BE00">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17.2 在响应文件递交截止时间后的响应文件有效期内，供应商不得撤回其响应文件。</w:t>
      </w:r>
    </w:p>
    <w:p w14:paraId="55D5FD88">
      <w:pPr>
        <w:spacing w:line="460" w:lineRule="exact"/>
        <w:ind w:firstLine="422" w:firstLineChars="200"/>
        <w:outlineLvl w:val="9"/>
        <w:rPr>
          <w:rFonts w:ascii="宋体" w:hAnsi="宋体" w:cs="宋体"/>
          <w:color w:val="auto"/>
          <w:sz w:val="21"/>
          <w:szCs w:val="21"/>
        </w:rPr>
      </w:pPr>
      <w:bookmarkStart w:id="69" w:name="_Toc30156"/>
      <w:bookmarkStart w:id="70" w:name="_Toc31374"/>
      <w:bookmarkStart w:id="71" w:name="_Toc26434"/>
      <w:r>
        <w:rPr>
          <w:rFonts w:hint="eastAsia" w:ascii="宋体" w:hAnsi="宋体" w:cs="宋体"/>
          <w:b/>
          <w:bCs/>
          <w:color w:val="auto"/>
          <w:sz w:val="21"/>
          <w:szCs w:val="21"/>
        </w:rPr>
        <w:t>18. 响应文件的递交和解密</w:t>
      </w:r>
      <w:bookmarkEnd w:id="69"/>
      <w:bookmarkEnd w:id="70"/>
      <w:bookmarkEnd w:id="71"/>
    </w:p>
    <w:p w14:paraId="7478BDC4">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18.1响应文件递交截止时间：详见竞争性磋商公告。</w:t>
      </w:r>
    </w:p>
    <w:p w14:paraId="40B8D8FE">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18.2磋商响应文件解密时间：详见竞争性磋商公告。</w:t>
      </w:r>
    </w:p>
    <w:p w14:paraId="5CC5AB37">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18.3 除竞争性磋商文件另有规定外，供应商所递交的响应文件不予退还。</w:t>
      </w:r>
    </w:p>
    <w:p w14:paraId="5ED110AF">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18.4 电子响应文件的相关说明</w:t>
      </w:r>
    </w:p>
    <w:p w14:paraId="632F6095">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47585673">
      <w:pPr>
        <w:spacing w:line="460" w:lineRule="exact"/>
        <w:ind w:firstLine="420" w:firstLineChars="200"/>
        <w:outlineLvl w:val="9"/>
        <w:rPr>
          <w:rFonts w:ascii="宋体" w:hAnsi="宋体" w:cs="宋体"/>
          <w:color w:val="auto"/>
        </w:rPr>
      </w:pPr>
      <w:r>
        <w:rPr>
          <w:rFonts w:hint="eastAsia" w:ascii="宋体" w:hAnsi="宋体" w:cs="宋体"/>
          <w:color w:val="auto"/>
          <w:szCs w:val="21"/>
        </w:rPr>
        <w:t>（2）如有特殊情况，采购代理机构延长截止时间和开标时间，采购代理机构和供应商的权利和义务将受到新的截止时间和开标时间的约束。</w:t>
      </w:r>
    </w:p>
    <w:p w14:paraId="79F141DE">
      <w:pPr>
        <w:spacing w:line="460" w:lineRule="exact"/>
        <w:ind w:firstLine="422" w:firstLineChars="200"/>
        <w:outlineLvl w:val="9"/>
        <w:rPr>
          <w:rFonts w:ascii="宋体" w:hAnsi="宋体" w:cs="宋体"/>
          <w:b/>
          <w:color w:val="auto"/>
          <w:szCs w:val="28"/>
        </w:rPr>
      </w:pPr>
      <w:bookmarkStart w:id="72" w:name="_Toc2433"/>
    </w:p>
    <w:p w14:paraId="14BBD89B">
      <w:pPr>
        <w:spacing w:line="460" w:lineRule="exact"/>
        <w:jc w:val="center"/>
        <w:outlineLvl w:val="9"/>
        <w:rPr>
          <w:b/>
          <w:bCs/>
          <w:color w:val="auto"/>
          <w:sz w:val="28"/>
          <w:szCs w:val="28"/>
        </w:rPr>
      </w:pPr>
      <w:bookmarkStart w:id="73" w:name="_Toc6807"/>
      <w:bookmarkStart w:id="74" w:name="_Toc26492"/>
      <w:r>
        <w:rPr>
          <w:rFonts w:hint="eastAsia"/>
          <w:b/>
          <w:bCs/>
          <w:color w:val="auto"/>
          <w:sz w:val="28"/>
          <w:szCs w:val="28"/>
        </w:rPr>
        <w:t>四、竞争性磋商（简称磋商）与评审</w:t>
      </w:r>
      <w:bookmarkEnd w:id="72"/>
      <w:bookmarkEnd w:id="73"/>
      <w:bookmarkEnd w:id="74"/>
    </w:p>
    <w:p w14:paraId="36751196">
      <w:pPr>
        <w:spacing w:line="460" w:lineRule="exact"/>
        <w:ind w:firstLine="422" w:firstLineChars="200"/>
        <w:outlineLvl w:val="9"/>
        <w:rPr>
          <w:rFonts w:ascii="宋体" w:hAnsi="宋体" w:cs="宋体"/>
          <w:b/>
          <w:bCs/>
          <w:color w:val="auto"/>
          <w:sz w:val="21"/>
          <w:szCs w:val="21"/>
        </w:rPr>
      </w:pPr>
      <w:bookmarkStart w:id="75" w:name="_Toc7595"/>
      <w:bookmarkStart w:id="76" w:name="_Toc31588"/>
      <w:bookmarkStart w:id="77" w:name="_Toc7004"/>
      <w:r>
        <w:rPr>
          <w:rFonts w:hint="eastAsia" w:ascii="宋体" w:hAnsi="宋体" w:cs="宋体"/>
          <w:b/>
          <w:bCs/>
          <w:color w:val="auto"/>
          <w:sz w:val="21"/>
          <w:szCs w:val="21"/>
        </w:rPr>
        <w:t>19. 磋商小组组成及磋商时间、地点、人员</w:t>
      </w:r>
      <w:bookmarkEnd w:id="75"/>
      <w:bookmarkEnd w:id="76"/>
      <w:bookmarkEnd w:id="77"/>
    </w:p>
    <w:p w14:paraId="16EA36C6">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19.1 磋商小组组成：</w:t>
      </w:r>
    </w:p>
    <w:p w14:paraId="4F1C7FDD">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u w:val="single"/>
        </w:rPr>
        <w:t xml:space="preserve"> 3 </w:t>
      </w:r>
      <w:r>
        <w:rPr>
          <w:rFonts w:hint="eastAsia" w:ascii="宋体" w:hAnsi="宋体" w:cs="宋体"/>
          <w:color w:val="auto"/>
          <w:szCs w:val="21"/>
        </w:rPr>
        <w:t>人。</w:t>
      </w:r>
    </w:p>
    <w:p w14:paraId="5F35D1FB">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19.2 磋商时间、地点、人员：</w:t>
      </w:r>
    </w:p>
    <w:p w14:paraId="75185EDE">
      <w:pPr>
        <w:spacing w:line="460" w:lineRule="exact"/>
        <w:ind w:firstLine="420" w:firstLineChars="200"/>
        <w:outlineLvl w:val="9"/>
        <w:rPr>
          <w:rFonts w:ascii="宋体" w:hAnsi="宋体" w:cs="宋体"/>
          <w:color w:val="auto"/>
          <w:szCs w:val="21"/>
        </w:rPr>
      </w:pPr>
      <w:bookmarkStart w:id="78" w:name="_Toc9878"/>
      <w:r>
        <w:rPr>
          <w:rFonts w:hint="eastAsia" w:ascii="宋体" w:hAnsi="宋体" w:cs="宋体"/>
          <w:color w:val="auto"/>
          <w:szCs w:val="21"/>
        </w:rPr>
        <w:t>19.2.1磋商时间：响应文件递交截止时间后。</w:t>
      </w:r>
      <w:bookmarkEnd w:id="78"/>
    </w:p>
    <w:p w14:paraId="31E70E41">
      <w:pPr>
        <w:spacing w:line="460" w:lineRule="exact"/>
        <w:ind w:firstLine="420" w:firstLineChars="200"/>
        <w:outlineLvl w:val="9"/>
        <w:rPr>
          <w:rFonts w:ascii="宋体" w:hAnsi="宋体" w:cs="宋体"/>
          <w:bCs/>
          <w:color w:val="auto"/>
          <w:szCs w:val="21"/>
        </w:rPr>
      </w:pPr>
      <w:bookmarkStart w:id="79" w:name="_Toc29268"/>
      <w:r>
        <w:rPr>
          <w:rFonts w:hint="eastAsia" w:ascii="宋体" w:hAnsi="宋体" w:cs="宋体"/>
          <w:color w:val="auto"/>
          <w:szCs w:val="21"/>
        </w:rPr>
        <w:t>19.2.2磋商地点：</w:t>
      </w:r>
      <w:bookmarkEnd w:id="79"/>
      <w:r>
        <w:rPr>
          <w:rFonts w:hint="eastAsia" w:ascii="宋体" w:hAnsi="宋体" w:cs="宋体"/>
          <w:color w:val="auto"/>
          <w:szCs w:val="21"/>
        </w:rPr>
        <w:t>按磋商小组要求及时登陆广西政府采购云平台等候在线磋商。</w:t>
      </w:r>
    </w:p>
    <w:p w14:paraId="27BE78E7">
      <w:pPr>
        <w:spacing w:line="460" w:lineRule="exact"/>
        <w:ind w:firstLine="420" w:firstLineChars="200"/>
        <w:outlineLvl w:val="9"/>
        <w:rPr>
          <w:rFonts w:ascii="宋体" w:hAnsi="宋体" w:cs="宋体"/>
          <w:bCs/>
          <w:color w:val="auto"/>
          <w:szCs w:val="21"/>
        </w:rPr>
      </w:pPr>
      <w:bookmarkStart w:id="80" w:name="_Toc6288"/>
      <w:r>
        <w:rPr>
          <w:rFonts w:hint="eastAsia" w:ascii="宋体" w:hAnsi="宋体" w:cs="宋体"/>
          <w:bCs/>
          <w:color w:val="auto"/>
          <w:szCs w:val="21"/>
        </w:rPr>
        <w:t>19.2.3响应文件递交截止时间后，由磋商小组在评标室内线上开启响应文件。</w:t>
      </w:r>
      <w:bookmarkEnd w:id="80"/>
    </w:p>
    <w:p w14:paraId="798B09B6">
      <w:pPr>
        <w:spacing w:line="460" w:lineRule="exact"/>
        <w:ind w:firstLine="422" w:firstLineChars="200"/>
        <w:outlineLvl w:val="9"/>
        <w:rPr>
          <w:rFonts w:ascii="宋体" w:hAnsi="宋体" w:cs="宋体"/>
          <w:b/>
          <w:bCs/>
          <w:color w:val="auto"/>
          <w:sz w:val="21"/>
          <w:szCs w:val="21"/>
        </w:rPr>
      </w:pPr>
      <w:bookmarkStart w:id="81" w:name="_Toc3381"/>
      <w:bookmarkStart w:id="82" w:name="_Toc13598"/>
      <w:bookmarkStart w:id="83" w:name="_Toc25258"/>
      <w:r>
        <w:rPr>
          <w:rFonts w:hint="eastAsia" w:ascii="宋体" w:hAnsi="宋体" w:cs="宋体"/>
          <w:b/>
          <w:bCs/>
          <w:color w:val="auto"/>
          <w:sz w:val="21"/>
          <w:szCs w:val="21"/>
        </w:rPr>
        <w:t>20. 评审原则</w:t>
      </w:r>
      <w:bookmarkEnd w:id="81"/>
      <w:bookmarkEnd w:id="82"/>
      <w:bookmarkEnd w:id="83"/>
    </w:p>
    <w:p w14:paraId="3AE77963">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20.1 磋商小组必须坚持公平、公正、科学和择优的原则。</w:t>
      </w:r>
    </w:p>
    <w:p w14:paraId="0B5AC240">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20.2 评审办法：综合评分法，具体详见第</w:t>
      </w:r>
      <w:r>
        <w:rPr>
          <w:rFonts w:hint="eastAsia" w:ascii="宋体" w:hAnsi="宋体" w:cs="宋体"/>
          <w:color w:val="auto"/>
          <w:szCs w:val="21"/>
          <w:lang w:val="en-US" w:eastAsia="zh-CN"/>
        </w:rPr>
        <w:t>三</w:t>
      </w:r>
      <w:r>
        <w:rPr>
          <w:rFonts w:hint="eastAsia" w:ascii="宋体" w:hAnsi="宋体" w:cs="宋体"/>
          <w:color w:val="auto"/>
          <w:szCs w:val="21"/>
        </w:rPr>
        <w:t>章评审办法。</w:t>
      </w:r>
    </w:p>
    <w:p w14:paraId="5EA82B2E">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20.3 磋商小组应按磋商文件进行评审，不得擅自更改评审办法。</w:t>
      </w:r>
    </w:p>
    <w:p w14:paraId="5DF7E449">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20.4 在评审过程中，磋商小组任何人不得对某个供应商发表任何倾向性意见，不得向其他磋商小组成员明示或者暗示自己的评审意见。</w:t>
      </w:r>
    </w:p>
    <w:p w14:paraId="07D9478F">
      <w:pPr>
        <w:spacing w:line="460" w:lineRule="exact"/>
        <w:ind w:firstLine="420" w:firstLineChars="200"/>
        <w:jc w:val="left"/>
        <w:outlineLvl w:val="9"/>
        <w:rPr>
          <w:rFonts w:ascii="宋体" w:hAnsi="宋体" w:cs="宋体"/>
          <w:color w:val="auto"/>
          <w:szCs w:val="21"/>
        </w:rPr>
      </w:pPr>
      <w:r>
        <w:rPr>
          <w:rFonts w:hint="eastAsia" w:ascii="宋体" w:hAnsi="宋体" w:cs="宋体"/>
          <w:color w:val="auto"/>
          <w:szCs w:val="21"/>
        </w:rPr>
        <w:t>20.5 磋商小组成员对需要共同认定的事项存在争议的，按照少数服从多数的原则作出结论。持不同意见的磋商小组成员应当在评审报告上签署不同意见并说明理由，否则视为同意。</w:t>
      </w:r>
    </w:p>
    <w:p w14:paraId="2062CA61">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20.6 响应文件最后报价出现前后不一致的，除竞争性磋商文件另有规定外，按照下列规定修正：</w:t>
      </w:r>
    </w:p>
    <w:p w14:paraId="7B255A6F">
      <w:pPr>
        <w:pStyle w:val="116"/>
        <w:tabs>
          <w:tab w:val="left" w:pos="1099"/>
        </w:tabs>
        <w:spacing w:before="130" w:line="460" w:lineRule="exact"/>
        <w:ind w:left="420" w:leftChars="200" w:firstLine="0" w:firstLineChars="0"/>
        <w:jc w:val="left"/>
        <w:outlineLvl w:val="9"/>
        <w:rPr>
          <w:rFonts w:ascii="宋体" w:hAnsi="宋体" w:cs="宋体"/>
          <w:color w:val="auto"/>
        </w:rPr>
      </w:pPr>
      <w:r>
        <w:rPr>
          <w:rFonts w:hint="eastAsia" w:ascii="宋体" w:hAnsi="宋体" w:cs="宋体"/>
          <w:color w:val="auto"/>
          <w:szCs w:val="21"/>
        </w:rPr>
        <w:t xml:space="preserve">(1) </w:t>
      </w:r>
      <w:r>
        <w:rPr>
          <w:rFonts w:hint="eastAsia" w:ascii="宋体" w:hAnsi="宋体" w:cs="宋体"/>
          <w:color w:val="auto"/>
        </w:rPr>
        <w:t>响应文件中磋商报价表内容与响应文件中相应内容不一致的，以最后磋商报价表为准；</w:t>
      </w:r>
    </w:p>
    <w:p w14:paraId="0F86F71B">
      <w:pPr>
        <w:pStyle w:val="116"/>
        <w:tabs>
          <w:tab w:val="left" w:pos="1099"/>
        </w:tabs>
        <w:spacing w:before="130" w:line="460" w:lineRule="exact"/>
        <w:ind w:left="420" w:leftChars="200" w:firstLine="0" w:firstLineChars="0"/>
        <w:jc w:val="left"/>
        <w:outlineLvl w:val="9"/>
        <w:rPr>
          <w:rFonts w:ascii="宋体" w:hAnsi="宋体" w:cs="宋体"/>
          <w:color w:val="auto"/>
        </w:rPr>
      </w:pPr>
      <w:r>
        <w:rPr>
          <w:rFonts w:hint="eastAsia" w:ascii="宋体" w:hAnsi="宋体" w:cs="宋体"/>
          <w:color w:val="auto"/>
          <w:szCs w:val="21"/>
        </w:rPr>
        <w:t>(2)</w:t>
      </w:r>
      <w:r>
        <w:rPr>
          <w:rFonts w:hint="eastAsia" w:ascii="宋体" w:hAnsi="宋体" w:cs="宋体"/>
          <w:color w:val="auto"/>
        </w:rPr>
        <w:t xml:space="preserve"> 大写金额和小写金额不一致的，以大写金额为准；</w:t>
      </w:r>
    </w:p>
    <w:p w14:paraId="2E1E0DF3">
      <w:pPr>
        <w:pStyle w:val="116"/>
        <w:tabs>
          <w:tab w:val="left" w:pos="1099"/>
        </w:tabs>
        <w:spacing w:before="130" w:line="460" w:lineRule="exact"/>
        <w:ind w:left="420" w:leftChars="200" w:firstLine="0" w:firstLineChars="0"/>
        <w:jc w:val="left"/>
        <w:outlineLvl w:val="9"/>
        <w:rPr>
          <w:rFonts w:ascii="宋体" w:hAnsi="宋体" w:cs="宋体"/>
          <w:color w:val="auto"/>
        </w:rPr>
      </w:pPr>
      <w:r>
        <w:rPr>
          <w:rFonts w:hint="eastAsia" w:ascii="宋体" w:hAnsi="宋体" w:cs="宋体"/>
          <w:color w:val="auto"/>
          <w:szCs w:val="21"/>
        </w:rPr>
        <w:t>(3)</w:t>
      </w:r>
      <w:r>
        <w:rPr>
          <w:rFonts w:hint="eastAsia" w:ascii="宋体" w:hAnsi="宋体" w:cs="宋体"/>
          <w:color w:val="auto"/>
        </w:rPr>
        <w:t xml:space="preserve"> 单价金额小数点或者百分比有明显错位的，以报价表的总价为准，并修改单价；</w:t>
      </w:r>
    </w:p>
    <w:p w14:paraId="369812B9">
      <w:pPr>
        <w:pStyle w:val="116"/>
        <w:tabs>
          <w:tab w:val="left" w:pos="1099"/>
        </w:tabs>
        <w:spacing w:before="130" w:line="460" w:lineRule="exact"/>
        <w:ind w:left="420" w:leftChars="200" w:firstLine="0" w:firstLineChars="0"/>
        <w:jc w:val="left"/>
        <w:outlineLvl w:val="9"/>
        <w:rPr>
          <w:rFonts w:ascii="宋体" w:hAnsi="宋体" w:cs="宋体"/>
          <w:color w:val="auto"/>
        </w:rPr>
      </w:pPr>
      <w:r>
        <w:rPr>
          <w:rFonts w:hint="eastAsia" w:ascii="宋体" w:hAnsi="宋体" w:cs="宋体"/>
          <w:color w:val="auto"/>
          <w:szCs w:val="21"/>
        </w:rPr>
        <w:t xml:space="preserve">(4) </w:t>
      </w:r>
      <w:r>
        <w:rPr>
          <w:rFonts w:hint="eastAsia" w:ascii="宋体" w:hAnsi="宋体" w:cs="宋体"/>
          <w:color w:val="auto"/>
        </w:rPr>
        <w:t>总价金额与按单价汇总金额不一致的，以单价金额计算结果为准。</w:t>
      </w:r>
    </w:p>
    <w:p w14:paraId="2FFAE6C9">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03339D65">
      <w:pPr>
        <w:spacing w:line="460" w:lineRule="exact"/>
        <w:ind w:firstLine="422" w:firstLineChars="200"/>
        <w:outlineLvl w:val="9"/>
        <w:rPr>
          <w:rFonts w:ascii="宋体" w:hAnsi="宋体" w:cs="宋体"/>
          <w:b/>
          <w:bCs/>
          <w:color w:val="auto"/>
          <w:sz w:val="21"/>
          <w:szCs w:val="21"/>
        </w:rPr>
      </w:pPr>
      <w:bookmarkStart w:id="84" w:name="_Toc6041"/>
      <w:bookmarkStart w:id="85" w:name="_Toc27193"/>
      <w:bookmarkStart w:id="86" w:name="_Toc9284"/>
      <w:r>
        <w:rPr>
          <w:rFonts w:hint="eastAsia" w:ascii="宋体" w:hAnsi="宋体" w:cs="宋体"/>
          <w:b/>
          <w:bCs/>
          <w:color w:val="auto"/>
          <w:sz w:val="21"/>
          <w:szCs w:val="21"/>
        </w:rPr>
        <w:t>21. 评审程序及磋商要求</w:t>
      </w:r>
      <w:bookmarkEnd w:id="84"/>
      <w:bookmarkEnd w:id="85"/>
      <w:bookmarkEnd w:id="86"/>
    </w:p>
    <w:p w14:paraId="74E9AE70">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21.1磋商小组成员的通讯工具或相关电子设备交由防城港市公共资源交易中心统一保管后到达评标室，采购代理机构核实磋商小组成员身份，告知回避要求，宣布评审工作纪律和程序，推选磋商小组组长。</w:t>
      </w:r>
    </w:p>
    <w:p w14:paraId="3E61560B">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064F4B8F">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21.3磋商小组依据竞争性磋商文件的规定，首先对响应文件进行资格性审查，以确定供应商是否具备本项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2B8F381E">
      <w:pPr>
        <w:spacing w:line="460" w:lineRule="exact"/>
        <w:ind w:firstLine="422" w:firstLineChars="200"/>
        <w:outlineLvl w:val="9"/>
        <w:rPr>
          <w:rFonts w:ascii="宋体" w:hAnsi="宋体" w:cs="宋体"/>
          <w:b/>
          <w:bCs/>
          <w:color w:val="auto"/>
          <w:szCs w:val="21"/>
        </w:rPr>
      </w:pPr>
      <w:r>
        <w:rPr>
          <w:rFonts w:hint="eastAsia" w:ascii="宋体" w:hAnsi="宋体" w:cs="宋体"/>
          <w:b/>
          <w:bCs/>
          <w:color w:val="auto"/>
          <w:szCs w:val="21"/>
        </w:rPr>
        <w:t xml:space="preserve">21.4 </w:t>
      </w:r>
      <w:r>
        <w:rPr>
          <w:rFonts w:hint="eastAsia" w:ascii="宋体" w:hAnsi="宋体" w:cs="宋体"/>
          <w:color w:val="auto"/>
          <w:szCs w:val="21"/>
        </w:rPr>
        <w:t>磋商小组如发现供应商提供的证明文件不齐全或不符合规定格式的，应一次性告知供应商，供应商应在规定的时间内线上补正或更正</w:t>
      </w:r>
      <w:r>
        <w:rPr>
          <w:rFonts w:hint="eastAsia" w:ascii="宋体" w:hAnsi="宋体" w:cs="宋体"/>
          <w:b/>
          <w:bCs/>
          <w:color w:val="auto"/>
          <w:szCs w:val="21"/>
        </w:rPr>
        <w:t>。</w:t>
      </w:r>
    </w:p>
    <w:p w14:paraId="4B4ACE2C">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21.5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cs="宋体"/>
          <w:color w:val="auto"/>
        </w:rPr>
        <w:t>个人CA签章)</w:t>
      </w:r>
      <w:r>
        <w:rPr>
          <w:rFonts w:hint="eastAsia" w:ascii="宋体" w:hAnsi="宋体" w:cs="宋体"/>
          <w:color w:val="auto"/>
          <w:szCs w:val="21"/>
        </w:rPr>
        <w:t>或者加盖供应商公章(CA签章)。</w:t>
      </w:r>
    </w:p>
    <w:p w14:paraId="398AEA63">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根据磋商文件规定的程序、评定成交的标准等事项与实质性响应竞争性磋商文件要求的供应商进行磋商。</w:t>
      </w:r>
    </w:p>
    <w:p w14:paraId="72186EE0">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未实质性响应磋商文件的响应文件按无效处理，磋商小组应当告知有关供应商。 </w:t>
      </w:r>
    </w:p>
    <w:p w14:paraId="62898693">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磋商小组所有成员应当按已确定的磋商顺序集中与单一供应商分别进行磋商，并给予所有实质性响应竞争性磋商文件要求的供应商平等的磋商机会。</w:t>
      </w:r>
    </w:p>
    <w:p w14:paraId="3EE9CE70">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磋商中，磋商小组不得透露与磋商有关的其他供应商的技术资料、价格和其他信息。 </w:t>
      </w:r>
    </w:p>
    <w:p w14:paraId="6E5A1394">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磋商小组对磋商过程和重要磋商内容进行记录，磋商双方在记录上签字确认（</w:t>
      </w:r>
      <w:r>
        <w:rPr>
          <w:rFonts w:hint="eastAsia" w:ascii="宋体" w:hAnsi="宋体" w:cs="宋体"/>
          <w:color w:val="auto"/>
        </w:rPr>
        <w:t>个人CA签章)</w:t>
      </w:r>
      <w:r>
        <w:rPr>
          <w:rFonts w:hint="eastAsia" w:ascii="宋体" w:hAnsi="宋体" w:cs="宋体"/>
          <w:color w:val="auto"/>
          <w:szCs w:val="21"/>
        </w:rPr>
        <w:t>或者加盖供应商公章(CA签章)。</w:t>
      </w:r>
    </w:p>
    <w:p w14:paraId="361FAB7F">
      <w:pPr>
        <w:spacing w:line="460" w:lineRule="exact"/>
        <w:ind w:firstLine="420" w:firstLineChars="200"/>
        <w:outlineLvl w:val="9"/>
        <w:rPr>
          <w:rFonts w:ascii="宋体" w:hAnsi="宋体" w:cs="宋体"/>
          <w:color w:val="auto"/>
        </w:rPr>
      </w:pPr>
      <w:r>
        <w:rPr>
          <w:rFonts w:hint="eastAsia" w:ascii="宋体" w:hAnsi="宋体" w:cs="宋体"/>
          <w:color w:val="auto"/>
          <w:szCs w:val="21"/>
        </w:rPr>
        <w:t>21.6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4E4B86F5">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21.7在磋商过程中，磋商小组可以根据磋商文件和磋商情况实质性变动项目需求中的技术、服务要求以及合同草案条款，但不得变动磋商文件中的其他内容。实质性变动的内容，须经采购人代表确认。 </w:t>
      </w:r>
    </w:p>
    <w:p w14:paraId="331D20F0">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对磋商文件作出的实质性变动是磋商文件的有效组成部分，磋商小组应当及时通过广西政府采购云平台同时通知所有参加磋商的供应商。 </w:t>
      </w:r>
    </w:p>
    <w:p w14:paraId="2967ABD3">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70CE75E8">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21.8 第二轮磋商</w:t>
      </w:r>
    </w:p>
    <w:p w14:paraId="7162EE9F">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磋商小组集中就重新提交的响应文件或磋商小组提出的磋商意见与单一响应供应商分别进行磋商。磋商小组对磋商过程和重要磋商内容进行记录，磋商双方在记录上签字确认（CA签章确认）。</w:t>
      </w:r>
    </w:p>
    <w:p w14:paraId="1771D43B">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磋商后，供应商根据磋商小组统一整理的书面磋商记录要求做出书面承诺，并由其法定代表人或授权代表签字或者加盖公章（CA签章）后按时线上提交。</w:t>
      </w:r>
    </w:p>
    <w:p w14:paraId="603A74BA">
      <w:pPr>
        <w:spacing w:line="460" w:lineRule="exact"/>
        <w:ind w:firstLine="420" w:firstLineChars="200"/>
        <w:outlineLvl w:val="9"/>
        <w:rPr>
          <w:rFonts w:ascii="宋体" w:hAnsi="宋体" w:cs="宋体"/>
          <w:color w:val="auto"/>
        </w:rPr>
      </w:pPr>
      <w:r>
        <w:rPr>
          <w:rFonts w:hint="eastAsia" w:ascii="宋体" w:hAnsi="宋体" w:cs="宋体"/>
          <w:color w:val="auto"/>
          <w:szCs w:val="21"/>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39649231">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21.9 在采购过程中符合竞争要求的供应商或者报价未超过采购预算的供应商不足3家的，采购人或者采购代理机构应当终止竞争性磋商采购活动。 </w:t>
      </w:r>
    </w:p>
    <w:p w14:paraId="662881D9">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21.10 最后报价 </w:t>
      </w:r>
    </w:p>
    <w:p w14:paraId="78F8F0BE">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21.10.1 磋商文件能够详细列明采购标的的技术、服务要求的，磋商结束后，磋商小组应当要求所有继续参加磋商的供应商在规定时间内线上提交最后报价，提交最后报价的供应商不得少于3家。 </w:t>
      </w:r>
    </w:p>
    <w:p w14:paraId="45C8BFC8">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21.10.2 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线上提交最后报价。 </w:t>
      </w:r>
    </w:p>
    <w:p w14:paraId="6AD5F960">
      <w:pPr>
        <w:spacing w:line="460" w:lineRule="exact"/>
        <w:ind w:firstLine="420" w:firstLineChars="200"/>
        <w:outlineLvl w:val="9"/>
        <w:rPr>
          <w:rFonts w:ascii="宋体" w:hAnsi="宋体" w:cs="宋体"/>
          <w:color w:val="auto"/>
        </w:rPr>
      </w:pPr>
      <w:r>
        <w:rPr>
          <w:rFonts w:hint="eastAsia" w:ascii="宋体" w:hAnsi="宋体" w:cs="宋体"/>
          <w:color w:val="auto"/>
          <w:szCs w:val="21"/>
        </w:rPr>
        <w:t>21.10.3 根据《财政部关于政府采购竞争性磋商采购方式管理暂行办法有关问题的补充通知》(财库〔2014〕214号)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w:t>
      </w:r>
    </w:p>
    <w:p w14:paraId="6A7EF9D0">
      <w:pPr>
        <w:spacing w:line="460" w:lineRule="exact"/>
        <w:ind w:firstLine="420" w:firstLineChars="200"/>
        <w:outlineLvl w:val="9"/>
        <w:rPr>
          <w:rFonts w:ascii="宋体" w:hAnsi="宋体" w:cs="宋体"/>
          <w:b/>
          <w:bCs/>
          <w:color w:val="auto"/>
          <w:szCs w:val="21"/>
        </w:rPr>
      </w:pPr>
      <w:r>
        <w:rPr>
          <w:rFonts w:hint="eastAsia" w:ascii="宋体" w:hAnsi="宋体" w:cs="宋体"/>
          <w:color w:val="auto"/>
          <w:szCs w:val="21"/>
        </w:rPr>
        <w:t>21.10.4 根据《政府采购竞争性磋商采购方式管理暂行办法》(财库〔2014〕214号)的规定：</w:t>
      </w:r>
      <w:r>
        <w:rPr>
          <w:rFonts w:hint="eastAsia" w:ascii="宋体" w:hAnsi="宋体" w:cs="宋体"/>
          <w:b/>
          <w:bCs/>
          <w:color w:val="auto"/>
          <w:szCs w:val="21"/>
        </w:rPr>
        <w:t>最后报价是供应商响应文件的有效组成部分。</w:t>
      </w:r>
      <w:r>
        <w:rPr>
          <w:rFonts w:hint="eastAsia" w:ascii="宋体" w:hAnsi="宋体" w:cs="宋体"/>
          <w:color w:val="auto"/>
          <w:szCs w:val="21"/>
        </w:rPr>
        <w:t>符合本办法(财库〔2014〕214号文)第三条第四项情形的，提交最后报价的供应商可以为2家。</w:t>
      </w:r>
      <w:r>
        <w:rPr>
          <w:rFonts w:hint="eastAsia" w:ascii="宋体" w:hAnsi="宋体" w:cs="宋体"/>
          <w:b/>
          <w:bCs/>
          <w:color w:val="auto"/>
          <w:szCs w:val="21"/>
        </w:rPr>
        <w:t>（财库〔2014〕214号文第三条第四项：市场竞争不充分的科研项目，以及需要扶持的科技成果转化项目。）</w:t>
      </w:r>
    </w:p>
    <w:p w14:paraId="67820707">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21.11 已提交响应文件的供应商，在提交最后报价之前，可以根据磋商情况书面退出磋商。</w:t>
      </w:r>
    </w:p>
    <w:p w14:paraId="10D06D57">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未书面退出磋商的供应商在规定时间内线上提交最后报价，其最后报价超出采购预算导致已通过评审的响应文件无效的，按供应商在提交响应文件截止时间后撤回响应文件处理。</w:t>
      </w:r>
    </w:p>
    <w:p w14:paraId="3208E193">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21.12 评审报告</w:t>
      </w:r>
    </w:p>
    <w:p w14:paraId="10AA878B">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磋商小组应当从质量和服务均能满足磋商文件全部实质性响应要求的供应商中，按照最后综合得分由高到低的顺序提出3名以上（含3名）成交候选人，并编写评审报告。</w:t>
      </w:r>
    </w:p>
    <w:p w14:paraId="2D3999D4">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21.13 在评审过程中出现法律法规和磋商文件均没有明确规定的情形时，由磋商小组现场协商解决，协商不一致的，由全体磋商小组投票表决，以得票率二分之一以上磋商小组成员的意见为准。</w:t>
      </w:r>
    </w:p>
    <w:p w14:paraId="277E9738">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21.14 采购代理机构发现磋商小组有明显的违规倾向或歧视现象，或不按评审办法进行，或其他不正常行为的，应当及时制止。如制止无效，应及时向政府采购监督管理部门报告。</w:t>
      </w:r>
    </w:p>
    <w:p w14:paraId="4E55C4D2">
      <w:pPr>
        <w:spacing w:line="460" w:lineRule="exact"/>
        <w:ind w:firstLine="420" w:firstLineChars="200"/>
        <w:outlineLvl w:val="9"/>
        <w:rPr>
          <w:rFonts w:ascii="宋体" w:hAnsi="宋体" w:cs="宋体"/>
          <w:b/>
          <w:bCs/>
          <w:color w:val="auto"/>
        </w:rPr>
      </w:pPr>
      <w:r>
        <w:rPr>
          <w:rFonts w:hint="eastAsia" w:ascii="宋体" w:hAnsi="宋体" w:cs="宋体"/>
          <w:color w:val="auto"/>
          <w:szCs w:val="21"/>
        </w:rPr>
        <w:t>21.15 本采购项目的评审依据为竞争性磋商文件和竞争性磋商响应文件，采用的评审方法为</w:t>
      </w:r>
      <w:r>
        <w:rPr>
          <w:rFonts w:hint="eastAsia" w:ascii="宋体" w:hAnsi="宋体" w:cs="宋体"/>
          <w:b/>
          <w:bCs/>
          <w:color w:val="auto"/>
          <w:szCs w:val="21"/>
        </w:rPr>
        <w:t>综合评分法。</w:t>
      </w:r>
    </w:p>
    <w:p w14:paraId="77BCE64B">
      <w:pPr>
        <w:spacing w:line="460" w:lineRule="exact"/>
        <w:ind w:firstLine="422" w:firstLineChars="200"/>
        <w:outlineLvl w:val="9"/>
        <w:rPr>
          <w:rFonts w:ascii="宋体" w:hAnsi="宋体" w:cs="宋体"/>
          <w:b/>
          <w:bCs/>
          <w:color w:val="auto"/>
          <w:sz w:val="21"/>
          <w:szCs w:val="21"/>
        </w:rPr>
      </w:pPr>
      <w:bookmarkStart w:id="87" w:name="_Toc5402"/>
      <w:bookmarkStart w:id="88" w:name="_Toc32470"/>
      <w:bookmarkStart w:id="89" w:name="_Toc6719"/>
      <w:r>
        <w:rPr>
          <w:rFonts w:hint="eastAsia" w:ascii="宋体" w:hAnsi="宋体" w:cs="宋体"/>
          <w:b/>
          <w:bCs/>
          <w:color w:val="auto"/>
          <w:sz w:val="21"/>
          <w:szCs w:val="21"/>
        </w:rPr>
        <w:t>22. 确定成交供应商</w:t>
      </w:r>
      <w:bookmarkEnd w:id="87"/>
      <w:bookmarkEnd w:id="88"/>
      <w:bookmarkEnd w:id="89"/>
    </w:p>
    <w:p w14:paraId="4A597F24">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22.1磋商小组应当根据综合得分情况，按照综合得分由高到低顺序推荐成交候选人，并编写评审报告。磋商小组根据综合得分由高到低排列次序，若得分相同时</w:t>
      </w:r>
      <w:r>
        <w:rPr>
          <w:rFonts w:hint="eastAsia" w:cs="Courier New"/>
          <w:bCs/>
          <w:color w:val="auto"/>
          <w:sz w:val="24"/>
          <w:szCs w:val="24"/>
          <w:highlight w:val="none"/>
        </w:rPr>
        <w:t>，</w:t>
      </w:r>
      <w:r>
        <w:rPr>
          <w:rFonts w:hint="eastAsia" w:ascii="宋体" w:hAnsi="宋体" w:eastAsia="宋体" w:cs="宋体"/>
          <w:color w:val="auto"/>
          <w:szCs w:val="21"/>
        </w:rPr>
        <w:t>以</w:t>
      </w:r>
      <w:r>
        <w:rPr>
          <w:rFonts w:hint="eastAsia" w:ascii="宋体" w:hAnsi="宋体" w:eastAsia="宋体" w:cs="宋体"/>
          <w:color w:val="auto"/>
          <w:szCs w:val="21"/>
          <w:lang w:val="en-US" w:eastAsia="zh-CN"/>
        </w:rPr>
        <w:t>最后</w:t>
      </w:r>
      <w:r>
        <w:rPr>
          <w:rFonts w:hint="eastAsia" w:ascii="宋体" w:hAnsi="宋体" w:eastAsia="宋体" w:cs="宋体"/>
          <w:color w:val="auto"/>
          <w:szCs w:val="21"/>
        </w:rPr>
        <w:t>响应报价由低到高顺序排列；若得分相同且响应报价相同的，按照项目技术部分优劣顺序推荐</w:t>
      </w:r>
      <w:r>
        <w:rPr>
          <w:rFonts w:hint="eastAsia" w:ascii="宋体" w:hAnsi="宋体" w:eastAsia="宋体" w:cs="宋体"/>
          <w:color w:val="auto"/>
          <w:szCs w:val="21"/>
          <w:lang w:eastAsia="zh-CN"/>
        </w:rPr>
        <w:t>，</w:t>
      </w:r>
      <w:r>
        <w:rPr>
          <w:rFonts w:hint="eastAsia" w:ascii="宋体" w:hAnsi="宋体" w:eastAsia="宋体" w:cs="宋体"/>
          <w:color w:val="auto"/>
          <w:szCs w:val="21"/>
        </w:rPr>
        <w:t>若仍相同的，</w:t>
      </w:r>
      <w:r>
        <w:rPr>
          <w:rFonts w:hint="eastAsia" w:ascii="宋体" w:hAnsi="宋体" w:cs="宋体"/>
          <w:color w:val="auto"/>
          <w:szCs w:val="21"/>
        </w:rPr>
        <w:t>由磋商小组按照抽签的方式决定排列次序。</w:t>
      </w:r>
    </w:p>
    <w:p w14:paraId="42A4294F">
      <w:pPr>
        <w:spacing w:line="460" w:lineRule="exact"/>
        <w:ind w:firstLine="420" w:firstLineChars="200"/>
        <w:outlineLvl w:val="9"/>
        <w:rPr>
          <w:rFonts w:ascii="宋体" w:hAnsi="宋体" w:cs="宋体"/>
          <w:color w:val="auto"/>
        </w:rPr>
      </w:pPr>
      <w:r>
        <w:rPr>
          <w:rFonts w:hint="eastAsia" w:ascii="宋体" w:hAnsi="宋体" w:cs="宋体"/>
          <w:color w:val="auto"/>
          <w:szCs w:val="21"/>
        </w:rPr>
        <w:t>22.2采购单位应当确定磋商小组推荐排名第一的成交候选人为成交供应商。</w:t>
      </w:r>
    </w:p>
    <w:p w14:paraId="55750A16">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22.3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0265683F">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22.4排名第二的成交候选人因前款规定的同样原因不能签订合同的，采购单位可以依法确定排名第三的成交候选人为成交供应商。</w:t>
      </w:r>
    </w:p>
    <w:p w14:paraId="011A59E4">
      <w:pPr>
        <w:spacing w:line="460" w:lineRule="exact"/>
        <w:ind w:firstLine="422" w:firstLineChars="200"/>
        <w:outlineLvl w:val="9"/>
        <w:rPr>
          <w:rFonts w:ascii="宋体" w:hAnsi="宋体" w:cs="宋体"/>
          <w:b/>
          <w:bCs/>
          <w:color w:val="auto"/>
          <w:sz w:val="21"/>
          <w:szCs w:val="21"/>
        </w:rPr>
      </w:pPr>
      <w:bookmarkStart w:id="90" w:name="_Toc20784"/>
      <w:bookmarkStart w:id="91" w:name="_Toc582"/>
      <w:bookmarkStart w:id="92" w:name="_Toc21715"/>
      <w:r>
        <w:rPr>
          <w:rFonts w:hint="eastAsia" w:ascii="宋体" w:hAnsi="宋体" w:cs="宋体"/>
          <w:b/>
          <w:bCs/>
          <w:color w:val="auto"/>
          <w:sz w:val="21"/>
          <w:szCs w:val="21"/>
        </w:rPr>
        <w:t>23. 属于下列情况之一者，响应文件无效</w:t>
      </w:r>
      <w:bookmarkEnd w:id="90"/>
      <w:bookmarkEnd w:id="91"/>
      <w:bookmarkEnd w:id="92"/>
    </w:p>
    <w:p w14:paraId="3A88FC2B">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（1）未按磋商文件规定完整线上提交响应文件或未按规定要求线上签字、签章的；</w:t>
      </w:r>
    </w:p>
    <w:p w14:paraId="7E1D6D36">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（2）不具备磋商文件规定的资格要求的；</w:t>
      </w:r>
    </w:p>
    <w:p w14:paraId="70E707EA">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（3）响应文件未按磋商文件的内容和要求编制，或提供虚假材料的；</w:t>
      </w:r>
    </w:p>
    <w:p w14:paraId="5D5F79AF">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（4）响应文件有效期、交货时间、免费保修期（升级、维护）期/维护期、售后服务不能满足磋商文件要求的；</w:t>
      </w:r>
    </w:p>
    <w:p w14:paraId="2BE5F005">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（5）供应商未就“采购需求”中的所有内容作完整唯一报价的，或报价超出采购预算总金额的；</w:t>
      </w:r>
    </w:p>
    <w:p w14:paraId="06DDA6BE">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（6）未在磋商小组规定的时间内提交响应文件(包括最后报价)的；</w:t>
      </w:r>
    </w:p>
    <w:p w14:paraId="6CE7640D">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（7）超越了按照法律法规规定必须获得行政许可或者行政审批的经营范围的；</w:t>
      </w:r>
    </w:p>
    <w:p w14:paraId="174D62E5">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（8）未满足磋商文件实质性要求的或者响应文件有采购人不能接受的附加条件的；</w:t>
      </w:r>
    </w:p>
    <w:p w14:paraId="41F558D9">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（9）不符合法律、法规和磋商文件规定的其他实质性要求和条件的。</w:t>
      </w:r>
    </w:p>
    <w:p w14:paraId="326B40D0">
      <w:pPr>
        <w:spacing w:line="460" w:lineRule="exact"/>
        <w:ind w:firstLine="422" w:firstLineChars="200"/>
        <w:outlineLvl w:val="9"/>
        <w:rPr>
          <w:rFonts w:ascii="宋体" w:hAnsi="宋体" w:cs="宋体"/>
          <w:b/>
          <w:bCs/>
          <w:color w:val="auto"/>
          <w:szCs w:val="21"/>
        </w:rPr>
      </w:pPr>
      <w:r>
        <w:rPr>
          <w:rFonts w:hint="eastAsia" w:ascii="宋体" w:hAnsi="宋体" w:cs="宋体"/>
          <w:b/>
          <w:bCs/>
          <w:color w:val="auto"/>
          <w:szCs w:val="21"/>
        </w:rPr>
        <w:t>供应商有下列情形之一的视为供应商相互串通磋商，响应文件将被视为无效</w:t>
      </w:r>
    </w:p>
    <w:p w14:paraId="0054226D">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（1）不同供应商的响应文件由同一单位或者个人编制；或不同供应商报名的IP地址一致的；</w:t>
      </w:r>
    </w:p>
    <w:p w14:paraId="7DBFD786">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（2）不同供应商委托同一单位或者个人办理磋商事宜；</w:t>
      </w:r>
    </w:p>
    <w:p w14:paraId="10794158">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6AF94416">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（4）不同供应商的响应文件异常一致或竞标报价呈规律性差异；</w:t>
      </w:r>
    </w:p>
    <w:p w14:paraId="1C93E9C8">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（5）不同供应商的响应文件相互混编。</w:t>
      </w:r>
    </w:p>
    <w:p w14:paraId="49645732">
      <w:pPr>
        <w:spacing w:line="460" w:lineRule="exact"/>
        <w:ind w:firstLine="422" w:firstLineChars="200"/>
        <w:outlineLvl w:val="9"/>
        <w:rPr>
          <w:rFonts w:ascii="宋体" w:hAnsi="宋体" w:cs="宋体"/>
          <w:b/>
          <w:bCs/>
          <w:color w:val="auto"/>
          <w:sz w:val="21"/>
          <w:szCs w:val="21"/>
        </w:rPr>
      </w:pPr>
      <w:bookmarkStart w:id="93" w:name="_Toc14842"/>
      <w:bookmarkStart w:id="94" w:name="_Toc21712"/>
      <w:bookmarkStart w:id="95" w:name="_Toc5714"/>
      <w:r>
        <w:rPr>
          <w:rFonts w:hint="eastAsia" w:ascii="宋体" w:hAnsi="宋体" w:cs="宋体"/>
          <w:b/>
          <w:bCs/>
          <w:color w:val="auto"/>
          <w:sz w:val="21"/>
          <w:szCs w:val="21"/>
        </w:rPr>
        <w:t>24. 出现下列情形之一的，采购人或者采购代理机构应当终止竞争性磋商采购活动，发布项目终止公告并说明原因，重新开展采购活动</w:t>
      </w:r>
      <w:bookmarkEnd w:id="93"/>
      <w:bookmarkEnd w:id="94"/>
      <w:bookmarkEnd w:id="95"/>
    </w:p>
    <w:p w14:paraId="76D2F0E0">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（1）因情况变化，不再符合规定的竞争性磋商采购方式适用情形的；</w:t>
      </w:r>
    </w:p>
    <w:p w14:paraId="0CA259FD">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 xml:space="preserve">（2）出现影响采购公正的违法、违规行为的； </w:t>
      </w:r>
    </w:p>
    <w:p w14:paraId="37992D9E">
      <w:pPr>
        <w:spacing w:line="460" w:lineRule="exact"/>
        <w:ind w:firstLine="420" w:firstLineChars="200"/>
        <w:outlineLvl w:val="9"/>
        <w:rPr>
          <w:rFonts w:ascii="宋体" w:hAnsi="宋体" w:cs="宋体"/>
          <w:b/>
          <w:bCs/>
          <w:color w:val="auto"/>
          <w:szCs w:val="21"/>
        </w:rPr>
      </w:pPr>
      <w:r>
        <w:rPr>
          <w:rFonts w:hint="eastAsia" w:ascii="宋体" w:hAnsi="宋体" w:cs="宋体"/>
          <w:color w:val="auto"/>
          <w:szCs w:val="21"/>
        </w:rPr>
        <w:t>（3）在采购过程中符合竞争要求的供应商或者报价未超过采购预算的供应商不足3家的。</w:t>
      </w:r>
      <w:r>
        <w:rPr>
          <w:rFonts w:hint="eastAsia" w:ascii="宋体" w:hAnsi="宋体" w:cs="宋体"/>
          <w:b/>
          <w:bCs/>
          <w:color w:val="auto"/>
          <w:szCs w:val="21"/>
        </w:rPr>
        <w:t xml:space="preserve">（除财库〔2014〕214 号《政府采购竞争性磋商采购方式管理暂行办法》第二十一条第三款规定的情形外） </w:t>
      </w:r>
    </w:p>
    <w:p w14:paraId="698C17C1">
      <w:pPr>
        <w:spacing w:line="460" w:lineRule="exact"/>
        <w:ind w:firstLine="420" w:firstLineChars="200"/>
        <w:outlineLvl w:val="9"/>
        <w:rPr>
          <w:rFonts w:ascii="宋体" w:hAnsi="宋体" w:cs="宋体"/>
          <w:color w:val="auto"/>
          <w:sz w:val="21"/>
          <w:szCs w:val="21"/>
        </w:rPr>
      </w:pPr>
      <w:bookmarkStart w:id="96" w:name="_Toc19105"/>
      <w:bookmarkStart w:id="97" w:name="_Toc6771"/>
      <w:bookmarkStart w:id="98" w:name="_Toc24887"/>
      <w:r>
        <w:rPr>
          <w:rFonts w:hint="eastAsia" w:ascii="宋体" w:hAnsi="宋体" w:cs="宋体"/>
          <w:color w:val="auto"/>
          <w:sz w:val="21"/>
          <w:szCs w:val="21"/>
        </w:rPr>
        <w:t>25. 磋商过程的监控</w:t>
      </w:r>
      <w:bookmarkEnd w:id="96"/>
      <w:bookmarkEnd w:id="97"/>
      <w:bookmarkEnd w:id="98"/>
    </w:p>
    <w:p w14:paraId="3B6512B6">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本项目磋商过程实行全程录音、录像监控，供应商在磋商过程中所进行的试图影响磋商结果的不公正活动，可能导致其磋商被拒绝。</w:t>
      </w:r>
    </w:p>
    <w:p w14:paraId="29856652">
      <w:pPr>
        <w:spacing w:line="460" w:lineRule="exact"/>
        <w:ind w:firstLine="422" w:firstLineChars="200"/>
        <w:outlineLvl w:val="9"/>
        <w:rPr>
          <w:rFonts w:ascii="宋体" w:hAnsi="宋体" w:cs="宋体"/>
          <w:b/>
          <w:bCs/>
          <w:color w:val="auto"/>
          <w:szCs w:val="21"/>
        </w:rPr>
      </w:pPr>
      <w:bookmarkStart w:id="99" w:name="_Toc7544"/>
      <w:bookmarkStart w:id="100" w:name="_Toc14787"/>
      <w:bookmarkStart w:id="101" w:name="_Toc31070"/>
      <w:r>
        <w:rPr>
          <w:rFonts w:hint="eastAsia" w:ascii="宋体" w:hAnsi="宋体" w:cs="宋体"/>
          <w:b/>
          <w:bCs/>
          <w:color w:val="auto"/>
          <w:sz w:val="21"/>
          <w:szCs w:val="21"/>
        </w:rPr>
        <w:t>26. 信用查询</w:t>
      </w:r>
      <w:bookmarkEnd w:id="99"/>
      <w:bookmarkEnd w:id="100"/>
      <w:bookmarkEnd w:id="101"/>
    </w:p>
    <w:p w14:paraId="3BF81BE6">
      <w:pPr>
        <w:spacing w:line="460" w:lineRule="exact"/>
        <w:ind w:firstLine="210" w:firstLineChars="100"/>
        <w:outlineLvl w:val="9"/>
        <w:rPr>
          <w:rFonts w:ascii="宋体" w:hAnsi="宋体" w:cs="宋体"/>
          <w:color w:val="auto"/>
          <w:szCs w:val="21"/>
        </w:rPr>
      </w:pPr>
      <w:bookmarkStart w:id="102" w:name="_Toc12103"/>
      <w:bookmarkStart w:id="103" w:name="_Toc9438"/>
      <w:bookmarkStart w:id="104" w:name="_Toc13703"/>
      <w:r>
        <w:rPr>
          <w:rFonts w:hint="eastAsia" w:ascii="宋体" w:hAnsi="宋体" w:cs="宋体"/>
          <w:color w:val="auto"/>
          <w:szCs w:val="21"/>
        </w:rPr>
        <w:t>（1）查询渠道：“信用中国”网站(www.creditchina.gov.cn)、中国政府采购网(www.ccgp.gov.cn)等；</w:t>
      </w:r>
    </w:p>
    <w:p w14:paraId="00F92C7E">
      <w:pPr>
        <w:spacing w:line="460" w:lineRule="exact"/>
        <w:ind w:firstLine="210" w:firstLineChars="100"/>
        <w:outlineLvl w:val="9"/>
        <w:rPr>
          <w:rFonts w:ascii="宋体" w:hAnsi="宋体" w:cs="宋体"/>
          <w:color w:val="auto"/>
          <w:szCs w:val="21"/>
        </w:rPr>
      </w:pPr>
      <w:r>
        <w:rPr>
          <w:rFonts w:hint="eastAsia" w:ascii="宋体" w:hAnsi="宋体" w:cs="宋体"/>
          <w:color w:val="auto"/>
          <w:szCs w:val="21"/>
        </w:rPr>
        <w:t>（2）信用信息查询记录和证据留存方式：在查询网站中直接打印查询记录，打印材料作为采购活动资料保存。</w:t>
      </w:r>
    </w:p>
    <w:p w14:paraId="696E2A1B">
      <w:pPr>
        <w:spacing w:line="460" w:lineRule="exact"/>
        <w:ind w:firstLine="210" w:firstLineChars="100"/>
        <w:outlineLvl w:val="9"/>
        <w:rPr>
          <w:rFonts w:ascii="宋体" w:hAnsi="宋体" w:cs="宋体"/>
          <w:color w:val="auto"/>
          <w:szCs w:val="21"/>
        </w:rPr>
      </w:pPr>
      <w:r>
        <w:rPr>
          <w:rFonts w:hint="eastAsia" w:ascii="宋体" w:hAnsi="宋体" w:cs="宋体"/>
          <w:color w:val="auto"/>
          <w:szCs w:val="21"/>
        </w:rPr>
        <w:t>（3）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4C1178C">
      <w:pPr>
        <w:spacing w:line="460" w:lineRule="exact"/>
        <w:ind w:firstLine="422" w:firstLineChars="200"/>
        <w:outlineLvl w:val="9"/>
        <w:rPr>
          <w:rFonts w:ascii="宋体" w:hAnsi="宋体" w:cs="宋体"/>
          <w:b/>
          <w:bCs/>
          <w:color w:val="auto"/>
          <w:sz w:val="21"/>
          <w:szCs w:val="21"/>
        </w:rPr>
      </w:pPr>
      <w:r>
        <w:rPr>
          <w:rFonts w:hint="eastAsia" w:ascii="宋体" w:hAnsi="宋体" w:cs="宋体"/>
          <w:b/>
          <w:bCs/>
          <w:color w:val="auto"/>
          <w:sz w:val="21"/>
          <w:szCs w:val="21"/>
        </w:rPr>
        <w:t>27. 成交结果公告及成交通知书</w:t>
      </w:r>
      <w:bookmarkEnd w:id="102"/>
      <w:bookmarkEnd w:id="103"/>
      <w:bookmarkEnd w:id="104"/>
    </w:p>
    <w:p w14:paraId="31E4D95A">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27.1 采购代理机构于磋商结束后两个工作日内将评审报告送交采购人，采购人应当自收到评审报告两个工作日内在评审报告推荐的成交候选人中按顺序确定成交供应商，采购代理机构在成交供应商确定之日起两个工作日内发出成交通知书，并在指定媒体上公告成交信息。</w:t>
      </w:r>
    </w:p>
    <w:p w14:paraId="46CD5B0E">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27.2 在发布成交公告的同时，采购代理机构向成交供应商发出成交通知书。成交供应商自接到通知之日起七个工作日内，办理成交通知书领取手续。</w:t>
      </w:r>
    </w:p>
    <w:p w14:paraId="4FBDDD5B">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27.3 采购代理机构无义务向未成交的供应商解释未成交原因和退还响应文件。</w:t>
      </w:r>
    </w:p>
    <w:p w14:paraId="0AD145AC">
      <w:pPr>
        <w:pStyle w:val="147"/>
        <w:outlineLvl w:val="9"/>
        <w:rPr>
          <w:b/>
          <w:bCs/>
          <w:color w:val="auto"/>
          <w:sz w:val="28"/>
          <w:szCs w:val="28"/>
        </w:rPr>
      </w:pPr>
      <w:bookmarkStart w:id="105" w:name="_Toc25593"/>
      <w:bookmarkStart w:id="106" w:name="_Toc7859"/>
    </w:p>
    <w:p w14:paraId="274CAA59">
      <w:pPr>
        <w:spacing w:line="460" w:lineRule="exact"/>
        <w:jc w:val="center"/>
        <w:outlineLvl w:val="9"/>
        <w:rPr>
          <w:b/>
          <w:bCs/>
          <w:color w:val="auto"/>
          <w:sz w:val="28"/>
          <w:szCs w:val="28"/>
        </w:rPr>
      </w:pPr>
      <w:bookmarkStart w:id="107" w:name="_Toc12061"/>
      <w:r>
        <w:rPr>
          <w:rFonts w:hint="eastAsia"/>
          <w:b/>
          <w:bCs/>
          <w:color w:val="auto"/>
          <w:sz w:val="28"/>
          <w:szCs w:val="28"/>
        </w:rPr>
        <w:t>五、签订合同</w:t>
      </w:r>
      <w:bookmarkEnd w:id="105"/>
      <w:bookmarkEnd w:id="106"/>
      <w:bookmarkEnd w:id="107"/>
    </w:p>
    <w:p w14:paraId="71C409CC">
      <w:pPr>
        <w:spacing w:line="460" w:lineRule="exact"/>
        <w:ind w:firstLine="422" w:firstLineChars="200"/>
        <w:outlineLvl w:val="9"/>
        <w:rPr>
          <w:rFonts w:ascii="宋体" w:hAnsi="宋体" w:cs="宋体"/>
          <w:b/>
          <w:bCs/>
          <w:color w:val="auto"/>
          <w:szCs w:val="21"/>
        </w:rPr>
      </w:pPr>
      <w:bookmarkStart w:id="108" w:name="_Toc26520"/>
      <w:bookmarkStart w:id="109" w:name="_Toc20760"/>
      <w:bookmarkStart w:id="110" w:name="_Toc13527"/>
      <w:r>
        <w:rPr>
          <w:rFonts w:hint="eastAsia" w:ascii="宋体" w:hAnsi="宋体" w:cs="宋体"/>
          <w:b/>
          <w:bCs/>
          <w:color w:val="auto"/>
          <w:sz w:val="21"/>
          <w:szCs w:val="21"/>
        </w:rPr>
        <w:t>28. 履约保证金</w:t>
      </w:r>
      <w:bookmarkEnd w:id="108"/>
      <w:bookmarkEnd w:id="109"/>
      <w:bookmarkEnd w:id="110"/>
    </w:p>
    <w:p w14:paraId="083F5BF4">
      <w:pPr>
        <w:spacing w:line="460" w:lineRule="exact"/>
        <w:ind w:firstLine="420" w:firstLineChars="200"/>
        <w:outlineLvl w:val="9"/>
        <w:rPr>
          <w:rFonts w:ascii="宋体" w:hAnsi="宋体" w:cs="宋体"/>
          <w:b w:val="0"/>
          <w:bCs/>
          <w:color w:val="auto"/>
          <w:sz w:val="21"/>
          <w:szCs w:val="21"/>
        </w:rPr>
      </w:pPr>
      <w:bookmarkStart w:id="111" w:name="_Toc21541"/>
      <w:bookmarkStart w:id="112" w:name="_Toc10846"/>
      <w:bookmarkStart w:id="113" w:name="_Toc4956"/>
      <w:r>
        <w:rPr>
          <w:rFonts w:hint="eastAsia" w:ascii="宋体" w:hAnsi="宋体" w:cs="宋体"/>
          <w:b w:val="0"/>
          <w:bCs/>
          <w:color w:val="auto"/>
          <w:sz w:val="21"/>
          <w:szCs w:val="21"/>
        </w:rPr>
        <w:t>本项目不收取履约保证金</w:t>
      </w:r>
    </w:p>
    <w:p w14:paraId="2EF1460E">
      <w:pPr>
        <w:spacing w:line="460" w:lineRule="exact"/>
        <w:ind w:firstLine="420" w:firstLineChars="200"/>
        <w:outlineLvl w:val="9"/>
        <w:rPr>
          <w:rFonts w:ascii="宋体" w:hAnsi="宋体" w:cs="宋体"/>
          <w:color w:val="auto"/>
          <w:sz w:val="21"/>
          <w:szCs w:val="21"/>
        </w:rPr>
      </w:pPr>
      <w:r>
        <w:rPr>
          <w:rFonts w:hint="eastAsia" w:ascii="宋体" w:hAnsi="宋体" w:cs="宋体"/>
          <w:color w:val="auto"/>
          <w:sz w:val="21"/>
          <w:szCs w:val="21"/>
        </w:rPr>
        <w:t>29. 签订合同</w:t>
      </w:r>
      <w:bookmarkEnd w:id="111"/>
      <w:bookmarkEnd w:id="112"/>
      <w:bookmarkEnd w:id="113"/>
    </w:p>
    <w:p w14:paraId="5279844E">
      <w:pPr>
        <w:spacing w:line="460" w:lineRule="exact"/>
        <w:ind w:firstLine="422" w:firstLineChars="200"/>
        <w:outlineLvl w:val="9"/>
        <w:rPr>
          <w:rFonts w:ascii="宋体" w:hAnsi="宋体" w:cs="宋体"/>
          <w:b/>
          <w:bCs/>
          <w:color w:val="auto"/>
          <w:szCs w:val="21"/>
        </w:rPr>
      </w:pPr>
      <w:r>
        <w:rPr>
          <w:rFonts w:hint="eastAsia" w:ascii="宋体" w:hAnsi="宋体" w:cs="宋体"/>
          <w:b/>
          <w:bCs/>
          <w:color w:val="auto"/>
          <w:szCs w:val="21"/>
        </w:rPr>
        <w:t>29.1 签订合同时间：成交通知书发出之日起十五日内签订合同。成交供应商领取成交通知书后，应按规定与采购人签订合同。</w:t>
      </w:r>
    </w:p>
    <w:p w14:paraId="27786496">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1AEAC05B">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（1）成交后不与采购人签订合同的（不可抗力除外）；</w:t>
      </w:r>
    </w:p>
    <w:p w14:paraId="6361D2F6">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（2）将成交项目转让给他人，或者在响应文件中未说明，且未经采购人同意，将成交项目分包给他人的；</w:t>
      </w:r>
    </w:p>
    <w:p w14:paraId="624F0B4D">
      <w:pPr>
        <w:spacing w:line="460" w:lineRule="exact"/>
        <w:ind w:firstLine="420" w:firstLineChars="200"/>
        <w:outlineLvl w:val="9"/>
        <w:rPr>
          <w:rFonts w:ascii="宋体" w:hAnsi="宋体" w:cs="宋体"/>
          <w:color w:val="auto"/>
          <w:szCs w:val="21"/>
        </w:rPr>
      </w:pPr>
      <w:r>
        <w:rPr>
          <w:rFonts w:hint="eastAsia" w:ascii="宋体" w:hAnsi="宋体" w:cs="宋体"/>
          <w:color w:val="auto"/>
          <w:szCs w:val="21"/>
        </w:rPr>
        <w:t>（3）拒绝履行合同义务的。</w:t>
      </w:r>
    </w:p>
    <w:p w14:paraId="5B72D47E">
      <w:pPr>
        <w:spacing w:line="460" w:lineRule="exact"/>
        <w:ind w:firstLine="420" w:firstLineChars="200"/>
        <w:outlineLvl w:val="9"/>
        <w:rPr>
          <w:rFonts w:ascii="宋体" w:hAnsi="宋体" w:cs="宋体"/>
          <w:color w:val="auto"/>
          <w:sz w:val="36"/>
          <w:szCs w:val="36"/>
        </w:rPr>
      </w:pPr>
      <w:r>
        <w:rPr>
          <w:rFonts w:hint="eastAsia" w:ascii="宋体" w:hAnsi="宋体" w:cs="宋体"/>
          <w:color w:val="auto"/>
          <w:szCs w:val="21"/>
        </w:rPr>
        <w:t>29.3 合同备案存档：合同备案存档：</w:t>
      </w:r>
      <w:r>
        <w:rPr>
          <w:rFonts w:hint="eastAsia" w:ascii="宋体" w:hAnsi="宋体" w:cs="宋体"/>
          <w:bCs/>
          <w:color w:val="auto"/>
          <w:kern w:val="0"/>
          <w:szCs w:val="21"/>
        </w:rPr>
        <w:t>政府采购合同双方自签订之日起1个工作日内将合同原件两份交采购代理机构。采购代理机构将政府采购合同在财政部门指定媒体上公告。</w:t>
      </w:r>
    </w:p>
    <w:p w14:paraId="231CB356">
      <w:pPr>
        <w:spacing w:line="460" w:lineRule="exact"/>
        <w:ind w:firstLine="422" w:firstLineChars="200"/>
        <w:outlineLvl w:val="9"/>
        <w:rPr>
          <w:rFonts w:ascii="宋体" w:hAnsi="宋体" w:cs="宋体"/>
          <w:b/>
          <w:color w:val="auto"/>
          <w:szCs w:val="28"/>
        </w:rPr>
      </w:pPr>
      <w:bookmarkStart w:id="114" w:name="_Toc16348"/>
    </w:p>
    <w:p w14:paraId="2B5BAA26">
      <w:pPr>
        <w:spacing w:line="460" w:lineRule="exact"/>
        <w:jc w:val="center"/>
        <w:outlineLvl w:val="9"/>
        <w:rPr>
          <w:b/>
          <w:bCs/>
          <w:color w:val="auto"/>
          <w:sz w:val="28"/>
          <w:szCs w:val="28"/>
        </w:rPr>
      </w:pPr>
      <w:bookmarkStart w:id="115" w:name="_Toc24218"/>
      <w:bookmarkStart w:id="116" w:name="_Toc2060"/>
      <w:r>
        <w:rPr>
          <w:rFonts w:hint="eastAsia"/>
          <w:b/>
          <w:bCs/>
          <w:color w:val="auto"/>
          <w:sz w:val="28"/>
          <w:szCs w:val="28"/>
        </w:rPr>
        <w:t>六、其他事项</w:t>
      </w:r>
      <w:bookmarkEnd w:id="114"/>
      <w:bookmarkEnd w:id="115"/>
      <w:bookmarkEnd w:id="116"/>
    </w:p>
    <w:p w14:paraId="11E05F1F">
      <w:pPr>
        <w:spacing w:line="360" w:lineRule="auto"/>
        <w:ind w:firstLine="482" w:firstLineChars="200"/>
        <w:outlineLvl w:val="9"/>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0.其他内容</w:t>
      </w:r>
    </w:p>
    <w:p w14:paraId="717A90F4">
      <w:pPr>
        <w:tabs>
          <w:tab w:val="left" w:pos="2835"/>
        </w:tabs>
        <w:spacing w:line="360" w:lineRule="auto"/>
        <w:ind w:firstLine="420" w:firstLineChars="200"/>
        <w:outlineLvl w:val="9"/>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0.1采购代理服务费收费标准及缴纳账户详见“供应商须知前附表”。</w:t>
      </w:r>
    </w:p>
    <w:p w14:paraId="19F49AC8">
      <w:pPr>
        <w:spacing w:line="360" w:lineRule="auto"/>
        <w:ind w:firstLine="482" w:firstLineChars="200"/>
        <w:outlineLvl w:val="9"/>
        <w:rPr>
          <w:rFonts w:ascii="黑体" w:hAnsi="黑体" w:eastAsia="黑体" w:cs="宋体"/>
          <w:b/>
          <w:bCs/>
          <w:color w:val="auto"/>
          <w:sz w:val="24"/>
        </w:rPr>
      </w:pPr>
      <w:r>
        <w:rPr>
          <w:rFonts w:hint="eastAsia" w:ascii="黑体" w:hAnsi="黑体" w:eastAsia="黑体" w:cs="宋体"/>
          <w:b/>
          <w:bCs/>
          <w:color w:val="auto"/>
          <w:sz w:val="24"/>
        </w:rPr>
        <w:t>31</w:t>
      </w:r>
      <w:r>
        <w:rPr>
          <w:rFonts w:ascii="黑体" w:hAnsi="黑体" w:eastAsia="黑体" w:cs="宋体"/>
          <w:b/>
          <w:bCs/>
          <w:color w:val="auto"/>
          <w:sz w:val="24"/>
        </w:rPr>
        <w:t>.需要补充的</w:t>
      </w:r>
      <w:r>
        <w:rPr>
          <w:rFonts w:hint="eastAsia" w:ascii="黑体" w:hAnsi="黑体" w:eastAsia="黑体" w:cs="宋体"/>
          <w:b/>
          <w:bCs/>
          <w:color w:val="auto"/>
          <w:sz w:val="24"/>
        </w:rPr>
        <w:t>其他</w:t>
      </w:r>
      <w:r>
        <w:rPr>
          <w:rFonts w:ascii="黑体" w:hAnsi="黑体" w:eastAsia="黑体" w:cs="宋体"/>
          <w:b/>
          <w:bCs/>
          <w:color w:val="auto"/>
          <w:sz w:val="24"/>
        </w:rPr>
        <w:t>内容</w:t>
      </w:r>
    </w:p>
    <w:p w14:paraId="4F3E9A12">
      <w:pPr>
        <w:spacing w:line="360" w:lineRule="auto"/>
        <w:ind w:firstLine="420" w:firstLineChars="200"/>
        <w:outlineLvl w:val="9"/>
        <w:rPr>
          <w:rFonts w:ascii="宋体" w:hAnsi="宋体" w:cs="宋体"/>
          <w:color w:val="auto"/>
        </w:rPr>
      </w:pPr>
      <w:r>
        <w:rPr>
          <w:rFonts w:hint="eastAsia" w:ascii="宋体" w:hAnsi="宋体" w:cs="宋体"/>
          <w:color w:val="auto"/>
        </w:rPr>
        <w:t>31</w:t>
      </w:r>
      <w:r>
        <w:rPr>
          <w:rFonts w:ascii="宋体" w:hAnsi="宋体" w:cs="宋体"/>
          <w:color w:val="auto"/>
        </w:rPr>
        <w:t>.1</w:t>
      </w:r>
      <w:r>
        <w:rPr>
          <w:rFonts w:hint="eastAsia" w:ascii="宋体" w:hAnsi="宋体" w:cs="宋体"/>
          <w:color w:val="auto"/>
        </w:rPr>
        <w:t>本磋商文件解释规则详见“供应商须知前附表”。</w:t>
      </w:r>
    </w:p>
    <w:p w14:paraId="2FABCC22">
      <w:pPr>
        <w:keepNext w:val="0"/>
        <w:keepLines w:val="0"/>
        <w:pageBreakBefore w:val="0"/>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ascii="宋体" w:hAnsi="宋体" w:cs="宋体"/>
          <w:color w:val="auto"/>
        </w:rPr>
        <w:t>3</w:t>
      </w:r>
      <w:r>
        <w:rPr>
          <w:rFonts w:hint="eastAsia" w:ascii="宋体" w:hAnsi="宋体" w:cs="宋体"/>
          <w:color w:val="auto"/>
        </w:rPr>
        <w:t>1</w:t>
      </w:r>
      <w:r>
        <w:rPr>
          <w:rFonts w:ascii="宋体" w:hAnsi="宋体" w:cs="宋体"/>
          <w:color w:val="auto"/>
        </w:rPr>
        <w:t>.2</w:t>
      </w:r>
      <w:r>
        <w:rPr>
          <w:rFonts w:hint="eastAsia" w:ascii="宋体" w:hAnsi="宋体" w:cs="宋体"/>
          <w:color w:val="auto"/>
        </w:rPr>
        <w:t>其他事项详见“供应商须知前附表”。</w:t>
      </w:r>
    </w:p>
    <w:p w14:paraId="45150E8A">
      <w:pPr>
        <w:pStyle w:val="32"/>
        <w:keepNext w:val="0"/>
        <w:keepLines w:val="0"/>
        <w:pageBreakBefore w:val="0"/>
        <w:kinsoku/>
        <w:wordWrap/>
        <w:overflowPunct/>
        <w:topLinePunct w:val="0"/>
        <w:autoSpaceDE/>
        <w:autoSpaceDN/>
        <w:bidi w:val="0"/>
        <w:spacing w:line="360" w:lineRule="auto"/>
        <w:outlineLvl w:val="9"/>
        <w:rPr>
          <w:rFonts w:ascii="宋体" w:hAnsi="宋体"/>
          <w:color w:val="auto"/>
          <w:sz w:val="21"/>
          <w:szCs w:val="21"/>
          <w:highlight w:val="none"/>
        </w:rPr>
      </w:pPr>
      <w:r>
        <w:rPr>
          <w:rFonts w:hint="eastAsia" w:ascii="宋体" w:hAnsi="宋体"/>
          <w:color w:val="auto"/>
          <w:szCs w:val="21"/>
          <w:highlight w:val="none"/>
        </w:rPr>
        <w:t xml:space="preserve">   </w:t>
      </w:r>
      <w:r>
        <w:rPr>
          <w:rFonts w:hint="eastAsia" w:ascii="宋体" w:hAnsi="宋体"/>
          <w:color w:val="auto"/>
          <w:sz w:val="21"/>
          <w:szCs w:val="21"/>
          <w:highlight w:val="none"/>
        </w:rPr>
        <w:t xml:space="preserve"> </w:t>
      </w:r>
    </w:p>
    <w:p w14:paraId="2A636810">
      <w:pPr>
        <w:pStyle w:val="32"/>
        <w:keepNext w:val="0"/>
        <w:keepLines w:val="0"/>
        <w:pageBreakBefore w:val="0"/>
        <w:kinsoku/>
        <w:wordWrap/>
        <w:overflowPunct/>
        <w:topLinePunct w:val="0"/>
        <w:autoSpaceDE/>
        <w:autoSpaceDN/>
        <w:bidi w:val="0"/>
        <w:spacing w:line="360" w:lineRule="auto"/>
        <w:ind w:firstLine="1050" w:firstLineChars="500"/>
        <w:outlineLvl w:val="9"/>
        <w:rPr>
          <w:rFonts w:hint="eastAsia" w:ascii="宋体" w:hAnsi="宋体"/>
          <w:color w:val="auto"/>
          <w:sz w:val="21"/>
          <w:szCs w:val="21"/>
          <w:highlight w:val="none"/>
        </w:rPr>
      </w:pPr>
    </w:p>
    <w:p w14:paraId="23BC2558">
      <w:pPr>
        <w:outlineLvl w:val="9"/>
        <w:rPr>
          <w:rFonts w:hint="eastAsia" w:ascii="宋体" w:hAnsi="宋体"/>
          <w:color w:val="auto"/>
          <w:sz w:val="21"/>
          <w:szCs w:val="21"/>
          <w:highlight w:val="none"/>
        </w:rPr>
      </w:pPr>
      <w:r>
        <w:rPr>
          <w:rFonts w:hint="eastAsia" w:ascii="宋体" w:hAnsi="宋体"/>
          <w:color w:val="auto"/>
          <w:sz w:val="21"/>
          <w:szCs w:val="21"/>
          <w:highlight w:val="none"/>
        </w:rPr>
        <w:br w:type="page"/>
      </w:r>
    </w:p>
    <w:p w14:paraId="0E80D3C7">
      <w:pPr>
        <w:spacing w:line="528" w:lineRule="exact"/>
        <w:ind w:left="1125" w:leftChars="0" w:hanging="1125" w:hangingChars="467"/>
        <w:jc w:val="both"/>
        <w:outlineLvl w:val="9"/>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eastAsia="zh-CN"/>
        </w:rPr>
        <w:t>本项目所属行业是建筑业。</w:t>
      </w:r>
    </w:p>
    <w:p w14:paraId="5AEEA3EF">
      <w:pPr>
        <w:spacing w:line="528" w:lineRule="exact"/>
        <w:ind w:left="1494" w:leftChars="0" w:hanging="1494" w:hangingChars="467"/>
        <w:jc w:val="left"/>
        <w:outlineLvl w:val="9"/>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附件：</w:t>
      </w:r>
    </w:p>
    <w:p w14:paraId="42374443">
      <w:pPr>
        <w:spacing w:line="528" w:lineRule="exact"/>
        <w:ind w:left="1868" w:leftChars="0" w:hanging="1868" w:hangingChars="467"/>
        <w:jc w:val="center"/>
        <w:outlineLvl w:val="9"/>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p w14:paraId="7C3861D3">
      <w:pPr>
        <w:pStyle w:val="42"/>
        <w:outlineLvl w:val="9"/>
        <w:rPr>
          <w:rFonts w:hint="eastAsia" w:hAnsi="宋体" w:cs="宋体"/>
          <w:color w:val="auto"/>
          <w:kern w:val="2"/>
          <w:sz w:val="24"/>
          <w:szCs w:val="24"/>
          <w:highlight w:val="none"/>
          <w:lang w:val="en-US" w:eastAsia="zh-CN"/>
        </w:rPr>
      </w:pPr>
    </w:p>
    <w:tbl>
      <w:tblPr>
        <w:tblStyle w:val="84"/>
        <w:tblW w:w="0" w:type="auto"/>
        <w:jc w:val="center"/>
        <w:tblLayout w:type="fixed"/>
        <w:tblCellMar>
          <w:top w:w="0" w:type="dxa"/>
          <w:left w:w="108" w:type="dxa"/>
          <w:bottom w:w="0" w:type="dxa"/>
          <w:right w:w="108" w:type="dxa"/>
        </w:tblCellMar>
      </w:tblPr>
      <w:tblGrid>
        <w:gridCol w:w="1998"/>
        <w:gridCol w:w="1997"/>
        <w:gridCol w:w="856"/>
        <w:gridCol w:w="1854"/>
        <w:gridCol w:w="1712"/>
        <w:gridCol w:w="1141"/>
      </w:tblGrid>
      <w:tr w14:paraId="0185AC6C">
        <w:tblPrEx>
          <w:tblCellMar>
            <w:top w:w="0" w:type="dxa"/>
            <w:left w:w="108" w:type="dxa"/>
            <w:bottom w:w="0" w:type="dxa"/>
            <w:right w:w="108" w:type="dxa"/>
          </w:tblCellMar>
        </w:tblPrEx>
        <w:trPr>
          <w:trHeight w:val="918" w:hRule="atLeast"/>
          <w:jc w:val="center"/>
        </w:trPr>
        <w:tc>
          <w:tcPr>
            <w:tcW w:w="1998" w:type="dxa"/>
            <w:tcBorders>
              <w:top w:val="single" w:color="auto" w:sz="4" w:space="0"/>
              <w:left w:val="single" w:color="auto" w:sz="4" w:space="0"/>
              <w:bottom w:val="single" w:color="auto" w:sz="4" w:space="0"/>
              <w:right w:val="single" w:color="auto" w:sz="4" w:space="0"/>
            </w:tcBorders>
            <w:noWrap w:val="0"/>
            <w:vAlign w:val="center"/>
          </w:tcPr>
          <w:p w14:paraId="7266C754">
            <w:pPr>
              <w:widowControl/>
              <w:jc w:val="left"/>
              <w:outlineLvl w:val="9"/>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97" w:type="dxa"/>
            <w:tcBorders>
              <w:top w:val="single" w:color="auto" w:sz="4" w:space="0"/>
              <w:left w:val="nil"/>
              <w:bottom w:val="single" w:color="auto" w:sz="4" w:space="0"/>
              <w:right w:val="single" w:color="auto" w:sz="4" w:space="0"/>
            </w:tcBorders>
            <w:noWrap w:val="0"/>
            <w:vAlign w:val="center"/>
          </w:tcPr>
          <w:p w14:paraId="60B12B53">
            <w:pPr>
              <w:widowControl/>
              <w:jc w:val="left"/>
              <w:outlineLvl w:val="9"/>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6" w:type="dxa"/>
            <w:tcBorders>
              <w:top w:val="single" w:color="auto" w:sz="4" w:space="0"/>
              <w:left w:val="nil"/>
              <w:bottom w:val="single" w:color="auto" w:sz="4" w:space="0"/>
              <w:right w:val="single" w:color="auto" w:sz="4" w:space="0"/>
            </w:tcBorders>
            <w:noWrap w:val="0"/>
            <w:vAlign w:val="center"/>
          </w:tcPr>
          <w:p w14:paraId="025BDFBE">
            <w:pPr>
              <w:widowControl/>
              <w:jc w:val="left"/>
              <w:outlineLvl w:val="9"/>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54" w:type="dxa"/>
            <w:tcBorders>
              <w:top w:val="single" w:color="auto" w:sz="4" w:space="0"/>
              <w:left w:val="nil"/>
              <w:bottom w:val="single" w:color="auto" w:sz="4" w:space="0"/>
              <w:right w:val="single" w:color="auto" w:sz="4" w:space="0"/>
            </w:tcBorders>
            <w:noWrap w:val="0"/>
            <w:vAlign w:val="center"/>
          </w:tcPr>
          <w:p w14:paraId="0E110BD1">
            <w:pPr>
              <w:widowControl/>
              <w:jc w:val="left"/>
              <w:outlineLvl w:val="9"/>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12" w:type="dxa"/>
            <w:tcBorders>
              <w:top w:val="single" w:color="auto" w:sz="4" w:space="0"/>
              <w:left w:val="nil"/>
              <w:bottom w:val="single" w:color="auto" w:sz="4" w:space="0"/>
              <w:right w:val="single" w:color="auto" w:sz="4" w:space="0"/>
            </w:tcBorders>
            <w:noWrap w:val="0"/>
            <w:vAlign w:val="center"/>
          </w:tcPr>
          <w:p w14:paraId="4CE2076C">
            <w:pPr>
              <w:widowControl/>
              <w:jc w:val="left"/>
              <w:outlineLvl w:val="9"/>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41" w:type="dxa"/>
            <w:tcBorders>
              <w:top w:val="single" w:color="auto" w:sz="4" w:space="0"/>
              <w:left w:val="nil"/>
              <w:bottom w:val="single" w:color="auto" w:sz="4" w:space="0"/>
              <w:right w:val="single" w:color="auto" w:sz="4" w:space="0"/>
            </w:tcBorders>
            <w:noWrap w:val="0"/>
            <w:vAlign w:val="center"/>
          </w:tcPr>
          <w:p w14:paraId="084338E7">
            <w:pPr>
              <w:widowControl/>
              <w:jc w:val="left"/>
              <w:outlineLvl w:val="9"/>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794065A">
        <w:tblPrEx>
          <w:tblCellMar>
            <w:top w:w="0" w:type="dxa"/>
            <w:left w:w="108" w:type="dxa"/>
            <w:bottom w:w="0" w:type="dxa"/>
            <w:right w:w="108" w:type="dxa"/>
          </w:tblCellMar>
        </w:tblPrEx>
        <w:trPr>
          <w:trHeight w:val="359" w:hRule="atLeast"/>
          <w:jc w:val="center"/>
        </w:trPr>
        <w:tc>
          <w:tcPr>
            <w:tcW w:w="1998" w:type="dxa"/>
            <w:tcBorders>
              <w:top w:val="nil"/>
              <w:left w:val="single" w:color="auto" w:sz="4" w:space="0"/>
              <w:bottom w:val="single" w:color="auto" w:sz="4" w:space="0"/>
              <w:right w:val="single" w:color="auto" w:sz="4" w:space="0"/>
            </w:tcBorders>
            <w:noWrap w:val="0"/>
            <w:vAlign w:val="bottom"/>
          </w:tcPr>
          <w:p w14:paraId="0FF52179">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97" w:type="dxa"/>
            <w:tcBorders>
              <w:top w:val="nil"/>
              <w:left w:val="nil"/>
              <w:bottom w:val="single" w:color="auto" w:sz="4" w:space="0"/>
              <w:right w:val="single" w:color="auto" w:sz="4" w:space="0"/>
            </w:tcBorders>
            <w:noWrap w:val="0"/>
            <w:vAlign w:val="center"/>
          </w:tcPr>
          <w:p w14:paraId="480DF3B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6" w:type="dxa"/>
            <w:tcBorders>
              <w:top w:val="nil"/>
              <w:left w:val="nil"/>
              <w:bottom w:val="single" w:color="auto" w:sz="4" w:space="0"/>
              <w:right w:val="single" w:color="auto" w:sz="4" w:space="0"/>
            </w:tcBorders>
            <w:noWrap w:val="0"/>
            <w:vAlign w:val="center"/>
          </w:tcPr>
          <w:p w14:paraId="213D6E0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5F46FFA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12" w:type="dxa"/>
            <w:tcBorders>
              <w:top w:val="nil"/>
              <w:left w:val="nil"/>
              <w:bottom w:val="single" w:color="auto" w:sz="4" w:space="0"/>
              <w:right w:val="single" w:color="auto" w:sz="4" w:space="0"/>
            </w:tcBorders>
            <w:noWrap w:val="0"/>
            <w:vAlign w:val="center"/>
          </w:tcPr>
          <w:p w14:paraId="6D2F7A4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41" w:type="dxa"/>
            <w:tcBorders>
              <w:top w:val="nil"/>
              <w:left w:val="nil"/>
              <w:bottom w:val="single" w:color="auto" w:sz="4" w:space="0"/>
              <w:right w:val="single" w:color="auto" w:sz="4" w:space="0"/>
            </w:tcBorders>
            <w:noWrap w:val="0"/>
            <w:vAlign w:val="center"/>
          </w:tcPr>
          <w:p w14:paraId="2E4CAC1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835B562">
        <w:tblPrEx>
          <w:tblCellMar>
            <w:top w:w="0" w:type="dxa"/>
            <w:left w:w="108" w:type="dxa"/>
            <w:bottom w:w="0" w:type="dxa"/>
            <w:right w:w="108" w:type="dxa"/>
          </w:tblCellMar>
        </w:tblPrEx>
        <w:trPr>
          <w:trHeight w:val="359" w:hRule="atLeast"/>
          <w:jc w:val="center"/>
        </w:trPr>
        <w:tc>
          <w:tcPr>
            <w:tcW w:w="1998" w:type="dxa"/>
            <w:vMerge w:val="restart"/>
            <w:tcBorders>
              <w:top w:val="nil"/>
              <w:left w:val="single" w:color="auto" w:sz="4" w:space="0"/>
              <w:bottom w:val="single" w:color="auto" w:sz="4" w:space="0"/>
              <w:right w:val="single" w:color="auto" w:sz="4" w:space="0"/>
            </w:tcBorders>
            <w:noWrap w:val="0"/>
            <w:vAlign w:val="bottom"/>
          </w:tcPr>
          <w:p w14:paraId="60D42078">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97" w:type="dxa"/>
            <w:tcBorders>
              <w:top w:val="nil"/>
              <w:left w:val="nil"/>
              <w:bottom w:val="single" w:color="auto" w:sz="4" w:space="0"/>
              <w:right w:val="single" w:color="auto" w:sz="4" w:space="0"/>
            </w:tcBorders>
            <w:noWrap w:val="0"/>
            <w:vAlign w:val="center"/>
          </w:tcPr>
          <w:p w14:paraId="58B5548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6" w:type="dxa"/>
            <w:tcBorders>
              <w:top w:val="nil"/>
              <w:left w:val="nil"/>
              <w:bottom w:val="single" w:color="auto" w:sz="4" w:space="0"/>
              <w:right w:val="single" w:color="auto" w:sz="4" w:space="0"/>
            </w:tcBorders>
            <w:noWrap w:val="0"/>
            <w:vAlign w:val="center"/>
          </w:tcPr>
          <w:p w14:paraId="74F9CA5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4" w:type="dxa"/>
            <w:tcBorders>
              <w:top w:val="nil"/>
              <w:left w:val="nil"/>
              <w:bottom w:val="single" w:color="auto" w:sz="4" w:space="0"/>
              <w:right w:val="single" w:color="auto" w:sz="4" w:space="0"/>
            </w:tcBorders>
            <w:noWrap w:val="0"/>
            <w:vAlign w:val="center"/>
          </w:tcPr>
          <w:p w14:paraId="6606195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12" w:type="dxa"/>
            <w:tcBorders>
              <w:top w:val="nil"/>
              <w:left w:val="nil"/>
              <w:bottom w:val="single" w:color="auto" w:sz="4" w:space="0"/>
              <w:right w:val="single" w:color="auto" w:sz="4" w:space="0"/>
            </w:tcBorders>
            <w:noWrap w:val="0"/>
            <w:vAlign w:val="center"/>
          </w:tcPr>
          <w:p w14:paraId="04B1DEF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41" w:type="dxa"/>
            <w:tcBorders>
              <w:top w:val="nil"/>
              <w:left w:val="nil"/>
              <w:bottom w:val="single" w:color="auto" w:sz="4" w:space="0"/>
              <w:right w:val="single" w:color="auto" w:sz="4" w:space="0"/>
            </w:tcBorders>
            <w:noWrap w:val="0"/>
            <w:vAlign w:val="center"/>
          </w:tcPr>
          <w:p w14:paraId="405A943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B5513EC">
        <w:tblPrEx>
          <w:tblCellMar>
            <w:top w:w="0" w:type="dxa"/>
            <w:left w:w="108" w:type="dxa"/>
            <w:bottom w:w="0" w:type="dxa"/>
            <w:right w:w="108" w:type="dxa"/>
          </w:tblCellMar>
        </w:tblPrEx>
        <w:trPr>
          <w:trHeight w:val="359" w:hRule="atLeast"/>
          <w:jc w:val="center"/>
        </w:trPr>
        <w:tc>
          <w:tcPr>
            <w:tcW w:w="1998" w:type="dxa"/>
            <w:vMerge w:val="continue"/>
            <w:tcBorders>
              <w:top w:val="nil"/>
              <w:left w:val="single" w:color="auto" w:sz="4" w:space="0"/>
              <w:bottom w:val="single" w:color="auto" w:sz="4" w:space="0"/>
              <w:right w:val="single" w:color="auto" w:sz="4" w:space="0"/>
            </w:tcBorders>
            <w:noWrap w:val="0"/>
            <w:vAlign w:val="center"/>
          </w:tcPr>
          <w:p w14:paraId="1DA681E0">
            <w:pPr>
              <w:widowControl/>
              <w:jc w:val="left"/>
              <w:outlineLvl w:val="9"/>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61A48A3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6" w:type="dxa"/>
            <w:tcBorders>
              <w:top w:val="nil"/>
              <w:left w:val="nil"/>
              <w:bottom w:val="single" w:color="auto" w:sz="4" w:space="0"/>
              <w:right w:val="single" w:color="auto" w:sz="4" w:space="0"/>
            </w:tcBorders>
            <w:noWrap w:val="0"/>
            <w:vAlign w:val="center"/>
          </w:tcPr>
          <w:p w14:paraId="2E0CD12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11C8870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12" w:type="dxa"/>
            <w:tcBorders>
              <w:top w:val="nil"/>
              <w:left w:val="nil"/>
              <w:bottom w:val="single" w:color="auto" w:sz="4" w:space="0"/>
              <w:right w:val="single" w:color="auto" w:sz="4" w:space="0"/>
            </w:tcBorders>
            <w:noWrap w:val="0"/>
            <w:vAlign w:val="center"/>
          </w:tcPr>
          <w:p w14:paraId="713EC16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41" w:type="dxa"/>
            <w:tcBorders>
              <w:top w:val="nil"/>
              <w:left w:val="nil"/>
              <w:bottom w:val="single" w:color="auto" w:sz="4" w:space="0"/>
              <w:right w:val="single" w:color="auto" w:sz="4" w:space="0"/>
            </w:tcBorders>
            <w:noWrap w:val="0"/>
            <w:vAlign w:val="center"/>
          </w:tcPr>
          <w:p w14:paraId="4606C2E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C6719B0">
        <w:tblPrEx>
          <w:tblCellMar>
            <w:top w:w="0" w:type="dxa"/>
            <w:left w:w="108" w:type="dxa"/>
            <w:bottom w:w="0" w:type="dxa"/>
            <w:right w:w="108" w:type="dxa"/>
          </w:tblCellMar>
        </w:tblPrEx>
        <w:trPr>
          <w:trHeight w:val="359" w:hRule="atLeast"/>
          <w:jc w:val="center"/>
        </w:trPr>
        <w:tc>
          <w:tcPr>
            <w:tcW w:w="1998" w:type="dxa"/>
            <w:vMerge w:val="restart"/>
            <w:tcBorders>
              <w:top w:val="nil"/>
              <w:left w:val="single" w:color="auto" w:sz="4" w:space="0"/>
              <w:bottom w:val="single" w:color="auto" w:sz="4" w:space="0"/>
              <w:right w:val="single" w:color="auto" w:sz="4" w:space="0"/>
            </w:tcBorders>
            <w:noWrap w:val="0"/>
            <w:vAlign w:val="bottom"/>
          </w:tcPr>
          <w:p w14:paraId="274E1257">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97" w:type="dxa"/>
            <w:tcBorders>
              <w:top w:val="nil"/>
              <w:left w:val="nil"/>
              <w:bottom w:val="single" w:color="auto" w:sz="4" w:space="0"/>
              <w:right w:val="single" w:color="auto" w:sz="4" w:space="0"/>
            </w:tcBorders>
            <w:noWrap w:val="0"/>
            <w:vAlign w:val="center"/>
          </w:tcPr>
          <w:p w14:paraId="352F48F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6" w:type="dxa"/>
            <w:tcBorders>
              <w:top w:val="nil"/>
              <w:left w:val="nil"/>
              <w:bottom w:val="single" w:color="auto" w:sz="4" w:space="0"/>
              <w:right w:val="single" w:color="auto" w:sz="4" w:space="0"/>
            </w:tcBorders>
            <w:noWrap w:val="0"/>
            <w:vAlign w:val="center"/>
          </w:tcPr>
          <w:p w14:paraId="29815CA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5C91C1C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12" w:type="dxa"/>
            <w:tcBorders>
              <w:top w:val="nil"/>
              <w:left w:val="nil"/>
              <w:bottom w:val="single" w:color="auto" w:sz="4" w:space="0"/>
              <w:right w:val="single" w:color="auto" w:sz="4" w:space="0"/>
            </w:tcBorders>
            <w:noWrap w:val="0"/>
            <w:vAlign w:val="center"/>
          </w:tcPr>
          <w:p w14:paraId="578625F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41" w:type="dxa"/>
            <w:tcBorders>
              <w:top w:val="nil"/>
              <w:left w:val="nil"/>
              <w:bottom w:val="single" w:color="auto" w:sz="4" w:space="0"/>
              <w:right w:val="single" w:color="auto" w:sz="4" w:space="0"/>
            </w:tcBorders>
            <w:noWrap w:val="0"/>
            <w:vAlign w:val="center"/>
          </w:tcPr>
          <w:p w14:paraId="2F06911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E248D7B">
        <w:tblPrEx>
          <w:tblCellMar>
            <w:top w:w="0" w:type="dxa"/>
            <w:left w:w="108" w:type="dxa"/>
            <w:bottom w:w="0" w:type="dxa"/>
            <w:right w:w="108" w:type="dxa"/>
          </w:tblCellMar>
        </w:tblPrEx>
        <w:trPr>
          <w:trHeight w:val="359" w:hRule="atLeast"/>
          <w:jc w:val="center"/>
        </w:trPr>
        <w:tc>
          <w:tcPr>
            <w:tcW w:w="1998" w:type="dxa"/>
            <w:vMerge w:val="continue"/>
            <w:tcBorders>
              <w:top w:val="nil"/>
              <w:left w:val="single" w:color="auto" w:sz="4" w:space="0"/>
              <w:bottom w:val="single" w:color="auto" w:sz="4" w:space="0"/>
              <w:right w:val="single" w:color="auto" w:sz="4" w:space="0"/>
            </w:tcBorders>
            <w:noWrap w:val="0"/>
            <w:vAlign w:val="center"/>
          </w:tcPr>
          <w:p w14:paraId="4D5965D1">
            <w:pPr>
              <w:widowControl/>
              <w:jc w:val="left"/>
              <w:outlineLvl w:val="9"/>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25E4D59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6" w:type="dxa"/>
            <w:tcBorders>
              <w:top w:val="nil"/>
              <w:left w:val="nil"/>
              <w:bottom w:val="single" w:color="auto" w:sz="4" w:space="0"/>
              <w:right w:val="single" w:color="auto" w:sz="4" w:space="0"/>
            </w:tcBorders>
            <w:noWrap w:val="0"/>
            <w:vAlign w:val="center"/>
          </w:tcPr>
          <w:p w14:paraId="29666AA9">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45A4113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12" w:type="dxa"/>
            <w:tcBorders>
              <w:top w:val="nil"/>
              <w:left w:val="nil"/>
              <w:bottom w:val="single" w:color="auto" w:sz="4" w:space="0"/>
              <w:right w:val="single" w:color="auto" w:sz="4" w:space="0"/>
            </w:tcBorders>
            <w:noWrap w:val="0"/>
            <w:vAlign w:val="center"/>
          </w:tcPr>
          <w:p w14:paraId="3F196F33">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41" w:type="dxa"/>
            <w:tcBorders>
              <w:top w:val="nil"/>
              <w:left w:val="nil"/>
              <w:bottom w:val="single" w:color="auto" w:sz="4" w:space="0"/>
              <w:right w:val="single" w:color="auto" w:sz="4" w:space="0"/>
            </w:tcBorders>
            <w:noWrap w:val="0"/>
            <w:vAlign w:val="center"/>
          </w:tcPr>
          <w:p w14:paraId="0637AC8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43BD0D75">
        <w:tblPrEx>
          <w:tblCellMar>
            <w:top w:w="0" w:type="dxa"/>
            <w:left w:w="108" w:type="dxa"/>
            <w:bottom w:w="0" w:type="dxa"/>
            <w:right w:w="108" w:type="dxa"/>
          </w:tblCellMar>
        </w:tblPrEx>
        <w:trPr>
          <w:trHeight w:val="359" w:hRule="atLeast"/>
          <w:jc w:val="center"/>
        </w:trPr>
        <w:tc>
          <w:tcPr>
            <w:tcW w:w="1998" w:type="dxa"/>
            <w:vMerge w:val="restart"/>
            <w:tcBorders>
              <w:top w:val="nil"/>
              <w:left w:val="single" w:color="auto" w:sz="4" w:space="0"/>
              <w:bottom w:val="single" w:color="auto" w:sz="4" w:space="0"/>
              <w:right w:val="single" w:color="auto" w:sz="4" w:space="0"/>
            </w:tcBorders>
            <w:noWrap w:val="0"/>
            <w:vAlign w:val="bottom"/>
          </w:tcPr>
          <w:p w14:paraId="754FF877">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97" w:type="dxa"/>
            <w:tcBorders>
              <w:top w:val="nil"/>
              <w:left w:val="nil"/>
              <w:bottom w:val="single" w:color="auto" w:sz="4" w:space="0"/>
              <w:right w:val="single" w:color="auto" w:sz="4" w:space="0"/>
            </w:tcBorders>
            <w:noWrap w:val="0"/>
            <w:vAlign w:val="center"/>
          </w:tcPr>
          <w:p w14:paraId="5FF256D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6" w:type="dxa"/>
            <w:tcBorders>
              <w:top w:val="nil"/>
              <w:left w:val="nil"/>
              <w:bottom w:val="single" w:color="auto" w:sz="4" w:space="0"/>
              <w:right w:val="single" w:color="auto" w:sz="4" w:space="0"/>
            </w:tcBorders>
            <w:noWrap w:val="0"/>
            <w:vAlign w:val="center"/>
          </w:tcPr>
          <w:p w14:paraId="3D028E2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4" w:type="dxa"/>
            <w:tcBorders>
              <w:top w:val="nil"/>
              <w:left w:val="nil"/>
              <w:bottom w:val="single" w:color="auto" w:sz="4" w:space="0"/>
              <w:right w:val="single" w:color="auto" w:sz="4" w:space="0"/>
            </w:tcBorders>
            <w:noWrap w:val="0"/>
            <w:vAlign w:val="center"/>
          </w:tcPr>
          <w:p w14:paraId="394B8C4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12" w:type="dxa"/>
            <w:tcBorders>
              <w:top w:val="nil"/>
              <w:left w:val="nil"/>
              <w:bottom w:val="single" w:color="auto" w:sz="4" w:space="0"/>
              <w:right w:val="single" w:color="auto" w:sz="4" w:space="0"/>
            </w:tcBorders>
            <w:noWrap w:val="0"/>
            <w:vAlign w:val="center"/>
          </w:tcPr>
          <w:p w14:paraId="50CC98A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41" w:type="dxa"/>
            <w:tcBorders>
              <w:top w:val="nil"/>
              <w:left w:val="nil"/>
              <w:bottom w:val="single" w:color="auto" w:sz="4" w:space="0"/>
              <w:right w:val="single" w:color="auto" w:sz="4" w:space="0"/>
            </w:tcBorders>
            <w:noWrap w:val="0"/>
            <w:vAlign w:val="center"/>
          </w:tcPr>
          <w:p w14:paraId="32ED16D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089C3C9">
        <w:tblPrEx>
          <w:tblCellMar>
            <w:top w:w="0" w:type="dxa"/>
            <w:left w:w="108" w:type="dxa"/>
            <w:bottom w:w="0" w:type="dxa"/>
            <w:right w:w="108" w:type="dxa"/>
          </w:tblCellMar>
        </w:tblPrEx>
        <w:trPr>
          <w:trHeight w:val="359" w:hRule="atLeast"/>
          <w:jc w:val="center"/>
        </w:trPr>
        <w:tc>
          <w:tcPr>
            <w:tcW w:w="1998" w:type="dxa"/>
            <w:vMerge w:val="continue"/>
            <w:tcBorders>
              <w:top w:val="nil"/>
              <w:left w:val="single" w:color="auto" w:sz="4" w:space="0"/>
              <w:bottom w:val="single" w:color="auto" w:sz="4" w:space="0"/>
              <w:right w:val="single" w:color="auto" w:sz="4" w:space="0"/>
            </w:tcBorders>
            <w:noWrap w:val="0"/>
            <w:vAlign w:val="center"/>
          </w:tcPr>
          <w:p w14:paraId="0ED2ABAB">
            <w:pPr>
              <w:widowControl/>
              <w:jc w:val="left"/>
              <w:outlineLvl w:val="9"/>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0E055B79">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6" w:type="dxa"/>
            <w:tcBorders>
              <w:top w:val="nil"/>
              <w:left w:val="nil"/>
              <w:bottom w:val="single" w:color="auto" w:sz="4" w:space="0"/>
              <w:right w:val="single" w:color="auto" w:sz="4" w:space="0"/>
            </w:tcBorders>
            <w:noWrap w:val="0"/>
            <w:vAlign w:val="center"/>
          </w:tcPr>
          <w:p w14:paraId="6A1BD53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4E826DC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12" w:type="dxa"/>
            <w:tcBorders>
              <w:top w:val="nil"/>
              <w:left w:val="nil"/>
              <w:bottom w:val="single" w:color="auto" w:sz="4" w:space="0"/>
              <w:right w:val="single" w:color="auto" w:sz="4" w:space="0"/>
            </w:tcBorders>
            <w:noWrap w:val="0"/>
            <w:vAlign w:val="center"/>
          </w:tcPr>
          <w:p w14:paraId="3D90B4A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41" w:type="dxa"/>
            <w:tcBorders>
              <w:top w:val="nil"/>
              <w:left w:val="nil"/>
              <w:bottom w:val="single" w:color="auto" w:sz="4" w:space="0"/>
              <w:right w:val="single" w:color="auto" w:sz="4" w:space="0"/>
            </w:tcBorders>
            <w:noWrap w:val="0"/>
            <w:vAlign w:val="center"/>
          </w:tcPr>
          <w:p w14:paraId="6F4CC22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55854545">
        <w:tblPrEx>
          <w:tblCellMar>
            <w:top w:w="0" w:type="dxa"/>
            <w:left w:w="108" w:type="dxa"/>
            <w:bottom w:w="0" w:type="dxa"/>
            <w:right w:w="108" w:type="dxa"/>
          </w:tblCellMar>
        </w:tblPrEx>
        <w:trPr>
          <w:trHeight w:val="359" w:hRule="atLeast"/>
          <w:jc w:val="center"/>
        </w:trPr>
        <w:tc>
          <w:tcPr>
            <w:tcW w:w="1998" w:type="dxa"/>
            <w:vMerge w:val="restart"/>
            <w:tcBorders>
              <w:top w:val="nil"/>
              <w:left w:val="single" w:color="auto" w:sz="4" w:space="0"/>
              <w:bottom w:val="single" w:color="auto" w:sz="4" w:space="0"/>
              <w:right w:val="single" w:color="auto" w:sz="4" w:space="0"/>
            </w:tcBorders>
            <w:noWrap w:val="0"/>
            <w:vAlign w:val="bottom"/>
          </w:tcPr>
          <w:p w14:paraId="55DA5947">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97" w:type="dxa"/>
            <w:tcBorders>
              <w:top w:val="nil"/>
              <w:left w:val="nil"/>
              <w:bottom w:val="single" w:color="auto" w:sz="4" w:space="0"/>
              <w:right w:val="single" w:color="auto" w:sz="4" w:space="0"/>
            </w:tcBorders>
            <w:noWrap w:val="0"/>
            <w:vAlign w:val="center"/>
          </w:tcPr>
          <w:p w14:paraId="6A18B93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6" w:type="dxa"/>
            <w:tcBorders>
              <w:top w:val="nil"/>
              <w:left w:val="nil"/>
              <w:bottom w:val="single" w:color="auto" w:sz="4" w:space="0"/>
              <w:right w:val="single" w:color="auto" w:sz="4" w:space="0"/>
            </w:tcBorders>
            <w:noWrap w:val="0"/>
            <w:vAlign w:val="center"/>
          </w:tcPr>
          <w:p w14:paraId="294E5F9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4" w:type="dxa"/>
            <w:tcBorders>
              <w:top w:val="nil"/>
              <w:left w:val="nil"/>
              <w:bottom w:val="single" w:color="auto" w:sz="4" w:space="0"/>
              <w:right w:val="single" w:color="auto" w:sz="4" w:space="0"/>
            </w:tcBorders>
            <w:noWrap w:val="0"/>
            <w:vAlign w:val="center"/>
          </w:tcPr>
          <w:p w14:paraId="2E828B9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12" w:type="dxa"/>
            <w:tcBorders>
              <w:top w:val="nil"/>
              <w:left w:val="nil"/>
              <w:bottom w:val="single" w:color="auto" w:sz="4" w:space="0"/>
              <w:right w:val="single" w:color="auto" w:sz="4" w:space="0"/>
            </w:tcBorders>
            <w:noWrap w:val="0"/>
            <w:vAlign w:val="center"/>
          </w:tcPr>
          <w:p w14:paraId="46A3B0E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41" w:type="dxa"/>
            <w:tcBorders>
              <w:top w:val="nil"/>
              <w:left w:val="nil"/>
              <w:bottom w:val="single" w:color="auto" w:sz="4" w:space="0"/>
              <w:right w:val="single" w:color="auto" w:sz="4" w:space="0"/>
            </w:tcBorders>
            <w:noWrap w:val="0"/>
            <w:vAlign w:val="center"/>
          </w:tcPr>
          <w:p w14:paraId="1DBD995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837EA64">
        <w:tblPrEx>
          <w:tblCellMar>
            <w:top w:w="0" w:type="dxa"/>
            <w:left w:w="108" w:type="dxa"/>
            <w:bottom w:w="0" w:type="dxa"/>
            <w:right w:w="108" w:type="dxa"/>
          </w:tblCellMar>
        </w:tblPrEx>
        <w:trPr>
          <w:trHeight w:val="359" w:hRule="atLeast"/>
          <w:jc w:val="center"/>
        </w:trPr>
        <w:tc>
          <w:tcPr>
            <w:tcW w:w="1998" w:type="dxa"/>
            <w:vMerge w:val="continue"/>
            <w:tcBorders>
              <w:top w:val="nil"/>
              <w:left w:val="single" w:color="auto" w:sz="4" w:space="0"/>
              <w:bottom w:val="single" w:color="auto" w:sz="4" w:space="0"/>
              <w:right w:val="single" w:color="auto" w:sz="4" w:space="0"/>
            </w:tcBorders>
            <w:noWrap w:val="0"/>
            <w:vAlign w:val="center"/>
          </w:tcPr>
          <w:p w14:paraId="5CA98AD1">
            <w:pPr>
              <w:widowControl/>
              <w:jc w:val="left"/>
              <w:outlineLvl w:val="9"/>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2963255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6" w:type="dxa"/>
            <w:tcBorders>
              <w:top w:val="nil"/>
              <w:left w:val="nil"/>
              <w:bottom w:val="single" w:color="auto" w:sz="4" w:space="0"/>
              <w:right w:val="single" w:color="auto" w:sz="4" w:space="0"/>
            </w:tcBorders>
            <w:noWrap w:val="0"/>
            <w:vAlign w:val="center"/>
          </w:tcPr>
          <w:p w14:paraId="2742A73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06A859E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12" w:type="dxa"/>
            <w:tcBorders>
              <w:top w:val="nil"/>
              <w:left w:val="nil"/>
              <w:bottom w:val="single" w:color="auto" w:sz="4" w:space="0"/>
              <w:right w:val="single" w:color="auto" w:sz="4" w:space="0"/>
            </w:tcBorders>
            <w:noWrap w:val="0"/>
            <w:vAlign w:val="center"/>
          </w:tcPr>
          <w:p w14:paraId="45677F0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41" w:type="dxa"/>
            <w:tcBorders>
              <w:top w:val="nil"/>
              <w:left w:val="nil"/>
              <w:bottom w:val="single" w:color="auto" w:sz="4" w:space="0"/>
              <w:right w:val="single" w:color="auto" w:sz="4" w:space="0"/>
            </w:tcBorders>
            <w:noWrap w:val="0"/>
            <w:vAlign w:val="center"/>
          </w:tcPr>
          <w:p w14:paraId="56338D83">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0A86956">
        <w:tblPrEx>
          <w:tblCellMar>
            <w:top w:w="0" w:type="dxa"/>
            <w:left w:w="108" w:type="dxa"/>
            <w:bottom w:w="0" w:type="dxa"/>
            <w:right w:w="108" w:type="dxa"/>
          </w:tblCellMar>
        </w:tblPrEx>
        <w:trPr>
          <w:trHeight w:val="359" w:hRule="atLeast"/>
          <w:jc w:val="center"/>
        </w:trPr>
        <w:tc>
          <w:tcPr>
            <w:tcW w:w="1998" w:type="dxa"/>
            <w:vMerge w:val="restart"/>
            <w:tcBorders>
              <w:top w:val="nil"/>
              <w:left w:val="single" w:color="auto" w:sz="4" w:space="0"/>
              <w:bottom w:val="single" w:color="auto" w:sz="4" w:space="0"/>
              <w:right w:val="single" w:color="auto" w:sz="4" w:space="0"/>
            </w:tcBorders>
            <w:noWrap w:val="0"/>
            <w:vAlign w:val="bottom"/>
          </w:tcPr>
          <w:p w14:paraId="521BF76E">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97" w:type="dxa"/>
            <w:tcBorders>
              <w:top w:val="nil"/>
              <w:left w:val="nil"/>
              <w:bottom w:val="single" w:color="auto" w:sz="4" w:space="0"/>
              <w:right w:val="single" w:color="auto" w:sz="4" w:space="0"/>
            </w:tcBorders>
            <w:noWrap w:val="0"/>
            <w:vAlign w:val="center"/>
          </w:tcPr>
          <w:p w14:paraId="2AD71999">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6" w:type="dxa"/>
            <w:tcBorders>
              <w:top w:val="nil"/>
              <w:left w:val="nil"/>
              <w:bottom w:val="single" w:color="auto" w:sz="4" w:space="0"/>
              <w:right w:val="single" w:color="auto" w:sz="4" w:space="0"/>
            </w:tcBorders>
            <w:noWrap w:val="0"/>
            <w:vAlign w:val="center"/>
          </w:tcPr>
          <w:p w14:paraId="18DD55A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4" w:type="dxa"/>
            <w:tcBorders>
              <w:top w:val="nil"/>
              <w:left w:val="nil"/>
              <w:bottom w:val="single" w:color="auto" w:sz="4" w:space="0"/>
              <w:right w:val="single" w:color="auto" w:sz="4" w:space="0"/>
            </w:tcBorders>
            <w:noWrap w:val="0"/>
            <w:vAlign w:val="center"/>
          </w:tcPr>
          <w:p w14:paraId="5F4C55EE">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12" w:type="dxa"/>
            <w:tcBorders>
              <w:top w:val="nil"/>
              <w:left w:val="nil"/>
              <w:bottom w:val="single" w:color="auto" w:sz="4" w:space="0"/>
              <w:right w:val="single" w:color="auto" w:sz="4" w:space="0"/>
            </w:tcBorders>
            <w:noWrap w:val="0"/>
            <w:vAlign w:val="center"/>
          </w:tcPr>
          <w:p w14:paraId="2CAA097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41" w:type="dxa"/>
            <w:tcBorders>
              <w:top w:val="nil"/>
              <w:left w:val="nil"/>
              <w:bottom w:val="single" w:color="auto" w:sz="4" w:space="0"/>
              <w:right w:val="single" w:color="auto" w:sz="4" w:space="0"/>
            </w:tcBorders>
            <w:noWrap w:val="0"/>
            <w:vAlign w:val="center"/>
          </w:tcPr>
          <w:p w14:paraId="213AEA5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736FE1B">
        <w:tblPrEx>
          <w:tblCellMar>
            <w:top w:w="0" w:type="dxa"/>
            <w:left w:w="108" w:type="dxa"/>
            <w:bottom w:w="0" w:type="dxa"/>
            <w:right w:w="108" w:type="dxa"/>
          </w:tblCellMar>
        </w:tblPrEx>
        <w:trPr>
          <w:trHeight w:val="359" w:hRule="atLeast"/>
          <w:jc w:val="center"/>
        </w:trPr>
        <w:tc>
          <w:tcPr>
            <w:tcW w:w="1998" w:type="dxa"/>
            <w:vMerge w:val="continue"/>
            <w:tcBorders>
              <w:top w:val="nil"/>
              <w:left w:val="single" w:color="auto" w:sz="4" w:space="0"/>
              <w:bottom w:val="single" w:color="auto" w:sz="4" w:space="0"/>
              <w:right w:val="single" w:color="auto" w:sz="4" w:space="0"/>
            </w:tcBorders>
            <w:noWrap w:val="0"/>
            <w:vAlign w:val="center"/>
          </w:tcPr>
          <w:p w14:paraId="6460D5F7">
            <w:pPr>
              <w:widowControl/>
              <w:jc w:val="left"/>
              <w:outlineLvl w:val="9"/>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7B9B0BC9">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6" w:type="dxa"/>
            <w:tcBorders>
              <w:top w:val="nil"/>
              <w:left w:val="nil"/>
              <w:bottom w:val="single" w:color="auto" w:sz="4" w:space="0"/>
              <w:right w:val="single" w:color="auto" w:sz="4" w:space="0"/>
            </w:tcBorders>
            <w:noWrap w:val="0"/>
            <w:vAlign w:val="center"/>
          </w:tcPr>
          <w:p w14:paraId="7222A1A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7E5FA44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12" w:type="dxa"/>
            <w:tcBorders>
              <w:top w:val="nil"/>
              <w:left w:val="nil"/>
              <w:bottom w:val="single" w:color="auto" w:sz="4" w:space="0"/>
              <w:right w:val="single" w:color="auto" w:sz="4" w:space="0"/>
            </w:tcBorders>
            <w:noWrap w:val="0"/>
            <w:vAlign w:val="center"/>
          </w:tcPr>
          <w:p w14:paraId="4F5B35B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41" w:type="dxa"/>
            <w:tcBorders>
              <w:top w:val="nil"/>
              <w:left w:val="nil"/>
              <w:bottom w:val="single" w:color="auto" w:sz="4" w:space="0"/>
              <w:right w:val="single" w:color="auto" w:sz="4" w:space="0"/>
            </w:tcBorders>
            <w:noWrap w:val="0"/>
            <w:vAlign w:val="center"/>
          </w:tcPr>
          <w:p w14:paraId="787E679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6B30AA5">
        <w:tblPrEx>
          <w:tblCellMar>
            <w:top w:w="0" w:type="dxa"/>
            <w:left w:w="108" w:type="dxa"/>
            <w:bottom w:w="0" w:type="dxa"/>
            <w:right w:w="108" w:type="dxa"/>
          </w:tblCellMar>
        </w:tblPrEx>
        <w:trPr>
          <w:trHeight w:val="359" w:hRule="atLeast"/>
          <w:jc w:val="center"/>
        </w:trPr>
        <w:tc>
          <w:tcPr>
            <w:tcW w:w="1998" w:type="dxa"/>
            <w:vMerge w:val="restart"/>
            <w:tcBorders>
              <w:top w:val="nil"/>
              <w:left w:val="single" w:color="auto" w:sz="4" w:space="0"/>
              <w:bottom w:val="single" w:color="auto" w:sz="4" w:space="0"/>
              <w:right w:val="single" w:color="auto" w:sz="4" w:space="0"/>
            </w:tcBorders>
            <w:noWrap w:val="0"/>
            <w:vAlign w:val="bottom"/>
          </w:tcPr>
          <w:p w14:paraId="52658078">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97" w:type="dxa"/>
            <w:tcBorders>
              <w:top w:val="nil"/>
              <w:left w:val="nil"/>
              <w:bottom w:val="single" w:color="auto" w:sz="4" w:space="0"/>
              <w:right w:val="single" w:color="auto" w:sz="4" w:space="0"/>
            </w:tcBorders>
            <w:noWrap w:val="0"/>
            <w:vAlign w:val="center"/>
          </w:tcPr>
          <w:p w14:paraId="28BCDAD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6" w:type="dxa"/>
            <w:tcBorders>
              <w:top w:val="nil"/>
              <w:left w:val="nil"/>
              <w:bottom w:val="single" w:color="auto" w:sz="4" w:space="0"/>
              <w:right w:val="single" w:color="auto" w:sz="4" w:space="0"/>
            </w:tcBorders>
            <w:noWrap w:val="0"/>
            <w:vAlign w:val="center"/>
          </w:tcPr>
          <w:p w14:paraId="55023EA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4" w:type="dxa"/>
            <w:tcBorders>
              <w:top w:val="nil"/>
              <w:left w:val="nil"/>
              <w:bottom w:val="single" w:color="auto" w:sz="4" w:space="0"/>
              <w:right w:val="single" w:color="auto" w:sz="4" w:space="0"/>
            </w:tcBorders>
            <w:noWrap w:val="0"/>
            <w:vAlign w:val="center"/>
          </w:tcPr>
          <w:p w14:paraId="018847F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12" w:type="dxa"/>
            <w:tcBorders>
              <w:top w:val="nil"/>
              <w:left w:val="nil"/>
              <w:bottom w:val="single" w:color="auto" w:sz="4" w:space="0"/>
              <w:right w:val="single" w:color="auto" w:sz="4" w:space="0"/>
            </w:tcBorders>
            <w:noWrap w:val="0"/>
            <w:vAlign w:val="center"/>
          </w:tcPr>
          <w:p w14:paraId="0E8AE38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41" w:type="dxa"/>
            <w:tcBorders>
              <w:top w:val="nil"/>
              <w:left w:val="nil"/>
              <w:bottom w:val="single" w:color="auto" w:sz="4" w:space="0"/>
              <w:right w:val="single" w:color="auto" w:sz="4" w:space="0"/>
            </w:tcBorders>
            <w:noWrap w:val="0"/>
            <w:vAlign w:val="center"/>
          </w:tcPr>
          <w:p w14:paraId="21B7FAD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E070C23">
        <w:tblPrEx>
          <w:tblCellMar>
            <w:top w:w="0" w:type="dxa"/>
            <w:left w:w="108" w:type="dxa"/>
            <w:bottom w:w="0" w:type="dxa"/>
            <w:right w:w="108" w:type="dxa"/>
          </w:tblCellMar>
        </w:tblPrEx>
        <w:trPr>
          <w:trHeight w:val="359" w:hRule="atLeast"/>
          <w:jc w:val="center"/>
        </w:trPr>
        <w:tc>
          <w:tcPr>
            <w:tcW w:w="1998" w:type="dxa"/>
            <w:vMerge w:val="continue"/>
            <w:tcBorders>
              <w:top w:val="nil"/>
              <w:left w:val="single" w:color="auto" w:sz="4" w:space="0"/>
              <w:bottom w:val="single" w:color="auto" w:sz="4" w:space="0"/>
              <w:right w:val="single" w:color="auto" w:sz="4" w:space="0"/>
            </w:tcBorders>
            <w:noWrap w:val="0"/>
            <w:vAlign w:val="center"/>
          </w:tcPr>
          <w:p w14:paraId="53719EEB">
            <w:pPr>
              <w:widowControl/>
              <w:jc w:val="left"/>
              <w:outlineLvl w:val="9"/>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080D681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6" w:type="dxa"/>
            <w:tcBorders>
              <w:top w:val="nil"/>
              <w:left w:val="nil"/>
              <w:bottom w:val="single" w:color="auto" w:sz="4" w:space="0"/>
              <w:right w:val="single" w:color="auto" w:sz="4" w:space="0"/>
            </w:tcBorders>
            <w:noWrap w:val="0"/>
            <w:vAlign w:val="center"/>
          </w:tcPr>
          <w:p w14:paraId="481F7E0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4F00712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12" w:type="dxa"/>
            <w:tcBorders>
              <w:top w:val="nil"/>
              <w:left w:val="nil"/>
              <w:bottom w:val="single" w:color="auto" w:sz="4" w:space="0"/>
              <w:right w:val="single" w:color="auto" w:sz="4" w:space="0"/>
            </w:tcBorders>
            <w:noWrap w:val="0"/>
            <w:vAlign w:val="center"/>
          </w:tcPr>
          <w:p w14:paraId="77DEA0D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41" w:type="dxa"/>
            <w:tcBorders>
              <w:top w:val="nil"/>
              <w:left w:val="nil"/>
              <w:bottom w:val="single" w:color="auto" w:sz="4" w:space="0"/>
              <w:right w:val="single" w:color="auto" w:sz="4" w:space="0"/>
            </w:tcBorders>
            <w:noWrap w:val="0"/>
            <w:vAlign w:val="center"/>
          </w:tcPr>
          <w:p w14:paraId="66989C0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AF15F06">
        <w:tblPrEx>
          <w:tblCellMar>
            <w:top w:w="0" w:type="dxa"/>
            <w:left w:w="108" w:type="dxa"/>
            <w:bottom w:w="0" w:type="dxa"/>
            <w:right w:w="108" w:type="dxa"/>
          </w:tblCellMar>
        </w:tblPrEx>
        <w:trPr>
          <w:trHeight w:val="359" w:hRule="atLeast"/>
          <w:jc w:val="center"/>
        </w:trPr>
        <w:tc>
          <w:tcPr>
            <w:tcW w:w="1998" w:type="dxa"/>
            <w:vMerge w:val="restart"/>
            <w:tcBorders>
              <w:top w:val="nil"/>
              <w:left w:val="single" w:color="auto" w:sz="4" w:space="0"/>
              <w:bottom w:val="single" w:color="auto" w:sz="4" w:space="0"/>
              <w:right w:val="single" w:color="auto" w:sz="4" w:space="0"/>
            </w:tcBorders>
            <w:noWrap w:val="0"/>
            <w:vAlign w:val="bottom"/>
          </w:tcPr>
          <w:p w14:paraId="12A915EA">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97" w:type="dxa"/>
            <w:tcBorders>
              <w:top w:val="nil"/>
              <w:left w:val="nil"/>
              <w:bottom w:val="single" w:color="auto" w:sz="4" w:space="0"/>
              <w:right w:val="single" w:color="auto" w:sz="4" w:space="0"/>
            </w:tcBorders>
            <w:noWrap w:val="0"/>
            <w:vAlign w:val="center"/>
          </w:tcPr>
          <w:p w14:paraId="2B195FF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6" w:type="dxa"/>
            <w:tcBorders>
              <w:top w:val="nil"/>
              <w:left w:val="nil"/>
              <w:bottom w:val="single" w:color="auto" w:sz="4" w:space="0"/>
              <w:right w:val="single" w:color="auto" w:sz="4" w:space="0"/>
            </w:tcBorders>
            <w:noWrap w:val="0"/>
            <w:vAlign w:val="center"/>
          </w:tcPr>
          <w:p w14:paraId="53E34A6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4" w:type="dxa"/>
            <w:tcBorders>
              <w:top w:val="nil"/>
              <w:left w:val="nil"/>
              <w:bottom w:val="single" w:color="auto" w:sz="4" w:space="0"/>
              <w:right w:val="single" w:color="auto" w:sz="4" w:space="0"/>
            </w:tcBorders>
            <w:noWrap w:val="0"/>
            <w:vAlign w:val="center"/>
          </w:tcPr>
          <w:p w14:paraId="2840303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12" w:type="dxa"/>
            <w:tcBorders>
              <w:top w:val="nil"/>
              <w:left w:val="nil"/>
              <w:bottom w:val="single" w:color="auto" w:sz="4" w:space="0"/>
              <w:right w:val="single" w:color="auto" w:sz="4" w:space="0"/>
            </w:tcBorders>
            <w:noWrap w:val="0"/>
            <w:vAlign w:val="center"/>
          </w:tcPr>
          <w:p w14:paraId="5F5C467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41" w:type="dxa"/>
            <w:tcBorders>
              <w:top w:val="nil"/>
              <w:left w:val="nil"/>
              <w:bottom w:val="single" w:color="auto" w:sz="4" w:space="0"/>
              <w:right w:val="single" w:color="auto" w:sz="4" w:space="0"/>
            </w:tcBorders>
            <w:noWrap w:val="0"/>
            <w:vAlign w:val="center"/>
          </w:tcPr>
          <w:p w14:paraId="75351C4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90E2CB1">
        <w:tblPrEx>
          <w:tblCellMar>
            <w:top w:w="0" w:type="dxa"/>
            <w:left w:w="108" w:type="dxa"/>
            <w:bottom w:w="0" w:type="dxa"/>
            <w:right w:w="108" w:type="dxa"/>
          </w:tblCellMar>
        </w:tblPrEx>
        <w:trPr>
          <w:trHeight w:val="359" w:hRule="atLeast"/>
          <w:jc w:val="center"/>
        </w:trPr>
        <w:tc>
          <w:tcPr>
            <w:tcW w:w="1998" w:type="dxa"/>
            <w:vMerge w:val="continue"/>
            <w:tcBorders>
              <w:top w:val="nil"/>
              <w:left w:val="single" w:color="auto" w:sz="4" w:space="0"/>
              <w:bottom w:val="single" w:color="auto" w:sz="4" w:space="0"/>
              <w:right w:val="single" w:color="auto" w:sz="4" w:space="0"/>
            </w:tcBorders>
            <w:noWrap w:val="0"/>
            <w:vAlign w:val="center"/>
          </w:tcPr>
          <w:p w14:paraId="3129B6E2">
            <w:pPr>
              <w:widowControl/>
              <w:jc w:val="left"/>
              <w:outlineLvl w:val="9"/>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5D95C48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6" w:type="dxa"/>
            <w:tcBorders>
              <w:top w:val="nil"/>
              <w:left w:val="nil"/>
              <w:bottom w:val="single" w:color="auto" w:sz="4" w:space="0"/>
              <w:right w:val="single" w:color="auto" w:sz="4" w:space="0"/>
            </w:tcBorders>
            <w:noWrap w:val="0"/>
            <w:vAlign w:val="center"/>
          </w:tcPr>
          <w:p w14:paraId="6A4A8A5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7EFA7D1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12" w:type="dxa"/>
            <w:tcBorders>
              <w:top w:val="nil"/>
              <w:left w:val="nil"/>
              <w:bottom w:val="single" w:color="auto" w:sz="4" w:space="0"/>
              <w:right w:val="single" w:color="auto" w:sz="4" w:space="0"/>
            </w:tcBorders>
            <w:noWrap w:val="0"/>
            <w:vAlign w:val="center"/>
          </w:tcPr>
          <w:p w14:paraId="2FEA6E9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41" w:type="dxa"/>
            <w:tcBorders>
              <w:top w:val="nil"/>
              <w:left w:val="nil"/>
              <w:bottom w:val="single" w:color="auto" w:sz="4" w:space="0"/>
              <w:right w:val="single" w:color="auto" w:sz="4" w:space="0"/>
            </w:tcBorders>
            <w:noWrap w:val="0"/>
            <w:vAlign w:val="center"/>
          </w:tcPr>
          <w:p w14:paraId="4883CB4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651705F">
        <w:tblPrEx>
          <w:tblCellMar>
            <w:top w:w="0" w:type="dxa"/>
            <w:left w:w="108" w:type="dxa"/>
            <w:bottom w:w="0" w:type="dxa"/>
            <w:right w:w="108" w:type="dxa"/>
          </w:tblCellMar>
        </w:tblPrEx>
        <w:trPr>
          <w:trHeight w:val="359" w:hRule="atLeast"/>
          <w:jc w:val="center"/>
        </w:trPr>
        <w:tc>
          <w:tcPr>
            <w:tcW w:w="1998" w:type="dxa"/>
            <w:vMerge w:val="restart"/>
            <w:tcBorders>
              <w:top w:val="nil"/>
              <w:left w:val="single" w:color="auto" w:sz="4" w:space="0"/>
              <w:bottom w:val="single" w:color="auto" w:sz="4" w:space="0"/>
              <w:right w:val="single" w:color="auto" w:sz="4" w:space="0"/>
            </w:tcBorders>
            <w:noWrap w:val="0"/>
            <w:vAlign w:val="bottom"/>
          </w:tcPr>
          <w:p w14:paraId="324CB2F5">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97" w:type="dxa"/>
            <w:tcBorders>
              <w:top w:val="nil"/>
              <w:left w:val="nil"/>
              <w:bottom w:val="single" w:color="auto" w:sz="4" w:space="0"/>
              <w:right w:val="single" w:color="auto" w:sz="4" w:space="0"/>
            </w:tcBorders>
            <w:noWrap w:val="0"/>
            <w:vAlign w:val="center"/>
          </w:tcPr>
          <w:p w14:paraId="6884EAB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6" w:type="dxa"/>
            <w:tcBorders>
              <w:top w:val="nil"/>
              <w:left w:val="nil"/>
              <w:bottom w:val="single" w:color="auto" w:sz="4" w:space="0"/>
              <w:right w:val="single" w:color="auto" w:sz="4" w:space="0"/>
            </w:tcBorders>
            <w:noWrap w:val="0"/>
            <w:vAlign w:val="center"/>
          </w:tcPr>
          <w:p w14:paraId="449ED33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4" w:type="dxa"/>
            <w:tcBorders>
              <w:top w:val="nil"/>
              <w:left w:val="nil"/>
              <w:bottom w:val="single" w:color="auto" w:sz="4" w:space="0"/>
              <w:right w:val="single" w:color="auto" w:sz="4" w:space="0"/>
            </w:tcBorders>
            <w:noWrap w:val="0"/>
            <w:vAlign w:val="center"/>
          </w:tcPr>
          <w:p w14:paraId="641C200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586FCE0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53803C43">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2F39147">
        <w:tblPrEx>
          <w:tblCellMar>
            <w:top w:w="0" w:type="dxa"/>
            <w:left w:w="108" w:type="dxa"/>
            <w:bottom w:w="0" w:type="dxa"/>
            <w:right w:w="108" w:type="dxa"/>
          </w:tblCellMar>
        </w:tblPrEx>
        <w:trPr>
          <w:trHeight w:val="359" w:hRule="atLeast"/>
          <w:jc w:val="center"/>
        </w:trPr>
        <w:tc>
          <w:tcPr>
            <w:tcW w:w="1998" w:type="dxa"/>
            <w:vMerge w:val="continue"/>
            <w:tcBorders>
              <w:top w:val="nil"/>
              <w:left w:val="single" w:color="auto" w:sz="4" w:space="0"/>
              <w:bottom w:val="single" w:color="auto" w:sz="4" w:space="0"/>
              <w:right w:val="single" w:color="auto" w:sz="4" w:space="0"/>
            </w:tcBorders>
            <w:noWrap w:val="0"/>
            <w:vAlign w:val="center"/>
          </w:tcPr>
          <w:p w14:paraId="1D4FADF6">
            <w:pPr>
              <w:widowControl/>
              <w:jc w:val="left"/>
              <w:outlineLvl w:val="9"/>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0D18B13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6" w:type="dxa"/>
            <w:tcBorders>
              <w:top w:val="nil"/>
              <w:left w:val="nil"/>
              <w:bottom w:val="single" w:color="auto" w:sz="4" w:space="0"/>
              <w:right w:val="single" w:color="auto" w:sz="4" w:space="0"/>
            </w:tcBorders>
            <w:noWrap w:val="0"/>
            <w:vAlign w:val="center"/>
          </w:tcPr>
          <w:p w14:paraId="0B92B5B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1FB389E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12" w:type="dxa"/>
            <w:tcBorders>
              <w:top w:val="nil"/>
              <w:left w:val="nil"/>
              <w:bottom w:val="single" w:color="auto" w:sz="4" w:space="0"/>
              <w:right w:val="single" w:color="auto" w:sz="4" w:space="0"/>
            </w:tcBorders>
            <w:noWrap w:val="0"/>
            <w:vAlign w:val="center"/>
          </w:tcPr>
          <w:p w14:paraId="7AF2BDB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41" w:type="dxa"/>
            <w:tcBorders>
              <w:top w:val="nil"/>
              <w:left w:val="nil"/>
              <w:bottom w:val="single" w:color="auto" w:sz="4" w:space="0"/>
              <w:right w:val="single" w:color="auto" w:sz="4" w:space="0"/>
            </w:tcBorders>
            <w:noWrap w:val="0"/>
            <w:vAlign w:val="center"/>
          </w:tcPr>
          <w:p w14:paraId="621B83C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874C2D4">
        <w:tblPrEx>
          <w:tblCellMar>
            <w:top w:w="0" w:type="dxa"/>
            <w:left w:w="108" w:type="dxa"/>
            <w:bottom w:w="0" w:type="dxa"/>
            <w:right w:w="108" w:type="dxa"/>
          </w:tblCellMar>
        </w:tblPrEx>
        <w:trPr>
          <w:trHeight w:val="359" w:hRule="atLeast"/>
          <w:jc w:val="center"/>
        </w:trPr>
        <w:tc>
          <w:tcPr>
            <w:tcW w:w="1998" w:type="dxa"/>
            <w:vMerge w:val="restart"/>
            <w:tcBorders>
              <w:top w:val="nil"/>
              <w:left w:val="single" w:color="auto" w:sz="4" w:space="0"/>
              <w:bottom w:val="single" w:color="auto" w:sz="4" w:space="0"/>
              <w:right w:val="single" w:color="auto" w:sz="4" w:space="0"/>
            </w:tcBorders>
            <w:noWrap w:val="0"/>
            <w:vAlign w:val="bottom"/>
          </w:tcPr>
          <w:p w14:paraId="22869360">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97" w:type="dxa"/>
            <w:tcBorders>
              <w:top w:val="nil"/>
              <w:left w:val="nil"/>
              <w:bottom w:val="single" w:color="auto" w:sz="4" w:space="0"/>
              <w:right w:val="single" w:color="auto" w:sz="4" w:space="0"/>
            </w:tcBorders>
            <w:noWrap w:val="0"/>
            <w:vAlign w:val="center"/>
          </w:tcPr>
          <w:p w14:paraId="431F1FC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6" w:type="dxa"/>
            <w:tcBorders>
              <w:top w:val="nil"/>
              <w:left w:val="nil"/>
              <w:bottom w:val="single" w:color="auto" w:sz="4" w:space="0"/>
              <w:right w:val="single" w:color="auto" w:sz="4" w:space="0"/>
            </w:tcBorders>
            <w:noWrap w:val="0"/>
            <w:vAlign w:val="center"/>
          </w:tcPr>
          <w:p w14:paraId="4768053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4" w:type="dxa"/>
            <w:tcBorders>
              <w:top w:val="nil"/>
              <w:left w:val="nil"/>
              <w:bottom w:val="single" w:color="auto" w:sz="4" w:space="0"/>
              <w:right w:val="single" w:color="auto" w:sz="4" w:space="0"/>
            </w:tcBorders>
            <w:noWrap w:val="0"/>
            <w:vAlign w:val="center"/>
          </w:tcPr>
          <w:p w14:paraId="46DD674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109CC9F9">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6FFC08D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6514734">
        <w:tblPrEx>
          <w:tblCellMar>
            <w:top w:w="0" w:type="dxa"/>
            <w:left w:w="108" w:type="dxa"/>
            <w:bottom w:w="0" w:type="dxa"/>
            <w:right w:w="108" w:type="dxa"/>
          </w:tblCellMar>
        </w:tblPrEx>
        <w:trPr>
          <w:trHeight w:val="359" w:hRule="atLeast"/>
          <w:jc w:val="center"/>
        </w:trPr>
        <w:tc>
          <w:tcPr>
            <w:tcW w:w="1998" w:type="dxa"/>
            <w:vMerge w:val="continue"/>
            <w:tcBorders>
              <w:top w:val="nil"/>
              <w:left w:val="single" w:color="auto" w:sz="4" w:space="0"/>
              <w:bottom w:val="single" w:color="auto" w:sz="4" w:space="0"/>
              <w:right w:val="single" w:color="auto" w:sz="4" w:space="0"/>
            </w:tcBorders>
            <w:noWrap w:val="0"/>
            <w:vAlign w:val="center"/>
          </w:tcPr>
          <w:p w14:paraId="093E232D">
            <w:pPr>
              <w:widowControl/>
              <w:jc w:val="left"/>
              <w:outlineLvl w:val="9"/>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44C6065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6" w:type="dxa"/>
            <w:tcBorders>
              <w:top w:val="nil"/>
              <w:left w:val="nil"/>
              <w:bottom w:val="single" w:color="auto" w:sz="4" w:space="0"/>
              <w:right w:val="single" w:color="auto" w:sz="4" w:space="0"/>
            </w:tcBorders>
            <w:noWrap w:val="0"/>
            <w:vAlign w:val="center"/>
          </w:tcPr>
          <w:p w14:paraId="38E8B52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16FCE30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12" w:type="dxa"/>
            <w:tcBorders>
              <w:top w:val="nil"/>
              <w:left w:val="nil"/>
              <w:bottom w:val="single" w:color="auto" w:sz="4" w:space="0"/>
              <w:right w:val="single" w:color="auto" w:sz="4" w:space="0"/>
            </w:tcBorders>
            <w:noWrap w:val="0"/>
            <w:vAlign w:val="center"/>
          </w:tcPr>
          <w:p w14:paraId="1848C3F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41" w:type="dxa"/>
            <w:tcBorders>
              <w:top w:val="nil"/>
              <w:left w:val="nil"/>
              <w:bottom w:val="single" w:color="auto" w:sz="4" w:space="0"/>
              <w:right w:val="single" w:color="auto" w:sz="4" w:space="0"/>
            </w:tcBorders>
            <w:noWrap w:val="0"/>
            <w:vAlign w:val="center"/>
          </w:tcPr>
          <w:p w14:paraId="1DAED25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45DD737">
        <w:tblPrEx>
          <w:tblCellMar>
            <w:top w:w="0" w:type="dxa"/>
            <w:left w:w="108" w:type="dxa"/>
            <w:bottom w:w="0" w:type="dxa"/>
            <w:right w:w="108" w:type="dxa"/>
          </w:tblCellMar>
        </w:tblPrEx>
        <w:trPr>
          <w:trHeight w:val="359" w:hRule="atLeast"/>
          <w:jc w:val="center"/>
        </w:trPr>
        <w:tc>
          <w:tcPr>
            <w:tcW w:w="1998" w:type="dxa"/>
            <w:vMerge w:val="restart"/>
            <w:tcBorders>
              <w:top w:val="nil"/>
              <w:left w:val="single" w:color="auto" w:sz="4" w:space="0"/>
              <w:bottom w:val="single" w:color="auto" w:sz="4" w:space="0"/>
              <w:right w:val="single" w:color="auto" w:sz="4" w:space="0"/>
            </w:tcBorders>
            <w:noWrap w:val="0"/>
            <w:vAlign w:val="bottom"/>
          </w:tcPr>
          <w:p w14:paraId="03EC9A25">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97" w:type="dxa"/>
            <w:tcBorders>
              <w:top w:val="nil"/>
              <w:left w:val="nil"/>
              <w:bottom w:val="single" w:color="auto" w:sz="4" w:space="0"/>
              <w:right w:val="single" w:color="auto" w:sz="4" w:space="0"/>
            </w:tcBorders>
            <w:noWrap w:val="0"/>
            <w:vAlign w:val="center"/>
          </w:tcPr>
          <w:p w14:paraId="70C845E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6" w:type="dxa"/>
            <w:tcBorders>
              <w:top w:val="nil"/>
              <w:left w:val="nil"/>
              <w:bottom w:val="single" w:color="auto" w:sz="4" w:space="0"/>
              <w:right w:val="single" w:color="auto" w:sz="4" w:space="0"/>
            </w:tcBorders>
            <w:noWrap w:val="0"/>
            <w:vAlign w:val="center"/>
          </w:tcPr>
          <w:p w14:paraId="453DDEC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4" w:type="dxa"/>
            <w:tcBorders>
              <w:top w:val="nil"/>
              <w:left w:val="nil"/>
              <w:bottom w:val="single" w:color="auto" w:sz="4" w:space="0"/>
              <w:right w:val="single" w:color="auto" w:sz="4" w:space="0"/>
            </w:tcBorders>
            <w:noWrap w:val="0"/>
            <w:vAlign w:val="center"/>
          </w:tcPr>
          <w:p w14:paraId="6A9416EE">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12" w:type="dxa"/>
            <w:tcBorders>
              <w:top w:val="nil"/>
              <w:left w:val="nil"/>
              <w:bottom w:val="single" w:color="auto" w:sz="4" w:space="0"/>
              <w:right w:val="single" w:color="auto" w:sz="4" w:space="0"/>
            </w:tcBorders>
            <w:noWrap w:val="0"/>
            <w:vAlign w:val="center"/>
          </w:tcPr>
          <w:p w14:paraId="1356721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20E0FCA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BAA35B6">
        <w:tblPrEx>
          <w:tblCellMar>
            <w:top w:w="0" w:type="dxa"/>
            <w:left w:w="108" w:type="dxa"/>
            <w:bottom w:w="0" w:type="dxa"/>
            <w:right w:w="108" w:type="dxa"/>
          </w:tblCellMar>
        </w:tblPrEx>
        <w:trPr>
          <w:trHeight w:val="359" w:hRule="atLeast"/>
          <w:jc w:val="center"/>
        </w:trPr>
        <w:tc>
          <w:tcPr>
            <w:tcW w:w="1998" w:type="dxa"/>
            <w:vMerge w:val="continue"/>
            <w:tcBorders>
              <w:top w:val="nil"/>
              <w:left w:val="single" w:color="auto" w:sz="4" w:space="0"/>
              <w:bottom w:val="single" w:color="auto" w:sz="4" w:space="0"/>
              <w:right w:val="single" w:color="auto" w:sz="4" w:space="0"/>
            </w:tcBorders>
            <w:noWrap w:val="0"/>
            <w:vAlign w:val="center"/>
          </w:tcPr>
          <w:p w14:paraId="793B6633">
            <w:pPr>
              <w:widowControl/>
              <w:jc w:val="left"/>
              <w:outlineLvl w:val="9"/>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7F2381E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6" w:type="dxa"/>
            <w:tcBorders>
              <w:top w:val="nil"/>
              <w:left w:val="nil"/>
              <w:bottom w:val="single" w:color="auto" w:sz="4" w:space="0"/>
              <w:right w:val="single" w:color="auto" w:sz="4" w:space="0"/>
            </w:tcBorders>
            <w:noWrap w:val="0"/>
            <w:vAlign w:val="center"/>
          </w:tcPr>
          <w:p w14:paraId="18B2D91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22015DF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12" w:type="dxa"/>
            <w:tcBorders>
              <w:top w:val="nil"/>
              <w:left w:val="nil"/>
              <w:bottom w:val="single" w:color="auto" w:sz="4" w:space="0"/>
              <w:right w:val="single" w:color="auto" w:sz="4" w:space="0"/>
            </w:tcBorders>
            <w:noWrap w:val="0"/>
            <w:vAlign w:val="center"/>
          </w:tcPr>
          <w:p w14:paraId="6F1C93A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41" w:type="dxa"/>
            <w:tcBorders>
              <w:top w:val="nil"/>
              <w:left w:val="nil"/>
              <w:bottom w:val="single" w:color="auto" w:sz="4" w:space="0"/>
              <w:right w:val="single" w:color="auto" w:sz="4" w:space="0"/>
            </w:tcBorders>
            <w:noWrap w:val="0"/>
            <w:vAlign w:val="center"/>
          </w:tcPr>
          <w:p w14:paraId="19900C5E">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4AF8CDA">
        <w:tblPrEx>
          <w:tblCellMar>
            <w:top w:w="0" w:type="dxa"/>
            <w:left w:w="108" w:type="dxa"/>
            <w:bottom w:w="0" w:type="dxa"/>
            <w:right w:w="108" w:type="dxa"/>
          </w:tblCellMar>
        </w:tblPrEx>
        <w:trPr>
          <w:trHeight w:val="359" w:hRule="atLeast"/>
          <w:jc w:val="center"/>
        </w:trPr>
        <w:tc>
          <w:tcPr>
            <w:tcW w:w="1998" w:type="dxa"/>
            <w:vMerge w:val="restart"/>
            <w:tcBorders>
              <w:top w:val="nil"/>
              <w:left w:val="single" w:color="auto" w:sz="4" w:space="0"/>
              <w:bottom w:val="single" w:color="auto" w:sz="4" w:space="0"/>
              <w:right w:val="single" w:color="auto" w:sz="4" w:space="0"/>
            </w:tcBorders>
            <w:noWrap w:val="0"/>
            <w:vAlign w:val="bottom"/>
          </w:tcPr>
          <w:p w14:paraId="64EE2353">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97" w:type="dxa"/>
            <w:tcBorders>
              <w:top w:val="nil"/>
              <w:left w:val="nil"/>
              <w:bottom w:val="single" w:color="auto" w:sz="4" w:space="0"/>
              <w:right w:val="single" w:color="auto" w:sz="4" w:space="0"/>
            </w:tcBorders>
            <w:noWrap w:val="0"/>
            <w:vAlign w:val="center"/>
          </w:tcPr>
          <w:p w14:paraId="3036C1C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6" w:type="dxa"/>
            <w:tcBorders>
              <w:top w:val="nil"/>
              <w:left w:val="nil"/>
              <w:bottom w:val="single" w:color="auto" w:sz="4" w:space="0"/>
              <w:right w:val="single" w:color="auto" w:sz="4" w:space="0"/>
            </w:tcBorders>
            <w:noWrap w:val="0"/>
            <w:vAlign w:val="center"/>
          </w:tcPr>
          <w:p w14:paraId="49BF642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4" w:type="dxa"/>
            <w:tcBorders>
              <w:top w:val="nil"/>
              <w:left w:val="nil"/>
              <w:bottom w:val="single" w:color="auto" w:sz="4" w:space="0"/>
              <w:right w:val="single" w:color="auto" w:sz="4" w:space="0"/>
            </w:tcBorders>
            <w:noWrap w:val="0"/>
            <w:vAlign w:val="center"/>
          </w:tcPr>
          <w:p w14:paraId="18D3FCB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63EE766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73B98CA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CFC33BB">
        <w:tblPrEx>
          <w:tblCellMar>
            <w:top w:w="0" w:type="dxa"/>
            <w:left w:w="108" w:type="dxa"/>
            <w:bottom w:w="0" w:type="dxa"/>
            <w:right w:w="108" w:type="dxa"/>
          </w:tblCellMar>
        </w:tblPrEx>
        <w:trPr>
          <w:trHeight w:val="359" w:hRule="atLeast"/>
          <w:jc w:val="center"/>
        </w:trPr>
        <w:tc>
          <w:tcPr>
            <w:tcW w:w="1998" w:type="dxa"/>
            <w:vMerge w:val="continue"/>
            <w:tcBorders>
              <w:top w:val="nil"/>
              <w:left w:val="single" w:color="auto" w:sz="4" w:space="0"/>
              <w:bottom w:val="single" w:color="auto" w:sz="4" w:space="0"/>
              <w:right w:val="single" w:color="auto" w:sz="4" w:space="0"/>
            </w:tcBorders>
            <w:noWrap w:val="0"/>
            <w:vAlign w:val="center"/>
          </w:tcPr>
          <w:p w14:paraId="59B8231D">
            <w:pPr>
              <w:widowControl/>
              <w:jc w:val="left"/>
              <w:outlineLvl w:val="9"/>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09334D8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6" w:type="dxa"/>
            <w:tcBorders>
              <w:top w:val="nil"/>
              <w:left w:val="nil"/>
              <w:bottom w:val="single" w:color="auto" w:sz="4" w:space="0"/>
              <w:right w:val="single" w:color="auto" w:sz="4" w:space="0"/>
            </w:tcBorders>
            <w:noWrap w:val="0"/>
            <w:vAlign w:val="center"/>
          </w:tcPr>
          <w:p w14:paraId="17D9979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456FBBC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12" w:type="dxa"/>
            <w:tcBorders>
              <w:top w:val="nil"/>
              <w:left w:val="nil"/>
              <w:bottom w:val="single" w:color="auto" w:sz="4" w:space="0"/>
              <w:right w:val="single" w:color="auto" w:sz="4" w:space="0"/>
            </w:tcBorders>
            <w:noWrap w:val="0"/>
            <w:vAlign w:val="center"/>
          </w:tcPr>
          <w:p w14:paraId="1414E2A3">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41" w:type="dxa"/>
            <w:tcBorders>
              <w:top w:val="nil"/>
              <w:left w:val="nil"/>
              <w:bottom w:val="single" w:color="auto" w:sz="4" w:space="0"/>
              <w:right w:val="single" w:color="auto" w:sz="4" w:space="0"/>
            </w:tcBorders>
            <w:noWrap w:val="0"/>
            <w:vAlign w:val="center"/>
          </w:tcPr>
          <w:p w14:paraId="3745EC3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846FB6E">
        <w:tblPrEx>
          <w:tblCellMar>
            <w:top w:w="0" w:type="dxa"/>
            <w:left w:w="108" w:type="dxa"/>
            <w:bottom w:w="0" w:type="dxa"/>
            <w:right w:w="108" w:type="dxa"/>
          </w:tblCellMar>
        </w:tblPrEx>
        <w:trPr>
          <w:trHeight w:val="359" w:hRule="atLeast"/>
          <w:jc w:val="center"/>
        </w:trPr>
        <w:tc>
          <w:tcPr>
            <w:tcW w:w="1998" w:type="dxa"/>
            <w:vMerge w:val="restart"/>
            <w:tcBorders>
              <w:top w:val="nil"/>
              <w:left w:val="single" w:color="auto" w:sz="4" w:space="0"/>
              <w:bottom w:val="single" w:color="auto" w:sz="4" w:space="0"/>
              <w:right w:val="single" w:color="auto" w:sz="4" w:space="0"/>
            </w:tcBorders>
            <w:noWrap w:val="0"/>
            <w:vAlign w:val="bottom"/>
          </w:tcPr>
          <w:p w14:paraId="57A081FD">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97" w:type="dxa"/>
            <w:tcBorders>
              <w:top w:val="nil"/>
              <w:left w:val="nil"/>
              <w:bottom w:val="single" w:color="auto" w:sz="4" w:space="0"/>
              <w:right w:val="single" w:color="auto" w:sz="4" w:space="0"/>
            </w:tcBorders>
            <w:noWrap w:val="0"/>
            <w:vAlign w:val="center"/>
          </w:tcPr>
          <w:p w14:paraId="4697D9A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6" w:type="dxa"/>
            <w:tcBorders>
              <w:top w:val="nil"/>
              <w:left w:val="nil"/>
              <w:bottom w:val="single" w:color="auto" w:sz="4" w:space="0"/>
              <w:right w:val="single" w:color="auto" w:sz="4" w:space="0"/>
            </w:tcBorders>
            <w:noWrap w:val="0"/>
            <w:vAlign w:val="center"/>
          </w:tcPr>
          <w:p w14:paraId="0AA20FB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2E956DD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12" w:type="dxa"/>
            <w:tcBorders>
              <w:top w:val="nil"/>
              <w:left w:val="nil"/>
              <w:bottom w:val="single" w:color="auto" w:sz="4" w:space="0"/>
              <w:right w:val="single" w:color="auto" w:sz="4" w:space="0"/>
            </w:tcBorders>
            <w:noWrap w:val="0"/>
            <w:vAlign w:val="center"/>
          </w:tcPr>
          <w:p w14:paraId="7E7F380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41" w:type="dxa"/>
            <w:tcBorders>
              <w:top w:val="nil"/>
              <w:left w:val="nil"/>
              <w:bottom w:val="single" w:color="auto" w:sz="4" w:space="0"/>
              <w:right w:val="single" w:color="auto" w:sz="4" w:space="0"/>
            </w:tcBorders>
            <w:noWrap w:val="0"/>
            <w:vAlign w:val="center"/>
          </w:tcPr>
          <w:p w14:paraId="58D56FA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DDC9CFA">
        <w:tblPrEx>
          <w:tblCellMar>
            <w:top w:w="0" w:type="dxa"/>
            <w:left w:w="108" w:type="dxa"/>
            <w:bottom w:w="0" w:type="dxa"/>
            <w:right w:w="108" w:type="dxa"/>
          </w:tblCellMar>
        </w:tblPrEx>
        <w:trPr>
          <w:trHeight w:val="359" w:hRule="atLeast"/>
          <w:jc w:val="center"/>
        </w:trPr>
        <w:tc>
          <w:tcPr>
            <w:tcW w:w="1998" w:type="dxa"/>
            <w:vMerge w:val="continue"/>
            <w:tcBorders>
              <w:top w:val="nil"/>
              <w:left w:val="single" w:color="auto" w:sz="4" w:space="0"/>
              <w:bottom w:val="single" w:color="auto" w:sz="4" w:space="0"/>
              <w:right w:val="single" w:color="auto" w:sz="4" w:space="0"/>
            </w:tcBorders>
            <w:noWrap w:val="0"/>
            <w:vAlign w:val="center"/>
          </w:tcPr>
          <w:p w14:paraId="79C763F4">
            <w:pPr>
              <w:widowControl/>
              <w:jc w:val="left"/>
              <w:outlineLvl w:val="9"/>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27002DC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6" w:type="dxa"/>
            <w:tcBorders>
              <w:top w:val="nil"/>
              <w:left w:val="nil"/>
              <w:bottom w:val="single" w:color="auto" w:sz="4" w:space="0"/>
              <w:right w:val="single" w:color="auto" w:sz="4" w:space="0"/>
            </w:tcBorders>
            <w:noWrap w:val="0"/>
            <w:vAlign w:val="center"/>
          </w:tcPr>
          <w:p w14:paraId="0B9F050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60F50CC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12" w:type="dxa"/>
            <w:tcBorders>
              <w:top w:val="nil"/>
              <w:left w:val="nil"/>
              <w:bottom w:val="single" w:color="auto" w:sz="4" w:space="0"/>
              <w:right w:val="single" w:color="auto" w:sz="4" w:space="0"/>
            </w:tcBorders>
            <w:noWrap w:val="0"/>
            <w:vAlign w:val="center"/>
          </w:tcPr>
          <w:p w14:paraId="26F13A9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41" w:type="dxa"/>
            <w:tcBorders>
              <w:top w:val="nil"/>
              <w:left w:val="nil"/>
              <w:bottom w:val="single" w:color="auto" w:sz="4" w:space="0"/>
              <w:right w:val="single" w:color="auto" w:sz="4" w:space="0"/>
            </w:tcBorders>
            <w:noWrap w:val="0"/>
            <w:vAlign w:val="center"/>
          </w:tcPr>
          <w:p w14:paraId="7239861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304D7D09">
        <w:tblPrEx>
          <w:tblCellMar>
            <w:top w:w="0" w:type="dxa"/>
            <w:left w:w="108" w:type="dxa"/>
            <w:bottom w:w="0" w:type="dxa"/>
            <w:right w:w="108" w:type="dxa"/>
          </w:tblCellMar>
        </w:tblPrEx>
        <w:trPr>
          <w:trHeight w:val="359" w:hRule="atLeast"/>
          <w:jc w:val="center"/>
        </w:trPr>
        <w:tc>
          <w:tcPr>
            <w:tcW w:w="1998" w:type="dxa"/>
            <w:vMerge w:val="restart"/>
            <w:tcBorders>
              <w:top w:val="nil"/>
              <w:left w:val="single" w:color="auto" w:sz="4" w:space="0"/>
              <w:bottom w:val="single" w:color="auto" w:sz="4" w:space="0"/>
              <w:right w:val="single" w:color="auto" w:sz="4" w:space="0"/>
            </w:tcBorders>
            <w:noWrap w:val="0"/>
            <w:vAlign w:val="bottom"/>
          </w:tcPr>
          <w:p w14:paraId="0C49370C">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97" w:type="dxa"/>
            <w:tcBorders>
              <w:top w:val="nil"/>
              <w:left w:val="nil"/>
              <w:bottom w:val="single" w:color="auto" w:sz="4" w:space="0"/>
              <w:right w:val="single" w:color="auto" w:sz="4" w:space="0"/>
            </w:tcBorders>
            <w:noWrap w:val="0"/>
            <w:vAlign w:val="center"/>
          </w:tcPr>
          <w:p w14:paraId="2EE36EF9">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6" w:type="dxa"/>
            <w:tcBorders>
              <w:top w:val="nil"/>
              <w:left w:val="nil"/>
              <w:bottom w:val="single" w:color="auto" w:sz="4" w:space="0"/>
              <w:right w:val="single" w:color="auto" w:sz="4" w:space="0"/>
            </w:tcBorders>
            <w:noWrap w:val="0"/>
            <w:vAlign w:val="center"/>
          </w:tcPr>
          <w:p w14:paraId="322D7C2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4" w:type="dxa"/>
            <w:tcBorders>
              <w:top w:val="nil"/>
              <w:left w:val="nil"/>
              <w:bottom w:val="single" w:color="auto" w:sz="4" w:space="0"/>
              <w:right w:val="single" w:color="auto" w:sz="4" w:space="0"/>
            </w:tcBorders>
            <w:noWrap w:val="0"/>
            <w:vAlign w:val="center"/>
          </w:tcPr>
          <w:p w14:paraId="750A61B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12" w:type="dxa"/>
            <w:tcBorders>
              <w:top w:val="nil"/>
              <w:left w:val="nil"/>
              <w:bottom w:val="single" w:color="auto" w:sz="4" w:space="0"/>
              <w:right w:val="single" w:color="auto" w:sz="4" w:space="0"/>
            </w:tcBorders>
            <w:noWrap w:val="0"/>
            <w:vAlign w:val="center"/>
          </w:tcPr>
          <w:p w14:paraId="0EAD990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41" w:type="dxa"/>
            <w:tcBorders>
              <w:top w:val="nil"/>
              <w:left w:val="nil"/>
              <w:bottom w:val="single" w:color="auto" w:sz="4" w:space="0"/>
              <w:right w:val="single" w:color="auto" w:sz="4" w:space="0"/>
            </w:tcBorders>
            <w:noWrap w:val="0"/>
            <w:vAlign w:val="center"/>
          </w:tcPr>
          <w:p w14:paraId="4DC44BF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F50AF14">
        <w:tblPrEx>
          <w:tblCellMar>
            <w:top w:w="0" w:type="dxa"/>
            <w:left w:w="108" w:type="dxa"/>
            <w:bottom w:w="0" w:type="dxa"/>
            <w:right w:w="108" w:type="dxa"/>
          </w:tblCellMar>
        </w:tblPrEx>
        <w:trPr>
          <w:trHeight w:val="359" w:hRule="atLeast"/>
          <w:jc w:val="center"/>
        </w:trPr>
        <w:tc>
          <w:tcPr>
            <w:tcW w:w="1998" w:type="dxa"/>
            <w:vMerge w:val="continue"/>
            <w:tcBorders>
              <w:top w:val="nil"/>
              <w:left w:val="single" w:color="auto" w:sz="4" w:space="0"/>
              <w:bottom w:val="single" w:color="auto" w:sz="4" w:space="0"/>
              <w:right w:val="single" w:color="auto" w:sz="4" w:space="0"/>
            </w:tcBorders>
            <w:noWrap w:val="0"/>
            <w:vAlign w:val="center"/>
          </w:tcPr>
          <w:p w14:paraId="68783BFD">
            <w:pPr>
              <w:widowControl/>
              <w:jc w:val="left"/>
              <w:outlineLvl w:val="9"/>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35FDD5F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6" w:type="dxa"/>
            <w:tcBorders>
              <w:top w:val="nil"/>
              <w:left w:val="nil"/>
              <w:bottom w:val="single" w:color="auto" w:sz="4" w:space="0"/>
              <w:right w:val="single" w:color="auto" w:sz="4" w:space="0"/>
            </w:tcBorders>
            <w:noWrap w:val="0"/>
            <w:vAlign w:val="center"/>
          </w:tcPr>
          <w:p w14:paraId="1FCC0C3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6C8326B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12" w:type="dxa"/>
            <w:tcBorders>
              <w:top w:val="nil"/>
              <w:left w:val="nil"/>
              <w:bottom w:val="single" w:color="auto" w:sz="4" w:space="0"/>
              <w:right w:val="single" w:color="auto" w:sz="4" w:space="0"/>
            </w:tcBorders>
            <w:noWrap w:val="0"/>
            <w:vAlign w:val="center"/>
          </w:tcPr>
          <w:p w14:paraId="06AF8DE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41" w:type="dxa"/>
            <w:tcBorders>
              <w:top w:val="nil"/>
              <w:left w:val="nil"/>
              <w:bottom w:val="single" w:color="auto" w:sz="4" w:space="0"/>
              <w:right w:val="single" w:color="auto" w:sz="4" w:space="0"/>
            </w:tcBorders>
            <w:noWrap w:val="0"/>
            <w:vAlign w:val="center"/>
          </w:tcPr>
          <w:p w14:paraId="424BD883">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FBD11AA">
        <w:tblPrEx>
          <w:tblCellMar>
            <w:top w:w="0" w:type="dxa"/>
            <w:left w:w="108" w:type="dxa"/>
            <w:bottom w:w="0" w:type="dxa"/>
            <w:right w:w="108" w:type="dxa"/>
          </w:tblCellMar>
        </w:tblPrEx>
        <w:trPr>
          <w:trHeight w:val="359" w:hRule="atLeast"/>
          <w:jc w:val="center"/>
        </w:trPr>
        <w:tc>
          <w:tcPr>
            <w:tcW w:w="1998" w:type="dxa"/>
            <w:vMerge w:val="restart"/>
            <w:tcBorders>
              <w:top w:val="nil"/>
              <w:left w:val="single" w:color="auto" w:sz="4" w:space="0"/>
              <w:bottom w:val="single" w:color="auto" w:sz="4" w:space="0"/>
              <w:right w:val="single" w:color="auto" w:sz="4" w:space="0"/>
            </w:tcBorders>
            <w:noWrap w:val="0"/>
            <w:vAlign w:val="bottom"/>
          </w:tcPr>
          <w:p w14:paraId="429E57AF">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97" w:type="dxa"/>
            <w:tcBorders>
              <w:top w:val="nil"/>
              <w:left w:val="nil"/>
              <w:bottom w:val="single" w:color="auto" w:sz="4" w:space="0"/>
              <w:right w:val="single" w:color="auto" w:sz="4" w:space="0"/>
            </w:tcBorders>
            <w:noWrap w:val="0"/>
            <w:vAlign w:val="center"/>
          </w:tcPr>
          <w:p w14:paraId="0A335E4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6" w:type="dxa"/>
            <w:tcBorders>
              <w:top w:val="nil"/>
              <w:left w:val="nil"/>
              <w:bottom w:val="single" w:color="auto" w:sz="4" w:space="0"/>
              <w:right w:val="single" w:color="auto" w:sz="4" w:space="0"/>
            </w:tcBorders>
            <w:noWrap w:val="0"/>
            <w:vAlign w:val="center"/>
          </w:tcPr>
          <w:p w14:paraId="3954F94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4" w:type="dxa"/>
            <w:tcBorders>
              <w:top w:val="nil"/>
              <w:left w:val="nil"/>
              <w:bottom w:val="single" w:color="auto" w:sz="4" w:space="0"/>
              <w:right w:val="single" w:color="auto" w:sz="4" w:space="0"/>
            </w:tcBorders>
            <w:noWrap w:val="0"/>
            <w:vAlign w:val="center"/>
          </w:tcPr>
          <w:p w14:paraId="27CB3213">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7C11D29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4A50E91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C139A14">
        <w:tblPrEx>
          <w:tblCellMar>
            <w:top w:w="0" w:type="dxa"/>
            <w:left w:w="108" w:type="dxa"/>
            <w:bottom w:w="0" w:type="dxa"/>
            <w:right w:w="108" w:type="dxa"/>
          </w:tblCellMar>
        </w:tblPrEx>
        <w:trPr>
          <w:trHeight w:val="359" w:hRule="atLeast"/>
          <w:jc w:val="center"/>
        </w:trPr>
        <w:tc>
          <w:tcPr>
            <w:tcW w:w="1998" w:type="dxa"/>
            <w:vMerge w:val="continue"/>
            <w:tcBorders>
              <w:top w:val="nil"/>
              <w:left w:val="single" w:color="auto" w:sz="4" w:space="0"/>
              <w:bottom w:val="single" w:color="auto" w:sz="4" w:space="0"/>
              <w:right w:val="single" w:color="auto" w:sz="4" w:space="0"/>
            </w:tcBorders>
            <w:noWrap w:val="0"/>
            <w:vAlign w:val="center"/>
          </w:tcPr>
          <w:p w14:paraId="4E62AA46">
            <w:pPr>
              <w:widowControl/>
              <w:jc w:val="left"/>
              <w:outlineLvl w:val="9"/>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6E5337E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6" w:type="dxa"/>
            <w:tcBorders>
              <w:top w:val="nil"/>
              <w:left w:val="nil"/>
              <w:bottom w:val="single" w:color="auto" w:sz="4" w:space="0"/>
              <w:right w:val="single" w:color="auto" w:sz="4" w:space="0"/>
            </w:tcBorders>
            <w:noWrap w:val="0"/>
            <w:vAlign w:val="center"/>
          </w:tcPr>
          <w:p w14:paraId="61E9B2E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4" w:type="dxa"/>
            <w:tcBorders>
              <w:top w:val="nil"/>
              <w:left w:val="nil"/>
              <w:bottom w:val="single" w:color="auto" w:sz="4" w:space="0"/>
              <w:right w:val="single" w:color="auto" w:sz="4" w:space="0"/>
            </w:tcBorders>
            <w:noWrap w:val="0"/>
            <w:vAlign w:val="center"/>
          </w:tcPr>
          <w:p w14:paraId="745E2F19">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12" w:type="dxa"/>
            <w:tcBorders>
              <w:top w:val="nil"/>
              <w:left w:val="nil"/>
              <w:bottom w:val="single" w:color="auto" w:sz="4" w:space="0"/>
              <w:right w:val="single" w:color="auto" w:sz="4" w:space="0"/>
            </w:tcBorders>
            <w:noWrap w:val="0"/>
            <w:vAlign w:val="center"/>
          </w:tcPr>
          <w:p w14:paraId="40D6ED3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41" w:type="dxa"/>
            <w:tcBorders>
              <w:top w:val="nil"/>
              <w:left w:val="nil"/>
              <w:bottom w:val="single" w:color="auto" w:sz="4" w:space="0"/>
              <w:right w:val="single" w:color="auto" w:sz="4" w:space="0"/>
            </w:tcBorders>
            <w:noWrap w:val="0"/>
            <w:vAlign w:val="center"/>
          </w:tcPr>
          <w:p w14:paraId="01A5569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23824CE">
        <w:tblPrEx>
          <w:tblCellMar>
            <w:top w:w="0" w:type="dxa"/>
            <w:left w:w="108" w:type="dxa"/>
            <w:bottom w:w="0" w:type="dxa"/>
            <w:right w:w="108" w:type="dxa"/>
          </w:tblCellMar>
        </w:tblPrEx>
        <w:trPr>
          <w:trHeight w:val="384" w:hRule="atLeast"/>
          <w:jc w:val="center"/>
        </w:trPr>
        <w:tc>
          <w:tcPr>
            <w:tcW w:w="1998" w:type="dxa"/>
            <w:tcBorders>
              <w:top w:val="nil"/>
              <w:left w:val="single" w:color="auto" w:sz="4" w:space="0"/>
              <w:bottom w:val="single" w:color="auto" w:sz="4" w:space="0"/>
              <w:right w:val="single" w:color="auto" w:sz="4" w:space="0"/>
            </w:tcBorders>
            <w:noWrap w:val="0"/>
            <w:vAlign w:val="bottom"/>
          </w:tcPr>
          <w:p w14:paraId="7EBBA7AA">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97" w:type="dxa"/>
            <w:tcBorders>
              <w:top w:val="nil"/>
              <w:left w:val="nil"/>
              <w:bottom w:val="single" w:color="auto" w:sz="4" w:space="0"/>
              <w:right w:val="single" w:color="auto" w:sz="4" w:space="0"/>
            </w:tcBorders>
            <w:noWrap w:val="0"/>
            <w:vAlign w:val="center"/>
          </w:tcPr>
          <w:p w14:paraId="3CE3E64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6" w:type="dxa"/>
            <w:tcBorders>
              <w:top w:val="nil"/>
              <w:left w:val="nil"/>
              <w:bottom w:val="single" w:color="auto" w:sz="4" w:space="0"/>
              <w:right w:val="single" w:color="auto" w:sz="4" w:space="0"/>
            </w:tcBorders>
            <w:noWrap w:val="0"/>
            <w:vAlign w:val="center"/>
          </w:tcPr>
          <w:p w14:paraId="3D3E5C5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4" w:type="dxa"/>
            <w:tcBorders>
              <w:top w:val="nil"/>
              <w:left w:val="nil"/>
              <w:bottom w:val="single" w:color="auto" w:sz="4" w:space="0"/>
              <w:right w:val="single" w:color="auto" w:sz="4" w:space="0"/>
            </w:tcBorders>
            <w:noWrap w:val="0"/>
            <w:vAlign w:val="center"/>
          </w:tcPr>
          <w:p w14:paraId="7E8C950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03B99A1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6300782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EA4B42A">
      <w:pPr>
        <w:widowControl/>
        <w:spacing w:line="360" w:lineRule="auto"/>
        <w:outlineLvl w:val="9"/>
        <w:rPr>
          <w:rFonts w:hint="eastAsia" w:ascii="宋体" w:hAnsi="宋体" w:cs="宋体"/>
          <w:color w:val="auto"/>
          <w:spacing w:val="8"/>
          <w:kern w:val="0"/>
          <w:szCs w:val="21"/>
        </w:rPr>
      </w:pPr>
    </w:p>
    <w:p w14:paraId="58F41604">
      <w:pPr>
        <w:widowControl/>
        <w:spacing w:line="360" w:lineRule="auto"/>
        <w:outlineLvl w:val="9"/>
        <w:rPr>
          <w:rFonts w:hint="eastAsia" w:ascii="宋体" w:hAnsi="宋体" w:cs="宋体"/>
          <w:color w:val="auto"/>
          <w:spacing w:val="8"/>
          <w:kern w:val="0"/>
          <w:szCs w:val="21"/>
        </w:rPr>
      </w:pPr>
    </w:p>
    <w:p w14:paraId="09BBA578">
      <w:pPr>
        <w:widowControl/>
        <w:spacing w:line="360" w:lineRule="auto"/>
        <w:outlineLvl w:val="9"/>
        <w:rPr>
          <w:rFonts w:hint="eastAsia" w:ascii="宋体" w:hAnsi="宋体" w:cs="宋体"/>
          <w:color w:val="auto"/>
          <w:spacing w:val="8"/>
          <w:kern w:val="0"/>
          <w:szCs w:val="21"/>
        </w:rPr>
      </w:pPr>
    </w:p>
    <w:p w14:paraId="6EE18288">
      <w:pPr>
        <w:widowControl/>
        <w:spacing w:line="360" w:lineRule="auto"/>
        <w:outlineLvl w:val="9"/>
        <w:rPr>
          <w:rFonts w:ascii="宋体" w:hAnsi="宋体" w:cs="宋体"/>
          <w:color w:val="auto"/>
          <w:spacing w:val="8"/>
          <w:kern w:val="0"/>
          <w:szCs w:val="21"/>
        </w:rPr>
      </w:pPr>
      <w:r>
        <w:rPr>
          <w:rFonts w:hint="eastAsia" w:ascii="宋体" w:hAnsi="宋体" w:cs="宋体"/>
          <w:color w:val="auto"/>
          <w:spacing w:val="8"/>
          <w:kern w:val="0"/>
          <w:szCs w:val="21"/>
        </w:rPr>
        <w:t>说明：</w:t>
      </w:r>
    </w:p>
    <w:p w14:paraId="388428D1">
      <w:pPr>
        <w:pStyle w:val="42"/>
        <w:adjustRightInd w:val="0"/>
        <w:spacing w:line="360" w:lineRule="auto"/>
        <w:ind w:firstLine="432" w:firstLineChars="200"/>
        <w:contextualSpacing/>
        <w:outlineLvl w:val="9"/>
        <w:rPr>
          <w:rFonts w:hAnsi="宋体" w:cs="宋体"/>
          <w:color w:val="auto"/>
          <w:spacing w:val="8"/>
          <w:kern w:val="0"/>
          <w:szCs w:val="21"/>
        </w:rPr>
      </w:pPr>
      <w:r>
        <w:rPr>
          <w:rFonts w:hint="eastAsia" w:hAnsi="宋体" w:cs="宋体"/>
          <w:color w:val="auto"/>
          <w:spacing w:val="8"/>
          <w:kern w:val="0"/>
          <w:szCs w:val="21"/>
        </w:rPr>
        <w:t>1.大型、中型和小型企业须同时满足所列指标的下限，否则下划一档；微型企业只须满足所列指标中的一项即可。</w:t>
      </w:r>
    </w:p>
    <w:p w14:paraId="64FEF259">
      <w:pPr>
        <w:pStyle w:val="42"/>
        <w:adjustRightInd w:val="0"/>
        <w:spacing w:line="360" w:lineRule="auto"/>
        <w:ind w:firstLine="432" w:firstLineChars="200"/>
        <w:contextualSpacing/>
        <w:outlineLvl w:val="9"/>
        <w:rPr>
          <w:rFonts w:hAnsi="宋体" w:cs="宋体"/>
          <w:color w:val="auto"/>
          <w:spacing w:val="8"/>
          <w:kern w:val="0"/>
          <w:szCs w:val="21"/>
        </w:rPr>
      </w:pPr>
      <w:r>
        <w:rPr>
          <w:rFonts w:hint="eastAsia" w:hAnsi="宋体"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lang w:eastAsia="zh-CN"/>
        </w:rPr>
        <w:t>；</w:t>
      </w:r>
      <w:r>
        <w:rPr>
          <w:rFonts w:hint="eastAsia" w:hAnsi="宋体" w:cs="宋体"/>
          <w:color w:val="auto"/>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5E97A99">
      <w:pPr>
        <w:pStyle w:val="42"/>
        <w:spacing w:line="360" w:lineRule="auto"/>
        <w:ind w:firstLine="432" w:firstLineChars="200"/>
        <w:outlineLvl w:val="9"/>
        <w:rPr>
          <w:rFonts w:hAnsi="宋体" w:cs="宋体"/>
          <w:color w:val="auto"/>
          <w:spacing w:val="8"/>
          <w:kern w:val="0"/>
          <w:sz w:val="24"/>
          <w:szCs w:val="24"/>
        </w:rPr>
      </w:pPr>
      <w:r>
        <w:rPr>
          <w:rFonts w:hint="eastAsia" w:hAnsi="宋体" w:cs="宋体"/>
          <w:color w:val="auto"/>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E9AA997">
      <w:pPr>
        <w:rPr>
          <w:rFonts w:hint="eastAsia" w:ascii="宋体" w:hAnsi="宋体" w:cs="宋体"/>
          <w:color w:val="auto"/>
          <w:highlight w:val="none"/>
        </w:rPr>
      </w:pPr>
      <w:r>
        <w:rPr>
          <w:rFonts w:hint="eastAsia" w:ascii="宋体" w:hAnsi="宋体" w:cs="宋体"/>
          <w:color w:val="auto"/>
          <w:highlight w:val="none"/>
        </w:rPr>
        <w:br w:type="page"/>
      </w:r>
    </w:p>
    <w:p w14:paraId="6D82325D">
      <w:pPr>
        <w:spacing w:line="428" w:lineRule="exact"/>
        <w:ind w:left="119"/>
        <w:rPr>
          <w:rFonts w:hint="eastAsia" w:ascii="Arial Unicode MS" w:hAnsi="Arial Unicode MS" w:eastAsia="Arial Unicode MS" w:cs="Arial Unicode MS"/>
          <w:color w:val="auto"/>
          <w:sz w:val="17"/>
          <w:szCs w:val="17"/>
          <w:highlight w:val="none"/>
        </w:rPr>
      </w:pPr>
      <w:r>
        <w:rPr>
          <w:rFonts w:hint="eastAsia" w:ascii="Arial Unicode MS" w:hAnsi="Arial Unicode MS" w:eastAsia="Arial Unicode MS" w:cs="Arial Unicode MS"/>
          <w:color w:val="auto"/>
          <w:sz w:val="32"/>
          <w:szCs w:val="32"/>
          <w:highlight w:val="none"/>
        </w:rPr>
        <w:t>附件：</w:t>
      </w:r>
    </w:p>
    <w:p w14:paraId="776EA4AB">
      <w:pPr>
        <w:spacing w:line="528" w:lineRule="exact"/>
        <w:ind w:left="1871"/>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节能产品政府采购品目清单</w:t>
      </w:r>
    </w:p>
    <w:p w14:paraId="0E679E07">
      <w:pPr>
        <w:rPr>
          <w:rFonts w:hint="eastAsia" w:ascii="Arial Unicode MS" w:hAnsi="Arial Unicode MS" w:eastAsia="Arial Unicode MS" w:cs="Arial Unicode MS"/>
          <w:color w:val="auto"/>
          <w:sz w:val="20"/>
          <w:szCs w:val="20"/>
          <w:highlight w:val="none"/>
        </w:rPr>
      </w:pPr>
    </w:p>
    <w:p w14:paraId="04A1B16F">
      <w:pPr>
        <w:rPr>
          <w:rFonts w:hint="eastAsia" w:ascii="Arial Unicode MS" w:hAnsi="Arial Unicode MS" w:eastAsia="Arial Unicode MS" w:cs="Arial Unicode MS"/>
          <w:color w:val="auto"/>
          <w:sz w:val="20"/>
          <w:szCs w:val="20"/>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page">
                  <wp:posOffset>1138555</wp:posOffset>
                </wp:positionH>
                <wp:positionV relativeFrom="paragraph">
                  <wp:posOffset>86360</wp:posOffset>
                </wp:positionV>
                <wp:extent cx="5356860" cy="73837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56860" cy="7383780"/>
                        </a:xfrm>
                        <a:prstGeom prst="rect">
                          <a:avLst/>
                        </a:prstGeom>
                        <a:noFill/>
                        <a:ln>
                          <a:noFill/>
                        </a:ln>
                      </wps:spPr>
                      <wps:txbx>
                        <w:txbxContent>
                          <w:tbl>
                            <w:tblPr>
                              <w:tblStyle w:val="8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6"/>
                              <w:gridCol w:w="2966"/>
                            </w:tblGrid>
                            <w:tr w14:paraId="3911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exact"/>
                              </w:trPr>
                              <w:tc>
                                <w:tcPr>
                                  <w:tcW w:w="574" w:type="dxa"/>
                                  <w:noWrap w:val="0"/>
                                  <w:vAlign w:val="top"/>
                                </w:tcPr>
                                <w:p w14:paraId="77D6FFD7">
                                  <w:pPr>
                                    <w:pStyle w:val="749"/>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noWrap w:val="0"/>
                                  <w:vAlign w:val="top"/>
                                </w:tcPr>
                                <w:p w14:paraId="2D4602F4">
                                  <w:pPr>
                                    <w:pStyle w:val="749"/>
                                    <w:spacing w:before="4"/>
                                    <w:rPr>
                                      <w:rFonts w:ascii="宋体" w:hAnsi="宋体" w:cs="宋体"/>
                                      <w:sz w:val="16"/>
                                      <w:szCs w:val="16"/>
                                    </w:rPr>
                                  </w:pPr>
                                </w:p>
                                <w:p w14:paraId="1BFBA770">
                                  <w:pPr>
                                    <w:pStyle w:val="749"/>
                                    <w:jc w:val="center"/>
                                    <w:rPr>
                                      <w:rFonts w:ascii="宋体" w:hAnsi="宋体" w:cs="宋体"/>
                                    </w:rPr>
                                  </w:pPr>
                                  <w:r>
                                    <w:rPr>
                                      <w:rFonts w:hint="eastAsia" w:ascii="宋体" w:hAnsi="宋体" w:cs="宋体"/>
                                      <w:b/>
                                      <w:bCs/>
                                      <w:w w:val="99"/>
                                    </w:rPr>
                                    <w:t>名称</w:t>
                                  </w:r>
                                </w:p>
                              </w:tc>
                              <w:tc>
                                <w:tcPr>
                                  <w:tcW w:w="2966" w:type="dxa"/>
                                  <w:noWrap w:val="0"/>
                                  <w:vAlign w:val="top"/>
                                </w:tcPr>
                                <w:p w14:paraId="730967B5">
                                  <w:pPr>
                                    <w:pStyle w:val="749"/>
                                    <w:spacing w:before="4"/>
                                    <w:rPr>
                                      <w:rFonts w:ascii="宋体" w:hAnsi="宋体" w:cs="宋体"/>
                                      <w:sz w:val="16"/>
                                      <w:szCs w:val="16"/>
                                    </w:rPr>
                                  </w:pPr>
                                </w:p>
                                <w:p w14:paraId="3E124147">
                                  <w:pPr>
                                    <w:pStyle w:val="749"/>
                                    <w:ind w:left="926"/>
                                    <w:rPr>
                                      <w:rFonts w:ascii="宋体" w:hAnsi="宋体" w:cs="宋体"/>
                                    </w:rPr>
                                  </w:pPr>
                                  <w:r>
                                    <w:rPr>
                                      <w:rFonts w:hint="eastAsia" w:ascii="宋体" w:hAnsi="宋体" w:cs="宋体"/>
                                      <w:b/>
                                      <w:bCs/>
                                      <w:w w:val="99"/>
                                    </w:rPr>
                                    <w:t>依据的标准</w:t>
                                  </w:r>
                                </w:p>
                              </w:tc>
                            </w:tr>
                            <w:tr w14:paraId="12ED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restart"/>
                                  <w:noWrap w:val="0"/>
                                  <w:vAlign w:val="top"/>
                                </w:tcPr>
                                <w:p w14:paraId="1239AA0C">
                                  <w:pPr>
                                    <w:pStyle w:val="749"/>
                                    <w:rPr>
                                      <w:rFonts w:ascii="宋体" w:hAnsi="宋体" w:cs="宋体"/>
                                      <w:sz w:val="20"/>
                                      <w:szCs w:val="20"/>
                                    </w:rPr>
                                  </w:pPr>
                                </w:p>
                                <w:p w14:paraId="26679690">
                                  <w:pPr>
                                    <w:pStyle w:val="749"/>
                                    <w:rPr>
                                      <w:rFonts w:hint="eastAsia" w:ascii="宋体" w:hAnsi="宋体" w:cs="宋体"/>
                                      <w:sz w:val="20"/>
                                      <w:szCs w:val="20"/>
                                    </w:rPr>
                                  </w:pPr>
                                </w:p>
                                <w:p w14:paraId="055CC843">
                                  <w:pPr>
                                    <w:pStyle w:val="749"/>
                                    <w:rPr>
                                      <w:rFonts w:hint="eastAsia" w:ascii="宋体" w:hAnsi="宋体" w:cs="宋体"/>
                                      <w:sz w:val="20"/>
                                      <w:szCs w:val="20"/>
                                    </w:rPr>
                                  </w:pPr>
                                </w:p>
                                <w:p w14:paraId="6EDCFE52">
                                  <w:pPr>
                                    <w:pStyle w:val="749"/>
                                    <w:spacing w:before="11"/>
                                    <w:rPr>
                                      <w:rFonts w:hint="eastAsia" w:ascii="宋体" w:hAnsi="宋体" w:cs="宋体"/>
                                      <w:sz w:val="15"/>
                                      <w:szCs w:val="15"/>
                                    </w:rPr>
                                  </w:pPr>
                                </w:p>
                                <w:p w14:paraId="03DF7AFE">
                                  <w:pPr>
                                    <w:pStyle w:val="749"/>
                                    <w:ind w:right="1"/>
                                    <w:jc w:val="center"/>
                                    <w:rPr>
                                      <w:rFonts w:ascii="宋体" w:hAnsi="宋体" w:cs="宋体"/>
                                      <w:sz w:val="20"/>
                                      <w:szCs w:val="20"/>
                                    </w:rPr>
                                  </w:pPr>
                                  <w:r>
                                    <w:rPr>
                                      <w:rFonts w:hint="eastAsia" w:ascii="宋体"/>
                                      <w:w w:val="99"/>
                                      <w:sz w:val="20"/>
                                    </w:rPr>
                                    <w:t>1</w:t>
                                  </w:r>
                                </w:p>
                              </w:tc>
                              <w:tc>
                                <w:tcPr>
                                  <w:tcW w:w="1166" w:type="dxa"/>
                                  <w:vMerge w:val="restart"/>
                                  <w:noWrap w:val="0"/>
                                  <w:vAlign w:val="top"/>
                                </w:tcPr>
                                <w:p w14:paraId="453D0D04">
                                  <w:pPr>
                                    <w:pStyle w:val="749"/>
                                    <w:rPr>
                                      <w:rFonts w:ascii="宋体" w:hAnsi="宋体" w:cs="宋体"/>
                                      <w:sz w:val="20"/>
                                      <w:szCs w:val="20"/>
                                    </w:rPr>
                                  </w:pPr>
                                </w:p>
                                <w:p w14:paraId="659E3357">
                                  <w:pPr>
                                    <w:pStyle w:val="749"/>
                                    <w:rPr>
                                      <w:rFonts w:hint="eastAsia" w:ascii="宋体" w:hAnsi="宋体" w:cs="宋体"/>
                                      <w:sz w:val="20"/>
                                      <w:szCs w:val="20"/>
                                    </w:rPr>
                                  </w:pPr>
                                </w:p>
                                <w:p w14:paraId="49E7386F">
                                  <w:pPr>
                                    <w:pStyle w:val="749"/>
                                    <w:spacing w:before="12"/>
                                    <w:rPr>
                                      <w:rFonts w:hint="eastAsia" w:ascii="宋体" w:hAnsi="宋体" w:cs="宋体"/>
                                      <w:sz w:val="23"/>
                                      <w:szCs w:val="23"/>
                                    </w:rPr>
                                  </w:pPr>
                                </w:p>
                                <w:p w14:paraId="28CE5A93">
                                  <w:pPr>
                                    <w:pStyle w:val="749"/>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097B1525">
                                  <w:pPr>
                                    <w:pStyle w:val="749"/>
                                    <w:spacing w:before="50"/>
                                    <w:ind w:left="7"/>
                                    <w:rPr>
                                      <w:rFonts w:ascii="宋体" w:hAnsi="宋体" w:cs="宋体"/>
                                      <w:sz w:val="20"/>
                                      <w:szCs w:val="20"/>
                                    </w:rPr>
                                  </w:pPr>
                                  <w:r>
                                    <w:rPr>
                                      <w:rFonts w:hint="eastAsia" w:ascii="宋体" w:hAnsi="宋体" w:cs="宋体"/>
                                      <w:w w:val="99"/>
                                      <w:sz w:val="20"/>
                                      <w:szCs w:val="20"/>
                                    </w:rPr>
                                    <w:t>机设备</w:t>
                                  </w:r>
                                </w:p>
                              </w:tc>
                              <w:tc>
                                <w:tcPr>
                                  <w:tcW w:w="1800" w:type="dxa"/>
                                  <w:noWrap w:val="0"/>
                                  <w:vAlign w:val="top"/>
                                </w:tcPr>
                                <w:p w14:paraId="6B027642">
                                  <w:pPr>
                                    <w:pStyle w:val="749"/>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noWrap w:val="0"/>
                                  <w:vAlign w:val="top"/>
                                </w:tcPr>
                                <w:p w14:paraId="5442C3B9">
                                  <w:pPr>
                                    <w:rPr>
                                      <w:rFonts w:ascii="Calibri" w:hAnsi="Calibri"/>
                                      <w:sz w:val="22"/>
                                      <w:szCs w:val="22"/>
                                    </w:rPr>
                                  </w:pPr>
                                </w:p>
                              </w:tc>
                              <w:tc>
                                <w:tcPr>
                                  <w:tcW w:w="2966" w:type="dxa"/>
                                  <w:noWrap w:val="0"/>
                                  <w:vAlign w:val="top"/>
                                </w:tcPr>
                                <w:p w14:paraId="38845FCE">
                                  <w:pPr>
                                    <w:pStyle w:val="749"/>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93C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trPr>
                              <w:tc>
                                <w:tcPr>
                                  <w:tcW w:w="574" w:type="dxa"/>
                                  <w:vMerge w:val="continue"/>
                                  <w:noWrap w:val="0"/>
                                  <w:vAlign w:val="center"/>
                                </w:tcPr>
                                <w:p w14:paraId="5009DBA4">
                                  <w:pPr>
                                    <w:widowControl/>
                                    <w:jc w:val="left"/>
                                    <w:rPr>
                                      <w:rFonts w:ascii="宋体" w:hAnsi="宋体" w:eastAsia="Times New Roman" w:cs="宋体"/>
                                      <w:kern w:val="0"/>
                                      <w:sz w:val="20"/>
                                      <w:szCs w:val="20"/>
                                    </w:rPr>
                                  </w:pPr>
                                </w:p>
                              </w:tc>
                              <w:tc>
                                <w:tcPr>
                                  <w:tcW w:w="1166" w:type="dxa"/>
                                  <w:vMerge w:val="continue"/>
                                  <w:noWrap w:val="0"/>
                                  <w:vAlign w:val="center"/>
                                </w:tcPr>
                                <w:p w14:paraId="197779BC">
                                  <w:pPr>
                                    <w:widowControl/>
                                    <w:jc w:val="left"/>
                                    <w:rPr>
                                      <w:rFonts w:ascii="宋体" w:hAnsi="宋体" w:eastAsia="Times New Roman" w:cs="宋体"/>
                                      <w:kern w:val="0"/>
                                      <w:sz w:val="20"/>
                                      <w:szCs w:val="20"/>
                                    </w:rPr>
                                  </w:pPr>
                                </w:p>
                              </w:tc>
                              <w:tc>
                                <w:tcPr>
                                  <w:tcW w:w="1800" w:type="dxa"/>
                                  <w:noWrap w:val="0"/>
                                  <w:vAlign w:val="top"/>
                                </w:tcPr>
                                <w:p w14:paraId="5DE2FEA7">
                                  <w:pPr>
                                    <w:pStyle w:val="749"/>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noWrap w:val="0"/>
                                  <w:vAlign w:val="top"/>
                                </w:tcPr>
                                <w:p w14:paraId="5CE1FCA2">
                                  <w:pPr>
                                    <w:rPr>
                                      <w:rFonts w:ascii="Calibri" w:hAnsi="Calibri"/>
                                      <w:sz w:val="22"/>
                                      <w:szCs w:val="22"/>
                                    </w:rPr>
                                  </w:pPr>
                                </w:p>
                              </w:tc>
                              <w:tc>
                                <w:tcPr>
                                  <w:tcW w:w="2966" w:type="dxa"/>
                                  <w:noWrap w:val="0"/>
                                  <w:vAlign w:val="top"/>
                                </w:tcPr>
                                <w:p w14:paraId="4C5AD1C1">
                                  <w:pPr>
                                    <w:pStyle w:val="749"/>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594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exact"/>
                              </w:trPr>
                              <w:tc>
                                <w:tcPr>
                                  <w:tcW w:w="574" w:type="dxa"/>
                                  <w:vMerge w:val="continue"/>
                                  <w:noWrap w:val="0"/>
                                  <w:vAlign w:val="center"/>
                                </w:tcPr>
                                <w:p w14:paraId="3BAC11D5">
                                  <w:pPr>
                                    <w:widowControl/>
                                    <w:jc w:val="left"/>
                                    <w:rPr>
                                      <w:rFonts w:ascii="宋体" w:hAnsi="宋体" w:eastAsia="Times New Roman" w:cs="宋体"/>
                                      <w:kern w:val="0"/>
                                      <w:sz w:val="20"/>
                                      <w:szCs w:val="20"/>
                                    </w:rPr>
                                  </w:pPr>
                                </w:p>
                              </w:tc>
                              <w:tc>
                                <w:tcPr>
                                  <w:tcW w:w="1166" w:type="dxa"/>
                                  <w:vMerge w:val="continue"/>
                                  <w:noWrap w:val="0"/>
                                  <w:vAlign w:val="center"/>
                                </w:tcPr>
                                <w:p w14:paraId="3F14FACF">
                                  <w:pPr>
                                    <w:widowControl/>
                                    <w:jc w:val="left"/>
                                    <w:rPr>
                                      <w:rFonts w:ascii="宋体" w:hAnsi="宋体" w:eastAsia="Times New Roman" w:cs="宋体"/>
                                      <w:kern w:val="0"/>
                                      <w:sz w:val="20"/>
                                      <w:szCs w:val="20"/>
                                    </w:rPr>
                                  </w:pPr>
                                </w:p>
                              </w:tc>
                              <w:tc>
                                <w:tcPr>
                                  <w:tcW w:w="1800" w:type="dxa"/>
                                  <w:noWrap w:val="0"/>
                                  <w:vAlign w:val="top"/>
                                </w:tcPr>
                                <w:p w14:paraId="3D67AFE3">
                                  <w:pPr>
                                    <w:pStyle w:val="749"/>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noWrap w:val="0"/>
                                  <w:vAlign w:val="top"/>
                                </w:tcPr>
                                <w:p w14:paraId="51148726">
                                  <w:pPr>
                                    <w:rPr>
                                      <w:rFonts w:ascii="Calibri" w:hAnsi="Calibri"/>
                                      <w:sz w:val="22"/>
                                      <w:szCs w:val="22"/>
                                    </w:rPr>
                                  </w:pPr>
                                </w:p>
                              </w:tc>
                              <w:tc>
                                <w:tcPr>
                                  <w:tcW w:w="2966" w:type="dxa"/>
                                  <w:noWrap w:val="0"/>
                                  <w:vAlign w:val="top"/>
                                </w:tcPr>
                                <w:p w14:paraId="49381E0B">
                                  <w:pPr>
                                    <w:pStyle w:val="749"/>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B83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noWrap w:val="0"/>
                                  <w:vAlign w:val="top"/>
                                </w:tcPr>
                                <w:p w14:paraId="25DE8839">
                                  <w:pPr>
                                    <w:pStyle w:val="749"/>
                                    <w:rPr>
                                      <w:rFonts w:ascii="宋体" w:hAnsi="宋体" w:cs="宋体"/>
                                      <w:sz w:val="20"/>
                                      <w:szCs w:val="20"/>
                                      <w:lang w:eastAsia="zh-CN"/>
                                    </w:rPr>
                                  </w:pPr>
                                </w:p>
                                <w:p w14:paraId="21345D65">
                                  <w:pPr>
                                    <w:pStyle w:val="749"/>
                                    <w:rPr>
                                      <w:rFonts w:hint="eastAsia" w:ascii="宋体" w:hAnsi="宋体" w:cs="宋体"/>
                                      <w:sz w:val="20"/>
                                      <w:szCs w:val="20"/>
                                      <w:lang w:eastAsia="zh-CN"/>
                                    </w:rPr>
                                  </w:pPr>
                                </w:p>
                                <w:p w14:paraId="735CC526">
                                  <w:pPr>
                                    <w:pStyle w:val="749"/>
                                    <w:rPr>
                                      <w:rFonts w:hint="eastAsia" w:ascii="宋体" w:hAnsi="宋体" w:cs="宋体"/>
                                      <w:sz w:val="20"/>
                                      <w:szCs w:val="20"/>
                                      <w:lang w:eastAsia="zh-CN"/>
                                    </w:rPr>
                                  </w:pPr>
                                </w:p>
                                <w:p w14:paraId="655108FC">
                                  <w:pPr>
                                    <w:pStyle w:val="749"/>
                                    <w:rPr>
                                      <w:rFonts w:hint="eastAsia" w:ascii="宋体" w:hAnsi="宋体" w:cs="宋体"/>
                                      <w:sz w:val="20"/>
                                      <w:szCs w:val="20"/>
                                      <w:lang w:eastAsia="zh-CN"/>
                                    </w:rPr>
                                  </w:pPr>
                                </w:p>
                                <w:p w14:paraId="546EDC76">
                                  <w:pPr>
                                    <w:pStyle w:val="749"/>
                                    <w:rPr>
                                      <w:rFonts w:hint="eastAsia" w:ascii="宋体" w:hAnsi="宋体" w:cs="宋体"/>
                                      <w:sz w:val="20"/>
                                      <w:szCs w:val="20"/>
                                      <w:lang w:eastAsia="zh-CN"/>
                                    </w:rPr>
                                  </w:pPr>
                                </w:p>
                                <w:p w14:paraId="0C2005E9">
                                  <w:pPr>
                                    <w:pStyle w:val="749"/>
                                    <w:rPr>
                                      <w:rFonts w:hint="eastAsia" w:ascii="宋体" w:hAnsi="宋体" w:cs="宋体"/>
                                      <w:sz w:val="20"/>
                                      <w:szCs w:val="20"/>
                                      <w:lang w:eastAsia="zh-CN"/>
                                    </w:rPr>
                                  </w:pPr>
                                </w:p>
                                <w:p w14:paraId="60E6FB06">
                                  <w:pPr>
                                    <w:pStyle w:val="749"/>
                                    <w:rPr>
                                      <w:rFonts w:hint="eastAsia" w:ascii="宋体" w:hAnsi="宋体" w:cs="宋体"/>
                                      <w:sz w:val="20"/>
                                      <w:szCs w:val="20"/>
                                      <w:lang w:eastAsia="zh-CN"/>
                                    </w:rPr>
                                  </w:pPr>
                                </w:p>
                                <w:p w14:paraId="118DDE2A">
                                  <w:pPr>
                                    <w:pStyle w:val="749"/>
                                    <w:spacing w:before="2"/>
                                    <w:rPr>
                                      <w:rFonts w:hint="eastAsia" w:ascii="宋体" w:hAnsi="宋体" w:cs="宋体"/>
                                      <w:sz w:val="14"/>
                                      <w:szCs w:val="14"/>
                                      <w:lang w:eastAsia="zh-CN"/>
                                    </w:rPr>
                                  </w:pPr>
                                </w:p>
                                <w:p w14:paraId="3DB01F0F">
                                  <w:pPr>
                                    <w:pStyle w:val="749"/>
                                    <w:ind w:right="1"/>
                                    <w:jc w:val="center"/>
                                    <w:rPr>
                                      <w:rFonts w:ascii="宋体" w:hAnsi="宋体" w:cs="宋体"/>
                                      <w:sz w:val="20"/>
                                      <w:szCs w:val="20"/>
                                    </w:rPr>
                                  </w:pPr>
                                  <w:r>
                                    <w:rPr>
                                      <w:rFonts w:hint="eastAsia" w:ascii="宋体"/>
                                      <w:w w:val="99"/>
                                      <w:sz w:val="20"/>
                                    </w:rPr>
                                    <w:t>2</w:t>
                                  </w:r>
                                </w:p>
                              </w:tc>
                              <w:tc>
                                <w:tcPr>
                                  <w:tcW w:w="1166" w:type="dxa"/>
                                  <w:vMerge w:val="restart"/>
                                  <w:noWrap w:val="0"/>
                                  <w:vAlign w:val="top"/>
                                </w:tcPr>
                                <w:p w14:paraId="6A060A25">
                                  <w:pPr>
                                    <w:pStyle w:val="749"/>
                                    <w:rPr>
                                      <w:rFonts w:ascii="宋体" w:hAnsi="宋体" w:cs="宋体"/>
                                      <w:sz w:val="20"/>
                                      <w:szCs w:val="20"/>
                                    </w:rPr>
                                  </w:pPr>
                                </w:p>
                                <w:p w14:paraId="7E2EB44A">
                                  <w:pPr>
                                    <w:pStyle w:val="749"/>
                                    <w:rPr>
                                      <w:rFonts w:hint="eastAsia" w:ascii="宋体" w:hAnsi="宋体" w:cs="宋体"/>
                                      <w:sz w:val="20"/>
                                      <w:szCs w:val="20"/>
                                    </w:rPr>
                                  </w:pPr>
                                </w:p>
                                <w:p w14:paraId="11A49BBC">
                                  <w:pPr>
                                    <w:pStyle w:val="749"/>
                                    <w:rPr>
                                      <w:rFonts w:hint="eastAsia" w:ascii="宋体" w:hAnsi="宋体" w:cs="宋体"/>
                                      <w:sz w:val="20"/>
                                      <w:szCs w:val="20"/>
                                    </w:rPr>
                                  </w:pPr>
                                </w:p>
                                <w:p w14:paraId="1C4A19E7">
                                  <w:pPr>
                                    <w:pStyle w:val="749"/>
                                    <w:rPr>
                                      <w:rFonts w:hint="eastAsia" w:ascii="宋体" w:hAnsi="宋体" w:cs="宋体"/>
                                      <w:sz w:val="20"/>
                                      <w:szCs w:val="20"/>
                                    </w:rPr>
                                  </w:pPr>
                                </w:p>
                                <w:p w14:paraId="44598EE9">
                                  <w:pPr>
                                    <w:pStyle w:val="749"/>
                                    <w:rPr>
                                      <w:rFonts w:hint="eastAsia" w:ascii="宋体" w:hAnsi="宋体" w:cs="宋体"/>
                                      <w:sz w:val="20"/>
                                      <w:szCs w:val="20"/>
                                    </w:rPr>
                                  </w:pPr>
                                </w:p>
                                <w:p w14:paraId="4026ACC1">
                                  <w:pPr>
                                    <w:pStyle w:val="749"/>
                                    <w:rPr>
                                      <w:rFonts w:hint="eastAsia" w:ascii="宋体" w:hAnsi="宋体" w:cs="宋体"/>
                                      <w:sz w:val="20"/>
                                      <w:szCs w:val="20"/>
                                    </w:rPr>
                                  </w:pPr>
                                </w:p>
                                <w:p w14:paraId="232763AF">
                                  <w:pPr>
                                    <w:pStyle w:val="749"/>
                                    <w:spacing w:before="3"/>
                                    <w:rPr>
                                      <w:rFonts w:hint="eastAsia" w:ascii="宋体" w:hAnsi="宋体" w:cs="宋体"/>
                                    </w:rPr>
                                  </w:pPr>
                                </w:p>
                                <w:p w14:paraId="71DDAEF7">
                                  <w:pPr>
                                    <w:pStyle w:val="749"/>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53689C3F">
                                  <w:pPr>
                                    <w:pStyle w:val="749"/>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noWrap w:val="0"/>
                                  <w:vAlign w:val="top"/>
                                </w:tcPr>
                                <w:p w14:paraId="3AB24B6D">
                                  <w:pPr>
                                    <w:pStyle w:val="749"/>
                                    <w:rPr>
                                      <w:rFonts w:ascii="宋体" w:hAnsi="宋体" w:cs="宋体"/>
                                      <w:sz w:val="20"/>
                                      <w:szCs w:val="20"/>
                                    </w:rPr>
                                  </w:pPr>
                                </w:p>
                                <w:p w14:paraId="0B3C633C">
                                  <w:pPr>
                                    <w:pStyle w:val="749"/>
                                    <w:rPr>
                                      <w:rFonts w:hint="eastAsia" w:ascii="宋体" w:hAnsi="宋体" w:cs="宋体"/>
                                      <w:sz w:val="20"/>
                                      <w:szCs w:val="20"/>
                                    </w:rPr>
                                  </w:pPr>
                                </w:p>
                                <w:p w14:paraId="22EB88D0">
                                  <w:pPr>
                                    <w:pStyle w:val="749"/>
                                    <w:rPr>
                                      <w:rFonts w:hint="eastAsia" w:ascii="宋体" w:hAnsi="宋体" w:cs="宋体"/>
                                      <w:sz w:val="20"/>
                                      <w:szCs w:val="20"/>
                                    </w:rPr>
                                  </w:pPr>
                                </w:p>
                                <w:p w14:paraId="3860804B">
                                  <w:pPr>
                                    <w:pStyle w:val="749"/>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noWrap w:val="0"/>
                                  <w:vAlign w:val="top"/>
                                </w:tcPr>
                                <w:p w14:paraId="452106C5">
                                  <w:pPr>
                                    <w:pStyle w:val="749"/>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50F03215">
                                  <w:pPr>
                                    <w:pStyle w:val="749"/>
                                    <w:spacing w:before="50"/>
                                    <w:ind w:left="7"/>
                                    <w:rPr>
                                      <w:rFonts w:ascii="宋体" w:hAnsi="宋体" w:cs="宋体"/>
                                      <w:sz w:val="20"/>
                                      <w:szCs w:val="20"/>
                                    </w:rPr>
                                  </w:pPr>
                                  <w:r>
                                    <w:rPr>
                                      <w:rFonts w:hint="eastAsia" w:ascii="宋体" w:hAnsi="宋体" w:cs="宋体"/>
                                      <w:w w:val="99"/>
                                      <w:sz w:val="20"/>
                                      <w:szCs w:val="20"/>
                                    </w:rPr>
                                    <w:t>印机</w:t>
                                  </w:r>
                                </w:p>
                              </w:tc>
                              <w:tc>
                                <w:tcPr>
                                  <w:tcW w:w="2966" w:type="dxa"/>
                                  <w:noWrap w:val="0"/>
                                  <w:vAlign w:val="top"/>
                                </w:tcPr>
                                <w:p w14:paraId="66060090">
                                  <w:pPr>
                                    <w:pStyle w:val="74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063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6569C488">
                                  <w:pPr>
                                    <w:widowControl/>
                                    <w:jc w:val="left"/>
                                    <w:rPr>
                                      <w:rFonts w:ascii="宋体" w:hAnsi="宋体" w:eastAsia="Times New Roman" w:cs="宋体"/>
                                      <w:kern w:val="0"/>
                                      <w:sz w:val="20"/>
                                      <w:szCs w:val="20"/>
                                    </w:rPr>
                                  </w:pPr>
                                </w:p>
                              </w:tc>
                              <w:tc>
                                <w:tcPr>
                                  <w:tcW w:w="1166" w:type="dxa"/>
                                  <w:vMerge w:val="continue"/>
                                  <w:noWrap w:val="0"/>
                                  <w:vAlign w:val="center"/>
                                </w:tcPr>
                                <w:p w14:paraId="64E2BCCD">
                                  <w:pPr>
                                    <w:widowControl/>
                                    <w:jc w:val="left"/>
                                    <w:rPr>
                                      <w:rFonts w:ascii="宋体" w:hAnsi="宋体" w:eastAsia="Times New Roman" w:cs="宋体"/>
                                      <w:kern w:val="0"/>
                                      <w:sz w:val="20"/>
                                      <w:szCs w:val="20"/>
                                    </w:rPr>
                                  </w:pPr>
                                </w:p>
                              </w:tc>
                              <w:tc>
                                <w:tcPr>
                                  <w:tcW w:w="1800" w:type="dxa"/>
                                  <w:vMerge w:val="continue"/>
                                  <w:noWrap w:val="0"/>
                                  <w:vAlign w:val="center"/>
                                </w:tcPr>
                                <w:p w14:paraId="0B1EBF5F">
                                  <w:pPr>
                                    <w:widowControl/>
                                    <w:jc w:val="left"/>
                                    <w:rPr>
                                      <w:rFonts w:ascii="宋体" w:hAnsi="宋体" w:eastAsia="Times New Roman" w:cs="宋体"/>
                                      <w:kern w:val="0"/>
                                      <w:sz w:val="20"/>
                                      <w:szCs w:val="20"/>
                                    </w:rPr>
                                  </w:pPr>
                                </w:p>
                              </w:tc>
                              <w:tc>
                                <w:tcPr>
                                  <w:tcW w:w="1916" w:type="dxa"/>
                                  <w:noWrap w:val="0"/>
                                  <w:vAlign w:val="top"/>
                                </w:tcPr>
                                <w:p w14:paraId="3903AF34">
                                  <w:pPr>
                                    <w:pStyle w:val="749"/>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54D3CF08">
                                  <w:pPr>
                                    <w:pStyle w:val="749"/>
                                    <w:spacing w:before="50"/>
                                    <w:ind w:left="7"/>
                                    <w:rPr>
                                      <w:rFonts w:ascii="宋体" w:hAnsi="宋体" w:cs="宋体"/>
                                      <w:sz w:val="20"/>
                                      <w:szCs w:val="20"/>
                                    </w:rPr>
                                  </w:pPr>
                                  <w:r>
                                    <w:rPr>
                                      <w:rFonts w:hint="eastAsia" w:ascii="宋体" w:hAnsi="宋体" w:cs="宋体"/>
                                      <w:w w:val="99"/>
                                      <w:sz w:val="20"/>
                                      <w:szCs w:val="20"/>
                                    </w:rPr>
                                    <w:t>打印机</w:t>
                                  </w:r>
                                </w:p>
                              </w:tc>
                              <w:tc>
                                <w:tcPr>
                                  <w:tcW w:w="2966" w:type="dxa"/>
                                  <w:noWrap w:val="0"/>
                                  <w:vAlign w:val="top"/>
                                </w:tcPr>
                                <w:p w14:paraId="3735B9D3">
                                  <w:pPr>
                                    <w:pStyle w:val="74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939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3BC5B6C9">
                                  <w:pPr>
                                    <w:widowControl/>
                                    <w:jc w:val="left"/>
                                    <w:rPr>
                                      <w:rFonts w:ascii="宋体" w:hAnsi="宋体" w:eastAsia="Times New Roman" w:cs="宋体"/>
                                      <w:kern w:val="0"/>
                                      <w:sz w:val="20"/>
                                      <w:szCs w:val="20"/>
                                    </w:rPr>
                                  </w:pPr>
                                </w:p>
                              </w:tc>
                              <w:tc>
                                <w:tcPr>
                                  <w:tcW w:w="1166" w:type="dxa"/>
                                  <w:vMerge w:val="continue"/>
                                  <w:noWrap w:val="0"/>
                                  <w:vAlign w:val="center"/>
                                </w:tcPr>
                                <w:p w14:paraId="101C31C7">
                                  <w:pPr>
                                    <w:widowControl/>
                                    <w:jc w:val="left"/>
                                    <w:rPr>
                                      <w:rFonts w:ascii="宋体" w:hAnsi="宋体" w:eastAsia="Times New Roman" w:cs="宋体"/>
                                      <w:kern w:val="0"/>
                                      <w:sz w:val="20"/>
                                      <w:szCs w:val="20"/>
                                    </w:rPr>
                                  </w:pPr>
                                </w:p>
                              </w:tc>
                              <w:tc>
                                <w:tcPr>
                                  <w:tcW w:w="1800" w:type="dxa"/>
                                  <w:vMerge w:val="continue"/>
                                  <w:noWrap w:val="0"/>
                                  <w:vAlign w:val="center"/>
                                </w:tcPr>
                                <w:p w14:paraId="7278B501">
                                  <w:pPr>
                                    <w:widowControl/>
                                    <w:jc w:val="left"/>
                                    <w:rPr>
                                      <w:rFonts w:ascii="宋体" w:hAnsi="宋体" w:eastAsia="Times New Roman" w:cs="宋体"/>
                                      <w:kern w:val="0"/>
                                      <w:sz w:val="20"/>
                                      <w:szCs w:val="20"/>
                                    </w:rPr>
                                  </w:pPr>
                                </w:p>
                              </w:tc>
                              <w:tc>
                                <w:tcPr>
                                  <w:tcW w:w="1916" w:type="dxa"/>
                                  <w:noWrap w:val="0"/>
                                  <w:vAlign w:val="top"/>
                                </w:tcPr>
                                <w:p w14:paraId="2388AC0D">
                                  <w:pPr>
                                    <w:pStyle w:val="749"/>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2776C43F">
                                  <w:pPr>
                                    <w:pStyle w:val="749"/>
                                    <w:spacing w:before="50"/>
                                    <w:ind w:left="7"/>
                                    <w:rPr>
                                      <w:rFonts w:ascii="宋体" w:hAnsi="宋体" w:cs="宋体"/>
                                      <w:sz w:val="20"/>
                                      <w:szCs w:val="20"/>
                                    </w:rPr>
                                  </w:pPr>
                                  <w:r>
                                    <w:rPr>
                                      <w:rFonts w:hint="eastAsia" w:ascii="宋体" w:hAnsi="宋体" w:cs="宋体"/>
                                      <w:w w:val="99"/>
                                      <w:sz w:val="20"/>
                                      <w:szCs w:val="20"/>
                                    </w:rPr>
                                    <w:t>打印机</w:t>
                                  </w:r>
                                </w:p>
                              </w:tc>
                              <w:tc>
                                <w:tcPr>
                                  <w:tcW w:w="2966" w:type="dxa"/>
                                  <w:noWrap w:val="0"/>
                                  <w:vAlign w:val="top"/>
                                </w:tcPr>
                                <w:p w14:paraId="2D494648">
                                  <w:pPr>
                                    <w:pStyle w:val="74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5A8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exact"/>
                              </w:trPr>
                              <w:tc>
                                <w:tcPr>
                                  <w:tcW w:w="574" w:type="dxa"/>
                                  <w:vMerge w:val="continue"/>
                                  <w:noWrap w:val="0"/>
                                  <w:vAlign w:val="center"/>
                                </w:tcPr>
                                <w:p w14:paraId="6BDAF6E1">
                                  <w:pPr>
                                    <w:widowControl/>
                                    <w:jc w:val="left"/>
                                    <w:rPr>
                                      <w:rFonts w:ascii="宋体" w:hAnsi="宋体" w:eastAsia="Times New Roman" w:cs="宋体"/>
                                      <w:kern w:val="0"/>
                                      <w:sz w:val="20"/>
                                      <w:szCs w:val="20"/>
                                    </w:rPr>
                                  </w:pPr>
                                </w:p>
                              </w:tc>
                              <w:tc>
                                <w:tcPr>
                                  <w:tcW w:w="1166" w:type="dxa"/>
                                  <w:vMerge w:val="continue"/>
                                  <w:noWrap w:val="0"/>
                                  <w:vAlign w:val="center"/>
                                </w:tcPr>
                                <w:p w14:paraId="434006E6">
                                  <w:pPr>
                                    <w:widowControl/>
                                    <w:jc w:val="left"/>
                                    <w:rPr>
                                      <w:rFonts w:ascii="宋体" w:hAnsi="宋体" w:eastAsia="Times New Roman" w:cs="宋体"/>
                                      <w:kern w:val="0"/>
                                      <w:sz w:val="20"/>
                                      <w:szCs w:val="20"/>
                                    </w:rPr>
                                  </w:pPr>
                                </w:p>
                              </w:tc>
                              <w:tc>
                                <w:tcPr>
                                  <w:tcW w:w="1800" w:type="dxa"/>
                                  <w:noWrap w:val="0"/>
                                  <w:vAlign w:val="top"/>
                                </w:tcPr>
                                <w:p w14:paraId="715C2B28">
                                  <w:pPr>
                                    <w:pStyle w:val="749"/>
                                    <w:spacing w:before="2"/>
                                    <w:rPr>
                                      <w:rFonts w:ascii="宋体" w:hAnsi="宋体" w:cs="宋体"/>
                                      <w:sz w:val="17"/>
                                      <w:szCs w:val="17"/>
                                      <w:lang w:eastAsia="zh-CN"/>
                                    </w:rPr>
                                  </w:pPr>
                                </w:p>
                                <w:p w14:paraId="15CDCDFD">
                                  <w:pPr>
                                    <w:pStyle w:val="74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noWrap w:val="0"/>
                                  <w:vAlign w:val="top"/>
                                </w:tcPr>
                                <w:p w14:paraId="3193C49C">
                                  <w:pPr>
                                    <w:pStyle w:val="749"/>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6E107BC8">
                                  <w:pPr>
                                    <w:pStyle w:val="749"/>
                                    <w:spacing w:before="50"/>
                                    <w:ind w:left="7"/>
                                    <w:rPr>
                                      <w:rFonts w:ascii="宋体" w:hAnsi="宋体" w:cs="宋体"/>
                                      <w:sz w:val="20"/>
                                      <w:szCs w:val="20"/>
                                    </w:rPr>
                                  </w:pPr>
                                  <w:r>
                                    <w:rPr>
                                      <w:rFonts w:hint="eastAsia" w:ascii="宋体" w:hAnsi="宋体" w:cs="宋体"/>
                                      <w:w w:val="99"/>
                                      <w:sz w:val="20"/>
                                      <w:szCs w:val="20"/>
                                    </w:rPr>
                                    <w:t>显示器</w:t>
                                  </w:r>
                                </w:p>
                              </w:tc>
                              <w:tc>
                                <w:tcPr>
                                  <w:tcW w:w="2966" w:type="dxa"/>
                                  <w:noWrap w:val="0"/>
                                  <w:vAlign w:val="top"/>
                                </w:tcPr>
                                <w:p w14:paraId="542A274D">
                                  <w:pPr>
                                    <w:pStyle w:val="749"/>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495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exact"/>
                              </w:trPr>
                              <w:tc>
                                <w:tcPr>
                                  <w:tcW w:w="574" w:type="dxa"/>
                                  <w:vMerge w:val="continue"/>
                                  <w:noWrap w:val="0"/>
                                  <w:vAlign w:val="center"/>
                                </w:tcPr>
                                <w:p w14:paraId="6D68EB33">
                                  <w:pPr>
                                    <w:widowControl/>
                                    <w:jc w:val="left"/>
                                    <w:rPr>
                                      <w:rFonts w:ascii="宋体" w:hAnsi="宋体" w:eastAsia="Times New Roman" w:cs="宋体"/>
                                      <w:kern w:val="0"/>
                                      <w:sz w:val="20"/>
                                      <w:szCs w:val="20"/>
                                    </w:rPr>
                                  </w:pPr>
                                </w:p>
                              </w:tc>
                              <w:tc>
                                <w:tcPr>
                                  <w:tcW w:w="1166" w:type="dxa"/>
                                  <w:vMerge w:val="continue"/>
                                  <w:noWrap w:val="0"/>
                                  <w:vAlign w:val="center"/>
                                </w:tcPr>
                                <w:p w14:paraId="7616D58F">
                                  <w:pPr>
                                    <w:widowControl/>
                                    <w:jc w:val="left"/>
                                    <w:rPr>
                                      <w:rFonts w:ascii="宋体" w:hAnsi="宋体" w:eastAsia="Times New Roman" w:cs="宋体"/>
                                      <w:kern w:val="0"/>
                                      <w:sz w:val="20"/>
                                      <w:szCs w:val="20"/>
                                    </w:rPr>
                                  </w:pPr>
                                </w:p>
                              </w:tc>
                              <w:tc>
                                <w:tcPr>
                                  <w:tcW w:w="1800" w:type="dxa"/>
                                  <w:noWrap w:val="0"/>
                                  <w:vAlign w:val="top"/>
                                </w:tcPr>
                                <w:p w14:paraId="30C3DABC">
                                  <w:pPr>
                                    <w:pStyle w:val="749"/>
                                    <w:spacing w:before="8"/>
                                    <w:rPr>
                                      <w:rFonts w:ascii="宋体" w:hAnsi="宋体" w:cs="宋体"/>
                                      <w:sz w:val="27"/>
                                      <w:szCs w:val="27"/>
                                      <w:lang w:eastAsia="zh-CN"/>
                                    </w:rPr>
                                  </w:pPr>
                                </w:p>
                                <w:p w14:paraId="02D2089E">
                                  <w:pPr>
                                    <w:pStyle w:val="749"/>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noWrap w:val="0"/>
                                  <w:vAlign w:val="top"/>
                                </w:tcPr>
                                <w:p w14:paraId="577782DC">
                                  <w:pPr>
                                    <w:pStyle w:val="749"/>
                                    <w:rPr>
                                      <w:rFonts w:ascii="宋体" w:hAnsi="宋体" w:cs="宋体"/>
                                      <w:sz w:val="20"/>
                                      <w:szCs w:val="20"/>
                                    </w:rPr>
                                  </w:pPr>
                                </w:p>
                                <w:p w14:paraId="262E8F2D">
                                  <w:pPr>
                                    <w:pStyle w:val="749"/>
                                    <w:spacing w:before="7"/>
                                    <w:rPr>
                                      <w:rFonts w:hint="eastAsia" w:ascii="宋体" w:hAnsi="宋体" w:cs="宋体"/>
                                      <w:sz w:val="19"/>
                                      <w:szCs w:val="19"/>
                                    </w:rPr>
                                  </w:pPr>
                                </w:p>
                                <w:p w14:paraId="54542AFF">
                                  <w:pPr>
                                    <w:pStyle w:val="74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noWrap w:val="0"/>
                                  <w:vAlign w:val="top"/>
                                </w:tcPr>
                                <w:p w14:paraId="54804D49">
                                  <w:pPr>
                                    <w:pStyle w:val="749"/>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17460E1B">
                                  <w:pPr>
                                    <w:pStyle w:val="749"/>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3282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exact"/>
                              </w:trPr>
                              <w:tc>
                                <w:tcPr>
                                  <w:tcW w:w="574" w:type="dxa"/>
                                  <w:noWrap w:val="0"/>
                                  <w:vAlign w:val="top"/>
                                </w:tcPr>
                                <w:p w14:paraId="4D540084">
                                  <w:pPr>
                                    <w:pStyle w:val="749"/>
                                    <w:spacing w:before="179"/>
                                    <w:ind w:right="1"/>
                                    <w:jc w:val="center"/>
                                    <w:rPr>
                                      <w:rFonts w:ascii="宋体" w:hAnsi="宋体" w:cs="宋体"/>
                                      <w:sz w:val="20"/>
                                      <w:szCs w:val="20"/>
                                    </w:rPr>
                                  </w:pPr>
                                  <w:r>
                                    <w:rPr>
                                      <w:rFonts w:hint="eastAsia" w:ascii="宋体"/>
                                      <w:w w:val="99"/>
                                      <w:sz w:val="20"/>
                                    </w:rPr>
                                    <w:t>3</w:t>
                                  </w:r>
                                </w:p>
                              </w:tc>
                              <w:tc>
                                <w:tcPr>
                                  <w:tcW w:w="1166" w:type="dxa"/>
                                  <w:noWrap w:val="0"/>
                                  <w:vAlign w:val="top"/>
                                </w:tcPr>
                                <w:p w14:paraId="55BB0DB7">
                                  <w:pPr>
                                    <w:pStyle w:val="749"/>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11B26923">
                                  <w:pPr>
                                    <w:pStyle w:val="749"/>
                                    <w:spacing w:before="50"/>
                                    <w:ind w:left="7"/>
                                    <w:rPr>
                                      <w:rFonts w:ascii="宋体" w:hAnsi="宋体" w:cs="宋体"/>
                                      <w:sz w:val="20"/>
                                      <w:szCs w:val="20"/>
                                    </w:rPr>
                                  </w:pPr>
                                  <w:r>
                                    <w:rPr>
                                      <w:rFonts w:hint="eastAsia" w:ascii="宋体" w:hAnsi="宋体" w:cs="宋体"/>
                                      <w:w w:val="99"/>
                                      <w:sz w:val="20"/>
                                      <w:szCs w:val="20"/>
                                    </w:rPr>
                                    <w:t>仪</w:t>
                                  </w:r>
                                </w:p>
                              </w:tc>
                              <w:tc>
                                <w:tcPr>
                                  <w:tcW w:w="1800" w:type="dxa"/>
                                  <w:noWrap w:val="0"/>
                                  <w:vAlign w:val="top"/>
                                </w:tcPr>
                                <w:p w14:paraId="375D77B9">
                                  <w:pPr>
                                    <w:rPr>
                                      <w:rFonts w:ascii="Calibri" w:hAnsi="Calibri"/>
                                      <w:sz w:val="22"/>
                                      <w:szCs w:val="22"/>
                                    </w:rPr>
                                  </w:pPr>
                                </w:p>
                              </w:tc>
                              <w:tc>
                                <w:tcPr>
                                  <w:tcW w:w="1916" w:type="dxa"/>
                                  <w:noWrap w:val="0"/>
                                  <w:vAlign w:val="top"/>
                                </w:tcPr>
                                <w:p w14:paraId="1FD96721">
                                  <w:pPr>
                                    <w:rPr>
                                      <w:rFonts w:ascii="Calibri" w:hAnsi="Calibri"/>
                                      <w:sz w:val="22"/>
                                      <w:szCs w:val="22"/>
                                    </w:rPr>
                                  </w:pPr>
                                </w:p>
                              </w:tc>
                              <w:tc>
                                <w:tcPr>
                                  <w:tcW w:w="2966" w:type="dxa"/>
                                  <w:noWrap w:val="0"/>
                                  <w:vAlign w:val="top"/>
                                </w:tcPr>
                                <w:p w14:paraId="29952C97">
                                  <w:pPr>
                                    <w:pStyle w:val="749"/>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7908D3A8">
                                  <w:pPr>
                                    <w:pStyle w:val="749"/>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706B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exact"/>
                              </w:trPr>
                              <w:tc>
                                <w:tcPr>
                                  <w:tcW w:w="574" w:type="dxa"/>
                                  <w:noWrap w:val="0"/>
                                  <w:vAlign w:val="top"/>
                                </w:tcPr>
                                <w:p w14:paraId="14212D88">
                                  <w:pPr>
                                    <w:pStyle w:val="749"/>
                                    <w:spacing w:before="13"/>
                                    <w:rPr>
                                      <w:rFonts w:ascii="宋体" w:hAnsi="宋体" w:cs="宋体"/>
                                      <w:sz w:val="16"/>
                                      <w:szCs w:val="16"/>
                                    </w:rPr>
                                  </w:pPr>
                                </w:p>
                                <w:p w14:paraId="101E81C6">
                                  <w:pPr>
                                    <w:pStyle w:val="749"/>
                                    <w:ind w:right="1"/>
                                    <w:jc w:val="center"/>
                                    <w:rPr>
                                      <w:rFonts w:ascii="宋体" w:hAnsi="宋体" w:cs="宋体"/>
                                      <w:sz w:val="20"/>
                                      <w:szCs w:val="20"/>
                                    </w:rPr>
                                  </w:pPr>
                                  <w:r>
                                    <w:rPr>
                                      <w:rFonts w:hint="eastAsia" w:ascii="宋体"/>
                                      <w:w w:val="99"/>
                                      <w:sz w:val="20"/>
                                    </w:rPr>
                                    <w:t>4</w:t>
                                  </w:r>
                                </w:p>
                              </w:tc>
                              <w:tc>
                                <w:tcPr>
                                  <w:tcW w:w="1166" w:type="dxa"/>
                                  <w:noWrap w:val="0"/>
                                  <w:vAlign w:val="top"/>
                                </w:tcPr>
                                <w:p w14:paraId="53F10EB4">
                                  <w:pPr>
                                    <w:pStyle w:val="749"/>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427EAFA2">
                                  <w:pPr>
                                    <w:pStyle w:val="749"/>
                                    <w:spacing w:before="50"/>
                                    <w:ind w:left="7"/>
                                    <w:rPr>
                                      <w:rFonts w:ascii="宋体" w:hAnsi="宋体" w:cs="宋体"/>
                                      <w:sz w:val="20"/>
                                      <w:szCs w:val="20"/>
                                    </w:rPr>
                                  </w:pPr>
                                  <w:r>
                                    <w:rPr>
                                      <w:rFonts w:hint="eastAsia" w:ascii="宋体" w:hAnsi="宋体" w:cs="宋体"/>
                                      <w:w w:val="99"/>
                                      <w:sz w:val="20"/>
                                      <w:szCs w:val="20"/>
                                    </w:rPr>
                                    <w:t>能一体机</w:t>
                                  </w:r>
                                </w:p>
                              </w:tc>
                              <w:tc>
                                <w:tcPr>
                                  <w:tcW w:w="1800" w:type="dxa"/>
                                  <w:noWrap w:val="0"/>
                                  <w:vAlign w:val="top"/>
                                </w:tcPr>
                                <w:p w14:paraId="1F332323">
                                  <w:pPr>
                                    <w:rPr>
                                      <w:rFonts w:ascii="Calibri" w:hAnsi="Calibri"/>
                                      <w:sz w:val="22"/>
                                      <w:szCs w:val="22"/>
                                    </w:rPr>
                                  </w:pPr>
                                </w:p>
                              </w:tc>
                              <w:tc>
                                <w:tcPr>
                                  <w:tcW w:w="1916" w:type="dxa"/>
                                  <w:noWrap w:val="0"/>
                                  <w:vAlign w:val="top"/>
                                </w:tcPr>
                                <w:p w14:paraId="54251677">
                                  <w:pPr>
                                    <w:rPr>
                                      <w:rFonts w:ascii="Calibri" w:hAnsi="Calibri"/>
                                      <w:sz w:val="22"/>
                                      <w:szCs w:val="22"/>
                                    </w:rPr>
                                  </w:pPr>
                                </w:p>
                              </w:tc>
                              <w:tc>
                                <w:tcPr>
                                  <w:tcW w:w="2966" w:type="dxa"/>
                                  <w:noWrap w:val="0"/>
                                  <w:vAlign w:val="top"/>
                                </w:tcPr>
                                <w:p w14:paraId="502315A8">
                                  <w:pPr>
                                    <w:pStyle w:val="749"/>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761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trPr>
                              <w:tc>
                                <w:tcPr>
                                  <w:tcW w:w="574" w:type="dxa"/>
                                  <w:noWrap w:val="0"/>
                                  <w:vAlign w:val="top"/>
                                </w:tcPr>
                                <w:p w14:paraId="3386F647">
                                  <w:pPr>
                                    <w:pStyle w:val="749"/>
                                    <w:spacing w:before="160"/>
                                    <w:ind w:right="1"/>
                                    <w:jc w:val="center"/>
                                    <w:rPr>
                                      <w:rFonts w:ascii="宋体" w:hAnsi="宋体" w:cs="宋体"/>
                                      <w:sz w:val="20"/>
                                      <w:szCs w:val="20"/>
                                    </w:rPr>
                                  </w:pPr>
                                  <w:r>
                                    <w:rPr>
                                      <w:rFonts w:hint="eastAsia" w:ascii="宋体"/>
                                      <w:w w:val="99"/>
                                      <w:sz w:val="20"/>
                                    </w:rPr>
                                    <w:t>5</w:t>
                                  </w:r>
                                </w:p>
                              </w:tc>
                              <w:tc>
                                <w:tcPr>
                                  <w:tcW w:w="1166" w:type="dxa"/>
                                  <w:noWrap w:val="0"/>
                                  <w:vAlign w:val="top"/>
                                </w:tcPr>
                                <w:p w14:paraId="7C274BBF">
                                  <w:pPr>
                                    <w:pStyle w:val="749"/>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noWrap w:val="0"/>
                                  <w:vAlign w:val="top"/>
                                </w:tcPr>
                                <w:p w14:paraId="2F94C719">
                                  <w:pPr>
                                    <w:pStyle w:val="749"/>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noWrap w:val="0"/>
                                  <w:vAlign w:val="top"/>
                                </w:tcPr>
                                <w:p w14:paraId="50D2AEBD">
                                  <w:pPr>
                                    <w:rPr>
                                      <w:rFonts w:ascii="Calibri" w:hAnsi="Calibri"/>
                                      <w:sz w:val="22"/>
                                      <w:szCs w:val="22"/>
                                    </w:rPr>
                                  </w:pPr>
                                </w:p>
                              </w:tc>
                              <w:tc>
                                <w:tcPr>
                                  <w:tcW w:w="2966" w:type="dxa"/>
                                  <w:noWrap w:val="0"/>
                                  <w:vAlign w:val="top"/>
                                </w:tcPr>
                                <w:p w14:paraId="5DF7457B">
                                  <w:pPr>
                                    <w:pStyle w:val="749"/>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24B5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exact"/>
                              </w:trPr>
                              <w:tc>
                                <w:tcPr>
                                  <w:tcW w:w="574" w:type="dxa"/>
                                  <w:vMerge w:val="restart"/>
                                  <w:noWrap w:val="0"/>
                                  <w:vAlign w:val="top"/>
                                </w:tcPr>
                                <w:p w14:paraId="269AAD3C">
                                  <w:pPr>
                                    <w:pStyle w:val="749"/>
                                    <w:rPr>
                                      <w:rFonts w:ascii="宋体" w:hAnsi="宋体" w:cs="宋体"/>
                                      <w:sz w:val="20"/>
                                      <w:szCs w:val="20"/>
                                      <w:lang w:eastAsia="zh-CN"/>
                                    </w:rPr>
                                  </w:pPr>
                                </w:p>
                                <w:p w14:paraId="0E37A366">
                                  <w:pPr>
                                    <w:pStyle w:val="749"/>
                                    <w:rPr>
                                      <w:rFonts w:hint="eastAsia" w:ascii="宋体" w:hAnsi="宋体" w:cs="宋体"/>
                                      <w:sz w:val="20"/>
                                      <w:szCs w:val="20"/>
                                      <w:lang w:eastAsia="zh-CN"/>
                                    </w:rPr>
                                  </w:pPr>
                                </w:p>
                                <w:p w14:paraId="7F35534E">
                                  <w:pPr>
                                    <w:pStyle w:val="749"/>
                                    <w:spacing w:before="7"/>
                                    <w:rPr>
                                      <w:rFonts w:hint="eastAsia" w:ascii="宋体" w:hAnsi="宋体" w:cs="宋体"/>
                                      <w:sz w:val="26"/>
                                      <w:szCs w:val="26"/>
                                      <w:lang w:eastAsia="zh-CN"/>
                                    </w:rPr>
                                  </w:pPr>
                                </w:p>
                                <w:p w14:paraId="46477367">
                                  <w:pPr>
                                    <w:pStyle w:val="749"/>
                                    <w:ind w:right="1"/>
                                    <w:jc w:val="center"/>
                                    <w:rPr>
                                      <w:rFonts w:ascii="宋体" w:hAnsi="宋体" w:cs="宋体"/>
                                      <w:sz w:val="20"/>
                                      <w:szCs w:val="20"/>
                                    </w:rPr>
                                  </w:pPr>
                                  <w:r>
                                    <w:rPr>
                                      <w:rFonts w:hint="eastAsia" w:ascii="宋体"/>
                                      <w:w w:val="99"/>
                                      <w:sz w:val="20"/>
                                    </w:rPr>
                                    <w:t>6</w:t>
                                  </w:r>
                                </w:p>
                              </w:tc>
                              <w:tc>
                                <w:tcPr>
                                  <w:tcW w:w="1166" w:type="dxa"/>
                                  <w:vMerge w:val="restart"/>
                                  <w:noWrap w:val="0"/>
                                  <w:vAlign w:val="top"/>
                                </w:tcPr>
                                <w:p w14:paraId="04CBF288">
                                  <w:pPr>
                                    <w:pStyle w:val="749"/>
                                    <w:rPr>
                                      <w:rFonts w:ascii="宋体" w:hAnsi="宋体" w:cs="宋体"/>
                                      <w:sz w:val="20"/>
                                      <w:szCs w:val="20"/>
                                    </w:rPr>
                                  </w:pPr>
                                </w:p>
                                <w:p w14:paraId="2CD7357B">
                                  <w:pPr>
                                    <w:pStyle w:val="749"/>
                                    <w:rPr>
                                      <w:rFonts w:hint="eastAsia" w:ascii="宋体" w:hAnsi="宋体" w:cs="宋体"/>
                                      <w:sz w:val="20"/>
                                      <w:szCs w:val="20"/>
                                    </w:rPr>
                                  </w:pPr>
                                </w:p>
                                <w:p w14:paraId="283BB48D">
                                  <w:pPr>
                                    <w:pStyle w:val="749"/>
                                    <w:spacing w:before="8"/>
                                    <w:rPr>
                                      <w:rFonts w:hint="eastAsia" w:ascii="宋体" w:hAnsi="宋体" w:cs="宋体"/>
                                      <w:sz w:val="14"/>
                                      <w:szCs w:val="14"/>
                                    </w:rPr>
                                  </w:pPr>
                                </w:p>
                                <w:p w14:paraId="3DBCFAD2">
                                  <w:pPr>
                                    <w:pStyle w:val="749"/>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2B2AA660">
                                  <w:pPr>
                                    <w:pStyle w:val="749"/>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noWrap w:val="0"/>
                                  <w:vAlign w:val="top"/>
                                </w:tcPr>
                                <w:p w14:paraId="6F5B35AB">
                                  <w:pPr>
                                    <w:pStyle w:val="749"/>
                                    <w:rPr>
                                      <w:rFonts w:ascii="宋体" w:hAnsi="宋体" w:cs="宋体"/>
                                      <w:sz w:val="20"/>
                                      <w:szCs w:val="20"/>
                                    </w:rPr>
                                  </w:pPr>
                                </w:p>
                                <w:p w14:paraId="135056AC">
                                  <w:pPr>
                                    <w:pStyle w:val="749"/>
                                    <w:rPr>
                                      <w:rFonts w:hint="eastAsia" w:ascii="宋体" w:hAnsi="宋体" w:cs="宋体"/>
                                      <w:sz w:val="20"/>
                                      <w:szCs w:val="20"/>
                                    </w:rPr>
                                  </w:pPr>
                                </w:p>
                                <w:p w14:paraId="0CD954D5">
                                  <w:pPr>
                                    <w:pStyle w:val="749"/>
                                    <w:spacing w:before="8"/>
                                    <w:rPr>
                                      <w:rFonts w:hint="eastAsia" w:ascii="宋体" w:hAnsi="宋体" w:cs="宋体"/>
                                      <w:sz w:val="14"/>
                                      <w:szCs w:val="14"/>
                                    </w:rPr>
                                  </w:pPr>
                                </w:p>
                                <w:p w14:paraId="1EB6867D">
                                  <w:pPr>
                                    <w:pStyle w:val="749"/>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noWrap w:val="0"/>
                                  <w:vAlign w:val="top"/>
                                </w:tcPr>
                                <w:p w14:paraId="7AC34E40">
                                  <w:pPr>
                                    <w:pStyle w:val="749"/>
                                    <w:rPr>
                                      <w:rFonts w:ascii="宋体" w:hAnsi="宋体" w:cs="宋体"/>
                                      <w:sz w:val="20"/>
                                      <w:szCs w:val="20"/>
                                    </w:rPr>
                                  </w:pPr>
                                </w:p>
                                <w:p w14:paraId="217E7840">
                                  <w:pPr>
                                    <w:pStyle w:val="749"/>
                                    <w:spacing w:before="1"/>
                                    <w:rPr>
                                      <w:rFonts w:hint="eastAsia" w:ascii="宋体" w:hAnsi="宋体" w:cs="宋体"/>
                                      <w:sz w:val="18"/>
                                      <w:szCs w:val="18"/>
                                    </w:rPr>
                                  </w:pPr>
                                </w:p>
                                <w:p w14:paraId="5289BDCD">
                                  <w:pPr>
                                    <w:pStyle w:val="749"/>
                                    <w:ind w:left="7"/>
                                    <w:rPr>
                                      <w:rFonts w:ascii="宋体" w:hAnsi="宋体" w:cs="宋体"/>
                                      <w:sz w:val="20"/>
                                      <w:szCs w:val="20"/>
                                    </w:rPr>
                                  </w:pPr>
                                  <w:r>
                                    <w:rPr>
                                      <w:rFonts w:hint="eastAsia" w:ascii="宋体" w:hAnsi="宋体" w:cs="宋体"/>
                                      <w:w w:val="99"/>
                                      <w:sz w:val="20"/>
                                      <w:szCs w:val="20"/>
                                    </w:rPr>
                                    <w:t>冷水机组</w:t>
                                  </w:r>
                                </w:p>
                              </w:tc>
                              <w:tc>
                                <w:tcPr>
                                  <w:tcW w:w="2966" w:type="dxa"/>
                                  <w:noWrap w:val="0"/>
                                  <w:vAlign w:val="top"/>
                                </w:tcPr>
                                <w:p w14:paraId="603F1436">
                                  <w:pPr>
                                    <w:pStyle w:val="749"/>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2D4F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exact"/>
                              </w:trPr>
                              <w:tc>
                                <w:tcPr>
                                  <w:tcW w:w="574" w:type="dxa"/>
                                  <w:vMerge w:val="continue"/>
                                  <w:noWrap w:val="0"/>
                                  <w:vAlign w:val="center"/>
                                </w:tcPr>
                                <w:p w14:paraId="29EA41BF">
                                  <w:pPr>
                                    <w:widowControl/>
                                    <w:jc w:val="left"/>
                                    <w:rPr>
                                      <w:rFonts w:ascii="宋体" w:hAnsi="宋体" w:eastAsia="Times New Roman" w:cs="宋体"/>
                                      <w:kern w:val="0"/>
                                      <w:sz w:val="20"/>
                                      <w:szCs w:val="20"/>
                                    </w:rPr>
                                  </w:pPr>
                                </w:p>
                              </w:tc>
                              <w:tc>
                                <w:tcPr>
                                  <w:tcW w:w="1166" w:type="dxa"/>
                                  <w:vMerge w:val="continue"/>
                                  <w:noWrap w:val="0"/>
                                  <w:vAlign w:val="center"/>
                                </w:tcPr>
                                <w:p w14:paraId="2C2201D7">
                                  <w:pPr>
                                    <w:widowControl/>
                                    <w:jc w:val="left"/>
                                    <w:rPr>
                                      <w:rFonts w:ascii="宋体" w:hAnsi="宋体" w:eastAsia="Times New Roman" w:cs="宋体"/>
                                      <w:kern w:val="0"/>
                                      <w:sz w:val="20"/>
                                      <w:szCs w:val="20"/>
                                    </w:rPr>
                                  </w:pPr>
                                </w:p>
                              </w:tc>
                              <w:tc>
                                <w:tcPr>
                                  <w:tcW w:w="1800" w:type="dxa"/>
                                  <w:vMerge w:val="continue"/>
                                  <w:noWrap w:val="0"/>
                                  <w:vAlign w:val="center"/>
                                </w:tcPr>
                                <w:p w14:paraId="4858FE60">
                                  <w:pPr>
                                    <w:widowControl/>
                                    <w:jc w:val="left"/>
                                    <w:rPr>
                                      <w:rFonts w:ascii="宋体" w:hAnsi="宋体" w:eastAsia="Times New Roman" w:cs="宋体"/>
                                      <w:kern w:val="0"/>
                                      <w:sz w:val="20"/>
                                      <w:szCs w:val="20"/>
                                    </w:rPr>
                                  </w:pPr>
                                </w:p>
                              </w:tc>
                              <w:tc>
                                <w:tcPr>
                                  <w:tcW w:w="1916" w:type="dxa"/>
                                  <w:noWrap w:val="0"/>
                                  <w:vAlign w:val="top"/>
                                </w:tcPr>
                                <w:p w14:paraId="751BAE8A">
                                  <w:pPr>
                                    <w:pStyle w:val="749"/>
                                    <w:spacing w:before="12"/>
                                    <w:rPr>
                                      <w:rFonts w:ascii="宋体" w:hAnsi="宋体" w:cs="宋体"/>
                                      <w:sz w:val="15"/>
                                      <w:szCs w:val="15"/>
                                      <w:lang w:eastAsia="zh-CN"/>
                                    </w:rPr>
                                  </w:pPr>
                                </w:p>
                                <w:p w14:paraId="5E7FDEFD">
                                  <w:pPr>
                                    <w:pStyle w:val="749"/>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noWrap w:val="0"/>
                                  <w:vAlign w:val="top"/>
                                </w:tcPr>
                                <w:p w14:paraId="2E703D72">
                                  <w:pPr>
                                    <w:pStyle w:val="74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371DCA14">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89.65pt;margin-top:6.8pt;height:581.4pt;width:421.8pt;mso-position-horizontal-relative:page;z-index:251659264;mso-width-relative:page;mso-height-relative:page;" filled="f" stroked="f" coordsize="21600,21600" o:gfxdata="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j+zMvZAAAADAEAAA8AAAAAAAAAAQAgAAAAIgAAAGRycy9kb3ducmV2LnhtbFBL&#10;AQIUABQAAAAIAIdO4kCJHhREvAEAAHMDAAAOAAAAAAAAAAEAIAAAACgBAABkcnMvZTJvRG9jLnht&#10;bFBLBQYAAAAABgAGAFkBAABWBQAAAAA=&#10;">
                <v:fill on="f" focussize="0,0"/>
                <v:stroke on="f"/>
                <v:imagedata o:title=""/>
                <o:lock v:ext="edit" aspectratio="f"/>
                <v:textbox inset="0mm,0mm,0mm,0mm">
                  <w:txbxContent>
                    <w:tbl>
                      <w:tblPr>
                        <w:tblStyle w:val="8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6"/>
                        <w:gridCol w:w="2966"/>
                      </w:tblGrid>
                      <w:tr w14:paraId="3911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exact"/>
                        </w:trPr>
                        <w:tc>
                          <w:tcPr>
                            <w:tcW w:w="574" w:type="dxa"/>
                            <w:noWrap w:val="0"/>
                            <w:vAlign w:val="top"/>
                          </w:tcPr>
                          <w:p w14:paraId="77D6FFD7">
                            <w:pPr>
                              <w:pStyle w:val="749"/>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noWrap w:val="0"/>
                            <w:vAlign w:val="top"/>
                          </w:tcPr>
                          <w:p w14:paraId="2D4602F4">
                            <w:pPr>
                              <w:pStyle w:val="749"/>
                              <w:spacing w:before="4"/>
                              <w:rPr>
                                <w:rFonts w:ascii="宋体" w:hAnsi="宋体" w:cs="宋体"/>
                                <w:sz w:val="16"/>
                                <w:szCs w:val="16"/>
                              </w:rPr>
                            </w:pPr>
                          </w:p>
                          <w:p w14:paraId="1BFBA770">
                            <w:pPr>
                              <w:pStyle w:val="749"/>
                              <w:jc w:val="center"/>
                              <w:rPr>
                                <w:rFonts w:ascii="宋体" w:hAnsi="宋体" w:cs="宋体"/>
                              </w:rPr>
                            </w:pPr>
                            <w:r>
                              <w:rPr>
                                <w:rFonts w:hint="eastAsia" w:ascii="宋体" w:hAnsi="宋体" w:cs="宋体"/>
                                <w:b/>
                                <w:bCs/>
                                <w:w w:val="99"/>
                              </w:rPr>
                              <w:t>名称</w:t>
                            </w:r>
                          </w:p>
                        </w:tc>
                        <w:tc>
                          <w:tcPr>
                            <w:tcW w:w="2966" w:type="dxa"/>
                            <w:noWrap w:val="0"/>
                            <w:vAlign w:val="top"/>
                          </w:tcPr>
                          <w:p w14:paraId="730967B5">
                            <w:pPr>
                              <w:pStyle w:val="749"/>
                              <w:spacing w:before="4"/>
                              <w:rPr>
                                <w:rFonts w:ascii="宋体" w:hAnsi="宋体" w:cs="宋体"/>
                                <w:sz w:val="16"/>
                                <w:szCs w:val="16"/>
                              </w:rPr>
                            </w:pPr>
                          </w:p>
                          <w:p w14:paraId="3E124147">
                            <w:pPr>
                              <w:pStyle w:val="749"/>
                              <w:ind w:left="926"/>
                              <w:rPr>
                                <w:rFonts w:ascii="宋体" w:hAnsi="宋体" w:cs="宋体"/>
                              </w:rPr>
                            </w:pPr>
                            <w:r>
                              <w:rPr>
                                <w:rFonts w:hint="eastAsia" w:ascii="宋体" w:hAnsi="宋体" w:cs="宋体"/>
                                <w:b/>
                                <w:bCs/>
                                <w:w w:val="99"/>
                              </w:rPr>
                              <w:t>依据的标准</w:t>
                            </w:r>
                          </w:p>
                        </w:tc>
                      </w:tr>
                      <w:tr w14:paraId="12ED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restart"/>
                            <w:noWrap w:val="0"/>
                            <w:vAlign w:val="top"/>
                          </w:tcPr>
                          <w:p w14:paraId="1239AA0C">
                            <w:pPr>
                              <w:pStyle w:val="749"/>
                              <w:rPr>
                                <w:rFonts w:ascii="宋体" w:hAnsi="宋体" w:cs="宋体"/>
                                <w:sz w:val="20"/>
                                <w:szCs w:val="20"/>
                              </w:rPr>
                            </w:pPr>
                          </w:p>
                          <w:p w14:paraId="26679690">
                            <w:pPr>
                              <w:pStyle w:val="749"/>
                              <w:rPr>
                                <w:rFonts w:hint="eastAsia" w:ascii="宋体" w:hAnsi="宋体" w:cs="宋体"/>
                                <w:sz w:val="20"/>
                                <w:szCs w:val="20"/>
                              </w:rPr>
                            </w:pPr>
                          </w:p>
                          <w:p w14:paraId="055CC843">
                            <w:pPr>
                              <w:pStyle w:val="749"/>
                              <w:rPr>
                                <w:rFonts w:hint="eastAsia" w:ascii="宋体" w:hAnsi="宋体" w:cs="宋体"/>
                                <w:sz w:val="20"/>
                                <w:szCs w:val="20"/>
                              </w:rPr>
                            </w:pPr>
                          </w:p>
                          <w:p w14:paraId="6EDCFE52">
                            <w:pPr>
                              <w:pStyle w:val="749"/>
                              <w:spacing w:before="11"/>
                              <w:rPr>
                                <w:rFonts w:hint="eastAsia" w:ascii="宋体" w:hAnsi="宋体" w:cs="宋体"/>
                                <w:sz w:val="15"/>
                                <w:szCs w:val="15"/>
                              </w:rPr>
                            </w:pPr>
                          </w:p>
                          <w:p w14:paraId="03DF7AFE">
                            <w:pPr>
                              <w:pStyle w:val="749"/>
                              <w:ind w:right="1"/>
                              <w:jc w:val="center"/>
                              <w:rPr>
                                <w:rFonts w:ascii="宋体" w:hAnsi="宋体" w:cs="宋体"/>
                                <w:sz w:val="20"/>
                                <w:szCs w:val="20"/>
                              </w:rPr>
                            </w:pPr>
                            <w:r>
                              <w:rPr>
                                <w:rFonts w:hint="eastAsia" w:ascii="宋体"/>
                                <w:w w:val="99"/>
                                <w:sz w:val="20"/>
                              </w:rPr>
                              <w:t>1</w:t>
                            </w:r>
                          </w:p>
                        </w:tc>
                        <w:tc>
                          <w:tcPr>
                            <w:tcW w:w="1166" w:type="dxa"/>
                            <w:vMerge w:val="restart"/>
                            <w:noWrap w:val="0"/>
                            <w:vAlign w:val="top"/>
                          </w:tcPr>
                          <w:p w14:paraId="453D0D04">
                            <w:pPr>
                              <w:pStyle w:val="749"/>
                              <w:rPr>
                                <w:rFonts w:ascii="宋体" w:hAnsi="宋体" w:cs="宋体"/>
                                <w:sz w:val="20"/>
                                <w:szCs w:val="20"/>
                              </w:rPr>
                            </w:pPr>
                          </w:p>
                          <w:p w14:paraId="659E3357">
                            <w:pPr>
                              <w:pStyle w:val="749"/>
                              <w:rPr>
                                <w:rFonts w:hint="eastAsia" w:ascii="宋体" w:hAnsi="宋体" w:cs="宋体"/>
                                <w:sz w:val="20"/>
                                <w:szCs w:val="20"/>
                              </w:rPr>
                            </w:pPr>
                          </w:p>
                          <w:p w14:paraId="49E7386F">
                            <w:pPr>
                              <w:pStyle w:val="749"/>
                              <w:spacing w:before="12"/>
                              <w:rPr>
                                <w:rFonts w:hint="eastAsia" w:ascii="宋体" w:hAnsi="宋体" w:cs="宋体"/>
                                <w:sz w:val="23"/>
                                <w:szCs w:val="23"/>
                              </w:rPr>
                            </w:pPr>
                          </w:p>
                          <w:p w14:paraId="28CE5A93">
                            <w:pPr>
                              <w:pStyle w:val="749"/>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097B1525">
                            <w:pPr>
                              <w:pStyle w:val="749"/>
                              <w:spacing w:before="50"/>
                              <w:ind w:left="7"/>
                              <w:rPr>
                                <w:rFonts w:ascii="宋体" w:hAnsi="宋体" w:cs="宋体"/>
                                <w:sz w:val="20"/>
                                <w:szCs w:val="20"/>
                              </w:rPr>
                            </w:pPr>
                            <w:r>
                              <w:rPr>
                                <w:rFonts w:hint="eastAsia" w:ascii="宋体" w:hAnsi="宋体" w:cs="宋体"/>
                                <w:w w:val="99"/>
                                <w:sz w:val="20"/>
                                <w:szCs w:val="20"/>
                              </w:rPr>
                              <w:t>机设备</w:t>
                            </w:r>
                          </w:p>
                        </w:tc>
                        <w:tc>
                          <w:tcPr>
                            <w:tcW w:w="1800" w:type="dxa"/>
                            <w:noWrap w:val="0"/>
                            <w:vAlign w:val="top"/>
                          </w:tcPr>
                          <w:p w14:paraId="6B027642">
                            <w:pPr>
                              <w:pStyle w:val="749"/>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noWrap w:val="0"/>
                            <w:vAlign w:val="top"/>
                          </w:tcPr>
                          <w:p w14:paraId="5442C3B9">
                            <w:pPr>
                              <w:rPr>
                                <w:rFonts w:ascii="Calibri" w:hAnsi="Calibri"/>
                                <w:sz w:val="22"/>
                                <w:szCs w:val="22"/>
                              </w:rPr>
                            </w:pPr>
                          </w:p>
                        </w:tc>
                        <w:tc>
                          <w:tcPr>
                            <w:tcW w:w="2966" w:type="dxa"/>
                            <w:noWrap w:val="0"/>
                            <w:vAlign w:val="top"/>
                          </w:tcPr>
                          <w:p w14:paraId="38845FCE">
                            <w:pPr>
                              <w:pStyle w:val="749"/>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93C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trPr>
                        <w:tc>
                          <w:tcPr>
                            <w:tcW w:w="574" w:type="dxa"/>
                            <w:vMerge w:val="continue"/>
                            <w:noWrap w:val="0"/>
                            <w:vAlign w:val="center"/>
                          </w:tcPr>
                          <w:p w14:paraId="5009DBA4">
                            <w:pPr>
                              <w:widowControl/>
                              <w:jc w:val="left"/>
                              <w:rPr>
                                <w:rFonts w:ascii="宋体" w:hAnsi="宋体" w:eastAsia="Times New Roman" w:cs="宋体"/>
                                <w:kern w:val="0"/>
                                <w:sz w:val="20"/>
                                <w:szCs w:val="20"/>
                              </w:rPr>
                            </w:pPr>
                          </w:p>
                        </w:tc>
                        <w:tc>
                          <w:tcPr>
                            <w:tcW w:w="1166" w:type="dxa"/>
                            <w:vMerge w:val="continue"/>
                            <w:noWrap w:val="0"/>
                            <w:vAlign w:val="center"/>
                          </w:tcPr>
                          <w:p w14:paraId="197779BC">
                            <w:pPr>
                              <w:widowControl/>
                              <w:jc w:val="left"/>
                              <w:rPr>
                                <w:rFonts w:ascii="宋体" w:hAnsi="宋体" w:eastAsia="Times New Roman" w:cs="宋体"/>
                                <w:kern w:val="0"/>
                                <w:sz w:val="20"/>
                                <w:szCs w:val="20"/>
                              </w:rPr>
                            </w:pPr>
                          </w:p>
                        </w:tc>
                        <w:tc>
                          <w:tcPr>
                            <w:tcW w:w="1800" w:type="dxa"/>
                            <w:noWrap w:val="0"/>
                            <w:vAlign w:val="top"/>
                          </w:tcPr>
                          <w:p w14:paraId="5DE2FEA7">
                            <w:pPr>
                              <w:pStyle w:val="749"/>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noWrap w:val="0"/>
                            <w:vAlign w:val="top"/>
                          </w:tcPr>
                          <w:p w14:paraId="5CE1FCA2">
                            <w:pPr>
                              <w:rPr>
                                <w:rFonts w:ascii="Calibri" w:hAnsi="Calibri"/>
                                <w:sz w:val="22"/>
                                <w:szCs w:val="22"/>
                              </w:rPr>
                            </w:pPr>
                          </w:p>
                        </w:tc>
                        <w:tc>
                          <w:tcPr>
                            <w:tcW w:w="2966" w:type="dxa"/>
                            <w:noWrap w:val="0"/>
                            <w:vAlign w:val="top"/>
                          </w:tcPr>
                          <w:p w14:paraId="4C5AD1C1">
                            <w:pPr>
                              <w:pStyle w:val="749"/>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594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exact"/>
                        </w:trPr>
                        <w:tc>
                          <w:tcPr>
                            <w:tcW w:w="574" w:type="dxa"/>
                            <w:vMerge w:val="continue"/>
                            <w:noWrap w:val="0"/>
                            <w:vAlign w:val="center"/>
                          </w:tcPr>
                          <w:p w14:paraId="3BAC11D5">
                            <w:pPr>
                              <w:widowControl/>
                              <w:jc w:val="left"/>
                              <w:rPr>
                                <w:rFonts w:ascii="宋体" w:hAnsi="宋体" w:eastAsia="Times New Roman" w:cs="宋体"/>
                                <w:kern w:val="0"/>
                                <w:sz w:val="20"/>
                                <w:szCs w:val="20"/>
                              </w:rPr>
                            </w:pPr>
                          </w:p>
                        </w:tc>
                        <w:tc>
                          <w:tcPr>
                            <w:tcW w:w="1166" w:type="dxa"/>
                            <w:vMerge w:val="continue"/>
                            <w:noWrap w:val="0"/>
                            <w:vAlign w:val="center"/>
                          </w:tcPr>
                          <w:p w14:paraId="3F14FACF">
                            <w:pPr>
                              <w:widowControl/>
                              <w:jc w:val="left"/>
                              <w:rPr>
                                <w:rFonts w:ascii="宋体" w:hAnsi="宋体" w:eastAsia="Times New Roman" w:cs="宋体"/>
                                <w:kern w:val="0"/>
                                <w:sz w:val="20"/>
                                <w:szCs w:val="20"/>
                              </w:rPr>
                            </w:pPr>
                          </w:p>
                        </w:tc>
                        <w:tc>
                          <w:tcPr>
                            <w:tcW w:w="1800" w:type="dxa"/>
                            <w:noWrap w:val="0"/>
                            <w:vAlign w:val="top"/>
                          </w:tcPr>
                          <w:p w14:paraId="3D67AFE3">
                            <w:pPr>
                              <w:pStyle w:val="749"/>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noWrap w:val="0"/>
                            <w:vAlign w:val="top"/>
                          </w:tcPr>
                          <w:p w14:paraId="51148726">
                            <w:pPr>
                              <w:rPr>
                                <w:rFonts w:ascii="Calibri" w:hAnsi="Calibri"/>
                                <w:sz w:val="22"/>
                                <w:szCs w:val="22"/>
                              </w:rPr>
                            </w:pPr>
                          </w:p>
                        </w:tc>
                        <w:tc>
                          <w:tcPr>
                            <w:tcW w:w="2966" w:type="dxa"/>
                            <w:noWrap w:val="0"/>
                            <w:vAlign w:val="top"/>
                          </w:tcPr>
                          <w:p w14:paraId="49381E0B">
                            <w:pPr>
                              <w:pStyle w:val="749"/>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B83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noWrap w:val="0"/>
                            <w:vAlign w:val="top"/>
                          </w:tcPr>
                          <w:p w14:paraId="25DE8839">
                            <w:pPr>
                              <w:pStyle w:val="749"/>
                              <w:rPr>
                                <w:rFonts w:ascii="宋体" w:hAnsi="宋体" w:cs="宋体"/>
                                <w:sz w:val="20"/>
                                <w:szCs w:val="20"/>
                                <w:lang w:eastAsia="zh-CN"/>
                              </w:rPr>
                            </w:pPr>
                          </w:p>
                          <w:p w14:paraId="21345D65">
                            <w:pPr>
                              <w:pStyle w:val="749"/>
                              <w:rPr>
                                <w:rFonts w:hint="eastAsia" w:ascii="宋体" w:hAnsi="宋体" w:cs="宋体"/>
                                <w:sz w:val="20"/>
                                <w:szCs w:val="20"/>
                                <w:lang w:eastAsia="zh-CN"/>
                              </w:rPr>
                            </w:pPr>
                          </w:p>
                          <w:p w14:paraId="735CC526">
                            <w:pPr>
                              <w:pStyle w:val="749"/>
                              <w:rPr>
                                <w:rFonts w:hint="eastAsia" w:ascii="宋体" w:hAnsi="宋体" w:cs="宋体"/>
                                <w:sz w:val="20"/>
                                <w:szCs w:val="20"/>
                                <w:lang w:eastAsia="zh-CN"/>
                              </w:rPr>
                            </w:pPr>
                          </w:p>
                          <w:p w14:paraId="655108FC">
                            <w:pPr>
                              <w:pStyle w:val="749"/>
                              <w:rPr>
                                <w:rFonts w:hint="eastAsia" w:ascii="宋体" w:hAnsi="宋体" w:cs="宋体"/>
                                <w:sz w:val="20"/>
                                <w:szCs w:val="20"/>
                                <w:lang w:eastAsia="zh-CN"/>
                              </w:rPr>
                            </w:pPr>
                          </w:p>
                          <w:p w14:paraId="546EDC76">
                            <w:pPr>
                              <w:pStyle w:val="749"/>
                              <w:rPr>
                                <w:rFonts w:hint="eastAsia" w:ascii="宋体" w:hAnsi="宋体" w:cs="宋体"/>
                                <w:sz w:val="20"/>
                                <w:szCs w:val="20"/>
                                <w:lang w:eastAsia="zh-CN"/>
                              </w:rPr>
                            </w:pPr>
                          </w:p>
                          <w:p w14:paraId="0C2005E9">
                            <w:pPr>
                              <w:pStyle w:val="749"/>
                              <w:rPr>
                                <w:rFonts w:hint="eastAsia" w:ascii="宋体" w:hAnsi="宋体" w:cs="宋体"/>
                                <w:sz w:val="20"/>
                                <w:szCs w:val="20"/>
                                <w:lang w:eastAsia="zh-CN"/>
                              </w:rPr>
                            </w:pPr>
                          </w:p>
                          <w:p w14:paraId="60E6FB06">
                            <w:pPr>
                              <w:pStyle w:val="749"/>
                              <w:rPr>
                                <w:rFonts w:hint="eastAsia" w:ascii="宋体" w:hAnsi="宋体" w:cs="宋体"/>
                                <w:sz w:val="20"/>
                                <w:szCs w:val="20"/>
                                <w:lang w:eastAsia="zh-CN"/>
                              </w:rPr>
                            </w:pPr>
                          </w:p>
                          <w:p w14:paraId="118DDE2A">
                            <w:pPr>
                              <w:pStyle w:val="749"/>
                              <w:spacing w:before="2"/>
                              <w:rPr>
                                <w:rFonts w:hint="eastAsia" w:ascii="宋体" w:hAnsi="宋体" w:cs="宋体"/>
                                <w:sz w:val="14"/>
                                <w:szCs w:val="14"/>
                                <w:lang w:eastAsia="zh-CN"/>
                              </w:rPr>
                            </w:pPr>
                          </w:p>
                          <w:p w14:paraId="3DB01F0F">
                            <w:pPr>
                              <w:pStyle w:val="749"/>
                              <w:ind w:right="1"/>
                              <w:jc w:val="center"/>
                              <w:rPr>
                                <w:rFonts w:ascii="宋体" w:hAnsi="宋体" w:cs="宋体"/>
                                <w:sz w:val="20"/>
                                <w:szCs w:val="20"/>
                              </w:rPr>
                            </w:pPr>
                            <w:r>
                              <w:rPr>
                                <w:rFonts w:hint="eastAsia" w:ascii="宋体"/>
                                <w:w w:val="99"/>
                                <w:sz w:val="20"/>
                              </w:rPr>
                              <w:t>2</w:t>
                            </w:r>
                          </w:p>
                        </w:tc>
                        <w:tc>
                          <w:tcPr>
                            <w:tcW w:w="1166" w:type="dxa"/>
                            <w:vMerge w:val="restart"/>
                            <w:noWrap w:val="0"/>
                            <w:vAlign w:val="top"/>
                          </w:tcPr>
                          <w:p w14:paraId="6A060A25">
                            <w:pPr>
                              <w:pStyle w:val="749"/>
                              <w:rPr>
                                <w:rFonts w:ascii="宋体" w:hAnsi="宋体" w:cs="宋体"/>
                                <w:sz w:val="20"/>
                                <w:szCs w:val="20"/>
                              </w:rPr>
                            </w:pPr>
                          </w:p>
                          <w:p w14:paraId="7E2EB44A">
                            <w:pPr>
                              <w:pStyle w:val="749"/>
                              <w:rPr>
                                <w:rFonts w:hint="eastAsia" w:ascii="宋体" w:hAnsi="宋体" w:cs="宋体"/>
                                <w:sz w:val="20"/>
                                <w:szCs w:val="20"/>
                              </w:rPr>
                            </w:pPr>
                          </w:p>
                          <w:p w14:paraId="11A49BBC">
                            <w:pPr>
                              <w:pStyle w:val="749"/>
                              <w:rPr>
                                <w:rFonts w:hint="eastAsia" w:ascii="宋体" w:hAnsi="宋体" w:cs="宋体"/>
                                <w:sz w:val="20"/>
                                <w:szCs w:val="20"/>
                              </w:rPr>
                            </w:pPr>
                          </w:p>
                          <w:p w14:paraId="1C4A19E7">
                            <w:pPr>
                              <w:pStyle w:val="749"/>
                              <w:rPr>
                                <w:rFonts w:hint="eastAsia" w:ascii="宋体" w:hAnsi="宋体" w:cs="宋体"/>
                                <w:sz w:val="20"/>
                                <w:szCs w:val="20"/>
                              </w:rPr>
                            </w:pPr>
                          </w:p>
                          <w:p w14:paraId="44598EE9">
                            <w:pPr>
                              <w:pStyle w:val="749"/>
                              <w:rPr>
                                <w:rFonts w:hint="eastAsia" w:ascii="宋体" w:hAnsi="宋体" w:cs="宋体"/>
                                <w:sz w:val="20"/>
                                <w:szCs w:val="20"/>
                              </w:rPr>
                            </w:pPr>
                          </w:p>
                          <w:p w14:paraId="4026ACC1">
                            <w:pPr>
                              <w:pStyle w:val="749"/>
                              <w:rPr>
                                <w:rFonts w:hint="eastAsia" w:ascii="宋体" w:hAnsi="宋体" w:cs="宋体"/>
                                <w:sz w:val="20"/>
                                <w:szCs w:val="20"/>
                              </w:rPr>
                            </w:pPr>
                          </w:p>
                          <w:p w14:paraId="232763AF">
                            <w:pPr>
                              <w:pStyle w:val="749"/>
                              <w:spacing w:before="3"/>
                              <w:rPr>
                                <w:rFonts w:hint="eastAsia" w:ascii="宋体" w:hAnsi="宋体" w:cs="宋体"/>
                              </w:rPr>
                            </w:pPr>
                          </w:p>
                          <w:p w14:paraId="71DDAEF7">
                            <w:pPr>
                              <w:pStyle w:val="749"/>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53689C3F">
                            <w:pPr>
                              <w:pStyle w:val="749"/>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noWrap w:val="0"/>
                            <w:vAlign w:val="top"/>
                          </w:tcPr>
                          <w:p w14:paraId="3AB24B6D">
                            <w:pPr>
                              <w:pStyle w:val="749"/>
                              <w:rPr>
                                <w:rFonts w:ascii="宋体" w:hAnsi="宋体" w:cs="宋体"/>
                                <w:sz w:val="20"/>
                                <w:szCs w:val="20"/>
                              </w:rPr>
                            </w:pPr>
                          </w:p>
                          <w:p w14:paraId="0B3C633C">
                            <w:pPr>
                              <w:pStyle w:val="749"/>
                              <w:rPr>
                                <w:rFonts w:hint="eastAsia" w:ascii="宋体" w:hAnsi="宋体" w:cs="宋体"/>
                                <w:sz w:val="20"/>
                                <w:szCs w:val="20"/>
                              </w:rPr>
                            </w:pPr>
                          </w:p>
                          <w:p w14:paraId="22EB88D0">
                            <w:pPr>
                              <w:pStyle w:val="749"/>
                              <w:rPr>
                                <w:rFonts w:hint="eastAsia" w:ascii="宋体" w:hAnsi="宋体" w:cs="宋体"/>
                                <w:sz w:val="20"/>
                                <w:szCs w:val="20"/>
                              </w:rPr>
                            </w:pPr>
                          </w:p>
                          <w:p w14:paraId="3860804B">
                            <w:pPr>
                              <w:pStyle w:val="749"/>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noWrap w:val="0"/>
                            <w:vAlign w:val="top"/>
                          </w:tcPr>
                          <w:p w14:paraId="452106C5">
                            <w:pPr>
                              <w:pStyle w:val="749"/>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50F03215">
                            <w:pPr>
                              <w:pStyle w:val="749"/>
                              <w:spacing w:before="50"/>
                              <w:ind w:left="7"/>
                              <w:rPr>
                                <w:rFonts w:ascii="宋体" w:hAnsi="宋体" w:cs="宋体"/>
                                <w:sz w:val="20"/>
                                <w:szCs w:val="20"/>
                              </w:rPr>
                            </w:pPr>
                            <w:r>
                              <w:rPr>
                                <w:rFonts w:hint="eastAsia" w:ascii="宋体" w:hAnsi="宋体" w:cs="宋体"/>
                                <w:w w:val="99"/>
                                <w:sz w:val="20"/>
                                <w:szCs w:val="20"/>
                              </w:rPr>
                              <w:t>印机</w:t>
                            </w:r>
                          </w:p>
                        </w:tc>
                        <w:tc>
                          <w:tcPr>
                            <w:tcW w:w="2966" w:type="dxa"/>
                            <w:noWrap w:val="0"/>
                            <w:vAlign w:val="top"/>
                          </w:tcPr>
                          <w:p w14:paraId="66060090">
                            <w:pPr>
                              <w:pStyle w:val="74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063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6569C488">
                            <w:pPr>
                              <w:widowControl/>
                              <w:jc w:val="left"/>
                              <w:rPr>
                                <w:rFonts w:ascii="宋体" w:hAnsi="宋体" w:eastAsia="Times New Roman" w:cs="宋体"/>
                                <w:kern w:val="0"/>
                                <w:sz w:val="20"/>
                                <w:szCs w:val="20"/>
                              </w:rPr>
                            </w:pPr>
                          </w:p>
                        </w:tc>
                        <w:tc>
                          <w:tcPr>
                            <w:tcW w:w="1166" w:type="dxa"/>
                            <w:vMerge w:val="continue"/>
                            <w:noWrap w:val="0"/>
                            <w:vAlign w:val="center"/>
                          </w:tcPr>
                          <w:p w14:paraId="64E2BCCD">
                            <w:pPr>
                              <w:widowControl/>
                              <w:jc w:val="left"/>
                              <w:rPr>
                                <w:rFonts w:ascii="宋体" w:hAnsi="宋体" w:eastAsia="Times New Roman" w:cs="宋体"/>
                                <w:kern w:val="0"/>
                                <w:sz w:val="20"/>
                                <w:szCs w:val="20"/>
                              </w:rPr>
                            </w:pPr>
                          </w:p>
                        </w:tc>
                        <w:tc>
                          <w:tcPr>
                            <w:tcW w:w="1800" w:type="dxa"/>
                            <w:vMerge w:val="continue"/>
                            <w:noWrap w:val="0"/>
                            <w:vAlign w:val="center"/>
                          </w:tcPr>
                          <w:p w14:paraId="0B1EBF5F">
                            <w:pPr>
                              <w:widowControl/>
                              <w:jc w:val="left"/>
                              <w:rPr>
                                <w:rFonts w:ascii="宋体" w:hAnsi="宋体" w:eastAsia="Times New Roman" w:cs="宋体"/>
                                <w:kern w:val="0"/>
                                <w:sz w:val="20"/>
                                <w:szCs w:val="20"/>
                              </w:rPr>
                            </w:pPr>
                          </w:p>
                        </w:tc>
                        <w:tc>
                          <w:tcPr>
                            <w:tcW w:w="1916" w:type="dxa"/>
                            <w:noWrap w:val="0"/>
                            <w:vAlign w:val="top"/>
                          </w:tcPr>
                          <w:p w14:paraId="3903AF34">
                            <w:pPr>
                              <w:pStyle w:val="749"/>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54D3CF08">
                            <w:pPr>
                              <w:pStyle w:val="749"/>
                              <w:spacing w:before="50"/>
                              <w:ind w:left="7"/>
                              <w:rPr>
                                <w:rFonts w:ascii="宋体" w:hAnsi="宋体" w:cs="宋体"/>
                                <w:sz w:val="20"/>
                                <w:szCs w:val="20"/>
                              </w:rPr>
                            </w:pPr>
                            <w:r>
                              <w:rPr>
                                <w:rFonts w:hint="eastAsia" w:ascii="宋体" w:hAnsi="宋体" w:cs="宋体"/>
                                <w:w w:val="99"/>
                                <w:sz w:val="20"/>
                                <w:szCs w:val="20"/>
                              </w:rPr>
                              <w:t>打印机</w:t>
                            </w:r>
                          </w:p>
                        </w:tc>
                        <w:tc>
                          <w:tcPr>
                            <w:tcW w:w="2966" w:type="dxa"/>
                            <w:noWrap w:val="0"/>
                            <w:vAlign w:val="top"/>
                          </w:tcPr>
                          <w:p w14:paraId="3735B9D3">
                            <w:pPr>
                              <w:pStyle w:val="74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939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noWrap w:val="0"/>
                            <w:vAlign w:val="center"/>
                          </w:tcPr>
                          <w:p w14:paraId="3BC5B6C9">
                            <w:pPr>
                              <w:widowControl/>
                              <w:jc w:val="left"/>
                              <w:rPr>
                                <w:rFonts w:ascii="宋体" w:hAnsi="宋体" w:eastAsia="Times New Roman" w:cs="宋体"/>
                                <w:kern w:val="0"/>
                                <w:sz w:val="20"/>
                                <w:szCs w:val="20"/>
                              </w:rPr>
                            </w:pPr>
                          </w:p>
                        </w:tc>
                        <w:tc>
                          <w:tcPr>
                            <w:tcW w:w="1166" w:type="dxa"/>
                            <w:vMerge w:val="continue"/>
                            <w:noWrap w:val="0"/>
                            <w:vAlign w:val="center"/>
                          </w:tcPr>
                          <w:p w14:paraId="101C31C7">
                            <w:pPr>
                              <w:widowControl/>
                              <w:jc w:val="left"/>
                              <w:rPr>
                                <w:rFonts w:ascii="宋体" w:hAnsi="宋体" w:eastAsia="Times New Roman" w:cs="宋体"/>
                                <w:kern w:val="0"/>
                                <w:sz w:val="20"/>
                                <w:szCs w:val="20"/>
                              </w:rPr>
                            </w:pPr>
                          </w:p>
                        </w:tc>
                        <w:tc>
                          <w:tcPr>
                            <w:tcW w:w="1800" w:type="dxa"/>
                            <w:vMerge w:val="continue"/>
                            <w:noWrap w:val="0"/>
                            <w:vAlign w:val="center"/>
                          </w:tcPr>
                          <w:p w14:paraId="7278B501">
                            <w:pPr>
                              <w:widowControl/>
                              <w:jc w:val="left"/>
                              <w:rPr>
                                <w:rFonts w:ascii="宋体" w:hAnsi="宋体" w:eastAsia="Times New Roman" w:cs="宋体"/>
                                <w:kern w:val="0"/>
                                <w:sz w:val="20"/>
                                <w:szCs w:val="20"/>
                              </w:rPr>
                            </w:pPr>
                          </w:p>
                        </w:tc>
                        <w:tc>
                          <w:tcPr>
                            <w:tcW w:w="1916" w:type="dxa"/>
                            <w:noWrap w:val="0"/>
                            <w:vAlign w:val="top"/>
                          </w:tcPr>
                          <w:p w14:paraId="2388AC0D">
                            <w:pPr>
                              <w:pStyle w:val="749"/>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2776C43F">
                            <w:pPr>
                              <w:pStyle w:val="749"/>
                              <w:spacing w:before="50"/>
                              <w:ind w:left="7"/>
                              <w:rPr>
                                <w:rFonts w:ascii="宋体" w:hAnsi="宋体" w:cs="宋体"/>
                                <w:sz w:val="20"/>
                                <w:szCs w:val="20"/>
                              </w:rPr>
                            </w:pPr>
                            <w:r>
                              <w:rPr>
                                <w:rFonts w:hint="eastAsia" w:ascii="宋体" w:hAnsi="宋体" w:cs="宋体"/>
                                <w:w w:val="99"/>
                                <w:sz w:val="20"/>
                                <w:szCs w:val="20"/>
                              </w:rPr>
                              <w:t>打印机</w:t>
                            </w:r>
                          </w:p>
                        </w:tc>
                        <w:tc>
                          <w:tcPr>
                            <w:tcW w:w="2966" w:type="dxa"/>
                            <w:noWrap w:val="0"/>
                            <w:vAlign w:val="top"/>
                          </w:tcPr>
                          <w:p w14:paraId="2D494648">
                            <w:pPr>
                              <w:pStyle w:val="74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5A8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exact"/>
                        </w:trPr>
                        <w:tc>
                          <w:tcPr>
                            <w:tcW w:w="574" w:type="dxa"/>
                            <w:vMerge w:val="continue"/>
                            <w:noWrap w:val="0"/>
                            <w:vAlign w:val="center"/>
                          </w:tcPr>
                          <w:p w14:paraId="6BDAF6E1">
                            <w:pPr>
                              <w:widowControl/>
                              <w:jc w:val="left"/>
                              <w:rPr>
                                <w:rFonts w:ascii="宋体" w:hAnsi="宋体" w:eastAsia="Times New Roman" w:cs="宋体"/>
                                <w:kern w:val="0"/>
                                <w:sz w:val="20"/>
                                <w:szCs w:val="20"/>
                              </w:rPr>
                            </w:pPr>
                          </w:p>
                        </w:tc>
                        <w:tc>
                          <w:tcPr>
                            <w:tcW w:w="1166" w:type="dxa"/>
                            <w:vMerge w:val="continue"/>
                            <w:noWrap w:val="0"/>
                            <w:vAlign w:val="center"/>
                          </w:tcPr>
                          <w:p w14:paraId="434006E6">
                            <w:pPr>
                              <w:widowControl/>
                              <w:jc w:val="left"/>
                              <w:rPr>
                                <w:rFonts w:ascii="宋体" w:hAnsi="宋体" w:eastAsia="Times New Roman" w:cs="宋体"/>
                                <w:kern w:val="0"/>
                                <w:sz w:val="20"/>
                                <w:szCs w:val="20"/>
                              </w:rPr>
                            </w:pPr>
                          </w:p>
                        </w:tc>
                        <w:tc>
                          <w:tcPr>
                            <w:tcW w:w="1800" w:type="dxa"/>
                            <w:noWrap w:val="0"/>
                            <w:vAlign w:val="top"/>
                          </w:tcPr>
                          <w:p w14:paraId="715C2B28">
                            <w:pPr>
                              <w:pStyle w:val="749"/>
                              <w:spacing w:before="2"/>
                              <w:rPr>
                                <w:rFonts w:ascii="宋体" w:hAnsi="宋体" w:cs="宋体"/>
                                <w:sz w:val="17"/>
                                <w:szCs w:val="17"/>
                                <w:lang w:eastAsia="zh-CN"/>
                              </w:rPr>
                            </w:pPr>
                          </w:p>
                          <w:p w14:paraId="15CDCDFD">
                            <w:pPr>
                              <w:pStyle w:val="74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noWrap w:val="0"/>
                            <w:vAlign w:val="top"/>
                          </w:tcPr>
                          <w:p w14:paraId="3193C49C">
                            <w:pPr>
                              <w:pStyle w:val="749"/>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6E107BC8">
                            <w:pPr>
                              <w:pStyle w:val="749"/>
                              <w:spacing w:before="50"/>
                              <w:ind w:left="7"/>
                              <w:rPr>
                                <w:rFonts w:ascii="宋体" w:hAnsi="宋体" w:cs="宋体"/>
                                <w:sz w:val="20"/>
                                <w:szCs w:val="20"/>
                              </w:rPr>
                            </w:pPr>
                            <w:r>
                              <w:rPr>
                                <w:rFonts w:hint="eastAsia" w:ascii="宋体" w:hAnsi="宋体" w:cs="宋体"/>
                                <w:w w:val="99"/>
                                <w:sz w:val="20"/>
                                <w:szCs w:val="20"/>
                              </w:rPr>
                              <w:t>显示器</w:t>
                            </w:r>
                          </w:p>
                        </w:tc>
                        <w:tc>
                          <w:tcPr>
                            <w:tcW w:w="2966" w:type="dxa"/>
                            <w:noWrap w:val="0"/>
                            <w:vAlign w:val="top"/>
                          </w:tcPr>
                          <w:p w14:paraId="542A274D">
                            <w:pPr>
                              <w:pStyle w:val="749"/>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495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exact"/>
                        </w:trPr>
                        <w:tc>
                          <w:tcPr>
                            <w:tcW w:w="574" w:type="dxa"/>
                            <w:vMerge w:val="continue"/>
                            <w:noWrap w:val="0"/>
                            <w:vAlign w:val="center"/>
                          </w:tcPr>
                          <w:p w14:paraId="6D68EB33">
                            <w:pPr>
                              <w:widowControl/>
                              <w:jc w:val="left"/>
                              <w:rPr>
                                <w:rFonts w:ascii="宋体" w:hAnsi="宋体" w:eastAsia="Times New Roman" w:cs="宋体"/>
                                <w:kern w:val="0"/>
                                <w:sz w:val="20"/>
                                <w:szCs w:val="20"/>
                              </w:rPr>
                            </w:pPr>
                          </w:p>
                        </w:tc>
                        <w:tc>
                          <w:tcPr>
                            <w:tcW w:w="1166" w:type="dxa"/>
                            <w:vMerge w:val="continue"/>
                            <w:noWrap w:val="0"/>
                            <w:vAlign w:val="center"/>
                          </w:tcPr>
                          <w:p w14:paraId="7616D58F">
                            <w:pPr>
                              <w:widowControl/>
                              <w:jc w:val="left"/>
                              <w:rPr>
                                <w:rFonts w:ascii="宋体" w:hAnsi="宋体" w:eastAsia="Times New Roman" w:cs="宋体"/>
                                <w:kern w:val="0"/>
                                <w:sz w:val="20"/>
                                <w:szCs w:val="20"/>
                              </w:rPr>
                            </w:pPr>
                          </w:p>
                        </w:tc>
                        <w:tc>
                          <w:tcPr>
                            <w:tcW w:w="1800" w:type="dxa"/>
                            <w:noWrap w:val="0"/>
                            <w:vAlign w:val="top"/>
                          </w:tcPr>
                          <w:p w14:paraId="30C3DABC">
                            <w:pPr>
                              <w:pStyle w:val="749"/>
                              <w:spacing w:before="8"/>
                              <w:rPr>
                                <w:rFonts w:ascii="宋体" w:hAnsi="宋体" w:cs="宋体"/>
                                <w:sz w:val="27"/>
                                <w:szCs w:val="27"/>
                                <w:lang w:eastAsia="zh-CN"/>
                              </w:rPr>
                            </w:pPr>
                          </w:p>
                          <w:p w14:paraId="02D2089E">
                            <w:pPr>
                              <w:pStyle w:val="749"/>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noWrap w:val="0"/>
                            <w:vAlign w:val="top"/>
                          </w:tcPr>
                          <w:p w14:paraId="577782DC">
                            <w:pPr>
                              <w:pStyle w:val="749"/>
                              <w:rPr>
                                <w:rFonts w:ascii="宋体" w:hAnsi="宋体" w:cs="宋体"/>
                                <w:sz w:val="20"/>
                                <w:szCs w:val="20"/>
                              </w:rPr>
                            </w:pPr>
                          </w:p>
                          <w:p w14:paraId="262E8F2D">
                            <w:pPr>
                              <w:pStyle w:val="749"/>
                              <w:spacing w:before="7"/>
                              <w:rPr>
                                <w:rFonts w:hint="eastAsia" w:ascii="宋体" w:hAnsi="宋体" w:cs="宋体"/>
                                <w:sz w:val="19"/>
                                <w:szCs w:val="19"/>
                              </w:rPr>
                            </w:pPr>
                          </w:p>
                          <w:p w14:paraId="54542AFF">
                            <w:pPr>
                              <w:pStyle w:val="74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noWrap w:val="0"/>
                            <w:vAlign w:val="top"/>
                          </w:tcPr>
                          <w:p w14:paraId="54804D49">
                            <w:pPr>
                              <w:pStyle w:val="749"/>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17460E1B">
                            <w:pPr>
                              <w:pStyle w:val="749"/>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3282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exact"/>
                        </w:trPr>
                        <w:tc>
                          <w:tcPr>
                            <w:tcW w:w="574" w:type="dxa"/>
                            <w:noWrap w:val="0"/>
                            <w:vAlign w:val="top"/>
                          </w:tcPr>
                          <w:p w14:paraId="4D540084">
                            <w:pPr>
                              <w:pStyle w:val="749"/>
                              <w:spacing w:before="179"/>
                              <w:ind w:right="1"/>
                              <w:jc w:val="center"/>
                              <w:rPr>
                                <w:rFonts w:ascii="宋体" w:hAnsi="宋体" w:cs="宋体"/>
                                <w:sz w:val="20"/>
                                <w:szCs w:val="20"/>
                              </w:rPr>
                            </w:pPr>
                            <w:r>
                              <w:rPr>
                                <w:rFonts w:hint="eastAsia" w:ascii="宋体"/>
                                <w:w w:val="99"/>
                                <w:sz w:val="20"/>
                              </w:rPr>
                              <w:t>3</w:t>
                            </w:r>
                          </w:p>
                        </w:tc>
                        <w:tc>
                          <w:tcPr>
                            <w:tcW w:w="1166" w:type="dxa"/>
                            <w:noWrap w:val="0"/>
                            <w:vAlign w:val="top"/>
                          </w:tcPr>
                          <w:p w14:paraId="55BB0DB7">
                            <w:pPr>
                              <w:pStyle w:val="749"/>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11B26923">
                            <w:pPr>
                              <w:pStyle w:val="749"/>
                              <w:spacing w:before="50"/>
                              <w:ind w:left="7"/>
                              <w:rPr>
                                <w:rFonts w:ascii="宋体" w:hAnsi="宋体" w:cs="宋体"/>
                                <w:sz w:val="20"/>
                                <w:szCs w:val="20"/>
                              </w:rPr>
                            </w:pPr>
                            <w:r>
                              <w:rPr>
                                <w:rFonts w:hint="eastAsia" w:ascii="宋体" w:hAnsi="宋体" w:cs="宋体"/>
                                <w:w w:val="99"/>
                                <w:sz w:val="20"/>
                                <w:szCs w:val="20"/>
                              </w:rPr>
                              <w:t>仪</w:t>
                            </w:r>
                          </w:p>
                        </w:tc>
                        <w:tc>
                          <w:tcPr>
                            <w:tcW w:w="1800" w:type="dxa"/>
                            <w:noWrap w:val="0"/>
                            <w:vAlign w:val="top"/>
                          </w:tcPr>
                          <w:p w14:paraId="375D77B9">
                            <w:pPr>
                              <w:rPr>
                                <w:rFonts w:ascii="Calibri" w:hAnsi="Calibri"/>
                                <w:sz w:val="22"/>
                                <w:szCs w:val="22"/>
                              </w:rPr>
                            </w:pPr>
                          </w:p>
                        </w:tc>
                        <w:tc>
                          <w:tcPr>
                            <w:tcW w:w="1916" w:type="dxa"/>
                            <w:noWrap w:val="0"/>
                            <w:vAlign w:val="top"/>
                          </w:tcPr>
                          <w:p w14:paraId="1FD96721">
                            <w:pPr>
                              <w:rPr>
                                <w:rFonts w:ascii="Calibri" w:hAnsi="Calibri"/>
                                <w:sz w:val="22"/>
                                <w:szCs w:val="22"/>
                              </w:rPr>
                            </w:pPr>
                          </w:p>
                        </w:tc>
                        <w:tc>
                          <w:tcPr>
                            <w:tcW w:w="2966" w:type="dxa"/>
                            <w:noWrap w:val="0"/>
                            <w:vAlign w:val="top"/>
                          </w:tcPr>
                          <w:p w14:paraId="29952C97">
                            <w:pPr>
                              <w:pStyle w:val="749"/>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7908D3A8">
                            <w:pPr>
                              <w:pStyle w:val="749"/>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706B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exact"/>
                        </w:trPr>
                        <w:tc>
                          <w:tcPr>
                            <w:tcW w:w="574" w:type="dxa"/>
                            <w:noWrap w:val="0"/>
                            <w:vAlign w:val="top"/>
                          </w:tcPr>
                          <w:p w14:paraId="14212D88">
                            <w:pPr>
                              <w:pStyle w:val="749"/>
                              <w:spacing w:before="13"/>
                              <w:rPr>
                                <w:rFonts w:ascii="宋体" w:hAnsi="宋体" w:cs="宋体"/>
                                <w:sz w:val="16"/>
                                <w:szCs w:val="16"/>
                              </w:rPr>
                            </w:pPr>
                          </w:p>
                          <w:p w14:paraId="101E81C6">
                            <w:pPr>
                              <w:pStyle w:val="749"/>
                              <w:ind w:right="1"/>
                              <w:jc w:val="center"/>
                              <w:rPr>
                                <w:rFonts w:ascii="宋体" w:hAnsi="宋体" w:cs="宋体"/>
                                <w:sz w:val="20"/>
                                <w:szCs w:val="20"/>
                              </w:rPr>
                            </w:pPr>
                            <w:r>
                              <w:rPr>
                                <w:rFonts w:hint="eastAsia" w:ascii="宋体"/>
                                <w:w w:val="99"/>
                                <w:sz w:val="20"/>
                              </w:rPr>
                              <w:t>4</w:t>
                            </w:r>
                          </w:p>
                        </w:tc>
                        <w:tc>
                          <w:tcPr>
                            <w:tcW w:w="1166" w:type="dxa"/>
                            <w:noWrap w:val="0"/>
                            <w:vAlign w:val="top"/>
                          </w:tcPr>
                          <w:p w14:paraId="53F10EB4">
                            <w:pPr>
                              <w:pStyle w:val="749"/>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427EAFA2">
                            <w:pPr>
                              <w:pStyle w:val="749"/>
                              <w:spacing w:before="50"/>
                              <w:ind w:left="7"/>
                              <w:rPr>
                                <w:rFonts w:ascii="宋体" w:hAnsi="宋体" w:cs="宋体"/>
                                <w:sz w:val="20"/>
                                <w:szCs w:val="20"/>
                              </w:rPr>
                            </w:pPr>
                            <w:r>
                              <w:rPr>
                                <w:rFonts w:hint="eastAsia" w:ascii="宋体" w:hAnsi="宋体" w:cs="宋体"/>
                                <w:w w:val="99"/>
                                <w:sz w:val="20"/>
                                <w:szCs w:val="20"/>
                              </w:rPr>
                              <w:t>能一体机</w:t>
                            </w:r>
                          </w:p>
                        </w:tc>
                        <w:tc>
                          <w:tcPr>
                            <w:tcW w:w="1800" w:type="dxa"/>
                            <w:noWrap w:val="0"/>
                            <w:vAlign w:val="top"/>
                          </w:tcPr>
                          <w:p w14:paraId="1F332323">
                            <w:pPr>
                              <w:rPr>
                                <w:rFonts w:ascii="Calibri" w:hAnsi="Calibri"/>
                                <w:sz w:val="22"/>
                                <w:szCs w:val="22"/>
                              </w:rPr>
                            </w:pPr>
                          </w:p>
                        </w:tc>
                        <w:tc>
                          <w:tcPr>
                            <w:tcW w:w="1916" w:type="dxa"/>
                            <w:noWrap w:val="0"/>
                            <w:vAlign w:val="top"/>
                          </w:tcPr>
                          <w:p w14:paraId="54251677">
                            <w:pPr>
                              <w:rPr>
                                <w:rFonts w:ascii="Calibri" w:hAnsi="Calibri"/>
                                <w:sz w:val="22"/>
                                <w:szCs w:val="22"/>
                              </w:rPr>
                            </w:pPr>
                          </w:p>
                        </w:tc>
                        <w:tc>
                          <w:tcPr>
                            <w:tcW w:w="2966" w:type="dxa"/>
                            <w:noWrap w:val="0"/>
                            <w:vAlign w:val="top"/>
                          </w:tcPr>
                          <w:p w14:paraId="502315A8">
                            <w:pPr>
                              <w:pStyle w:val="749"/>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761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trPr>
                        <w:tc>
                          <w:tcPr>
                            <w:tcW w:w="574" w:type="dxa"/>
                            <w:noWrap w:val="0"/>
                            <w:vAlign w:val="top"/>
                          </w:tcPr>
                          <w:p w14:paraId="3386F647">
                            <w:pPr>
                              <w:pStyle w:val="749"/>
                              <w:spacing w:before="160"/>
                              <w:ind w:right="1"/>
                              <w:jc w:val="center"/>
                              <w:rPr>
                                <w:rFonts w:ascii="宋体" w:hAnsi="宋体" w:cs="宋体"/>
                                <w:sz w:val="20"/>
                                <w:szCs w:val="20"/>
                              </w:rPr>
                            </w:pPr>
                            <w:r>
                              <w:rPr>
                                <w:rFonts w:hint="eastAsia" w:ascii="宋体"/>
                                <w:w w:val="99"/>
                                <w:sz w:val="20"/>
                              </w:rPr>
                              <w:t>5</w:t>
                            </w:r>
                          </w:p>
                        </w:tc>
                        <w:tc>
                          <w:tcPr>
                            <w:tcW w:w="1166" w:type="dxa"/>
                            <w:noWrap w:val="0"/>
                            <w:vAlign w:val="top"/>
                          </w:tcPr>
                          <w:p w14:paraId="7C274BBF">
                            <w:pPr>
                              <w:pStyle w:val="749"/>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noWrap w:val="0"/>
                            <w:vAlign w:val="top"/>
                          </w:tcPr>
                          <w:p w14:paraId="2F94C719">
                            <w:pPr>
                              <w:pStyle w:val="749"/>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noWrap w:val="0"/>
                            <w:vAlign w:val="top"/>
                          </w:tcPr>
                          <w:p w14:paraId="50D2AEBD">
                            <w:pPr>
                              <w:rPr>
                                <w:rFonts w:ascii="Calibri" w:hAnsi="Calibri"/>
                                <w:sz w:val="22"/>
                                <w:szCs w:val="22"/>
                              </w:rPr>
                            </w:pPr>
                          </w:p>
                        </w:tc>
                        <w:tc>
                          <w:tcPr>
                            <w:tcW w:w="2966" w:type="dxa"/>
                            <w:noWrap w:val="0"/>
                            <w:vAlign w:val="top"/>
                          </w:tcPr>
                          <w:p w14:paraId="5DF7457B">
                            <w:pPr>
                              <w:pStyle w:val="749"/>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24B5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exact"/>
                        </w:trPr>
                        <w:tc>
                          <w:tcPr>
                            <w:tcW w:w="574" w:type="dxa"/>
                            <w:vMerge w:val="restart"/>
                            <w:noWrap w:val="0"/>
                            <w:vAlign w:val="top"/>
                          </w:tcPr>
                          <w:p w14:paraId="269AAD3C">
                            <w:pPr>
                              <w:pStyle w:val="749"/>
                              <w:rPr>
                                <w:rFonts w:ascii="宋体" w:hAnsi="宋体" w:cs="宋体"/>
                                <w:sz w:val="20"/>
                                <w:szCs w:val="20"/>
                                <w:lang w:eastAsia="zh-CN"/>
                              </w:rPr>
                            </w:pPr>
                          </w:p>
                          <w:p w14:paraId="0E37A366">
                            <w:pPr>
                              <w:pStyle w:val="749"/>
                              <w:rPr>
                                <w:rFonts w:hint="eastAsia" w:ascii="宋体" w:hAnsi="宋体" w:cs="宋体"/>
                                <w:sz w:val="20"/>
                                <w:szCs w:val="20"/>
                                <w:lang w:eastAsia="zh-CN"/>
                              </w:rPr>
                            </w:pPr>
                          </w:p>
                          <w:p w14:paraId="7F35534E">
                            <w:pPr>
                              <w:pStyle w:val="749"/>
                              <w:spacing w:before="7"/>
                              <w:rPr>
                                <w:rFonts w:hint="eastAsia" w:ascii="宋体" w:hAnsi="宋体" w:cs="宋体"/>
                                <w:sz w:val="26"/>
                                <w:szCs w:val="26"/>
                                <w:lang w:eastAsia="zh-CN"/>
                              </w:rPr>
                            </w:pPr>
                          </w:p>
                          <w:p w14:paraId="46477367">
                            <w:pPr>
                              <w:pStyle w:val="749"/>
                              <w:ind w:right="1"/>
                              <w:jc w:val="center"/>
                              <w:rPr>
                                <w:rFonts w:ascii="宋体" w:hAnsi="宋体" w:cs="宋体"/>
                                <w:sz w:val="20"/>
                                <w:szCs w:val="20"/>
                              </w:rPr>
                            </w:pPr>
                            <w:r>
                              <w:rPr>
                                <w:rFonts w:hint="eastAsia" w:ascii="宋体"/>
                                <w:w w:val="99"/>
                                <w:sz w:val="20"/>
                              </w:rPr>
                              <w:t>6</w:t>
                            </w:r>
                          </w:p>
                        </w:tc>
                        <w:tc>
                          <w:tcPr>
                            <w:tcW w:w="1166" w:type="dxa"/>
                            <w:vMerge w:val="restart"/>
                            <w:noWrap w:val="0"/>
                            <w:vAlign w:val="top"/>
                          </w:tcPr>
                          <w:p w14:paraId="04CBF288">
                            <w:pPr>
                              <w:pStyle w:val="749"/>
                              <w:rPr>
                                <w:rFonts w:ascii="宋体" w:hAnsi="宋体" w:cs="宋体"/>
                                <w:sz w:val="20"/>
                                <w:szCs w:val="20"/>
                              </w:rPr>
                            </w:pPr>
                          </w:p>
                          <w:p w14:paraId="2CD7357B">
                            <w:pPr>
                              <w:pStyle w:val="749"/>
                              <w:rPr>
                                <w:rFonts w:hint="eastAsia" w:ascii="宋体" w:hAnsi="宋体" w:cs="宋体"/>
                                <w:sz w:val="20"/>
                                <w:szCs w:val="20"/>
                              </w:rPr>
                            </w:pPr>
                          </w:p>
                          <w:p w14:paraId="283BB48D">
                            <w:pPr>
                              <w:pStyle w:val="749"/>
                              <w:spacing w:before="8"/>
                              <w:rPr>
                                <w:rFonts w:hint="eastAsia" w:ascii="宋体" w:hAnsi="宋体" w:cs="宋体"/>
                                <w:sz w:val="14"/>
                                <w:szCs w:val="14"/>
                              </w:rPr>
                            </w:pPr>
                          </w:p>
                          <w:p w14:paraId="3DBCFAD2">
                            <w:pPr>
                              <w:pStyle w:val="749"/>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2B2AA660">
                            <w:pPr>
                              <w:pStyle w:val="749"/>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noWrap w:val="0"/>
                            <w:vAlign w:val="top"/>
                          </w:tcPr>
                          <w:p w14:paraId="6F5B35AB">
                            <w:pPr>
                              <w:pStyle w:val="749"/>
                              <w:rPr>
                                <w:rFonts w:ascii="宋体" w:hAnsi="宋体" w:cs="宋体"/>
                                <w:sz w:val="20"/>
                                <w:szCs w:val="20"/>
                              </w:rPr>
                            </w:pPr>
                          </w:p>
                          <w:p w14:paraId="135056AC">
                            <w:pPr>
                              <w:pStyle w:val="749"/>
                              <w:rPr>
                                <w:rFonts w:hint="eastAsia" w:ascii="宋体" w:hAnsi="宋体" w:cs="宋体"/>
                                <w:sz w:val="20"/>
                                <w:szCs w:val="20"/>
                              </w:rPr>
                            </w:pPr>
                          </w:p>
                          <w:p w14:paraId="0CD954D5">
                            <w:pPr>
                              <w:pStyle w:val="749"/>
                              <w:spacing w:before="8"/>
                              <w:rPr>
                                <w:rFonts w:hint="eastAsia" w:ascii="宋体" w:hAnsi="宋体" w:cs="宋体"/>
                                <w:sz w:val="14"/>
                                <w:szCs w:val="14"/>
                              </w:rPr>
                            </w:pPr>
                          </w:p>
                          <w:p w14:paraId="1EB6867D">
                            <w:pPr>
                              <w:pStyle w:val="749"/>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noWrap w:val="0"/>
                            <w:vAlign w:val="top"/>
                          </w:tcPr>
                          <w:p w14:paraId="7AC34E40">
                            <w:pPr>
                              <w:pStyle w:val="749"/>
                              <w:rPr>
                                <w:rFonts w:ascii="宋体" w:hAnsi="宋体" w:cs="宋体"/>
                                <w:sz w:val="20"/>
                                <w:szCs w:val="20"/>
                              </w:rPr>
                            </w:pPr>
                          </w:p>
                          <w:p w14:paraId="217E7840">
                            <w:pPr>
                              <w:pStyle w:val="749"/>
                              <w:spacing w:before="1"/>
                              <w:rPr>
                                <w:rFonts w:hint="eastAsia" w:ascii="宋体" w:hAnsi="宋体" w:cs="宋体"/>
                                <w:sz w:val="18"/>
                                <w:szCs w:val="18"/>
                              </w:rPr>
                            </w:pPr>
                          </w:p>
                          <w:p w14:paraId="5289BDCD">
                            <w:pPr>
                              <w:pStyle w:val="749"/>
                              <w:ind w:left="7"/>
                              <w:rPr>
                                <w:rFonts w:ascii="宋体" w:hAnsi="宋体" w:cs="宋体"/>
                                <w:sz w:val="20"/>
                                <w:szCs w:val="20"/>
                              </w:rPr>
                            </w:pPr>
                            <w:r>
                              <w:rPr>
                                <w:rFonts w:hint="eastAsia" w:ascii="宋体" w:hAnsi="宋体" w:cs="宋体"/>
                                <w:w w:val="99"/>
                                <w:sz w:val="20"/>
                                <w:szCs w:val="20"/>
                              </w:rPr>
                              <w:t>冷水机组</w:t>
                            </w:r>
                          </w:p>
                        </w:tc>
                        <w:tc>
                          <w:tcPr>
                            <w:tcW w:w="2966" w:type="dxa"/>
                            <w:noWrap w:val="0"/>
                            <w:vAlign w:val="top"/>
                          </w:tcPr>
                          <w:p w14:paraId="603F1436">
                            <w:pPr>
                              <w:pStyle w:val="749"/>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2D4F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exact"/>
                        </w:trPr>
                        <w:tc>
                          <w:tcPr>
                            <w:tcW w:w="574" w:type="dxa"/>
                            <w:vMerge w:val="continue"/>
                            <w:noWrap w:val="0"/>
                            <w:vAlign w:val="center"/>
                          </w:tcPr>
                          <w:p w14:paraId="29EA41BF">
                            <w:pPr>
                              <w:widowControl/>
                              <w:jc w:val="left"/>
                              <w:rPr>
                                <w:rFonts w:ascii="宋体" w:hAnsi="宋体" w:eastAsia="Times New Roman" w:cs="宋体"/>
                                <w:kern w:val="0"/>
                                <w:sz w:val="20"/>
                                <w:szCs w:val="20"/>
                              </w:rPr>
                            </w:pPr>
                          </w:p>
                        </w:tc>
                        <w:tc>
                          <w:tcPr>
                            <w:tcW w:w="1166" w:type="dxa"/>
                            <w:vMerge w:val="continue"/>
                            <w:noWrap w:val="0"/>
                            <w:vAlign w:val="center"/>
                          </w:tcPr>
                          <w:p w14:paraId="2C2201D7">
                            <w:pPr>
                              <w:widowControl/>
                              <w:jc w:val="left"/>
                              <w:rPr>
                                <w:rFonts w:ascii="宋体" w:hAnsi="宋体" w:eastAsia="Times New Roman" w:cs="宋体"/>
                                <w:kern w:val="0"/>
                                <w:sz w:val="20"/>
                                <w:szCs w:val="20"/>
                              </w:rPr>
                            </w:pPr>
                          </w:p>
                        </w:tc>
                        <w:tc>
                          <w:tcPr>
                            <w:tcW w:w="1800" w:type="dxa"/>
                            <w:vMerge w:val="continue"/>
                            <w:noWrap w:val="0"/>
                            <w:vAlign w:val="center"/>
                          </w:tcPr>
                          <w:p w14:paraId="4858FE60">
                            <w:pPr>
                              <w:widowControl/>
                              <w:jc w:val="left"/>
                              <w:rPr>
                                <w:rFonts w:ascii="宋体" w:hAnsi="宋体" w:eastAsia="Times New Roman" w:cs="宋体"/>
                                <w:kern w:val="0"/>
                                <w:sz w:val="20"/>
                                <w:szCs w:val="20"/>
                              </w:rPr>
                            </w:pPr>
                          </w:p>
                        </w:tc>
                        <w:tc>
                          <w:tcPr>
                            <w:tcW w:w="1916" w:type="dxa"/>
                            <w:noWrap w:val="0"/>
                            <w:vAlign w:val="top"/>
                          </w:tcPr>
                          <w:p w14:paraId="751BAE8A">
                            <w:pPr>
                              <w:pStyle w:val="749"/>
                              <w:spacing w:before="12"/>
                              <w:rPr>
                                <w:rFonts w:ascii="宋体" w:hAnsi="宋体" w:cs="宋体"/>
                                <w:sz w:val="15"/>
                                <w:szCs w:val="15"/>
                                <w:lang w:eastAsia="zh-CN"/>
                              </w:rPr>
                            </w:pPr>
                          </w:p>
                          <w:p w14:paraId="5E7FDEFD">
                            <w:pPr>
                              <w:pStyle w:val="749"/>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noWrap w:val="0"/>
                            <w:vAlign w:val="top"/>
                          </w:tcPr>
                          <w:p w14:paraId="2E703D72">
                            <w:pPr>
                              <w:pStyle w:val="749"/>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371DCA14">
                      <w:pPr>
                        <w:rPr>
                          <w:rFonts w:ascii="Calibri" w:hAnsi="Calibri"/>
                          <w:sz w:val="22"/>
                          <w:szCs w:val="22"/>
                        </w:rPr>
                      </w:pPr>
                    </w:p>
                  </w:txbxContent>
                </v:textbox>
              </v:shape>
            </w:pict>
          </mc:Fallback>
        </mc:AlternateContent>
      </w:r>
    </w:p>
    <w:p w14:paraId="0F4219FD">
      <w:pPr>
        <w:rPr>
          <w:rFonts w:hint="eastAsia" w:ascii="Arial Unicode MS" w:hAnsi="Arial Unicode MS" w:eastAsia="Arial Unicode MS" w:cs="Arial Unicode MS"/>
          <w:color w:val="auto"/>
          <w:sz w:val="20"/>
          <w:szCs w:val="20"/>
          <w:highlight w:val="none"/>
        </w:rPr>
      </w:pPr>
    </w:p>
    <w:p w14:paraId="38EF9AE4">
      <w:pPr>
        <w:rPr>
          <w:rFonts w:hint="eastAsia" w:ascii="Arial Unicode MS" w:hAnsi="Arial Unicode MS" w:eastAsia="Arial Unicode MS" w:cs="Arial Unicode MS"/>
          <w:color w:val="auto"/>
          <w:sz w:val="20"/>
          <w:szCs w:val="20"/>
          <w:highlight w:val="none"/>
        </w:rPr>
      </w:pPr>
    </w:p>
    <w:p w14:paraId="4513AA8B">
      <w:pPr>
        <w:rPr>
          <w:rFonts w:hint="eastAsia" w:ascii="Arial Unicode MS" w:hAnsi="Arial Unicode MS" w:eastAsia="Arial Unicode MS" w:cs="Arial Unicode MS"/>
          <w:color w:val="auto"/>
          <w:sz w:val="20"/>
          <w:szCs w:val="20"/>
          <w:highlight w:val="none"/>
        </w:rPr>
      </w:pPr>
    </w:p>
    <w:p w14:paraId="33009095">
      <w:pPr>
        <w:rPr>
          <w:rFonts w:hint="eastAsia" w:ascii="Arial Unicode MS" w:hAnsi="Arial Unicode MS" w:eastAsia="Arial Unicode MS" w:cs="Arial Unicode MS"/>
          <w:color w:val="auto"/>
          <w:sz w:val="20"/>
          <w:szCs w:val="20"/>
          <w:highlight w:val="none"/>
        </w:rPr>
      </w:pPr>
    </w:p>
    <w:p w14:paraId="4113CBC1">
      <w:pPr>
        <w:rPr>
          <w:rFonts w:hint="eastAsia" w:ascii="Arial Unicode MS" w:hAnsi="Arial Unicode MS" w:eastAsia="Arial Unicode MS" w:cs="Arial Unicode MS"/>
          <w:color w:val="auto"/>
          <w:sz w:val="20"/>
          <w:szCs w:val="20"/>
          <w:highlight w:val="none"/>
        </w:rPr>
      </w:pPr>
    </w:p>
    <w:p w14:paraId="14C4EC0F">
      <w:pPr>
        <w:rPr>
          <w:rFonts w:hint="eastAsia" w:ascii="Arial Unicode MS" w:hAnsi="Arial Unicode MS" w:eastAsia="Arial Unicode MS" w:cs="Arial Unicode MS"/>
          <w:color w:val="auto"/>
          <w:sz w:val="20"/>
          <w:szCs w:val="20"/>
          <w:highlight w:val="none"/>
        </w:rPr>
      </w:pPr>
    </w:p>
    <w:p w14:paraId="353CA304">
      <w:pPr>
        <w:rPr>
          <w:rFonts w:hint="eastAsia" w:ascii="Arial Unicode MS" w:hAnsi="Arial Unicode MS" w:eastAsia="Arial Unicode MS" w:cs="Arial Unicode MS"/>
          <w:color w:val="auto"/>
          <w:sz w:val="20"/>
          <w:szCs w:val="20"/>
          <w:highlight w:val="none"/>
        </w:rPr>
      </w:pPr>
    </w:p>
    <w:p w14:paraId="07B2E765">
      <w:pPr>
        <w:rPr>
          <w:rFonts w:hint="eastAsia" w:ascii="Arial Unicode MS" w:hAnsi="Arial Unicode MS" w:eastAsia="Arial Unicode MS" w:cs="Arial Unicode MS"/>
          <w:color w:val="auto"/>
          <w:sz w:val="20"/>
          <w:szCs w:val="20"/>
          <w:highlight w:val="none"/>
        </w:rPr>
      </w:pPr>
    </w:p>
    <w:p w14:paraId="23061499">
      <w:pPr>
        <w:rPr>
          <w:rFonts w:hint="eastAsia" w:ascii="Arial Unicode MS" w:hAnsi="Arial Unicode MS" w:eastAsia="Arial Unicode MS" w:cs="Arial Unicode MS"/>
          <w:color w:val="auto"/>
          <w:sz w:val="20"/>
          <w:szCs w:val="20"/>
          <w:highlight w:val="none"/>
        </w:rPr>
      </w:pPr>
    </w:p>
    <w:p w14:paraId="34662C74">
      <w:pPr>
        <w:rPr>
          <w:rFonts w:hint="eastAsia" w:ascii="Arial Unicode MS" w:hAnsi="Arial Unicode MS" w:eastAsia="Arial Unicode MS" w:cs="Arial Unicode MS"/>
          <w:color w:val="auto"/>
          <w:sz w:val="20"/>
          <w:szCs w:val="20"/>
          <w:highlight w:val="none"/>
        </w:rPr>
      </w:pPr>
    </w:p>
    <w:p w14:paraId="7FB99804">
      <w:pPr>
        <w:rPr>
          <w:rFonts w:hint="eastAsia" w:ascii="Arial Unicode MS" w:hAnsi="Arial Unicode MS" w:eastAsia="Arial Unicode MS" w:cs="Arial Unicode MS"/>
          <w:color w:val="auto"/>
          <w:sz w:val="20"/>
          <w:szCs w:val="20"/>
          <w:highlight w:val="none"/>
        </w:rPr>
      </w:pPr>
    </w:p>
    <w:p w14:paraId="5AA51C82">
      <w:pPr>
        <w:rPr>
          <w:rFonts w:hint="eastAsia" w:ascii="Arial Unicode MS" w:hAnsi="Arial Unicode MS" w:eastAsia="Arial Unicode MS" w:cs="Arial Unicode MS"/>
          <w:color w:val="auto"/>
          <w:sz w:val="20"/>
          <w:szCs w:val="20"/>
          <w:highlight w:val="none"/>
        </w:rPr>
      </w:pPr>
    </w:p>
    <w:p w14:paraId="7C2CCCE8">
      <w:pPr>
        <w:rPr>
          <w:rFonts w:hint="eastAsia" w:ascii="Arial Unicode MS" w:hAnsi="Arial Unicode MS" w:eastAsia="Arial Unicode MS" w:cs="Arial Unicode MS"/>
          <w:color w:val="auto"/>
          <w:sz w:val="20"/>
          <w:szCs w:val="20"/>
          <w:highlight w:val="none"/>
        </w:rPr>
      </w:pPr>
    </w:p>
    <w:p w14:paraId="0A74D07E">
      <w:pPr>
        <w:rPr>
          <w:rFonts w:hint="eastAsia" w:ascii="Arial Unicode MS" w:hAnsi="Arial Unicode MS" w:eastAsia="Arial Unicode MS" w:cs="Arial Unicode MS"/>
          <w:color w:val="auto"/>
          <w:sz w:val="20"/>
          <w:szCs w:val="20"/>
          <w:highlight w:val="none"/>
        </w:rPr>
      </w:pPr>
    </w:p>
    <w:p w14:paraId="641542E4">
      <w:pPr>
        <w:rPr>
          <w:rFonts w:hint="eastAsia" w:ascii="Arial Unicode MS" w:hAnsi="Arial Unicode MS" w:eastAsia="Arial Unicode MS" w:cs="Arial Unicode MS"/>
          <w:color w:val="auto"/>
          <w:sz w:val="20"/>
          <w:szCs w:val="20"/>
          <w:highlight w:val="none"/>
        </w:rPr>
      </w:pPr>
    </w:p>
    <w:p w14:paraId="4E251C1B">
      <w:pPr>
        <w:rPr>
          <w:rFonts w:hint="eastAsia" w:ascii="Arial Unicode MS" w:hAnsi="Arial Unicode MS" w:eastAsia="Arial Unicode MS" w:cs="Arial Unicode MS"/>
          <w:color w:val="auto"/>
          <w:sz w:val="20"/>
          <w:szCs w:val="20"/>
          <w:highlight w:val="none"/>
        </w:rPr>
      </w:pPr>
    </w:p>
    <w:p w14:paraId="3F6F15E4">
      <w:pPr>
        <w:spacing w:before="16"/>
        <w:rPr>
          <w:rFonts w:hint="eastAsia" w:ascii="Arial Unicode MS" w:hAnsi="Arial Unicode MS" w:eastAsia="Arial Unicode MS" w:cs="Arial Unicode MS"/>
          <w:color w:val="auto"/>
          <w:sz w:val="17"/>
          <w:szCs w:val="17"/>
          <w:highlight w:val="none"/>
        </w:rPr>
      </w:pPr>
    </w:p>
    <w:p w14:paraId="373D39D7">
      <w:pPr>
        <w:spacing w:before="37"/>
        <w:ind w:right="102"/>
        <w:jc w:val="right"/>
        <w:rPr>
          <w:rFonts w:hint="eastAsia" w:ascii="宋体" w:hAnsi="宋体" w:cs="宋体"/>
          <w:color w:val="auto"/>
          <w:sz w:val="20"/>
          <w:szCs w:val="20"/>
          <w:highlight w:val="none"/>
          <w:lang w:eastAsia="en-US"/>
        </w:rPr>
      </w:pPr>
      <w:r>
        <w:rPr>
          <w:rFonts w:hint="eastAsia" w:ascii="宋体" w:hAnsi="宋体" w:cs="宋体"/>
          <w:color w:val="auto"/>
          <w:w w:val="99"/>
          <w:sz w:val="20"/>
          <w:szCs w:val="20"/>
          <w:highlight w:val="none"/>
        </w:rPr>
        <w:t>）</w:t>
      </w:r>
    </w:p>
    <w:p w14:paraId="5076CFF5">
      <w:pPr>
        <w:rPr>
          <w:rFonts w:hint="eastAsia" w:ascii="宋体" w:hAnsi="宋体" w:cs="宋体"/>
          <w:color w:val="auto"/>
          <w:sz w:val="20"/>
          <w:szCs w:val="20"/>
          <w:highlight w:val="none"/>
        </w:rPr>
      </w:pPr>
    </w:p>
    <w:p w14:paraId="0F8493AD">
      <w:pPr>
        <w:rPr>
          <w:rFonts w:hint="eastAsia" w:ascii="宋体" w:hAnsi="宋体" w:cs="宋体"/>
          <w:color w:val="auto"/>
          <w:sz w:val="20"/>
          <w:szCs w:val="20"/>
          <w:highlight w:val="none"/>
        </w:rPr>
      </w:pPr>
    </w:p>
    <w:p w14:paraId="0593A597">
      <w:pPr>
        <w:spacing w:before="3"/>
        <w:rPr>
          <w:rFonts w:hint="eastAsia" w:ascii="宋体" w:hAnsi="宋体" w:cs="宋体"/>
          <w:color w:val="auto"/>
          <w:sz w:val="15"/>
          <w:szCs w:val="15"/>
          <w:highlight w:val="none"/>
        </w:rPr>
      </w:pPr>
    </w:p>
    <w:p w14:paraId="50AE88DE">
      <w:pPr>
        <w:spacing w:before="37"/>
        <w:ind w:right="150"/>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5FACE54D">
      <w:pPr>
        <w:widowControl/>
        <w:jc w:val="left"/>
        <w:rPr>
          <w:rFonts w:ascii="宋体" w:hAnsi="宋体" w:cs="宋体"/>
          <w:color w:val="auto"/>
          <w:sz w:val="20"/>
          <w:szCs w:val="20"/>
          <w:highlight w:val="none"/>
        </w:rPr>
        <w:sectPr>
          <w:type w:val="nextColumn"/>
          <w:pgSz w:w="11906" w:h="16838"/>
          <w:pgMar w:top="1520" w:right="1500" w:bottom="280" w:left="1680" w:header="720" w:footer="720" w:gutter="0"/>
          <w:cols w:space="720" w:num="1"/>
        </w:sectPr>
      </w:pPr>
    </w:p>
    <w:p w14:paraId="0C2BA1F9">
      <w:pPr>
        <w:rPr>
          <w:rFonts w:hint="eastAsia" w:ascii="宋体" w:hAnsi="宋体" w:cs="宋体"/>
          <w:color w:val="auto"/>
          <w:sz w:val="20"/>
          <w:szCs w:val="20"/>
          <w:highlight w:val="none"/>
        </w:rPr>
      </w:pPr>
    </w:p>
    <w:p w14:paraId="3B8DB4E0">
      <w:pPr>
        <w:rPr>
          <w:rFonts w:hint="eastAsia" w:ascii="宋体" w:hAnsi="宋体" w:cs="宋体"/>
          <w:color w:val="auto"/>
          <w:sz w:val="20"/>
          <w:szCs w:val="20"/>
          <w:highlight w:val="none"/>
        </w:rPr>
      </w:pPr>
    </w:p>
    <w:p w14:paraId="60AC2679">
      <w:pPr>
        <w:rPr>
          <w:rFonts w:hint="eastAsia" w:ascii="宋体" w:hAnsi="宋体" w:cs="宋体"/>
          <w:color w:val="auto"/>
          <w:sz w:val="20"/>
          <w:szCs w:val="20"/>
          <w:highlight w:val="none"/>
        </w:rPr>
      </w:pPr>
    </w:p>
    <w:p w14:paraId="32045269">
      <w:pPr>
        <w:rPr>
          <w:rFonts w:hint="eastAsia" w:ascii="宋体" w:hAnsi="宋体" w:cs="宋体"/>
          <w:color w:val="auto"/>
          <w:sz w:val="20"/>
          <w:szCs w:val="20"/>
          <w:highlight w:val="none"/>
        </w:rPr>
      </w:pPr>
    </w:p>
    <w:p w14:paraId="7D0C8589">
      <w:pPr>
        <w:spacing w:before="2"/>
        <w:rPr>
          <w:rFonts w:hint="eastAsia" w:ascii="宋体" w:hAnsi="宋体" w:cs="宋体"/>
          <w:color w:val="auto"/>
          <w:sz w:val="23"/>
          <w:szCs w:val="23"/>
          <w:highlight w:val="none"/>
        </w:rPr>
      </w:pPr>
    </w:p>
    <w:p w14:paraId="422BEED4">
      <w:pPr>
        <w:spacing w:before="37"/>
        <w:ind w:right="102"/>
        <w:jc w:val="right"/>
        <w:rPr>
          <w:rFonts w:hint="eastAsia" w:ascii="宋体" w:hAnsi="宋体" w:cs="宋体"/>
          <w:color w:val="auto"/>
          <w:sz w:val="20"/>
          <w:szCs w:val="20"/>
          <w:highlight w:val="none"/>
        </w:rPr>
      </w:pP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page">
                  <wp:posOffset>1132205</wp:posOffset>
                </wp:positionH>
                <wp:positionV relativeFrom="paragraph">
                  <wp:posOffset>-805180</wp:posOffset>
                </wp:positionV>
                <wp:extent cx="5356860" cy="85242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56860" cy="8524240"/>
                        </a:xfrm>
                        <a:prstGeom prst="rect">
                          <a:avLst/>
                        </a:prstGeom>
                        <a:noFill/>
                        <a:ln>
                          <a:noFill/>
                        </a:ln>
                      </wps:spPr>
                      <wps:txbx>
                        <w:txbxContent>
                          <w:tbl>
                            <w:tblPr>
                              <w:tblStyle w:val="84"/>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77DA92D9">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6D02501">
                                  <w:pPr>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EA4E7AD">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726D155">
                                  <w:pPr>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7079EA02">
                                  <w:pPr>
                                    <w:pStyle w:val="749"/>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3A478232">
                                  <w:pPr>
                                    <w:pStyle w:val="749"/>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4EDFE31D">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D21F2">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6DE8B">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8F815">
                                  <w:pPr>
                                    <w:widowControl/>
                                    <w:jc w:val="left"/>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62216992">
                                  <w:pPr>
                                    <w:pStyle w:val="749"/>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3A77471B">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C3A0347">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23B2E">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24502">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9DA02AF">
                                  <w:pPr>
                                    <w:pStyle w:val="749"/>
                                    <w:rPr>
                                      <w:rFonts w:ascii="宋体" w:hAnsi="宋体" w:cs="宋体"/>
                                      <w:sz w:val="20"/>
                                      <w:szCs w:val="20"/>
                                      <w:lang w:eastAsia="zh-CN"/>
                                    </w:rPr>
                                  </w:pPr>
                                </w:p>
                                <w:p w14:paraId="41C45299">
                                  <w:pPr>
                                    <w:pStyle w:val="749"/>
                                    <w:rPr>
                                      <w:rFonts w:hint="eastAsia" w:ascii="宋体" w:hAnsi="宋体" w:cs="宋体"/>
                                      <w:sz w:val="20"/>
                                      <w:szCs w:val="20"/>
                                      <w:lang w:eastAsia="zh-CN"/>
                                    </w:rPr>
                                  </w:pPr>
                                </w:p>
                                <w:p w14:paraId="40E170F9">
                                  <w:pPr>
                                    <w:pStyle w:val="749"/>
                                    <w:spacing w:before="3"/>
                                    <w:rPr>
                                      <w:rFonts w:hint="eastAsia" w:ascii="宋体" w:hAnsi="宋体" w:cs="宋体"/>
                                      <w:sz w:val="21"/>
                                      <w:szCs w:val="21"/>
                                      <w:lang w:eastAsia="zh-CN"/>
                                    </w:rPr>
                                  </w:pPr>
                                </w:p>
                                <w:p w14:paraId="33251201">
                                  <w:pPr>
                                    <w:pStyle w:val="749"/>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C254F5C">
                                  <w:pPr>
                                    <w:pStyle w:val="749"/>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F31971">
                                  <w:pPr>
                                    <w:pStyle w:val="749"/>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2C25FF93">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0B731">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753BD">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29269">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2322BC3E">
                                  <w:pPr>
                                    <w:pStyle w:val="749"/>
                                    <w:spacing w:before="7"/>
                                    <w:rPr>
                                      <w:rFonts w:ascii="宋体" w:hAnsi="宋体" w:cs="宋体"/>
                                      <w:sz w:val="24"/>
                                      <w:szCs w:val="24"/>
                                      <w:lang w:eastAsia="zh-CN"/>
                                    </w:rPr>
                                  </w:pPr>
                                </w:p>
                                <w:p w14:paraId="73D76FEF">
                                  <w:pPr>
                                    <w:pStyle w:val="749"/>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54B53D41">
                                  <w:pPr>
                                    <w:pStyle w:val="749"/>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4707756C">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0ED06">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8CAC9">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25F7E">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172626B4">
                                  <w:pPr>
                                    <w:pStyle w:val="749"/>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2BA4DA0C">
                                  <w:pPr>
                                    <w:pStyle w:val="749"/>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56E77C79">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545A9">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7059C">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5F429">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36FA2C6A">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6814281">
                                  <w:pPr>
                                    <w:pStyle w:val="749"/>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72BA859D">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B6D3B">
                                  <w:pPr>
                                    <w:widowControl/>
                                    <w:jc w:val="left"/>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D4ADD">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2DEDB4A0">
                                  <w:pPr>
                                    <w:pStyle w:val="749"/>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77101D9">
                                  <w:pPr>
                                    <w:pStyle w:val="749"/>
                                    <w:spacing w:before="1"/>
                                    <w:rPr>
                                      <w:rFonts w:ascii="宋体" w:hAnsi="宋体" w:cs="宋体"/>
                                      <w:sz w:val="18"/>
                                      <w:szCs w:val="18"/>
                                    </w:rPr>
                                  </w:pPr>
                                </w:p>
                                <w:p w14:paraId="71D83C49">
                                  <w:pPr>
                                    <w:pStyle w:val="749"/>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1B9DD783">
                                  <w:pPr>
                                    <w:pStyle w:val="749"/>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E7168CF">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A175A">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CE361">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18DD2C9B">
                                  <w:pPr>
                                    <w:pStyle w:val="749"/>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44615">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68E10F89">
                                  <w:pPr>
                                    <w:pStyle w:val="749"/>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59DCBE01">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6A8F1">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8B664">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0D83B47B">
                                  <w:pPr>
                                    <w:pStyle w:val="749"/>
                                    <w:rPr>
                                      <w:rFonts w:ascii="宋体" w:hAnsi="宋体" w:cs="宋体"/>
                                      <w:sz w:val="20"/>
                                      <w:szCs w:val="20"/>
                                      <w:lang w:eastAsia="zh-CN"/>
                                    </w:rPr>
                                  </w:pPr>
                                </w:p>
                                <w:p w14:paraId="24F0E54C">
                                  <w:pPr>
                                    <w:pStyle w:val="749"/>
                                    <w:spacing w:before="9"/>
                                    <w:rPr>
                                      <w:rFonts w:hint="eastAsia" w:ascii="宋体" w:hAnsi="宋体" w:cs="宋体"/>
                                      <w:sz w:val="20"/>
                                      <w:szCs w:val="20"/>
                                      <w:lang w:eastAsia="zh-CN"/>
                                    </w:rPr>
                                  </w:pPr>
                                </w:p>
                                <w:p w14:paraId="0683200C">
                                  <w:pPr>
                                    <w:pStyle w:val="74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F186343">
                                  <w:pPr>
                                    <w:pStyle w:val="749"/>
                                    <w:rPr>
                                      <w:rFonts w:ascii="宋体" w:hAnsi="宋体" w:cs="宋体"/>
                                      <w:sz w:val="20"/>
                                      <w:szCs w:val="20"/>
                                    </w:rPr>
                                  </w:pPr>
                                </w:p>
                                <w:p w14:paraId="1FA366B0">
                                  <w:pPr>
                                    <w:pStyle w:val="749"/>
                                    <w:rPr>
                                      <w:rFonts w:hint="eastAsia" w:ascii="宋体" w:hAnsi="宋体" w:cs="宋体"/>
                                      <w:sz w:val="20"/>
                                      <w:szCs w:val="20"/>
                                    </w:rPr>
                                  </w:pPr>
                                </w:p>
                                <w:p w14:paraId="168FA249">
                                  <w:pPr>
                                    <w:pStyle w:val="749"/>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7D82CD20">
                                  <w:pPr>
                                    <w:pStyle w:val="749"/>
                                    <w:spacing w:before="11"/>
                                    <w:rPr>
                                      <w:rFonts w:ascii="宋体" w:hAnsi="宋体" w:cs="宋体"/>
                                      <w:sz w:val="16"/>
                                      <w:szCs w:val="16"/>
                                      <w:lang w:eastAsia="zh-CN"/>
                                    </w:rPr>
                                  </w:pPr>
                                </w:p>
                                <w:p w14:paraId="3C1E56F0">
                                  <w:pPr>
                                    <w:pStyle w:val="749"/>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68A1FD22">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773CD">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E947E">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237D4EC0">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4217A">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6116B5DD">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415B0A3A">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AE36B">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20333">
                                  <w:pPr>
                                    <w:widowControl/>
                                    <w:jc w:val="left"/>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14793026">
                                  <w:pPr>
                                    <w:pStyle w:val="749"/>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2AD33">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06521773">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659A1404">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83342">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A9E6B">
                                  <w:pPr>
                                    <w:widowControl/>
                                    <w:jc w:val="left"/>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5C2F2059">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5F7D1">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772F12BE">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02A54F7D">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16A55C9">
                                  <w:pPr>
                                    <w:pStyle w:val="749"/>
                                    <w:spacing w:before="12"/>
                                    <w:rPr>
                                      <w:rFonts w:ascii="宋体" w:hAnsi="宋体" w:cs="宋体"/>
                                      <w:sz w:val="15"/>
                                      <w:szCs w:val="15"/>
                                      <w:lang w:eastAsia="zh-CN"/>
                                    </w:rPr>
                                  </w:pPr>
                                </w:p>
                                <w:p w14:paraId="7DFB3505">
                                  <w:pPr>
                                    <w:pStyle w:val="749"/>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29AF5309">
                                  <w:pPr>
                                    <w:pStyle w:val="749"/>
                                    <w:spacing w:before="12"/>
                                    <w:rPr>
                                      <w:rFonts w:ascii="宋体" w:hAnsi="宋体" w:cs="宋体"/>
                                      <w:sz w:val="15"/>
                                      <w:szCs w:val="15"/>
                                    </w:rPr>
                                  </w:pPr>
                                </w:p>
                                <w:p w14:paraId="6F97F670">
                                  <w:pPr>
                                    <w:pStyle w:val="74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0A08F1D">
                                  <w:pPr>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00A3CB0">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4866A49">
                                  <w:pPr>
                                    <w:pStyle w:val="749"/>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1EC2CA2C">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5B865BA">
                                  <w:pPr>
                                    <w:pStyle w:val="749"/>
                                    <w:spacing w:before="3"/>
                                    <w:rPr>
                                      <w:rFonts w:ascii="宋体" w:hAnsi="宋体" w:cs="宋体"/>
                                      <w:sz w:val="14"/>
                                      <w:szCs w:val="14"/>
                                      <w:lang w:eastAsia="zh-CN"/>
                                    </w:rPr>
                                  </w:pPr>
                                </w:p>
                                <w:p w14:paraId="3085DDE1">
                                  <w:pPr>
                                    <w:pStyle w:val="749"/>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51BC24B4">
                                  <w:pPr>
                                    <w:pStyle w:val="749"/>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8F4B6D3">
                                  <w:pPr>
                                    <w:pStyle w:val="749"/>
                                    <w:spacing w:before="3"/>
                                    <w:rPr>
                                      <w:rFonts w:ascii="宋体" w:hAnsi="宋体" w:cs="宋体"/>
                                      <w:sz w:val="14"/>
                                      <w:szCs w:val="14"/>
                                    </w:rPr>
                                  </w:pPr>
                                </w:p>
                                <w:p w14:paraId="5D3A383E">
                                  <w:pPr>
                                    <w:pStyle w:val="749"/>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00B776A">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59C862CA">
                                  <w:pPr>
                                    <w:pStyle w:val="749"/>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68719F99">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ED33F">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7D245CCB">
                                  <w:pPr>
                                    <w:pStyle w:val="749"/>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3D294">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50E4B">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45351404">
                                  <w:pPr>
                                    <w:pStyle w:val="749"/>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633DA4C6">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3965057">
                                  <w:pPr>
                                    <w:pStyle w:val="749"/>
                                    <w:spacing w:before="8"/>
                                    <w:rPr>
                                      <w:rFonts w:ascii="宋体" w:hAnsi="宋体" w:cs="宋体"/>
                                      <w:sz w:val="21"/>
                                      <w:szCs w:val="21"/>
                                    </w:rPr>
                                  </w:pPr>
                                </w:p>
                                <w:p w14:paraId="2F544B13">
                                  <w:pPr>
                                    <w:pStyle w:val="749"/>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010A6DCF">
                                  <w:pPr>
                                    <w:pStyle w:val="749"/>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92F4790">
                                  <w:pPr>
                                    <w:pStyle w:val="749"/>
                                    <w:spacing w:before="8"/>
                                    <w:rPr>
                                      <w:rFonts w:ascii="宋体" w:hAnsi="宋体" w:cs="宋体"/>
                                      <w:sz w:val="21"/>
                                      <w:szCs w:val="21"/>
                                    </w:rPr>
                                  </w:pPr>
                                </w:p>
                                <w:p w14:paraId="3AD457E3">
                                  <w:pPr>
                                    <w:pStyle w:val="749"/>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4F0E1EEF">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1B1CBEE4">
                                  <w:pPr>
                                    <w:pStyle w:val="749"/>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C45B2A0">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01D56">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5F493354">
                                  <w:pPr>
                                    <w:pStyle w:val="749"/>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7DAC8">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13019">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7294DE76">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7607B31E">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42F7107">
                                  <w:pPr>
                                    <w:pStyle w:val="749"/>
                                    <w:rPr>
                                      <w:rFonts w:ascii="宋体" w:hAnsi="宋体" w:cs="宋体"/>
                                      <w:sz w:val="20"/>
                                      <w:szCs w:val="20"/>
                                      <w:lang w:eastAsia="zh-CN"/>
                                    </w:rPr>
                                  </w:pPr>
                                </w:p>
                                <w:p w14:paraId="2B94A08A">
                                  <w:pPr>
                                    <w:pStyle w:val="749"/>
                                    <w:rPr>
                                      <w:rFonts w:hint="eastAsia" w:ascii="宋体" w:hAnsi="宋体" w:cs="宋体"/>
                                      <w:sz w:val="20"/>
                                      <w:szCs w:val="20"/>
                                      <w:lang w:eastAsia="zh-CN"/>
                                    </w:rPr>
                                  </w:pPr>
                                </w:p>
                                <w:p w14:paraId="40E4492C">
                                  <w:pPr>
                                    <w:pStyle w:val="749"/>
                                    <w:rPr>
                                      <w:rFonts w:hint="eastAsia" w:ascii="宋体" w:hAnsi="宋体" w:cs="宋体"/>
                                      <w:sz w:val="20"/>
                                      <w:szCs w:val="20"/>
                                      <w:lang w:eastAsia="zh-CN"/>
                                    </w:rPr>
                                  </w:pPr>
                                </w:p>
                                <w:p w14:paraId="0D77B992">
                                  <w:pPr>
                                    <w:pStyle w:val="749"/>
                                    <w:rPr>
                                      <w:rFonts w:hint="eastAsia" w:ascii="宋体" w:hAnsi="宋体" w:cs="宋体"/>
                                      <w:sz w:val="20"/>
                                      <w:szCs w:val="20"/>
                                      <w:lang w:eastAsia="zh-CN"/>
                                    </w:rPr>
                                  </w:pPr>
                                </w:p>
                                <w:p w14:paraId="28669CF4">
                                  <w:pPr>
                                    <w:pStyle w:val="749"/>
                                    <w:rPr>
                                      <w:rFonts w:hint="eastAsia" w:ascii="宋体" w:hAnsi="宋体" w:cs="宋体"/>
                                      <w:sz w:val="20"/>
                                      <w:szCs w:val="20"/>
                                      <w:lang w:eastAsia="zh-CN"/>
                                    </w:rPr>
                                  </w:pPr>
                                </w:p>
                                <w:p w14:paraId="3A0552AE">
                                  <w:pPr>
                                    <w:pStyle w:val="749"/>
                                    <w:rPr>
                                      <w:rFonts w:hint="eastAsia" w:ascii="宋体" w:hAnsi="宋体" w:cs="宋体"/>
                                      <w:sz w:val="20"/>
                                      <w:szCs w:val="20"/>
                                      <w:lang w:eastAsia="zh-CN"/>
                                    </w:rPr>
                                  </w:pPr>
                                </w:p>
                                <w:p w14:paraId="3B5301CB">
                                  <w:pPr>
                                    <w:pStyle w:val="749"/>
                                    <w:rPr>
                                      <w:rFonts w:hint="eastAsia" w:ascii="宋体" w:hAnsi="宋体" w:cs="宋体"/>
                                      <w:sz w:val="20"/>
                                      <w:szCs w:val="20"/>
                                      <w:lang w:eastAsia="zh-CN"/>
                                    </w:rPr>
                                  </w:pPr>
                                </w:p>
                                <w:p w14:paraId="5D3DB1C0">
                                  <w:pPr>
                                    <w:pStyle w:val="749"/>
                                    <w:rPr>
                                      <w:rFonts w:hint="eastAsia" w:ascii="宋体" w:hAnsi="宋体" w:cs="宋体"/>
                                      <w:sz w:val="20"/>
                                      <w:szCs w:val="20"/>
                                      <w:lang w:eastAsia="zh-CN"/>
                                    </w:rPr>
                                  </w:pPr>
                                </w:p>
                                <w:p w14:paraId="6C4F8D9C">
                                  <w:pPr>
                                    <w:pStyle w:val="749"/>
                                    <w:rPr>
                                      <w:rFonts w:hint="eastAsia" w:ascii="宋体" w:hAnsi="宋体" w:cs="宋体"/>
                                      <w:sz w:val="20"/>
                                      <w:szCs w:val="20"/>
                                      <w:lang w:eastAsia="zh-CN"/>
                                    </w:rPr>
                                  </w:pPr>
                                </w:p>
                                <w:p w14:paraId="2F8839E7">
                                  <w:pPr>
                                    <w:pStyle w:val="749"/>
                                    <w:spacing w:before="5"/>
                                    <w:rPr>
                                      <w:rFonts w:hint="eastAsia" w:ascii="宋体" w:hAnsi="宋体" w:cs="宋体"/>
                                      <w:sz w:val="18"/>
                                      <w:szCs w:val="18"/>
                                      <w:lang w:eastAsia="zh-CN"/>
                                    </w:rPr>
                                  </w:pPr>
                                </w:p>
                                <w:p w14:paraId="72159F53">
                                  <w:pPr>
                                    <w:pStyle w:val="749"/>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B57D048">
                                  <w:pPr>
                                    <w:pStyle w:val="749"/>
                                    <w:rPr>
                                      <w:rFonts w:ascii="宋体" w:hAnsi="宋体" w:cs="宋体"/>
                                      <w:sz w:val="20"/>
                                      <w:szCs w:val="20"/>
                                    </w:rPr>
                                  </w:pPr>
                                </w:p>
                                <w:p w14:paraId="4374E512">
                                  <w:pPr>
                                    <w:pStyle w:val="749"/>
                                    <w:rPr>
                                      <w:rFonts w:hint="eastAsia" w:ascii="宋体" w:hAnsi="宋体" w:cs="宋体"/>
                                      <w:sz w:val="20"/>
                                      <w:szCs w:val="20"/>
                                    </w:rPr>
                                  </w:pPr>
                                </w:p>
                                <w:p w14:paraId="6564A608">
                                  <w:pPr>
                                    <w:pStyle w:val="749"/>
                                    <w:rPr>
                                      <w:rFonts w:hint="eastAsia" w:ascii="宋体" w:hAnsi="宋体" w:cs="宋体"/>
                                      <w:sz w:val="20"/>
                                      <w:szCs w:val="20"/>
                                    </w:rPr>
                                  </w:pPr>
                                </w:p>
                                <w:p w14:paraId="3A0BFAEC">
                                  <w:pPr>
                                    <w:pStyle w:val="749"/>
                                    <w:rPr>
                                      <w:rFonts w:hint="eastAsia" w:ascii="宋体" w:hAnsi="宋体" w:cs="宋体"/>
                                      <w:sz w:val="20"/>
                                      <w:szCs w:val="20"/>
                                    </w:rPr>
                                  </w:pPr>
                                </w:p>
                                <w:p w14:paraId="3A46038B">
                                  <w:pPr>
                                    <w:pStyle w:val="749"/>
                                    <w:rPr>
                                      <w:rFonts w:hint="eastAsia" w:ascii="宋体" w:hAnsi="宋体" w:cs="宋体"/>
                                      <w:sz w:val="20"/>
                                      <w:szCs w:val="20"/>
                                    </w:rPr>
                                  </w:pPr>
                                </w:p>
                                <w:p w14:paraId="26ED2AF9">
                                  <w:pPr>
                                    <w:pStyle w:val="749"/>
                                    <w:rPr>
                                      <w:rFonts w:hint="eastAsia" w:ascii="宋体" w:hAnsi="宋体" w:cs="宋体"/>
                                      <w:sz w:val="20"/>
                                      <w:szCs w:val="20"/>
                                    </w:rPr>
                                  </w:pPr>
                                </w:p>
                                <w:p w14:paraId="7FA55C4B">
                                  <w:pPr>
                                    <w:pStyle w:val="749"/>
                                    <w:rPr>
                                      <w:rFonts w:hint="eastAsia" w:ascii="宋体" w:hAnsi="宋体" w:cs="宋体"/>
                                      <w:sz w:val="20"/>
                                      <w:szCs w:val="20"/>
                                    </w:rPr>
                                  </w:pPr>
                                </w:p>
                                <w:p w14:paraId="102B2836">
                                  <w:pPr>
                                    <w:pStyle w:val="749"/>
                                    <w:rPr>
                                      <w:rFonts w:hint="eastAsia" w:ascii="宋体" w:hAnsi="宋体" w:cs="宋体"/>
                                      <w:sz w:val="20"/>
                                      <w:szCs w:val="20"/>
                                    </w:rPr>
                                  </w:pPr>
                                </w:p>
                                <w:p w14:paraId="0189B023">
                                  <w:pPr>
                                    <w:pStyle w:val="749"/>
                                    <w:spacing w:before="6"/>
                                    <w:rPr>
                                      <w:rFonts w:hint="eastAsia" w:ascii="宋体" w:hAnsi="宋体" w:cs="宋体"/>
                                      <w:sz w:val="26"/>
                                      <w:szCs w:val="26"/>
                                    </w:rPr>
                                  </w:pPr>
                                </w:p>
                                <w:p w14:paraId="68682C26">
                                  <w:pPr>
                                    <w:pStyle w:val="749"/>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0C72F97C">
                                  <w:pPr>
                                    <w:pStyle w:val="749"/>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59B7D12">
                                  <w:pPr>
                                    <w:pStyle w:val="749"/>
                                    <w:spacing w:before="1"/>
                                    <w:rPr>
                                      <w:rFonts w:ascii="宋体" w:hAnsi="宋体" w:cs="宋体"/>
                                      <w:sz w:val="16"/>
                                      <w:szCs w:val="16"/>
                                    </w:rPr>
                                  </w:pPr>
                                </w:p>
                                <w:p w14:paraId="3C011F89">
                                  <w:pPr>
                                    <w:pStyle w:val="74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48651FC2">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25D00560">
                                  <w:pPr>
                                    <w:pStyle w:val="749"/>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11B78E44">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11558">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E0B86">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A858EB">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6E07A">
                                  <w:pPr>
                                    <w:widowControl/>
                                    <w:jc w:val="left"/>
                                    <w:rPr>
                                      <w:rFonts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15FD90A3">
                                  <w:pPr>
                                    <w:pStyle w:val="749"/>
                                    <w:tabs>
                                      <w:tab w:val="left" w:pos="1408"/>
                                      <w:tab w:val="clear" w:pos="0"/>
                                      <w:tab w:val="clear" w:pos="1134"/>
                                      <w:tab w:val="clear" w:pos="8505"/>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20B2D84B">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A4F62">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AC047">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C7CEC57">
                                  <w:pPr>
                                    <w:pStyle w:val="749"/>
                                    <w:rPr>
                                      <w:rFonts w:ascii="宋体" w:hAnsi="宋体" w:cs="宋体"/>
                                      <w:sz w:val="20"/>
                                      <w:szCs w:val="20"/>
                                    </w:rPr>
                                  </w:pPr>
                                </w:p>
                                <w:p w14:paraId="34828A5A">
                                  <w:pPr>
                                    <w:pStyle w:val="749"/>
                                    <w:rPr>
                                      <w:rFonts w:hint="eastAsia" w:ascii="宋体" w:hAnsi="宋体" w:cs="宋体"/>
                                      <w:sz w:val="20"/>
                                      <w:szCs w:val="20"/>
                                    </w:rPr>
                                  </w:pPr>
                                </w:p>
                                <w:p w14:paraId="5F37057E">
                                  <w:pPr>
                                    <w:pStyle w:val="749"/>
                                    <w:rPr>
                                      <w:rFonts w:hint="eastAsia" w:ascii="宋体" w:hAnsi="宋体" w:cs="宋体"/>
                                      <w:sz w:val="20"/>
                                      <w:szCs w:val="20"/>
                                    </w:rPr>
                                  </w:pPr>
                                </w:p>
                                <w:p w14:paraId="1B878EE1">
                                  <w:pPr>
                                    <w:pStyle w:val="749"/>
                                    <w:rPr>
                                      <w:rFonts w:hint="eastAsia" w:ascii="宋体" w:hAnsi="宋体" w:cs="宋体"/>
                                      <w:sz w:val="20"/>
                                      <w:szCs w:val="20"/>
                                    </w:rPr>
                                  </w:pPr>
                                </w:p>
                                <w:p w14:paraId="07390076">
                                  <w:pPr>
                                    <w:pStyle w:val="749"/>
                                    <w:rPr>
                                      <w:rFonts w:hint="eastAsia" w:ascii="宋体" w:hAnsi="宋体" w:cs="宋体"/>
                                      <w:sz w:val="20"/>
                                      <w:szCs w:val="20"/>
                                    </w:rPr>
                                  </w:pPr>
                                </w:p>
                                <w:p w14:paraId="58F3124B">
                                  <w:pPr>
                                    <w:pStyle w:val="749"/>
                                    <w:rPr>
                                      <w:rFonts w:hint="eastAsia" w:ascii="宋体" w:hAnsi="宋体" w:cs="宋体"/>
                                      <w:sz w:val="20"/>
                                      <w:szCs w:val="20"/>
                                    </w:rPr>
                                  </w:pPr>
                                </w:p>
                                <w:p w14:paraId="0EAFBD62">
                                  <w:pPr>
                                    <w:pStyle w:val="749"/>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5FC97C37">
                                  <w:pPr>
                                    <w:pStyle w:val="749"/>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5042B79D">
                                  <w:pPr>
                                    <w:pStyle w:val="749"/>
                                    <w:rPr>
                                      <w:rFonts w:ascii="宋体" w:hAnsi="宋体" w:cs="宋体"/>
                                      <w:sz w:val="20"/>
                                      <w:szCs w:val="20"/>
                                    </w:rPr>
                                  </w:pPr>
                                </w:p>
                                <w:p w14:paraId="32F74D49">
                                  <w:pPr>
                                    <w:pStyle w:val="749"/>
                                    <w:rPr>
                                      <w:rFonts w:hint="eastAsia" w:ascii="宋体" w:hAnsi="宋体" w:cs="宋体"/>
                                      <w:sz w:val="20"/>
                                      <w:szCs w:val="20"/>
                                    </w:rPr>
                                  </w:pPr>
                                </w:p>
                                <w:p w14:paraId="08A5A343">
                                  <w:pPr>
                                    <w:pStyle w:val="749"/>
                                    <w:spacing w:before="12"/>
                                    <w:rPr>
                                      <w:rFonts w:hint="eastAsia" w:ascii="宋体" w:hAnsi="宋体" w:cs="宋体"/>
                                      <w:sz w:val="19"/>
                                      <w:szCs w:val="19"/>
                                    </w:rPr>
                                  </w:pPr>
                                </w:p>
                                <w:p w14:paraId="533125E6">
                                  <w:pPr>
                                    <w:pStyle w:val="749"/>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64FA05B5">
                                  <w:pPr>
                                    <w:pStyle w:val="749"/>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3A7016B5">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3E202">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4E17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81838">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0B137">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1D2DDFAA">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047D526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29537">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0CE6D">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2204C">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7250C">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F0FC269">
                                  <w:pPr>
                                    <w:pStyle w:val="749"/>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437468D4">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3B483">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5325A">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6269E">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1BBEE">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1DF3D7E2">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2E53ABE0">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55AF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6BAB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6DCBA">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06EC2">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4A180EC">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2B31CA56">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BE2D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281A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28F1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E00B8">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6597E41">
                                  <w:pPr>
                                    <w:pStyle w:val="749"/>
                                    <w:spacing w:line="256" w:lineRule="exact"/>
                                    <w:ind w:left="7"/>
                                    <w:rPr>
                                      <w:rFonts w:ascii="宋体" w:hAnsi="宋体" w:cs="宋体"/>
                                      <w:sz w:val="20"/>
                                      <w:szCs w:val="20"/>
                                    </w:rPr>
                                  </w:pPr>
                                  <w:r>
                                    <w:rPr>
                                      <w:rFonts w:hint="eastAsia" w:ascii="宋体" w:hAnsi="宋体" w:cs="宋体"/>
                                      <w:w w:val="99"/>
                                      <w:sz w:val="20"/>
                                      <w:szCs w:val="20"/>
                                    </w:rPr>
                                    <w:t>实施。</w:t>
                                  </w:r>
                                </w:p>
                              </w:tc>
                            </w:tr>
                            <w:tr w14:paraId="25D1B7B8">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50C7D">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753F8">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E13ED">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170A3CF">
                                  <w:pPr>
                                    <w:pStyle w:val="749"/>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FD2F822">
                                  <w:pPr>
                                    <w:pStyle w:val="749"/>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282A19F8">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8D642">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1A431">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7841F">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3A2BB7E9">
                                  <w:pPr>
                                    <w:pStyle w:val="749"/>
                                    <w:spacing w:before="2"/>
                                    <w:rPr>
                                      <w:rFonts w:ascii="宋体" w:hAnsi="宋体" w:cs="宋体"/>
                                      <w:sz w:val="24"/>
                                      <w:szCs w:val="24"/>
                                      <w:lang w:eastAsia="zh-CN"/>
                                    </w:rPr>
                                  </w:pPr>
                                </w:p>
                                <w:p w14:paraId="7D66D40A">
                                  <w:pPr>
                                    <w:pStyle w:val="749"/>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5D0E79AD">
                                  <w:pPr>
                                    <w:pStyle w:val="749"/>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D0EA70B">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8F22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643A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7AA4D">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12DC2939">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65BB01A">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237BD853">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E0228">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C1FC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2FD0B">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2DBC6D2">
                                  <w:pPr>
                                    <w:pStyle w:val="749"/>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3E333D0E">
                                  <w:pPr>
                                    <w:pStyle w:val="749"/>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774FADE">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FB62B">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C982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5322E">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52171D4E">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2E6EDD21">
                                  <w:pPr>
                                    <w:pStyle w:val="749"/>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06EC8138">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1C8F8">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0CDE4">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C1E566D">
                                  <w:pPr>
                                    <w:pStyle w:val="749"/>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06D7EA6E">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D104D17">
                                  <w:pPr>
                                    <w:pStyle w:val="749"/>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2BB9A189">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63.4pt;height:671.2pt;width:421.8pt;mso-position-horizontal-relative:page;z-index:251660288;mso-width-relative:page;mso-height-relative:page;" filled="f" stroked="f" coordsize="21600,21600" o:gfxdata="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TcEV2gAAAA4BAAAPAAAAAAAAAAEAIAAAACIAAABkcnMvZG93bnJldi54bWxQ&#10;SwECFAAUAAAACACHTuJAJhwaAbwBAABzAwAADgAAAAAAAAABACAAAAApAQAAZHJzL2Uyb0RvYy54&#10;bWxQSwUGAAAAAAYABgBZAQAAVwUAAAAA&#10;">
                <v:fill on="f" focussize="0,0"/>
                <v:stroke on="f"/>
                <v:imagedata o:title=""/>
                <o:lock v:ext="edit" aspectratio="f"/>
                <v:textbox inset="0mm,0mm,0mm,0mm">
                  <w:txbxContent>
                    <w:tbl>
                      <w:tblPr>
                        <w:tblStyle w:val="84"/>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77DA92D9">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6D02501">
                            <w:pPr>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EA4E7AD">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726D155">
                            <w:pPr>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7079EA02">
                            <w:pPr>
                              <w:pStyle w:val="749"/>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3A478232">
                            <w:pPr>
                              <w:pStyle w:val="749"/>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4EDFE31D">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D21F2">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6DE8B">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8F815">
                            <w:pPr>
                              <w:widowControl/>
                              <w:jc w:val="left"/>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62216992">
                            <w:pPr>
                              <w:pStyle w:val="749"/>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3A77471B">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C3A0347">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23B2E">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24502">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9DA02AF">
                            <w:pPr>
                              <w:pStyle w:val="749"/>
                              <w:rPr>
                                <w:rFonts w:ascii="宋体" w:hAnsi="宋体" w:cs="宋体"/>
                                <w:sz w:val="20"/>
                                <w:szCs w:val="20"/>
                                <w:lang w:eastAsia="zh-CN"/>
                              </w:rPr>
                            </w:pPr>
                          </w:p>
                          <w:p w14:paraId="41C45299">
                            <w:pPr>
                              <w:pStyle w:val="749"/>
                              <w:rPr>
                                <w:rFonts w:hint="eastAsia" w:ascii="宋体" w:hAnsi="宋体" w:cs="宋体"/>
                                <w:sz w:val="20"/>
                                <w:szCs w:val="20"/>
                                <w:lang w:eastAsia="zh-CN"/>
                              </w:rPr>
                            </w:pPr>
                          </w:p>
                          <w:p w14:paraId="40E170F9">
                            <w:pPr>
                              <w:pStyle w:val="749"/>
                              <w:spacing w:before="3"/>
                              <w:rPr>
                                <w:rFonts w:hint="eastAsia" w:ascii="宋体" w:hAnsi="宋体" w:cs="宋体"/>
                                <w:sz w:val="21"/>
                                <w:szCs w:val="21"/>
                                <w:lang w:eastAsia="zh-CN"/>
                              </w:rPr>
                            </w:pPr>
                          </w:p>
                          <w:p w14:paraId="33251201">
                            <w:pPr>
                              <w:pStyle w:val="749"/>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C254F5C">
                            <w:pPr>
                              <w:pStyle w:val="749"/>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F31971">
                            <w:pPr>
                              <w:pStyle w:val="749"/>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2C25FF93">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0B731">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753BD">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29269">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2322BC3E">
                            <w:pPr>
                              <w:pStyle w:val="749"/>
                              <w:spacing w:before="7"/>
                              <w:rPr>
                                <w:rFonts w:ascii="宋体" w:hAnsi="宋体" w:cs="宋体"/>
                                <w:sz w:val="24"/>
                                <w:szCs w:val="24"/>
                                <w:lang w:eastAsia="zh-CN"/>
                              </w:rPr>
                            </w:pPr>
                          </w:p>
                          <w:p w14:paraId="73D76FEF">
                            <w:pPr>
                              <w:pStyle w:val="749"/>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54B53D41">
                            <w:pPr>
                              <w:pStyle w:val="749"/>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4707756C">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0ED06">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8CAC9">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25F7E">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172626B4">
                            <w:pPr>
                              <w:pStyle w:val="749"/>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2BA4DA0C">
                            <w:pPr>
                              <w:pStyle w:val="749"/>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56E77C79">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545A9">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7059C">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5F429">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36FA2C6A">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6814281">
                            <w:pPr>
                              <w:pStyle w:val="749"/>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72BA859D">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B6D3B">
                            <w:pPr>
                              <w:widowControl/>
                              <w:jc w:val="left"/>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D4ADD">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2DEDB4A0">
                            <w:pPr>
                              <w:pStyle w:val="749"/>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77101D9">
                            <w:pPr>
                              <w:pStyle w:val="749"/>
                              <w:spacing w:before="1"/>
                              <w:rPr>
                                <w:rFonts w:ascii="宋体" w:hAnsi="宋体" w:cs="宋体"/>
                                <w:sz w:val="18"/>
                                <w:szCs w:val="18"/>
                              </w:rPr>
                            </w:pPr>
                          </w:p>
                          <w:p w14:paraId="71D83C49">
                            <w:pPr>
                              <w:pStyle w:val="749"/>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1B9DD783">
                            <w:pPr>
                              <w:pStyle w:val="749"/>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E7168CF">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A175A">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CE361">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18DD2C9B">
                            <w:pPr>
                              <w:pStyle w:val="749"/>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44615">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68E10F89">
                            <w:pPr>
                              <w:pStyle w:val="749"/>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59DCBE01">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6A8F1">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8B664">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0D83B47B">
                            <w:pPr>
                              <w:pStyle w:val="749"/>
                              <w:rPr>
                                <w:rFonts w:ascii="宋体" w:hAnsi="宋体" w:cs="宋体"/>
                                <w:sz w:val="20"/>
                                <w:szCs w:val="20"/>
                                <w:lang w:eastAsia="zh-CN"/>
                              </w:rPr>
                            </w:pPr>
                          </w:p>
                          <w:p w14:paraId="24F0E54C">
                            <w:pPr>
                              <w:pStyle w:val="749"/>
                              <w:spacing w:before="9"/>
                              <w:rPr>
                                <w:rFonts w:hint="eastAsia" w:ascii="宋体" w:hAnsi="宋体" w:cs="宋体"/>
                                <w:sz w:val="20"/>
                                <w:szCs w:val="20"/>
                                <w:lang w:eastAsia="zh-CN"/>
                              </w:rPr>
                            </w:pPr>
                          </w:p>
                          <w:p w14:paraId="0683200C">
                            <w:pPr>
                              <w:pStyle w:val="74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F186343">
                            <w:pPr>
                              <w:pStyle w:val="749"/>
                              <w:rPr>
                                <w:rFonts w:ascii="宋体" w:hAnsi="宋体" w:cs="宋体"/>
                                <w:sz w:val="20"/>
                                <w:szCs w:val="20"/>
                              </w:rPr>
                            </w:pPr>
                          </w:p>
                          <w:p w14:paraId="1FA366B0">
                            <w:pPr>
                              <w:pStyle w:val="749"/>
                              <w:rPr>
                                <w:rFonts w:hint="eastAsia" w:ascii="宋体" w:hAnsi="宋体" w:cs="宋体"/>
                                <w:sz w:val="20"/>
                                <w:szCs w:val="20"/>
                              </w:rPr>
                            </w:pPr>
                          </w:p>
                          <w:p w14:paraId="168FA249">
                            <w:pPr>
                              <w:pStyle w:val="749"/>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7D82CD20">
                            <w:pPr>
                              <w:pStyle w:val="749"/>
                              <w:spacing w:before="11"/>
                              <w:rPr>
                                <w:rFonts w:ascii="宋体" w:hAnsi="宋体" w:cs="宋体"/>
                                <w:sz w:val="16"/>
                                <w:szCs w:val="16"/>
                                <w:lang w:eastAsia="zh-CN"/>
                              </w:rPr>
                            </w:pPr>
                          </w:p>
                          <w:p w14:paraId="3C1E56F0">
                            <w:pPr>
                              <w:pStyle w:val="749"/>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68A1FD22">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773CD">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E947E">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237D4EC0">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4217A">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6116B5DD">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415B0A3A">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AE36B">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20333">
                            <w:pPr>
                              <w:widowControl/>
                              <w:jc w:val="left"/>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14793026">
                            <w:pPr>
                              <w:pStyle w:val="749"/>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2AD33">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06521773">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659A1404">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83342">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A9E6B">
                            <w:pPr>
                              <w:widowControl/>
                              <w:jc w:val="left"/>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5C2F2059">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5F7D1">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772F12BE">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02A54F7D">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16A55C9">
                            <w:pPr>
                              <w:pStyle w:val="749"/>
                              <w:spacing w:before="12"/>
                              <w:rPr>
                                <w:rFonts w:ascii="宋体" w:hAnsi="宋体" w:cs="宋体"/>
                                <w:sz w:val="15"/>
                                <w:szCs w:val="15"/>
                                <w:lang w:eastAsia="zh-CN"/>
                              </w:rPr>
                            </w:pPr>
                          </w:p>
                          <w:p w14:paraId="7DFB3505">
                            <w:pPr>
                              <w:pStyle w:val="749"/>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29AF5309">
                            <w:pPr>
                              <w:pStyle w:val="749"/>
                              <w:spacing w:before="12"/>
                              <w:rPr>
                                <w:rFonts w:ascii="宋体" w:hAnsi="宋体" w:cs="宋体"/>
                                <w:sz w:val="15"/>
                                <w:szCs w:val="15"/>
                              </w:rPr>
                            </w:pPr>
                          </w:p>
                          <w:p w14:paraId="6F97F670">
                            <w:pPr>
                              <w:pStyle w:val="74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0A08F1D">
                            <w:pPr>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00A3CB0">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4866A49">
                            <w:pPr>
                              <w:pStyle w:val="749"/>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1EC2CA2C">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5B865BA">
                            <w:pPr>
                              <w:pStyle w:val="749"/>
                              <w:spacing w:before="3"/>
                              <w:rPr>
                                <w:rFonts w:ascii="宋体" w:hAnsi="宋体" w:cs="宋体"/>
                                <w:sz w:val="14"/>
                                <w:szCs w:val="14"/>
                                <w:lang w:eastAsia="zh-CN"/>
                              </w:rPr>
                            </w:pPr>
                          </w:p>
                          <w:p w14:paraId="3085DDE1">
                            <w:pPr>
                              <w:pStyle w:val="749"/>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51BC24B4">
                            <w:pPr>
                              <w:pStyle w:val="749"/>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8F4B6D3">
                            <w:pPr>
                              <w:pStyle w:val="749"/>
                              <w:spacing w:before="3"/>
                              <w:rPr>
                                <w:rFonts w:ascii="宋体" w:hAnsi="宋体" w:cs="宋体"/>
                                <w:sz w:val="14"/>
                                <w:szCs w:val="14"/>
                              </w:rPr>
                            </w:pPr>
                          </w:p>
                          <w:p w14:paraId="5D3A383E">
                            <w:pPr>
                              <w:pStyle w:val="749"/>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00B776A">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59C862CA">
                            <w:pPr>
                              <w:pStyle w:val="749"/>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68719F99">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ED33F">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7D245CCB">
                            <w:pPr>
                              <w:pStyle w:val="749"/>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3D294">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50E4B">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45351404">
                            <w:pPr>
                              <w:pStyle w:val="749"/>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633DA4C6">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3965057">
                            <w:pPr>
                              <w:pStyle w:val="749"/>
                              <w:spacing w:before="8"/>
                              <w:rPr>
                                <w:rFonts w:ascii="宋体" w:hAnsi="宋体" w:cs="宋体"/>
                                <w:sz w:val="21"/>
                                <w:szCs w:val="21"/>
                              </w:rPr>
                            </w:pPr>
                          </w:p>
                          <w:p w14:paraId="2F544B13">
                            <w:pPr>
                              <w:pStyle w:val="749"/>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010A6DCF">
                            <w:pPr>
                              <w:pStyle w:val="749"/>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92F4790">
                            <w:pPr>
                              <w:pStyle w:val="749"/>
                              <w:spacing w:before="8"/>
                              <w:rPr>
                                <w:rFonts w:ascii="宋体" w:hAnsi="宋体" w:cs="宋体"/>
                                <w:sz w:val="21"/>
                                <w:szCs w:val="21"/>
                              </w:rPr>
                            </w:pPr>
                          </w:p>
                          <w:p w14:paraId="3AD457E3">
                            <w:pPr>
                              <w:pStyle w:val="749"/>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4F0E1EEF">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1B1CBEE4">
                            <w:pPr>
                              <w:pStyle w:val="749"/>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C45B2A0">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01D56">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5F493354">
                            <w:pPr>
                              <w:pStyle w:val="749"/>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7DAC8">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13019">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7294DE76">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7607B31E">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42F7107">
                            <w:pPr>
                              <w:pStyle w:val="749"/>
                              <w:rPr>
                                <w:rFonts w:ascii="宋体" w:hAnsi="宋体" w:cs="宋体"/>
                                <w:sz w:val="20"/>
                                <w:szCs w:val="20"/>
                                <w:lang w:eastAsia="zh-CN"/>
                              </w:rPr>
                            </w:pPr>
                          </w:p>
                          <w:p w14:paraId="2B94A08A">
                            <w:pPr>
                              <w:pStyle w:val="749"/>
                              <w:rPr>
                                <w:rFonts w:hint="eastAsia" w:ascii="宋体" w:hAnsi="宋体" w:cs="宋体"/>
                                <w:sz w:val="20"/>
                                <w:szCs w:val="20"/>
                                <w:lang w:eastAsia="zh-CN"/>
                              </w:rPr>
                            </w:pPr>
                          </w:p>
                          <w:p w14:paraId="40E4492C">
                            <w:pPr>
                              <w:pStyle w:val="749"/>
                              <w:rPr>
                                <w:rFonts w:hint="eastAsia" w:ascii="宋体" w:hAnsi="宋体" w:cs="宋体"/>
                                <w:sz w:val="20"/>
                                <w:szCs w:val="20"/>
                                <w:lang w:eastAsia="zh-CN"/>
                              </w:rPr>
                            </w:pPr>
                          </w:p>
                          <w:p w14:paraId="0D77B992">
                            <w:pPr>
                              <w:pStyle w:val="749"/>
                              <w:rPr>
                                <w:rFonts w:hint="eastAsia" w:ascii="宋体" w:hAnsi="宋体" w:cs="宋体"/>
                                <w:sz w:val="20"/>
                                <w:szCs w:val="20"/>
                                <w:lang w:eastAsia="zh-CN"/>
                              </w:rPr>
                            </w:pPr>
                          </w:p>
                          <w:p w14:paraId="28669CF4">
                            <w:pPr>
                              <w:pStyle w:val="749"/>
                              <w:rPr>
                                <w:rFonts w:hint="eastAsia" w:ascii="宋体" w:hAnsi="宋体" w:cs="宋体"/>
                                <w:sz w:val="20"/>
                                <w:szCs w:val="20"/>
                                <w:lang w:eastAsia="zh-CN"/>
                              </w:rPr>
                            </w:pPr>
                          </w:p>
                          <w:p w14:paraId="3A0552AE">
                            <w:pPr>
                              <w:pStyle w:val="749"/>
                              <w:rPr>
                                <w:rFonts w:hint="eastAsia" w:ascii="宋体" w:hAnsi="宋体" w:cs="宋体"/>
                                <w:sz w:val="20"/>
                                <w:szCs w:val="20"/>
                                <w:lang w:eastAsia="zh-CN"/>
                              </w:rPr>
                            </w:pPr>
                          </w:p>
                          <w:p w14:paraId="3B5301CB">
                            <w:pPr>
                              <w:pStyle w:val="749"/>
                              <w:rPr>
                                <w:rFonts w:hint="eastAsia" w:ascii="宋体" w:hAnsi="宋体" w:cs="宋体"/>
                                <w:sz w:val="20"/>
                                <w:szCs w:val="20"/>
                                <w:lang w:eastAsia="zh-CN"/>
                              </w:rPr>
                            </w:pPr>
                          </w:p>
                          <w:p w14:paraId="5D3DB1C0">
                            <w:pPr>
                              <w:pStyle w:val="749"/>
                              <w:rPr>
                                <w:rFonts w:hint="eastAsia" w:ascii="宋体" w:hAnsi="宋体" w:cs="宋体"/>
                                <w:sz w:val="20"/>
                                <w:szCs w:val="20"/>
                                <w:lang w:eastAsia="zh-CN"/>
                              </w:rPr>
                            </w:pPr>
                          </w:p>
                          <w:p w14:paraId="6C4F8D9C">
                            <w:pPr>
                              <w:pStyle w:val="749"/>
                              <w:rPr>
                                <w:rFonts w:hint="eastAsia" w:ascii="宋体" w:hAnsi="宋体" w:cs="宋体"/>
                                <w:sz w:val="20"/>
                                <w:szCs w:val="20"/>
                                <w:lang w:eastAsia="zh-CN"/>
                              </w:rPr>
                            </w:pPr>
                          </w:p>
                          <w:p w14:paraId="2F8839E7">
                            <w:pPr>
                              <w:pStyle w:val="749"/>
                              <w:spacing w:before="5"/>
                              <w:rPr>
                                <w:rFonts w:hint="eastAsia" w:ascii="宋体" w:hAnsi="宋体" w:cs="宋体"/>
                                <w:sz w:val="18"/>
                                <w:szCs w:val="18"/>
                                <w:lang w:eastAsia="zh-CN"/>
                              </w:rPr>
                            </w:pPr>
                          </w:p>
                          <w:p w14:paraId="72159F53">
                            <w:pPr>
                              <w:pStyle w:val="749"/>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B57D048">
                            <w:pPr>
                              <w:pStyle w:val="749"/>
                              <w:rPr>
                                <w:rFonts w:ascii="宋体" w:hAnsi="宋体" w:cs="宋体"/>
                                <w:sz w:val="20"/>
                                <w:szCs w:val="20"/>
                              </w:rPr>
                            </w:pPr>
                          </w:p>
                          <w:p w14:paraId="4374E512">
                            <w:pPr>
                              <w:pStyle w:val="749"/>
                              <w:rPr>
                                <w:rFonts w:hint="eastAsia" w:ascii="宋体" w:hAnsi="宋体" w:cs="宋体"/>
                                <w:sz w:val="20"/>
                                <w:szCs w:val="20"/>
                              </w:rPr>
                            </w:pPr>
                          </w:p>
                          <w:p w14:paraId="6564A608">
                            <w:pPr>
                              <w:pStyle w:val="749"/>
                              <w:rPr>
                                <w:rFonts w:hint="eastAsia" w:ascii="宋体" w:hAnsi="宋体" w:cs="宋体"/>
                                <w:sz w:val="20"/>
                                <w:szCs w:val="20"/>
                              </w:rPr>
                            </w:pPr>
                          </w:p>
                          <w:p w14:paraId="3A0BFAEC">
                            <w:pPr>
                              <w:pStyle w:val="749"/>
                              <w:rPr>
                                <w:rFonts w:hint="eastAsia" w:ascii="宋体" w:hAnsi="宋体" w:cs="宋体"/>
                                <w:sz w:val="20"/>
                                <w:szCs w:val="20"/>
                              </w:rPr>
                            </w:pPr>
                          </w:p>
                          <w:p w14:paraId="3A46038B">
                            <w:pPr>
                              <w:pStyle w:val="749"/>
                              <w:rPr>
                                <w:rFonts w:hint="eastAsia" w:ascii="宋体" w:hAnsi="宋体" w:cs="宋体"/>
                                <w:sz w:val="20"/>
                                <w:szCs w:val="20"/>
                              </w:rPr>
                            </w:pPr>
                          </w:p>
                          <w:p w14:paraId="26ED2AF9">
                            <w:pPr>
                              <w:pStyle w:val="749"/>
                              <w:rPr>
                                <w:rFonts w:hint="eastAsia" w:ascii="宋体" w:hAnsi="宋体" w:cs="宋体"/>
                                <w:sz w:val="20"/>
                                <w:szCs w:val="20"/>
                              </w:rPr>
                            </w:pPr>
                          </w:p>
                          <w:p w14:paraId="7FA55C4B">
                            <w:pPr>
                              <w:pStyle w:val="749"/>
                              <w:rPr>
                                <w:rFonts w:hint="eastAsia" w:ascii="宋体" w:hAnsi="宋体" w:cs="宋体"/>
                                <w:sz w:val="20"/>
                                <w:szCs w:val="20"/>
                              </w:rPr>
                            </w:pPr>
                          </w:p>
                          <w:p w14:paraId="102B2836">
                            <w:pPr>
                              <w:pStyle w:val="749"/>
                              <w:rPr>
                                <w:rFonts w:hint="eastAsia" w:ascii="宋体" w:hAnsi="宋体" w:cs="宋体"/>
                                <w:sz w:val="20"/>
                                <w:szCs w:val="20"/>
                              </w:rPr>
                            </w:pPr>
                          </w:p>
                          <w:p w14:paraId="0189B023">
                            <w:pPr>
                              <w:pStyle w:val="749"/>
                              <w:spacing w:before="6"/>
                              <w:rPr>
                                <w:rFonts w:hint="eastAsia" w:ascii="宋体" w:hAnsi="宋体" w:cs="宋体"/>
                                <w:sz w:val="26"/>
                                <w:szCs w:val="26"/>
                              </w:rPr>
                            </w:pPr>
                          </w:p>
                          <w:p w14:paraId="68682C26">
                            <w:pPr>
                              <w:pStyle w:val="749"/>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0C72F97C">
                            <w:pPr>
                              <w:pStyle w:val="749"/>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59B7D12">
                            <w:pPr>
                              <w:pStyle w:val="749"/>
                              <w:spacing w:before="1"/>
                              <w:rPr>
                                <w:rFonts w:ascii="宋体" w:hAnsi="宋体" w:cs="宋体"/>
                                <w:sz w:val="16"/>
                                <w:szCs w:val="16"/>
                              </w:rPr>
                            </w:pPr>
                          </w:p>
                          <w:p w14:paraId="3C011F89">
                            <w:pPr>
                              <w:pStyle w:val="749"/>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48651FC2">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25D00560">
                            <w:pPr>
                              <w:pStyle w:val="749"/>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11B78E44">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11558">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E0B86">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A858EB">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6E07A">
                            <w:pPr>
                              <w:widowControl/>
                              <w:jc w:val="left"/>
                              <w:rPr>
                                <w:rFonts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15FD90A3">
                            <w:pPr>
                              <w:pStyle w:val="749"/>
                              <w:tabs>
                                <w:tab w:val="left" w:pos="1408"/>
                                <w:tab w:val="clear" w:pos="0"/>
                                <w:tab w:val="clear" w:pos="1134"/>
                                <w:tab w:val="clear" w:pos="8505"/>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20B2D84B">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A4F62">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AC047">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C7CEC57">
                            <w:pPr>
                              <w:pStyle w:val="749"/>
                              <w:rPr>
                                <w:rFonts w:ascii="宋体" w:hAnsi="宋体" w:cs="宋体"/>
                                <w:sz w:val="20"/>
                                <w:szCs w:val="20"/>
                              </w:rPr>
                            </w:pPr>
                          </w:p>
                          <w:p w14:paraId="34828A5A">
                            <w:pPr>
                              <w:pStyle w:val="749"/>
                              <w:rPr>
                                <w:rFonts w:hint="eastAsia" w:ascii="宋体" w:hAnsi="宋体" w:cs="宋体"/>
                                <w:sz w:val="20"/>
                                <w:szCs w:val="20"/>
                              </w:rPr>
                            </w:pPr>
                          </w:p>
                          <w:p w14:paraId="5F37057E">
                            <w:pPr>
                              <w:pStyle w:val="749"/>
                              <w:rPr>
                                <w:rFonts w:hint="eastAsia" w:ascii="宋体" w:hAnsi="宋体" w:cs="宋体"/>
                                <w:sz w:val="20"/>
                                <w:szCs w:val="20"/>
                              </w:rPr>
                            </w:pPr>
                          </w:p>
                          <w:p w14:paraId="1B878EE1">
                            <w:pPr>
                              <w:pStyle w:val="749"/>
                              <w:rPr>
                                <w:rFonts w:hint="eastAsia" w:ascii="宋体" w:hAnsi="宋体" w:cs="宋体"/>
                                <w:sz w:val="20"/>
                                <w:szCs w:val="20"/>
                              </w:rPr>
                            </w:pPr>
                          </w:p>
                          <w:p w14:paraId="07390076">
                            <w:pPr>
                              <w:pStyle w:val="749"/>
                              <w:rPr>
                                <w:rFonts w:hint="eastAsia" w:ascii="宋体" w:hAnsi="宋体" w:cs="宋体"/>
                                <w:sz w:val="20"/>
                                <w:szCs w:val="20"/>
                              </w:rPr>
                            </w:pPr>
                          </w:p>
                          <w:p w14:paraId="58F3124B">
                            <w:pPr>
                              <w:pStyle w:val="749"/>
                              <w:rPr>
                                <w:rFonts w:hint="eastAsia" w:ascii="宋体" w:hAnsi="宋体" w:cs="宋体"/>
                                <w:sz w:val="20"/>
                                <w:szCs w:val="20"/>
                              </w:rPr>
                            </w:pPr>
                          </w:p>
                          <w:p w14:paraId="0EAFBD62">
                            <w:pPr>
                              <w:pStyle w:val="749"/>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5FC97C37">
                            <w:pPr>
                              <w:pStyle w:val="749"/>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5042B79D">
                            <w:pPr>
                              <w:pStyle w:val="749"/>
                              <w:rPr>
                                <w:rFonts w:ascii="宋体" w:hAnsi="宋体" w:cs="宋体"/>
                                <w:sz w:val="20"/>
                                <w:szCs w:val="20"/>
                              </w:rPr>
                            </w:pPr>
                          </w:p>
                          <w:p w14:paraId="32F74D49">
                            <w:pPr>
                              <w:pStyle w:val="749"/>
                              <w:rPr>
                                <w:rFonts w:hint="eastAsia" w:ascii="宋体" w:hAnsi="宋体" w:cs="宋体"/>
                                <w:sz w:val="20"/>
                                <w:szCs w:val="20"/>
                              </w:rPr>
                            </w:pPr>
                          </w:p>
                          <w:p w14:paraId="08A5A343">
                            <w:pPr>
                              <w:pStyle w:val="749"/>
                              <w:spacing w:before="12"/>
                              <w:rPr>
                                <w:rFonts w:hint="eastAsia" w:ascii="宋体" w:hAnsi="宋体" w:cs="宋体"/>
                                <w:sz w:val="19"/>
                                <w:szCs w:val="19"/>
                              </w:rPr>
                            </w:pPr>
                          </w:p>
                          <w:p w14:paraId="533125E6">
                            <w:pPr>
                              <w:pStyle w:val="749"/>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64FA05B5">
                            <w:pPr>
                              <w:pStyle w:val="749"/>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3A7016B5">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3E202">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4E17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81838">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0B137">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1D2DDFAA">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047D526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29537">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0CE6D">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2204C">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7250C">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F0FC269">
                            <w:pPr>
                              <w:pStyle w:val="749"/>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437468D4">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3B483">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5325A">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6269E">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1BBEE">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1DF3D7E2">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2E53ABE0">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55AF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6BAB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6DCBA">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06EC2">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4A180EC">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2B31CA56">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BE2D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281A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28F1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E00B8">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6597E41">
                            <w:pPr>
                              <w:pStyle w:val="749"/>
                              <w:spacing w:line="256" w:lineRule="exact"/>
                              <w:ind w:left="7"/>
                              <w:rPr>
                                <w:rFonts w:ascii="宋体" w:hAnsi="宋体" w:cs="宋体"/>
                                <w:sz w:val="20"/>
                                <w:szCs w:val="20"/>
                              </w:rPr>
                            </w:pPr>
                            <w:r>
                              <w:rPr>
                                <w:rFonts w:hint="eastAsia" w:ascii="宋体" w:hAnsi="宋体" w:cs="宋体"/>
                                <w:w w:val="99"/>
                                <w:sz w:val="20"/>
                                <w:szCs w:val="20"/>
                              </w:rPr>
                              <w:t>实施。</w:t>
                            </w:r>
                          </w:p>
                        </w:tc>
                      </w:tr>
                      <w:tr w14:paraId="25D1B7B8">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50C7D">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753F8">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E13ED">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170A3CF">
                            <w:pPr>
                              <w:pStyle w:val="749"/>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FD2F822">
                            <w:pPr>
                              <w:pStyle w:val="749"/>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282A19F8">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8D642">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1A431">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7841F">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3A2BB7E9">
                            <w:pPr>
                              <w:pStyle w:val="749"/>
                              <w:spacing w:before="2"/>
                              <w:rPr>
                                <w:rFonts w:ascii="宋体" w:hAnsi="宋体" w:cs="宋体"/>
                                <w:sz w:val="24"/>
                                <w:szCs w:val="24"/>
                                <w:lang w:eastAsia="zh-CN"/>
                              </w:rPr>
                            </w:pPr>
                          </w:p>
                          <w:p w14:paraId="7D66D40A">
                            <w:pPr>
                              <w:pStyle w:val="749"/>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5D0E79AD">
                            <w:pPr>
                              <w:pStyle w:val="749"/>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D0EA70B">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8F22F">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643A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7AA4D">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12DC2939">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65BB01A">
                            <w:pPr>
                              <w:pStyle w:val="749"/>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237BD853">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E0228">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C1FC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2FD0B">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2DBC6D2">
                            <w:pPr>
                              <w:pStyle w:val="749"/>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3E333D0E">
                            <w:pPr>
                              <w:pStyle w:val="749"/>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774FADE">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FB62B">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C982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5322E">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52171D4E">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2E6EDD21">
                            <w:pPr>
                              <w:pStyle w:val="749"/>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06EC8138">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1C8F8">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0CDE4">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C1E566D">
                            <w:pPr>
                              <w:pStyle w:val="749"/>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06D7EA6E">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D104D17">
                            <w:pPr>
                              <w:pStyle w:val="749"/>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2BB9A189">
                      <w:pPr>
                        <w:rPr>
                          <w:rFonts w:ascii="Calibri" w:hAnsi="Calibri"/>
                          <w:sz w:val="22"/>
                          <w:szCs w:val="22"/>
                        </w:rPr>
                      </w:pPr>
                    </w:p>
                  </w:txbxContent>
                </v:textbox>
              </v:shape>
            </w:pict>
          </mc:Fallback>
        </mc:AlternateContent>
      </w:r>
      <w:r>
        <w:rPr>
          <w:rFonts w:hint="eastAsia" w:ascii="宋体" w:hAnsi="宋体" w:cs="宋体"/>
          <w:color w:val="auto"/>
          <w:w w:val="99"/>
          <w:sz w:val="20"/>
          <w:szCs w:val="20"/>
          <w:highlight w:val="none"/>
        </w:rPr>
        <w:t>）</w:t>
      </w:r>
    </w:p>
    <w:p w14:paraId="694AE62E">
      <w:pPr>
        <w:rPr>
          <w:rFonts w:hint="eastAsia" w:ascii="宋体" w:hAnsi="宋体" w:cs="宋体"/>
          <w:color w:val="auto"/>
          <w:sz w:val="20"/>
          <w:szCs w:val="20"/>
          <w:highlight w:val="none"/>
        </w:rPr>
      </w:pPr>
    </w:p>
    <w:p w14:paraId="0F562C9B">
      <w:pPr>
        <w:rPr>
          <w:rFonts w:hint="eastAsia" w:ascii="宋体" w:hAnsi="宋体" w:cs="宋体"/>
          <w:color w:val="auto"/>
          <w:sz w:val="20"/>
          <w:szCs w:val="20"/>
          <w:highlight w:val="none"/>
        </w:rPr>
      </w:pPr>
    </w:p>
    <w:p w14:paraId="7E044CB5">
      <w:pPr>
        <w:rPr>
          <w:rFonts w:hint="eastAsia" w:ascii="宋体" w:hAnsi="宋体" w:cs="宋体"/>
          <w:color w:val="auto"/>
          <w:sz w:val="20"/>
          <w:szCs w:val="20"/>
          <w:highlight w:val="none"/>
        </w:rPr>
      </w:pPr>
    </w:p>
    <w:p w14:paraId="22BF0499">
      <w:pPr>
        <w:rPr>
          <w:rFonts w:hint="eastAsia" w:ascii="宋体" w:hAnsi="宋体" w:cs="宋体"/>
          <w:color w:val="auto"/>
          <w:sz w:val="20"/>
          <w:szCs w:val="20"/>
          <w:highlight w:val="none"/>
        </w:rPr>
      </w:pPr>
    </w:p>
    <w:p w14:paraId="649B9C36">
      <w:pPr>
        <w:rPr>
          <w:rFonts w:hint="eastAsia" w:ascii="宋体" w:hAnsi="宋体" w:cs="宋体"/>
          <w:color w:val="auto"/>
          <w:sz w:val="20"/>
          <w:szCs w:val="20"/>
          <w:highlight w:val="none"/>
        </w:rPr>
      </w:pPr>
    </w:p>
    <w:p w14:paraId="0BA9B398">
      <w:pPr>
        <w:rPr>
          <w:rFonts w:hint="eastAsia" w:ascii="宋体" w:hAnsi="宋体" w:cs="宋体"/>
          <w:color w:val="auto"/>
          <w:sz w:val="20"/>
          <w:szCs w:val="20"/>
          <w:highlight w:val="none"/>
        </w:rPr>
      </w:pPr>
    </w:p>
    <w:p w14:paraId="1AFF58F6">
      <w:pPr>
        <w:rPr>
          <w:rFonts w:hint="eastAsia" w:ascii="宋体" w:hAnsi="宋体" w:cs="宋体"/>
          <w:color w:val="auto"/>
          <w:sz w:val="20"/>
          <w:szCs w:val="20"/>
          <w:highlight w:val="none"/>
        </w:rPr>
      </w:pPr>
    </w:p>
    <w:p w14:paraId="1C8153BD">
      <w:pPr>
        <w:rPr>
          <w:rFonts w:hint="eastAsia" w:ascii="宋体" w:hAnsi="宋体" w:cs="宋体"/>
          <w:color w:val="auto"/>
          <w:sz w:val="20"/>
          <w:szCs w:val="20"/>
          <w:highlight w:val="none"/>
        </w:rPr>
      </w:pPr>
    </w:p>
    <w:p w14:paraId="5B72941C">
      <w:pPr>
        <w:rPr>
          <w:rFonts w:hint="eastAsia" w:ascii="宋体" w:hAnsi="宋体" w:cs="宋体"/>
          <w:color w:val="auto"/>
          <w:sz w:val="20"/>
          <w:szCs w:val="20"/>
          <w:highlight w:val="none"/>
        </w:rPr>
      </w:pPr>
    </w:p>
    <w:p w14:paraId="2B0C8D26">
      <w:pPr>
        <w:rPr>
          <w:rFonts w:hint="eastAsia" w:ascii="宋体" w:hAnsi="宋体" w:cs="宋体"/>
          <w:color w:val="auto"/>
          <w:sz w:val="20"/>
          <w:szCs w:val="20"/>
          <w:highlight w:val="none"/>
        </w:rPr>
      </w:pPr>
    </w:p>
    <w:p w14:paraId="626F52E6">
      <w:pPr>
        <w:spacing w:before="1"/>
        <w:rPr>
          <w:rFonts w:hint="eastAsia" w:ascii="宋体" w:hAnsi="宋体" w:cs="宋体"/>
          <w:color w:val="auto"/>
          <w:sz w:val="14"/>
          <w:szCs w:val="14"/>
          <w:highlight w:val="none"/>
        </w:rPr>
      </w:pPr>
    </w:p>
    <w:p w14:paraId="27B41442">
      <w:pPr>
        <w:spacing w:before="37"/>
        <w:ind w:right="104"/>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0A8DDB8F">
      <w:pPr>
        <w:spacing w:before="11"/>
        <w:rPr>
          <w:rFonts w:hint="eastAsia" w:ascii="宋体" w:hAnsi="宋体" w:cs="宋体"/>
          <w:color w:val="auto"/>
          <w:sz w:val="24"/>
          <w:highlight w:val="none"/>
        </w:rPr>
      </w:pPr>
    </w:p>
    <w:p w14:paraId="026080EC">
      <w:pPr>
        <w:spacing w:before="37"/>
        <w:ind w:right="145"/>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0BD66797">
      <w:pPr>
        <w:rPr>
          <w:rFonts w:hint="eastAsia" w:ascii="宋体" w:hAnsi="宋体" w:cs="宋体"/>
          <w:color w:val="auto"/>
          <w:sz w:val="20"/>
          <w:szCs w:val="20"/>
          <w:highlight w:val="none"/>
        </w:rPr>
      </w:pPr>
    </w:p>
    <w:p w14:paraId="2788D6DB">
      <w:pPr>
        <w:rPr>
          <w:rFonts w:hint="eastAsia" w:ascii="宋体" w:hAnsi="宋体" w:cs="宋体"/>
          <w:color w:val="auto"/>
          <w:sz w:val="20"/>
          <w:szCs w:val="20"/>
          <w:highlight w:val="none"/>
        </w:rPr>
      </w:pPr>
    </w:p>
    <w:p w14:paraId="37ED4CC9">
      <w:pPr>
        <w:rPr>
          <w:rFonts w:hint="eastAsia" w:ascii="宋体" w:hAnsi="宋体" w:cs="宋体"/>
          <w:color w:val="auto"/>
          <w:sz w:val="20"/>
          <w:szCs w:val="20"/>
          <w:highlight w:val="none"/>
        </w:rPr>
      </w:pPr>
    </w:p>
    <w:p w14:paraId="7F073CF9">
      <w:pPr>
        <w:rPr>
          <w:rFonts w:hint="eastAsia" w:ascii="宋体" w:hAnsi="宋体" w:cs="宋体"/>
          <w:color w:val="auto"/>
          <w:sz w:val="20"/>
          <w:szCs w:val="20"/>
          <w:highlight w:val="none"/>
        </w:rPr>
      </w:pPr>
    </w:p>
    <w:p w14:paraId="46BBBC68">
      <w:pPr>
        <w:rPr>
          <w:rFonts w:hint="eastAsia" w:ascii="宋体" w:hAnsi="宋体" w:cs="宋体"/>
          <w:color w:val="auto"/>
          <w:sz w:val="20"/>
          <w:szCs w:val="20"/>
          <w:highlight w:val="none"/>
        </w:rPr>
      </w:pPr>
    </w:p>
    <w:p w14:paraId="1348CDCE">
      <w:pPr>
        <w:rPr>
          <w:rFonts w:hint="eastAsia" w:ascii="宋体" w:hAnsi="宋体" w:cs="宋体"/>
          <w:color w:val="auto"/>
          <w:sz w:val="20"/>
          <w:szCs w:val="20"/>
          <w:highlight w:val="none"/>
        </w:rPr>
      </w:pPr>
    </w:p>
    <w:p w14:paraId="73E06589">
      <w:pPr>
        <w:rPr>
          <w:rFonts w:hint="eastAsia" w:ascii="宋体" w:hAnsi="宋体" w:cs="宋体"/>
          <w:color w:val="auto"/>
          <w:sz w:val="20"/>
          <w:szCs w:val="20"/>
          <w:highlight w:val="none"/>
        </w:rPr>
      </w:pPr>
    </w:p>
    <w:p w14:paraId="26B6BFA5">
      <w:pPr>
        <w:rPr>
          <w:rFonts w:hint="eastAsia" w:ascii="宋体" w:hAnsi="宋体" w:cs="宋体"/>
          <w:color w:val="auto"/>
          <w:sz w:val="20"/>
          <w:szCs w:val="20"/>
          <w:highlight w:val="none"/>
        </w:rPr>
      </w:pPr>
    </w:p>
    <w:p w14:paraId="2F0D1B7F">
      <w:pPr>
        <w:rPr>
          <w:rFonts w:hint="eastAsia" w:ascii="宋体" w:hAnsi="宋体" w:cs="宋体"/>
          <w:color w:val="auto"/>
          <w:sz w:val="20"/>
          <w:szCs w:val="20"/>
          <w:highlight w:val="none"/>
        </w:rPr>
      </w:pPr>
    </w:p>
    <w:p w14:paraId="35ACBC93">
      <w:pPr>
        <w:rPr>
          <w:rFonts w:hint="eastAsia" w:ascii="宋体" w:hAnsi="宋体" w:cs="宋体"/>
          <w:color w:val="auto"/>
          <w:sz w:val="20"/>
          <w:szCs w:val="20"/>
          <w:highlight w:val="none"/>
        </w:rPr>
      </w:pPr>
    </w:p>
    <w:p w14:paraId="78A55C6F">
      <w:pPr>
        <w:rPr>
          <w:rFonts w:hint="eastAsia" w:ascii="宋体" w:hAnsi="宋体" w:cs="宋体"/>
          <w:color w:val="auto"/>
          <w:sz w:val="20"/>
          <w:szCs w:val="20"/>
          <w:highlight w:val="none"/>
        </w:rPr>
      </w:pPr>
    </w:p>
    <w:p w14:paraId="295ED4ED">
      <w:pPr>
        <w:rPr>
          <w:rFonts w:hint="eastAsia" w:ascii="宋体" w:hAnsi="宋体" w:cs="宋体"/>
          <w:color w:val="auto"/>
          <w:sz w:val="20"/>
          <w:szCs w:val="20"/>
          <w:highlight w:val="none"/>
        </w:rPr>
      </w:pPr>
    </w:p>
    <w:p w14:paraId="1FC72DE3">
      <w:pPr>
        <w:rPr>
          <w:rFonts w:hint="eastAsia" w:ascii="宋体" w:hAnsi="宋体" w:cs="宋体"/>
          <w:color w:val="auto"/>
          <w:sz w:val="20"/>
          <w:szCs w:val="20"/>
          <w:highlight w:val="none"/>
        </w:rPr>
      </w:pPr>
    </w:p>
    <w:p w14:paraId="065B543E">
      <w:pPr>
        <w:rPr>
          <w:rFonts w:hint="eastAsia" w:ascii="宋体" w:hAnsi="宋体" w:cs="宋体"/>
          <w:color w:val="auto"/>
          <w:sz w:val="20"/>
          <w:szCs w:val="20"/>
          <w:highlight w:val="none"/>
        </w:rPr>
      </w:pPr>
    </w:p>
    <w:p w14:paraId="61338D13">
      <w:pPr>
        <w:rPr>
          <w:rFonts w:hint="eastAsia" w:ascii="宋体" w:hAnsi="宋体" w:cs="宋体"/>
          <w:color w:val="auto"/>
          <w:sz w:val="20"/>
          <w:szCs w:val="20"/>
          <w:highlight w:val="none"/>
        </w:rPr>
      </w:pPr>
    </w:p>
    <w:p w14:paraId="68DD6013">
      <w:pPr>
        <w:rPr>
          <w:rFonts w:hint="eastAsia" w:ascii="宋体" w:hAnsi="宋体" w:cs="宋体"/>
          <w:color w:val="auto"/>
          <w:sz w:val="20"/>
          <w:szCs w:val="20"/>
          <w:highlight w:val="none"/>
        </w:rPr>
      </w:pPr>
    </w:p>
    <w:p w14:paraId="7E1E576C">
      <w:pPr>
        <w:spacing w:before="6"/>
        <w:rPr>
          <w:rFonts w:hint="eastAsia" w:ascii="宋体" w:hAnsi="宋体" w:cs="宋体"/>
          <w:color w:val="auto"/>
          <w:sz w:val="29"/>
          <w:szCs w:val="29"/>
          <w:highlight w:val="none"/>
        </w:rPr>
      </w:pPr>
    </w:p>
    <w:p w14:paraId="67D37374">
      <w:pPr>
        <w:spacing w:before="37"/>
        <w:ind w:right="102"/>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6707B325">
      <w:pPr>
        <w:rPr>
          <w:rFonts w:hint="eastAsia" w:ascii="宋体" w:hAnsi="宋体" w:cs="宋体"/>
          <w:color w:val="auto"/>
          <w:sz w:val="20"/>
          <w:szCs w:val="20"/>
          <w:highlight w:val="none"/>
        </w:rPr>
      </w:pPr>
    </w:p>
    <w:p w14:paraId="7A7EF4AC">
      <w:pPr>
        <w:rPr>
          <w:rFonts w:hint="eastAsia" w:ascii="宋体" w:hAnsi="宋体" w:cs="宋体"/>
          <w:color w:val="auto"/>
          <w:sz w:val="20"/>
          <w:szCs w:val="20"/>
          <w:highlight w:val="none"/>
        </w:rPr>
      </w:pPr>
    </w:p>
    <w:p w14:paraId="7C9DB814">
      <w:pPr>
        <w:spacing w:before="3"/>
        <w:rPr>
          <w:rFonts w:hint="eastAsia" w:ascii="宋体" w:hAnsi="宋体" w:cs="宋体"/>
          <w:color w:val="auto"/>
          <w:sz w:val="22"/>
          <w:szCs w:val="22"/>
          <w:highlight w:val="none"/>
        </w:rPr>
      </w:pPr>
    </w:p>
    <w:p w14:paraId="0769FD4A">
      <w:pPr>
        <w:spacing w:before="37"/>
        <w:ind w:right="102"/>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1CF5BB22">
      <w:pPr>
        <w:widowControl/>
        <w:jc w:val="left"/>
        <w:rPr>
          <w:rFonts w:ascii="宋体" w:hAnsi="宋体" w:cs="宋体"/>
          <w:color w:val="auto"/>
          <w:sz w:val="20"/>
          <w:szCs w:val="20"/>
          <w:highlight w:val="none"/>
        </w:rPr>
        <w:sectPr>
          <w:pgSz w:w="11906" w:h="16838"/>
          <w:pgMar w:top="1340" w:right="1500" w:bottom="280" w:left="1680" w:header="720" w:footer="720" w:gutter="0"/>
          <w:cols w:space="720" w:num="1"/>
        </w:sectPr>
      </w:pPr>
    </w:p>
    <w:p w14:paraId="501BB330">
      <w:pPr>
        <w:rPr>
          <w:rFonts w:hint="eastAsia" w:ascii="宋体" w:hAnsi="宋体" w:cs="宋体"/>
          <w:color w:val="auto"/>
          <w:sz w:val="20"/>
          <w:szCs w:val="20"/>
          <w:highlight w:val="none"/>
        </w:rPr>
      </w:pPr>
    </w:p>
    <w:p w14:paraId="32403434">
      <w:pPr>
        <w:rPr>
          <w:rFonts w:hint="eastAsia" w:ascii="宋体" w:hAnsi="宋体" w:cs="宋体"/>
          <w:color w:val="auto"/>
          <w:sz w:val="20"/>
          <w:szCs w:val="20"/>
          <w:highlight w:val="none"/>
        </w:rPr>
      </w:pPr>
    </w:p>
    <w:p w14:paraId="11A70D7B">
      <w:pPr>
        <w:rPr>
          <w:rFonts w:hint="eastAsia" w:ascii="宋体" w:hAnsi="宋体" w:cs="宋体"/>
          <w:color w:val="auto"/>
          <w:sz w:val="20"/>
          <w:szCs w:val="20"/>
          <w:highlight w:val="none"/>
        </w:rPr>
      </w:pPr>
    </w:p>
    <w:p w14:paraId="2C7016F3">
      <w:pPr>
        <w:spacing w:before="13"/>
        <w:rPr>
          <w:rFonts w:hint="eastAsia" w:ascii="宋体" w:hAnsi="宋体" w:cs="宋体"/>
          <w:color w:val="auto"/>
          <w:sz w:val="24"/>
          <w:highlight w:val="none"/>
        </w:rPr>
      </w:pPr>
    </w:p>
    <w:p w14:paraId="6B651017">
      <w:pPr>
        <w:spacing w:before="37"/>
        <w:ind w:right="150"/>
        <w:jc w:val="right"/>
        <w:rPr>
          <w:rFonts w:hint="eastAsia" w:ascii="宋体" w:hAnsi="宋体" w:cs="宋体"/>
          <w:color w:val="auto"/>
          <w:sz w:val="20"/>
          <w:szCs w:val="20"/>
          <w:highlight w:val="none"/>
        </w:rPr>
      </w:pPr>
      <w:r>
        <w:rPr>
          <w:rFonts w:hint="eastAsia"/>
          <w:color w:val="auto"/>
          <w:highlight w:val="none"/>
        </w:rPr>
        <mc:AlternateContent>
          <mc:Choice Requires="wps">
            <w:drawing>
              <wp:anchor distT="0" distB="0" distL="114300" distR="114300" simplePos="0" relativeHeight="251661312" behindDoc="0" locked="0" layoutInCell="1" allowOverlap="1">
                <wp:simplePos x="0" y="0"/>
                <wp:positionH relativeFrom="page">
                  <wp:posOffset>1132205</wp:posOffset>
                </wp:positionH>
                <wp:positionV relativeFrom="paragraph">
                  <wp:posOffset>-654050</wp:posOffset>
                </wp:positionV>
                <wp:extent cx="5356860" cy="82753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356860" cy="8275320"/>
                        </a:xfrm>
                        <a:prstGeom prst="rect">
                          <a:avLst/>
                        </a:prstGeom>
                        <a:noFill/>
                        <a:ln>
                          <a:noFill/>
                        </a:ln>
                      </wps:spPr>
                      <wps:txbx>
                        <w:txbxContent>
                          <w:tbl>
                            <w:tblPr>
                              <w:tblStyle w:val="8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4B7A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02397FD2">
                                  <w:pPr>
                                    <w:rPr>
                                      <w:rFonts w:ascii="Calibri" w:hAnsi="Calibri"/>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64294CB6">
                                  <w:pPr>
                                    <w:rPr>
                                      <w:rFonts w:ascii="Calibri" w:hAnsi="Calibri"/>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54D942F8">
                                  <w:pPr>
                                    <w:pStyle w:val="749"/>
                                    <w:rPr>
                                      <w:rFonts w:ascii="宋体" w:hAnsi="宋体" w:cs="宋体"/>
                                      <w:sz w:val="20"/>
                                      <w:szCs w:val="20"/>
                                    </w:rPr>
                                  </w:pPr>
                                </w:p>
                                <w:p w14:paraId="3F231E3D">
                                  <w:pPr>
                                    <w:pStyle w:val="749"/>
                                    <w:rPr>
                                      <w:rFonts w:hint="eastAsia" w:ascii="宋体" w:hAnsi="宋体" w:cs="宋体"/>
                                      <w:sz w:val="20"/>
                                      <w:szCs w:val="20"/>
                                    </w:rPr>
                                  </w:pPr>
                                </w:p>
                                <w:p w14:paraId="0E08BE1B">
                                  <w:pPr>
                                    <w:pStyle w:val="749"/>
                                    <w:rPr>
                                      <w:rFonts w:hint="eastAsia" w:ascii="宋体" w:hAnsi="宋体" w:cs="宋体"/>
                                      <w:sz w:val="20"/>
                                      <w:szCs w:val="20"/>
                                    </w:rPr>
                                  </w:pPr>
                                </w:p>
                                <w:p w14:paraId="17324934">
                                  <w:pPr>
                                    <w:pStyle w:val="749"/>
                                    <w:rPr>
                                      <w:rFonts w:hint="eastAsia" w:ascii="宋体" w:hAnsi="宋体" w:cs="宋体"/>
                                      <w:sz w:val="20"/>
                                      <w:szCs w:val="20"/>
                                    </w:rPr>
                                  </w:pPr>
                                </w:p>
                                <w:p w14:paraId="6E9AE397">
                                  <w:pPr>
                                    <w:pStyle w:val="749"/>
                                    <w:rPr>
                                      <w:rFonts w:hint="eastAsia" w:ascii="宋体" w:hAnsi="宋体" w:cs="宋体"/>
                                      <w:sz w:val="20"/>
                                      <w:szCs w:val="20"/>
                                    </w:rPr>
                                  </w:pPr>
                                </w:p>
                                <w:p w14:paraId="3F63D758">
                                  <w:pPr>
                                    <w:pStyle w:val="749"/>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6AB2EBA">
                                  <w:pPr>
                                    <w:pStyle w:val="749"/>
                                    <w:spacing w:before="12"/>
                                    <w:rPr>
                                      <w:rFonts w:ascii="宋体" w:hAnsi="宋体" w:cs="宋体"/>
                                      <w:sz w:val="15"/>
                                      <w:szCs w:val="15"/>
                                    </w:rPr>
                                  </w:pPr>
                                </w:p>
                                <w:p w14:paraId="2D17F223">
                                  <w:pPr>
                                    <w:pStyle w:val="749"/>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36CD2B22">
                                  <w:pPr>
                                    <w:pStyle w:val="749"/>
                                    <w:tabs>
                                      <w:tab w:val="left" w:pos="1608"/>
                                      <w:tab w:val="clear" w:pos="0"/>
                                      <w:tab w:val="clear" w:pos="1134"/>
                                      <w:tab w:val="clear" w:pos="8505"/>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5965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C138A9A">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7D38D31">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32570E56">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571C56B2">
                                  <w:pPr>
                                    <w:pStyle w:val="749"/>
                                    <w:spacing w:before="2"/>
                                    <w:rPr>
                                      <w:rFonts w:ascii="宋体" w:hAnsi="宋体" w:cs="宋体"/>
                                      <w:sz w:val="24"/>
                                      <w:szCs w:val="24"/>
                                      <w:lang w:eastAsia="zh-CN"/>
                                    </w:rPr>
                                  </w:pPr>
                                </w:p>
                                <w:p w14:paraId="21A4CD7A">
                                  <w:pPr>
                                    <w:pStyle w:val="749"/>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3CD67376">
                                  <w:pPr>
                                    <w:pStyle w:val="749"/>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32D898A2">
                                  <w:pPr>
                                    <w:pStyle w:val="749"/>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39D4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B745D2C">
                                  <w:pPr>
                                    <w:widowControl/>
                                    <w:jc w:val="left"/>
                                    <w:rPr>
                                      <w:rFonts w:ascii="Calibri" w:hAnsi="Calibri" w:eastAsia="Times New Roman"/>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2DD78297">
                                  <w:pPr>
                                    <w:widowControl/>
                                    <w:jc w:val="left"/>
                                    <w:rPr>
                                      <w:rFonts w:ascii="Calibri" w:hAnsi="Calibri" w:eastAsia="Times New Roman"/>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3DFCDC08">
                                  <w:pPr>
                                    <w:widowControl/>
                                    <w:jc w:val="left"/>
                                    <w:rPr>
                                      <w:rFonts w:ascii="宋体" w:hAnsi="宋体" w:eastAsia="Times New Roman"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7471FEDD">
                                  <w:pPr>
                                    <w:pStyle w:val="749"/>
                                    <w:rPr>
                                      <w:rFonts w:ascii="宋体" w:hAnsi="宋体" w:cs="宋体"/>
                                      <w:sz w:val="19"/>
                                      <w:szCs w:val="19"/>
                                    </w:rPr>
                                  </w:pPr>
                                </w:p>
                                <w:p w14:paraId="2BABCAE7">
                                  <w:pPr>
                                    <w:pStyle w:val="749"/>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313256B9">
                                  <w:pPr>
                                    <w:pStyle w:val="749"/>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993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8575CB2">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3789D2F">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41142C23">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44CCFDB0">
                                  <w:pPr>
                                    <w:pStyle w:val="749"/>
                                    <w:spacing w:before="12"/>
                                    <w:rPr>
                                      <w:rFonts w:ascii="宋体" w:hAnsi="宋体" w:cs="宋体"/>
                                      <w:sz w:val="15"/>
                                      <w:szCs w:val="15"/>
                                      <w:lang w:eastAsia="zh-CN"/>
                                    </w:rPr>
                                  </w:pPr>
                                </w:p>
                                <w:p w14:paraId="5DD2EE8B">
                                  <w:pPr>
                                    <w:pStyle w:val="749"/>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5F6FD90B">
                                  <w:pPr>
                                    <w:pStyle w:val="749"/>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2243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2EBFB4EB">
                                  <w:pPr>
                                    <w:pStyle w:val="749"/>
                                    <w:rPr>
                                      <w:rFonts w:ascii="宋体" w:hAnsi="宋体" w:cs="宋体"/>
                                      <w:sz w:val="20"/>
                                      <w:szCs w:val="20"/>
                                      <w:lang w:eastAsia="zh-CN"/>
                                    </w:rPr>
                                  </w:pPr>
                                </w:p>
                                <w:p w14:paraId="0F221994">
                                  <w:pPr>
                                    <w:pStyle w:val="749"/>
                                    <w:rPr>
                                      <w:rFonts w:hint="eastAsia" w:ascii="宋体" w:hAnsi="宋体" w:cs="宋体"/>
                                      <w:sz w:val="20"/>
                                      <w:szCs w:val="20"/>
                                      <w:lang w:eastAsia="zh-CN"/>
                                    </w:rPr>
                                  </w:pPr>
                                </w:p>
                                <w:p w14:paraId="5C1A2213">
                                  <w:pPr>
                                    <w:pStyle w:val="749"/>
                                    <w:rPr>
                                      <w:rFonts w:hint="eastAsia" w:ascii="宋体" w:hAnsi="宋体" w:cs="宋体"/>
                                      <w:sz w:val="20"/>
                                      <w:szCs w:val="20"/>
                                      <w:lang w:eastAsia="zh-CN"/>
                                    </w:rPr>
                                  </w:pPr>
                                </w:p>
                                <w:p w14:paraId="07D7A57D">
                                  <w:pPr>
                                    <w:pStyle w:val="749"/>
                                    <w:rPr>
                                      <w:rFonts w:hint="eastAsia" w:ascii="宋体" w:hAnsi="宋体" w:cs="宋体"/>
                                      <w:sz w:val="20"/>
                                      <w:szCs w:val="20"/>
                                      <w:lang w:eastAsia="zh-CN"/>
                                    </w:rPr>
                                  </w:pPr>
                                </w:p>
                                <w:p w14:paraId="1CE9C7DA">
                                  <w:pPr>
                                    <w:pStyle w:val="749"/>
                                    <w:rPr>
                                      <w:rFonts w:hint="eastAsia" w:ascii="宋体" w:hAnsi="宋体" w:cs="宋体"/>
                                      <w:sz w:val="20"/>
                                      <w:szCs w:val="20"/>
                                      <w:lang w:eastAsia="zh-CN"/>
                                    </w:rPr>
                                  </w:pPr>
                                </w:p>
                                <w:p w14:paraId="71261160">
                                  <w:pPr>
                                    <w:pStyle w:val="749"/>
                                    <w:spacing w:before="12"/>
                                    <w:rPr>
                                      <w:rFonts w:hint="eastAsia" w:ascii="宋体" w:hAnsi="宋体" w:cs="宋体"/>
                                      <w:sz w:val="23"/>
                                      <w:szCs w:val="23"/>
                                      <w:lang w:eastAsia="zh-CN"/>
                                    </w:rPr>
                                  </w:pPr>
                                </w:p>
                                <w:p w14:paraId="50BAB556">
                                  <w:pPr>
                                    <w:pStyle w:val="749"/>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01111B0E">
                                  <w:pPr>
                                    <w:pStyle w:val="749"/>
                                    <w:rPr>
                                      <w:rFonts w:ascii="宋体" w:hAnsi="宋体" w:cs="宋体"/>
                                      <w:sz w:val="20"/>
                                      <w:szCs w:val="20"/>
                                    </w:rPr>
                                  </w:pPr>
                                </w:p>
                                <w:p w14:paraId="01DE62DC">
                                  <w:pPr>
                                    <w:pStyle w:val="749"/>
                                    <w:rPr>
                                      <w:rFonts w:hint="eastAsia" w:ascii="宋体" w:hAnsi="宋体" w:cs="宋体"/>
                                      <w:sz w:val="20"/>
                                      <w:szCs w:val="20"/>
                                    </w:rPr>
                                  </w:pPr>
                                </w:p>
                                <w:p w14:paraId="2354C0C4">
                                  <w:pPr>
                                    <w:pStyle w:val="749"/>
                                    <w:rPr>
                                      <w:rFonts w:hint="eastAsia" w:ascii="宋体" w:hAnsi="宋体" w:cs="宋体"/>
                                      <w:sz w:val="20"/>
                                      <w:szCs w:val="20"/>
                                    </w:rPr>
                                  </w:pPr>
                                </w:p>
                                <w:p w14:paraId="509CF1A7">
                                  <w:pPr>
                                    <w:pStyle w:val="749"/>
                                    <w:rPr>
                                      <w:rFonts w:hint="eastAsia" w:ascii="宋体" w:hAnsi="宋体" w:cs="宋体"/>
                                      <w:sz w:val="20"/>
                                      <w:szCs w:val="20"/>
                                    </w:rPr>
                                  </w:pPr>
                                </w:p>
                                <w:p w14:paraId="4024CF29">
                                  <w:pPr>
                                    <w:pStyle w:val="749"/>
                                    <w:rPr>
                                      <w:rFonts w:hint="eastAsia" w:ascii="宋体" w:hAnsi="宋体" w:cs="宋体"/>
                                      <w:sz w:val="20"/>
                                      <w:szCs w:val="20"/>
                                    </w:rPr>
                                  </w:pPr>
                                </w:p>
                                <w:p w14:paraId="671A43B5">
                                  <w:pPr>
                                    <w:pStyle w:val="749"/>
                                    <w:spacing w:before="157"/>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6B9E74E7">
                                  <w:pPr>
                                    <w:pStyle w:val="749"/>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EFFFDCE">
                                  <w:pPr>
                                    <w:pStyle w:val="749"/>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77C3A73">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AC7DFA5">
                                  <w:pPr>
                                    <w:pStyle w:val="749"/>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652C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44022265">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1AA0E18">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FD74E0F">
                                  <w:pPr>
                                    <w:pStyle w:val="749"/>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8834E7C">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2C6541CD">
                                  <w:pPr>
                                    <w:pStyle w:val="749"/>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114F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C8A1407">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ED08EEE">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3075FBE">
                                  <w:pPr>
                                    <w:pStyle w:val="749"/>
                                    <w:spacing w:before="4"/>
                                    <w:rPr>
                                      <w:rFonts w:ascii="宋体" w:hAnsi="宋体" w:cs="宋体"/>
                                      <w:sz w:val="18"/>
                                      <w:szCs w:val="18"/>
                                      <w:lang w:eastAsia="zh-CN"/>
                                    </w:rPr>
                                  </w:pPr>
                                </w:p>
                                <w:p w14:paraId="4A7E61BB">
                                  <w:pPr>
                                    <w:pStyle w:val="749"/>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CC77DD9">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48C8E59">
                                  <w:pPr>
                                    <w:pStyle w:val="749"/>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6F1E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C3E0FB6">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C57E016">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963E4E6">
                                  <w:pPr>
                                    <w:pStyle w:val="749"/>
                                    <w:spacing w:before="5"/>
                                    <w:rPr>
                                      <w:rFonts w:ascii="宋体" w:hAnsi="宋体" w:cs="宋体"/>
                                      <w:sz w:val="15"/>
                                      <w:szCs w:val="15"/>
                                      <w:lang w:eastAsia="zh-CN"/>
                                    </w:rPr>
                                  </w:pPr>
                                </w:p>
                                <w:p w14:paraId="31FC7B4C">
                                  <w:pPr>
                                    <w:pStyle w:val="749"/>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2CF38D3">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EE71FF6">
                                  <w:pPr>
                                    <w:pStyle w:val="749"/>
                                    <w:spacing w:before="5"/>
                                    <w:rPr>
                                      <w:rFonts w:ascii="宋体" w:hAnsi="宋体" w:cs="宋体"/>
                                      <w:sz w:val="15"/>
                                      <w:szCs w:val="15"/>
                                      <w:lang w:eastAsia="zh-CN"/>
                                    </w:rPr>
                                  </w:pPr>
                                </w:p>
                                <w:p w14:paraId="0E5EC913">
                                  <w:pPr>
                                    <w:pStyle w:val="749"/>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262C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231E103D">
                                  <w:pPr>
                                    <w:pStyle w:val="749"/>
                                    <w:spacing w:before="1"/>
                                    <w:rPr>
                                      <w:rFonts w:ascii="宋体" w:hAnsi="宋体" w:cs="宋体"/>
                                      <w:sz w:val="18"/>
                                      <w:szCs w:val="18"/>
                                      <w:lang w:eastAsia="zh-CN"/>
                                    </w:rPr>
                                  </w:pPr>
                                </w:p>
                                <w:p w14:paraId="36EE880C">
                                  <w:pPr>
                                    <w:pStyle w:val="749"/>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79A18D93">
                                  <w:pPr>
                                    <w:pStyle w:val="749"/>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5C2322BA">
                                  <w:pPr>
                                    <w:pStyle w:val="749"/>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D5AE2F4">
                                  <w:pPr>
                                    <w:pStyle w:val="749"/>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A96DA9A">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541C383">
                                  <w:pPr>
                                    <w:pStyle w:val="749"/>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4528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71EF80F0">
                                  <w:pPr>
                                    <w:pStyle w:val="749"/>
                                    <w:rPr>
                                      <w:rFonts w:ascii="宋体" w:hAnsi="宋体" w:cs="宋体"/>
                                      <w:sz w:val="20"/>
                                      <w:szCs w:val="20"/>
                                      <w:lang w:eastAsia="zh-CN"/>
                                    </w:rPr>
                                  </w:pPr>
                                </w:p>
                                <w:p w14:paraId="4802D42A">
                                  <w:pPr>
                                    <w:pStyle w:val="749"/>
                                    <w:rPr>
                                      <w:rFonts w:hint="eastAsia" w:ascii="宋体" w:hAnsi="宋体" w:cs="宋体"/>
                                      <w:sz w:val="20"/>
                                      <w:szCs w:val="20"/>
                                      <w:lang w:eastAsia="zh-CN"/>
                                    </w:rPr>
                                  </w:pPr>
                                </w:p>
                                <w:p w14:paraId="6FAB7180">
                                  <w:pPr>
                                    <w:pStyle w:val="749"/>
                                    <w:spacing w:before="10"/>
                                    <w:rPr>
                                      <w:rFonts w:hint="eastAsia" w:ascii="宋体" w:hAnsi="宋体" w:cs="宋体"/>
                                      <w:sz w:val="21"/>
                                      <w:szCs w:val="21"/>
                                      <w:lang w:eastAsia="zh-CN"/>
                                    </w:rPr>
                                  </w:pPr>
                                </w:p>
                                <w:p w14:paraId="7018450E">
                                  <w:pPr>
                                    <w:pStyle w:val="749"/>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3254E807">
                                  <w:pPr>
                                    <w:pStyle w:val="749"/>
                                    <w:rPr>
                                      <w:rFonts w:ascii="宋体" w:hAnsi="宋体" w:cs="宋体"/>
                                      <w:sz w:val="20"/>
                                      <w:szCs w:val="20"/>
                                    </w:rPr>
                                  </w:pPr>
                                </w:p>
                                <w:p w14:paraId="149FF166">
                                  <w:pPr>
                                    <w:pStyle w:val="749"/>
                                    <w:spacing w:before="11"/>
                                    <w:rPr>
                                      <w:rFonts w:hint="eastAsia" w:ascii="宋体" w:hAnsi="宋体" w:cs="宋体"/>
                                      <w:sz w:val="29"/>
                                      <w:szCs w:val="29"/>
                                    </w:rPr>
                                  </w:pPr>
                                </w:p>
                                <w:p w14:paraId="22EF62DD">
                                  <w:pPr>
                                    <w:pStyle w:val="749"/>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48927A9C">
                                  <w:pPr>
                                    <w:pStyle w:val="749"/>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D5AA480">
                                  <w:pPr>
                                    <w:pStyle w:val="749"/>
                                    <w:rPr>
                                      <w:rFonts w:ascii="宋体" w:hAnsi="宋体" w:cs="宋体"/>
                                      <w:sz w:val="20"/>
                                      <w:szCs w:val="20"/>
                                    </w:rPr>
                                  </w:pPr>
                                </w:p>
                                <w:p w14:paraId="2E0B36C3">
                                  <w:pPr>
                                    <w:pStyle w:val="749"/>
                                    <w:spacing w:before="11"/>
                                    <w:rPr>
                                      <w:rFonts w:hint="eastAsia" w:ascii="宋体" w:hAnsi="宋体" w:cs="宋体"/>
                                      <w:sz w:val="29"/>
                                      <w:szCs w:val="29"/>
                                    </w:rPr>
                                  </w:pPr>
                                </w:p>
                                <w:p w14:paraId="48315268">
                                  <w:pPr>
                                    <w:pStyle w:val="749"/>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A640862">
                                  <w:pPr>
                                    <w:pStyle w:val="749"/>
                                    <w:rPr>
                                      <w:rFonts w:ascii="宋体" w:hAnsi="宋体" w:cs="宋体"/>
                                      <w:sz w:val="20"/>
                                      <w:szCs w:val="20"/>
                                    </w:rPr>
                                  </w:pPr>
                                </w:p>
                                <w:p w14:paraId="50CEA04F">
                                  <w:pPr>
                                    <w:pStyle w:val="749"/>
                                    <w:rPr>
                                      <w:rFonts w:hint="eastAsia" w:ascii="宋体" w:hAnsi="宋体" w:cs="宋体"/>
                                      <w:sz w:val="20"/>
                                      <w:szCs w:val="20"/>
                                    </w:rPr>
                                  </w:pPr>
                                </w:p>
                                <w:p w14:paraId="51B7DE9C">
                                  <w:pPr>
                                    <w:pStyle w:val="749"/>
                                    <w:spacing w:before="10"/>
                                    <w:rPr>
                                      <w:rFonts w:hint="eastAsia" w:ascii="宋体" w:hAnsi="宋体" w:cs="宋体"/>
                                      <w:sz w:val="21"/>
                                      <w:szCs w:val="21"/>
                                    </w:rPr>
                                  </w:pPr>
                                </w:p>
                                <w:p w14:paraId="50B7EA04">
                                  <w:pPr>
                                    <w:pStyle w:val="749"/>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1C914657">
                                  <w:pPr>
                                    <w:pStyle w:val="749"/>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2D2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7A375EF2">
                                  <w:pPr>
                                    <w:pStyle w:val="749"/>
                                    <w:spacing w:before="10"/>
                                    <w:rPr>
                                      <w:rFonts w:ascii="宋体" w:hAnsi="宋体" w:cs="宋体"/>
                                      <w:sz w:val="17"/>
                                      <w:szCs w:val="17"/>
                                      <w:lang w:eastAsia="zh-CN"/>
                                    </w:rPr>
                                  </w:pPr>
                                </w:p>
                                <w:p w14:paraId="7DC5046E">
                                  <w:pPr>
                                    <w:pStyle w:val="749"/>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50801A5C">
                                  <w:pPr>
                                    <w:pStyle w:val="749"/>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6A746B83">
                                  <w:pPr>
                                    <w:pStyle w:val="749"/>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45B16B4">
                                  <w:pPr>
                                    <w:pStyle w:val="749"/>
                                    <w:spacing w:before="10"/>
                                    <w:rPr>
                                      <w:rFonts w:ascii="宋体" w:hAnsi="宋体" w:cs="宋体"/>
                                      <w:sz w:val="17"/>
                                      <w:szCs w:val="17"/>
                                    </w:rPr>
                                  </w:pPr>
                                </w:p>
                                <w:p w14:paraId="0A6C3C65">
                                  <w:pPr>
                                    <w:pStyle w:val="749"/>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6C21F10">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A2E2B79">
                                  <w:pPr>
                                    <w:pStyle w:val="749"/>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082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38CB754A">
                                  <w:pPr>
                                    <w:pStyle w:val="749"/>
                                    <w:rPr>
                                      <w:rFonts w:ascii="宋体" w:hAnsi="宋体" w:cs="宋体"/>
                                      <w:sz w:val="20"/>
                                      <w:szCs w:val="20"/>
                                      <w:lang w:eastAsia="zh-CN"/>
                                    </w:rPr>
                                  </w:pPr>
                                </w:p>
                                <w:p w14:paraId="51420E87">
                                  <w:pPr>
                                    <w:pStyle w:val="749"/>
                                    <w:rPr>
                                      <w:rFonts w:hint="eastAsia" w:ascii="宋体" w:hAnsi="宋体" w:cs="宋体"/>
                                      <w:sz w:val="20"/>
                                      <w:szCs w:val="20"/>
                                      <w:lang w:eastAsia="zh-CN"/>
                                    </w:rPr>
                                  </w:pPr>
                                </w:p>
                                <w:p w14:paraId="2DD3F7DA">
                                  <w:pPr>
                                    <w:pStyle w:val="749"/>
                                    <w:rPr>
                                      <w:rFonts w:hint="eastAsia" w:ascii="宋体" w:hAnsi="宋体" w:cs="宋体"/>
                                      <w:sz w:val="20"/>
                                      <w:szCs w:val="20"/>
                                      <w:lang w:eastAsia="zh-CN"/>
                                    </w:rPr>
                                  </w:pPr>
                                </w:p>
                                <w:p w14:paraId="3F18C3BB">
                                  <w:pPr>
                                    <w:pStyle w:val="749"/>
                                    <w:spacing w:before="1"/>
                                    <w:rPr>
                                      <w:rFonts w:hint="eastAsia" w:ascii="宋体" w:hAnsi="宋体" w:cs="宋体"/>
                                      <w:sz w:val="29"/>
                                      <w:szCs w:val="29"/>
                                      <w:lang w:eastAsia="zh-CN"/>
                                    </w:rPr>
                                  </w:pPr>
                                </w:p>
                                <w:p w14:paraId="68C7C135">
                                  <w:pPr>
                                    <w:pStyle w:val="749"/>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2E06DC6C">
                                  <w:pPr>
                                    <w:pStyle w:val="749"/>
                                    <w:rPr>
                                      <w:rFonts w:ascii="宋体" w:hAnsi="宋体" w:cs="宋体"/>
                                      <w:sz w:val="20"/>
                                      <w:szCs w:val="20"/>
                                    </w:rPr>
                                  </w:pPr>
                                </w:p>
                                <w:p w14:paraId="01813693">
                                  <w:pPr>
                                    <w:pStyle w:val="749"/>
                                    <w:rPr>
                                      <w:rFonts w:hint="eastAsia" w:ascii="宋体" w:hAnsi="宋体" w:cs="宋体"/>
                                      <w:sz w:val="20"/>
                                      <w:szCs w:val="20"/>
                                    </w:rPr>
                                  </w:pPr>
                                </w:p>
                                <w:p w14:paraId="09DD5B46">
                                  <w:pPr>
                                    <w:pStyle w:val="749"/>
                                    <w:spacing w:before="9"/>
                                    <w:rPr>
                                      <w:rFonts w:hint="eastAsia" w:ascii="宋体" w:hAnsi="宋体" w:cs="宋体"/>
                                      <w:sz w:val="17"/>
                                      <w:szCs w:val="17"/>
                                    </w:rPr>
                                  </w:pPr>
                                </w:p>
                                <w:p w14:paraId="5D5C495B">
                                  <w:pPr>
                                    <w:pStyle w:val="749"/>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71D9838B">
                                  <w:pPr>
                                    <w:pStyle w:val="749"/>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CB14B80">
                                  <w:pPr>
                                    <w:pStyle w:val="749"/>
                                    <w:spacing w:before="5"/>
                                    <w:rPr>
                                      <w:rFonts w:ascii="宋体" w:hAnsi="宋体" w:cs="宋体"/>
                                      <w:sz w:val="21"/>
                                      <w:szCs w:val="21"/>
                                    </w:rPr>
                                  </w:pPr>
                                </w:p>
                                <w:p w14:paraId="0C1A264B">
                                  <w:pPr>
                                    <w:pStyle w:val="749"/>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16C907C">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B318489">
                                  <w:pPr>
                                    <w:pStyle w:val="749"/>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68F3134D">
                                  <w:pPr>
                                    <w:pStyle w:val="749"/>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300F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5F98155">
                                  <w:pPr>
                                    <w:widowControl/>
                                    <w:jc w:val="left"/>
                                    <w:rPr>
                                      <w:rFonts w:ascii="宋体" w:hAnsi="宋体" w:eastAsia="Times New Roman"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7AC0012">
                                  <w:pPr>
                                    <w:widowControl/>
                                    <w:jc w:val="left"/>
                                    <w:rPr>
                                      <w:rFonts w:ascii="宋体" w:hAnsi="宋体" w:eastAsia="Times New Roman"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02E70F0">
                                  <w:pPr>
                                    <w:pStyle w:val="749"/>
                                    <w:spacing w:before="5"/>
                                    <w:rPr>
                                      <w:rFonts w:ascii="宋体" w:hAnsi="宋体" w:cs="宋体"/>
                                      <w:sz w:val="21"/>
                                      <w:szCs w:val="21"/>
                                    </w:rPr>
                                  </w:pPr>
                                </w:p>
                                <w:p w14:paraId="5916CEFC">
                                  <w:pPr>
                                    <w:pStyle w:val="749"/>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DDE2D0F">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8C73E64">
                                  <w:pPr>
                                    <w:pStyle w:val="749"/>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4483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46C8ADE">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1006BE5">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F97395F">
                                  <w:pPr>
                                    <w:pStyle w:val="749"/>
                                    <w:spacing w:before="5"/>
                                    <w:rPr>
                                      <w:rFonts w:ascii="宋体" w:hAnsi="宋体" w:cs="宋体"/>
                                      <w:sz w:val="21"/>
                                      <w:szCs w:val="21"/>
                                      <w:lang w:eastAsia="zh-CN"/>
                                    </w:rPr>
                                  </w:pPr>
                                </w:p>
                                <w:p w14:paraId="550D9C17">
                                  <w:pPr>
                                    <w:pStyle w:val="749"/>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C18F020">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5D61344">
                                  <w:pPr>
                                    <w:pStyle w:val="749"/>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63E65D53">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51.5pt;height:651.6pt;width:421.8pt;mso-position-horizontal-relative:page;z-index:251661312;mso-width-relative:page;mso-height-relative:page;" filled="f" stroked="f" coordsize="21600,21600" o:gfxdata="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isrkl2gAAAA4BAAAPAAAAAAAAAAEAIAAAACIAAABkcnMvZG93bnJldi54bWxQ&#10;SwECFAAUAAAACACHTuJA+brTIrwBAABzAwAADgAAAAAAAAABACAAAAApAQAAZHJzL2Uyb0RvYy54&#10;bWxQSwUGAAAAAAYABgBZAQAAVwUAAAAA&#10;">
                <v:fill on="f" focussize="0,0"/>
                <v:stroke on="f"/>
                <v:imagedata o:title=""/>
                <o:lock v:ext="edit" aspectratio="f"/>
                <v:textbox inset="0mm,0mm,0mm,0mm">
                  <w:txbxContent>
                    <w:tbl>
                      <w:tblPr>
                        <w:tblStyle w:val="8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4B7A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02397FD2">
                            <w:pPr>
                              <w:rPr>
                                <w:rFonts w:ascii="Calibri" w:hAnsi="Calibri"/>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64294CB6">
                            <w:pPr>
                              <w:rPr>
                                <w:rFonts w:ascii="Calibri" w:hAnsi="Calibri"/>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54D942F8">
                            <w:pPr>
                              <w:pStyle w:val="749"/>
                              <w:rPr>
                                <w:rFonts w:ascii="宋体" w:hAnsi="宋体" w:cs="宋体"/>
                                <w:sz w:val="20"/>
                                <w:szCs w:val="20"/>
                              </w:rPr>
                            </w:pPr>
                          </w:p>
                          <w:p w14:paraId="3F231E3D">
                            <w:pPr>
                              <w:pStyle w:val="749"/>
                              <w:rPr>
                                <w:rFonts w:hint="eastAsia" w:ascii="宋体" w:hAnsi="宋体" w:cs="宋体"/>
                                <w:sz w:val="20"/>
                                <w:szCs w:val="20"/>
                              </w:rPr>
                            </w:pPr>
                          </w:p>
                          <w:p w14:paraId="0E08BE1B">
                            <w:pPr>
                              <w:pStyle w:val="749"/>
                              <w:rPr>
                                <w:rFonts w:hint="eastAsia" w:ascii="宋体" w:hAnsi="宋体" w:cs="宋体"/>
                                <w:sz w:val="20"/>
                                <w:szCs w:val="20"/>
                              </w:rPr>
                            </w:pPr>
                          </w:p>
                          <w:p w14:paraId="17324934">
                            <w:pPr>
                              <w:pStyle w:val="749"/>
                              <w:rPr>
                                <w:rFonts w:hint="eastAsia" w:ascii="宋体" w:hAnsi="宋体" w:cs="宋体"/>
                                <w:sz w:val="20"/>
                                <w:szCs w:val="20"/>
                              </w:rPr>
                            </w:pPr>
                          </w:p>
                          <w:p w14:paraId="6E9AE397">
                            <w:pPr>
                              <w:pStyle w:val="749"/>
                              <w:rPr>
                                <w:rFonts w:hint="eastAsia" w:ascii="宋体" w:hAnsi="宋体" w:cs="宋体"/>
                                <w:sz w:val="20"/>
                                <w:szCs w:val="20"/>
                              </w:rPr>
                            </w:pPr>
                          </w:p>
                          <w:p w14:paraId="3F63D758">
                            <w:pPr>
                              <w:pStyle w:val="749"/>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6AB2EBA">
                            <w:pPr>
                              <w:pStyle w:val="749"/>
                              <w:spacing w:before="12"/>
                              <w:rPr>
                                <w:rFonts w:ascii="宋体" w:hAnsi="宋体" w:cs="宋体"/>
                                <w:sz w:val="15"/>
                                <w:szCs w:val="15"/>
                              </w:rPr>
                            </w:pPr>
                          </w:p>
                          <w:p w14:paraId="2D17F223">
                            <w:pPr>
                              <w:pStyle w:val="749"/>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36CD2B22">
                            <w:pPr>
                              <w:pStyle w:val="749"/>
                              <w:tabs>
                                <w:tab w:val="left" w:pos="1608"/>
                                <w:tab w:val="clear" w:pos="0"/>
                                <w:tab w:val="clear" w:pos="1134"/>
                                <w:tab w:val="clear" w:pos="8505"/>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5965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C138A9A">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7D38D31">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32570E56">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571C56B2">
                            <w:pPr>
                              <w:pStyle w:val="749"/>
                              <w:spacing w:before="2"/>
                              <w:rPr>
                                <w:rFonts w:ascii="宋体" w:hAnsi="宋体" w:cs="宋体"/>
                                <w:sz w:val="24"/>
                                <w:szCs w:val="24"/>
                                <w:lang w:eastAsia="zh-CN"/>
                              </w:rPr>
                            </w:pPr>
                          </w:p>
                          <w:p w14:paraId="21A4CD7A">
                            <w:pPr>
                              <w:pStyle w:val="749"/>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3CD67376">
                            <w:pPr>
                              <w:pStyle w:val="749"/>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32D898A2">
                            <w:pPr>
                              <w:pStyle w:val="749"/>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39D4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B745D2C">
                            <w:pPr>
                              <w:widowControl/>
                              <w:jc w:val="left"/>
                              <w:rPr>
                                <w:rFonts w:ascii="Calibri" w:hAnsi="Calibri" w:eastAsia="Times New Roman"/>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2DD78297">
                            <w:pPr>
                              <w:widowControl/>
                              <w:jc w:val="left"/>
                              <w:rPr>
                                <w:rFonts w:ascii="Calibri" w:hAnsi="Calibri" w:eastAsia="Times New Roman"/>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3DFCDC08">
                            <w:pPr>
                              <w:widowControl/>
                              <w:jc w:val="left"/>
                              <w:rPr>
                                <w:rFonts w:ascii="宋体" w:hAnsi="宋体" w:eastAsia="Times New Roman"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7471FEDD">
                            <w:pPr>
                              <w:pStyle w:val="749"/>
                              <w:rPr>
                                <w:rFonts w:ascii="宋体" w:hAnsi="宋体" w:cs="宋体"/>
                                <w:sz w:val="19"/>
                                <w:szCs w:val="19"/>
                              </w:rPr>
                            </w:pPr>
                          </w:p>
                          <w:p w14:paraId="2BABCAE7">
                            <w:pPr>
                              <w:pStyle w:val="749"/>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313256B9">
                            <w:pPr>
                              <w:pStyle w:val="749"/>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993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8575CB2">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3789D2F">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41142C23">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44CCFDB0">
                            <w:pPr>
                              <w:pStyle w:val="749"/>
                              <w:spacing w:before="12"/>
                              <w:rPr>
                                <w:rFonts w:ascii="宋体" w:hAnsi="宋体" w:cs="宋体"/>
                                <w:sz w:val="15"/>
                                <w:szCs w:val="15"/>
                                <w:lang w:eastAsia="zh-CN"/>
                              </w:rPr>
                            </w:pPr>
                          </w:p>
                          <w:p w14:paraId="5DD2EE8B">
                            <w:pPr>
                              <w:pStyle w:val="749"/>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5F6FD90B">
                            <w:pPr>
                              <w:pStyle w:val="749"/>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2243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2EBFB4EB">
                            <w:pPr>
                              <w:pStyle w:val="749"/>
                              <w:rPr>
                                <w:rFonts w:ascii="宋体" w:hAnsi="宋体" w:cs="宋体"/>
                                <w:sz w:val="20"/>
                                <w:szCs w:val="20"/>
                                <w:lang w:eastAsia="zh-CN"/>
                              </w:rPr>
                            </w:pPr>
                          </w:p>
                          <w:p w14:paraId="0F221994">
                            <w:pPr>
                              <w:pStyle w:val="749"/>
                              <w:rPr>
                                <w:rFonts w:hint="eastAsia" w:ascii="宋体" w:hAnsi="宋体" w:cs="宋体"/>
                                <w:sz w:val="20"/>
                                <w:szCs w:val="20"/>
                                <w:lang w:eastAsia="zh-CN"/>
                              </w:rPr>
                            </w:pPr>
                          </w:p>
                          <w:p w14:paraId="5C1A2213">
                            <w:pPr>
                              <w:pStyle w:val="749"/>
                              <w:rPr>
                                <w:rFonts w:hint="eastAsia" w:ascii="宋体" w:hAnsi="宋体" w:cs="宋体"/>
                                <w:sz w:val="20"/>
                                <w:szCs w:val="20"/>
                                <w:lang w:eastAsia="zh-CN"/>
                              </w:rPr>
                            </w:pPr>
                          </w:p>
                          <w:p w14:paraId="07D7A57D">
                            <w:pPr>
                              <w:pStyle w:val="749"/>
                              <w:rPr>
                                <w:rFonts w:hint="eastAsia" w:ascii="宋体" w:hAnsi="宋体" w:cs="宋体"/>
                                <w:sz w:val="20"/>
                                <w:szCs w:val="20"/>
                                <w:lang w:eastAsia="zh-CN"/>
                              </w:rPr>
                            </w:pPr>
                          </w:p>
                          <w:p w14:paraId="1CE9C7DA">
                            <w:pPr>
                              <w:pStyle w:val="749"/>
                              <w:rPr>
                                <w:rFonts w:hint="eastAsia" w:ascii="宋体" w:hAnsi="宋体" w:cs="宋体"/>
                                <w:sz w:val="20"/>
                                <w:szCs w:val="20"/>
                                <w:lang w:eastAsia="zh-CN"/>
                              </w:rPr>
                            </w:pPr>
                          </w:p>
                          <w:p w14:paraId="71261160">
                            <w:pPr>
                              <w:pStyle w:val="749"/>
                              <w:spacing w:before="12"/>
                              <w:rPr>
                                <w:rFonts w:hint="eastAsia" w:ascii="宋体" w:hAnsi="宋体" w:cs="宋体"/>
                                <w:sz w:val="23"/>
                                <w:szCs w:val="23"/>
                                <w:lang w:eastAsia="zh-CN"/>
                              </w:rPr>
                            </w:pPr>
                          </w:p>
                          <w:p w14:paraId="50BAB556">
                            <w:pPr>
                              <w:pStyle w:val="749"/>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01111B0E">
                            <w:pPr>
                              <w:pStyle w:val="749"/>
                              <w:rPr>
                                <w:rFonts w:ascii="宋体" w:hAnsi="宋体" w:cs="宋体"/>
                                <w:sz w:val="20"/>
                                <w:szCs w:val="20"/>
                              </w:rPr>
                            </w:pPr>
                          </w:p>
                          <w:p w14:paraId="01DE62DC">
                            <w:pPr>
                              <w:pStyle w:val="749"/>
                              <w:rPr>
                                <w:rFonts w:hint="eastAsia" w:ascii="宋体" w:hAnsi="宋体" w:cs="宋体"/>
                                <w:sz w:val="20"/>
                                <w:szCs w:val="20"/>
                              </w:rPr>
                            </w:pPr>
                          </w:p>
                          <w:p w14:paraId="2354C0C4">
                            <w:pPr>
                              <w:pStyle w:val="749"/>
                              <w:rPr>
                                <w:rFonts w:hint="eastAsia" w:ascii="宋体" w:hAnsi="宋体" w:cs="宋体"/>
                                <w:sz w:val="20"/>
                                <w:szCs w:val="20"/>
                              </w:rPr>
                            </w:pPr>
                          </w:p>
                          <w:p w14:paraId="509CF1A7">
                            <w:pPr>
                              <w:pStyle w:val="749"/>
                              <w:rPr>
                                <w:rFonts w:hint="eastAsia" w:ascii="宋体" w:hAnsi="宋体" w:cs="宋体"/>
                                <w:sz w:val="20"/>
                                <w:szCs w:val="20"/>
                              </w:rPr>
                            </w:pPr>
                          </w:p>
                          <w:p w14:paraId="4024CF29">
                            <w:pPr>
                              <w:pStyle w:val="749"/>
                              <w:rPr>
                                <w:rFonts w:hint="eastAsia" w:ascii="宋体" w:hAnsi="宋体" w:cs="宋体"/>
                                <w:sz w:val="20"/>
                                <w:szCs w:val="20"/>
                              </w:rPr>
                            </w:pPr>
                          </w:p>
                          <w:p w14:paraId="671A43B5">
                            <w:pPr>
                              <w:pStyle w:val="749"/>
                              <w:spacing w:before="157"/>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6B9E74E7">
                            <w:pPr>
                              <w:pStyle w:val="749"/>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EFFFDCE">
                            <w:pPr>
                              <w:pStyle w:val="749"/>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77C3A73">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AC7DFA5">
                            <w:pPr>
                              <w:pStyle w:val="749"/>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652C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44022265">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1AA0E18">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FD74E0F">
                            <w:pPr>
                              <w:pStyle w:val="749"/>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8834E7C">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2C6541CD">
                            <w:pPr>
                              <w:pStyle w:val="749"/>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114F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C8A1407">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ED08EEE">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3075FBE">
                            <w:pPr>
                              <w:pStyle w:val="749"/>
                              <w:spacing w:before="4"/>
                              <w:rPr>
                                <w:rFonts w:ascii="宋体" w:hAnsi="宋体" w:cs="宋体"/>
                                <w:sz w:val="18"/>
                                <w:szCs w:val="18"/>
                                <w:lang w:eastAsia="zh-CN"/>
                              </w:rPr>
                            </w:pPr>
                          </w:p>
                          <w:p w14:paraId="4A7E61BB">
                            <w:pPr>
                              <w:pStyle w:val="749"/>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CC77DD9">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48C8E59">
                            <w:pPr>
                              <w:pStyle w:val="749"/>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6F1E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C3E0FB6">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C57E016">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963E4E6">
                            <w:pPr>
                              <w:pStyle w:val="749"/>
                              <w:spacing w:before="5"/>
                              <w:rPr>
                                <w:rFonts w:ascii="宋体" w:hAnsi="宋体" w:cs="宋体"/>
                                <w:sz w:val="15"/>
                                <w:szCs w:val="15"/>
                                <w:lang w:eastAsia="zh-CN"/>
                              </w:rPr>
                            </w:pPr>
                          </w:p>
                          <w:p w14:paraId="31FC7B4C">
                            <w:pPr>
                              <w:pStyle w:val="749"/>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2CF38D3">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EE71FF6">
                            <w:pPr>
                              <w:pStyle w:val="749"/>
                              <w:spacing w:before="5"/>
                              <w:rPr>
                                <w:rFonts w:ascii="宋体" w:hAnsi="宋体" w:cs="宋体"/>
                                <w:sz w:val="15"/>
                                <w:szCs w:val="15"/>
                                <w:lang w:eastAsia="zh-CN"/>
                              </w:rPr>
                            </w:pPr>
                          </w:p>
                          <w:p w14:paraId="0E5EC913">
                            <w:pPr>
                              <w:pStyle w:val="749"/>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262C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231E103D">
                            <w:pPr>
                              <w:pStyle w:val="749"/>
                              <w:spacing w:before="1"/>
                              <w:rPr>
                                <w:rFonts w:ascii="宋体" w:hAnsi="宋体" w:cs="宋体"/>
                                <w:sz w:val="18"/>
                                <w:szCs w:val="18"/>
                                <w:lang w:eastAsia="zh-CN"/>
                              </w:rPr>
                            </w:pPr>
                          </w:p>
                          <w:p w14:paraId="36EE880C">
                            <w:pPr>
                              <w:pStyle w:val="749"/>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79A18D93">
                            <w:pPr>
                              <w:pStyle w:val="749"/>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5C2322BA">
                            <w:pPr>
                              <w:pStyle w:val="749"/>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D5AE2F4">
                            <w:pPr>
                              <w:pStyle w:val="749"/>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A96DA9A">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541C383">
                            <w:pPr>
                              <w:pStyle w:val="749"/>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4528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71EF80F0">
                            <w:pPr>
                              <w:pStyle w:val="749"/>
                              <w:rPr>
                                <w:rFonts w:ascii="宋体" w:hAnsi="宋体" w:cs="宋体"/>
                                <w:sz w:val="20"/>
                                <w:szCs w:val="20"/>
                                <w:lang w:eastAsia="zh-CN"/>
                              </w:rPr>
                            </w:pPr>
                          </w:p>
                          <w:p w14:paraId="4802D42A">
                            <w:pPr>
                              <w:pStyle w:val="749"/>
                              <w:rPr>
                                <w:rFonts w:hint="eastAsia" w:ascii="宋体" w:hAnsi="宋体" w:cs="宋体"/>
                                <w:sz w:val="20"/>
                                <w:szCs w:val="20"/>
                                <w:lang w:eastAsia="zh-CN"/>
                              </w:rPr>
                            </w:pPr>
                          </w:p>
                          <w:p w14:paraId="6FAB7180">
                            <w:pPr>
                              <w:pStyle w:val="749"/>
                              <w:spacing w:before="10"/>
                              <w:rPr>
                                <w:rFonts w:hint="eastAsia" w:ascii="宋体" w:hAnsi="宋体" w:cs="宋体"/>
                                <w:sz w:val="21"/>
                                <w:szCs w:val="21"/>
                                <w:lang w:eastAsia="zh-CN"/>
                              </w:rPr>
                            </w:pPr>
                          </w:p>
                          <w:p w14:paraId="7018450E">
                            <w:pPr>
                              <w:pStyle w:val="749"/>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3254E807">
                            <w:pPr>
                              <w:pStyle w:val="749"/>
                              <w:rPr>
                                <w:rFonts w:ascii="宋体" w:hAnsi="宋体" w:cs="宋体"/>
                                <w:sz w:val="20"/>
                                <w:szCs w:val="20"/>
                              </w:rPr>
                            </w:pPr>
                          </w:p>
                          <w:p w14:paraId="149FF166">
                            <w:pPr>
                              <w:pStyle w:val="749"/>
                              <w:spacing w:before="11"/>
                              <w:rPr>
                                <w:rFonts w:hint="eastAsia" w:ascii="宋体" w:hAnsi="宋体" w:cs="宋体"/>
                                <w:sz w:val="29"/>
                                <w:szCs w:val="29"/>
                              </w:rPr>
                            </w:pPr>
                          </w:p>
                          <w:p w14:paraId="22EF62DD">
                            <w:pPr>
                              <w:pStyle w:val="749"/>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48927A9C">
                            <w:pPr>
                              <w:pStyle w:val="749"/>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D5AA480">
                            <w:pPr>
                              <w:pStyle w:val="749"/>
                              <w:rPr>
                                <w:rFonts w:ascii="宋体" w:hAnsi="宋体" w:cs="宋体"/>
                                <w:sz w:val="20"/>
                                <w:szCs w:val="20"/>
                              </w:rPr>
                            </w:pPr>
                          </w:p>
                          <w:p w14:paraId="2E0B36C3">
                            <w:pPr>
                              <w:pStyle w:val="749"/>
                              <w:spacing w:before="11"/>
                              <w:rPr>
                                <w:rFonts w:hint="eastAsia" w:ascii="宋体" w:hAnsi="宋体" w:cs="宋体"/>
                                <w:sz w:val="29"/>
                                <w:szCs w:val="29"/>
                              </w:rPr>
                            </w:pPr>
                          </w:p>
                          <w:p w14:paraId="48315268">
                            <w:pPr>
                              <w:pStyle w:val="749"/>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A640862">
                            <w:pPr>
                              <w:pStyle w:val="749"/>
                              <w:rPr>
                                <w:rFonts w:ascii="宋体" w:hAnsi="宋体" w:cs="宋体"/>
                                <w:sz w:val="20"/>
                                <w:szCs w:val="20"/>
                              </w:rPr>
                            </w:pPr>
                          </w:p>
                          <w:p w14:paraId="50CEA04F">
                            <w:pPr>
                              <w:pStyle w:val="749"/>
                              <w:rPr>
                                <w:rFonts w:hint="eastAsia" w:ascii="宋体" w:hAnsi="宋体" w:cs="宋体"/>
                                <w:sz w:val="20"/>
                                <w:szCs w:val="20"/>
                              </w:rPr>
                            </w:pPr>
                          </w:p>
                          <w:p w14:paraId="51B7DE9C">
                            <w:pPr>
                              <w:pStyle w:val="749"/>
                              <w:spacing w:before="10"/>
                              <w:rPr>
                                <w:rFonts w:hint="eastAsia" w:ascii="宋体" w:hAnsi="宋体" w:cs="宋体"/>
                                <w:sz w:val="21"/>
                                <w:szCs w:val="21"/>
                              </w:rPr>
                            </w:pPr>
                          </w:p>
                          <w:p w14:paraId="50B7EA04">
                            <w:pPr>
                              <w:pStyle w:val="749"/>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1C914657">
                            <w:pPr>
                              <w:pStyle w:val="749"/>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2D2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7A375EF2">
                            <w:pPr>
                              <w:pStyle w:val="749"/>
                              <w:spacing w:before="10"/>
                              <w:rPr>
                                <w:rFonts w:ascii="宋体" w:hAnsi="宋体" w:cs="宋体"/>
                                <w:sz w:val="17"/>
                                <w:szCs w:val="17"/>
                                <w:lang w:eastAsia="zh-CN"/>
                              </w:rPr>
                            </w:pPr>
                          </w:p>
                          <w:p w14:paraId="7DC5046E">
                            <w:pPr>
                              <w:pStyle w:val="749"/>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50801A5C">
                            <w:pPr>
                              <w:pStyle w:val="749"/>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6A746B83">
                            <w:pPr>
                              <w:pStyle w:val="749"/>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45B16B4">
                            <w:pPr>
                              <w:pStyle w:val="749"/>
                              <w:spacing w:before="10"/>
                              <w:rPr>
                                <w:rFonts w:ascii="宋体" w:hAnsi="宋体" w:cs="宋体"/>
                                <w:sz w:val="17"/>
                                <w:szCs w:val="17"/>
                              </w:rPr>
                            </w:pPr>
                          </w:p>
                          <w:p w14:paraId="0A6C3C65">
                            <w:pPr>
                              <w:pStyle w:val="749"/>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6C21F10">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A2E2B79">
                            <w:pPr>
                              <w:pStyle w:val="749"/>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082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38CB754A">
                            <w:pPr>
                              <w:pStyle w:val="749"/>
                              <w:rPr>
                                <w:rFonts w:ascii="宋体" w:hAnsi="宋体" w:cs="宋体"/>
                                <w:sz w:val="20"/>
                                <w:szCs w:val="20"/>
                                <w:lang w:eastAsia="zh-CN"/>
                              </w:rPr>
                            </w:pPr>
                          </w:p>
                          <w:p w14:paraId="51420E87">
                            <w:pPr>
                              <w:pStyle w:val="749"/>
                              <w:rPr>
                                <w:rFonts w:hint="eastAsia" w:ascii="宋体" w:hAnsi="宋体" w:cs="宋体"/>
                                <w:sz w:val="20"/>
                                <w:szCs w:val="20"/>
                                <w:lang w:eastAsia="zh-CN"/>
                              </w:rPr>
                            </w:pPr>
                          </w:p>
                          <w:p w14:paraId="2DD3F7DA">
                            <w:pPr>
                              <w:pStyle w:val="749"/>
                              <w:rPr>
                                <w:rFonts w:hint="eastAsia" w:ascii="宋体" w:hAnsi="宋体" w:cs="宋体"/>
                                <w:sz w:val="20"/>
                                <w:szCs w:val="20"/>
                                <w:lang w:eastAsia="zh-CN"/>
                              </w:rPr>
                            </w:pPr>
                          </w:p>
                          <w:p w14:paraId="3F18C3BB">
                            <w:pPr>
                              <w:pStyle w:val="749"/>
                              <w:spacing w:before="1"/>
                              <w:rPr>
                                <w:rFonts w:hint="eastAsia" w:ascii="宋体" w:hAnsi="宋体" w:cs="宋体"/>
                                <w:sz w:val="29"/>
                                <w:szCs w:val="29"/>
                                <w:lang w:eastAsia="zh-CN"/>
                              </w:rPr>
                            </w:pPr>
                          </w:p>
                          <w:p w14:paraId="68C7C135">
                            <w:pPr>
                              <w:pStyle w:val="749"/>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2E06DC6C">
                            <w:pPr>
                              <w:pStyle w:val="749"/>
                              <w:rPr>
                                <w:rFonts w:ascii="宋体" w:hAnsi="宋体" w:cs="宋体"/>
                                <w:sz w:val="20"/>
                                <w:szCs w:val="20"/>
                              </w:rPr>
                            </w:pPr>
                          </w:p>
                          <w:p w14:paraId="01813693">
                            <w:pPr>
                              <w:pStyle w:val="749"/>
                              <w:rPr>
                                <w:rFonts w:hint="eastAsia" w:ascii="宋体" w:hAnsi="宋体" w:cs="宋体"/>
                                <w:sz w:val="20"/>
                                <w:szCs w:val="20"/>
                              </w:rPr>
                            </w:pPr>
                          </w:p>
                          <w:p w14:paraId="09DD5B46">
                            <w:pPr>
                              <w:pStyle w:val="749"/>
                              <w:spacing w:before="9"/>
                              <w:rPr>
                                <w:rFonts w:hint="eastAsia" w:ascii="宋体" w:hAnsi="宋体" w:cs="宋体"/>
                                <w:sz w:val="17"/>
                                <w:szCs w:val="17"/>
                              </w:rPr>
                            </w:pPr>
                          </w:p>
                          <w:p w14:paraId="5D5C495B">
                            <w:pPr>
                              <w:pStyle w:val="749"/>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71D9838B">
                            <w:pPr>
                              <w:pStyle w:val="749"/>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CB14B80">
                            <w:pPr>
                              <w:pStyle w:val="749"/>
                              <w:spacing w:before="5"/>
                              <w:rPr>
                                <w:rFonts w:ascii="宋体" w:hAnsi="宋体" w:cs="宋体"/>
                                <w:sz w:val="21"/>
                                <w:szCs w:val="21"/>
                              </w:rPr>
                            </w:pPr>
                          </w:p>
                          <w:p w14:paraId="0C1A264B">
                            <w:pPr>
                              <w:pStyle w:val="749"/>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16C907C">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B318489">
                            <w:pPr>
                              <w:pStyle w:val="749"/>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68F3134D">
                            <w:pPr>
                              <w:pStyle w:val="749"/>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300F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5F98155">
                            <w:pPr>
                              <w:widowControl/>
                              <w:jc w:val="left"/>
                              <w:rPr>
                                <w:rFonts w:ascii="宋体" w:hAnsi="宋体" w:eastAsia="Times New Roman"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7AC0012">
                            <w:pPr>
                              <w:widowControl/>
                              <w:jc w:val="left"/>
                              <w:rPr>
                                <w:rFonts w:ascii="宋体" w:hAnsi="宋体" w:eastAsia="Times New Roman"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02E70F0">
                            <w:pPr>
                              <w:pStyle w:val="749"/>
                              <w:spacing w:before="5"/>
                              <w:rPr>
                                <w:rFonts w:ascii="宋体" w:hAnsi="宋体" w:cs="宋体"/>
                                <w:sz w:val="21"/>
                                <w:szCs w:val="21"/>
                              </w:rPr>
                            </w:pPr>
                          </w:p>
                          <w:p w14:paraId="5916CEFC">
                            <w:pPr>
                              <w:pStyle w:val="749"/>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DDE2D0F">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8C73E64">
                            <w:pPr>
                              <w:pStyle w:val="749"/>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4483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46C8ADE">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1006BE5">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F97395F">
                            <w:pPr>
                              <w:pStyle w:val="749"/>
                              <w:spacing w:before="5"/>
                              <w:rPr>
                                <w:rFonts w:ascii="宋体" w:hAnsi="宋体" w:cs="宋体"/>
                                <w:sz w:val="21"/>
                                <w:szCs w:val="21"/>
                                <w:lang w:eastAsia="zh-CN"/>
                              </w:rPr>
                            </w:pPr>
                          </w:p>
                          <w:p w14:paraId="550D9C17">
                            <w:pPr>
                              <w:pStyle w:val="749"/>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C18F020">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5D61344">
                            <w:pPr>
                              <w:pStyle w:val="749"/>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63E65D53">
                      <w:pPr>
                        <w:rPr>
                          <w:rFonts w:ascii="Calibri" w:hAnsi="Calibri"/>
                          <w:sz w:val="22"/>
                          <w:szCs w:val="22"/>
                        </w:rPr>
                      </w:pPr>
                    </w:p>
                  </w:txbxContent>
                </v:textbox>
              </v:shape>
            </w:pict>
          </mc:Fallback>
        </mc:AlternateContent>
      </w:r>
      <w:r>
        <w:rPr>
          <w:rFonts w:hint="eastAsia" w:ascii="宋体" w:hAnsi="宋体" w:cs="宋体"/>
          <w:color w:val="auto"/>
          <w:w w:val="99"/>
          <w:sz w:val="20"/>
          <w:szCs w:val="20"/>
          <w:highlight w:val="none"/>
        </w:rPr>
        <w:t>》</w:t>
      </w:r>
    </w:p>
    <w:p w14:paraId="55E2BDA6">
      <w:pPr>
        <w:rPr>
          <w:rFonts w:hint="eastAsia" w:ascii="宋体" w:hAnsi="宋体" w:cs="宋体"/>
          <w:color w:val="auto"/>
          <w:sz w:val="20"/>
          <w:szCs w:val="20"/>
          <w:highlight w:val="none"/>
        </w:rPr>
      </w:pPr>
    </w:p>
    <w:p w14:paraId="340E4512">
      <w:pPr>
        <w:rPr>
          <w:rFonts w:hint="eastAsia" w:ascii="宋体" w:hAnsi="宋体" w:cs="宋体"/>
          <w:color w:val="auto"/>
          <w:sz w:val="20"/>
          <w:szCs w:val="20"/>
          <w:highlight w:val="none"/>
        </w:rPr>
      </w:pPr>
    </w:p>
    <w:p w14:paraId="25F5A3A1">
      <w:pPr>
        <w:rPr>
          <w:rFonts w:hint="eastAsia" w:ascii="宋体" w:hAnsi="宋体" w:cs="宋体"/>
          <w:color w:val="auto"/>
          <w:sz w:val="20"/>
          <w:szCs w:val="20"/>
          <w:highlight w:val="none"/>
        </w:rPr>
      </w:pPr>
    </w:p>
    <w:p w14:paraId="49AF31ED">
      <w:pPr>
        <w:rPr>
          <w:rFonts w:hint="eastAsia" w:ascii="宋体" w:hAnsi="宋体" w:cs="宋体"/>
          <w:color w:val="auto"/>
          <w:sz w:val="20"/>
          <w:szCs w:val="20"/>
          <w:highlight w:val="none"/>
        </w:rPr>
      </w:pPr>
    </w:p>
    <w:p w14:paraId="37BC5897">
      <w:pPr>
        <w:rPr>
          <w:rFonts w:hint="eastAsia" w:ascii="宋体" w:hAnsi="宋体" w:cs="宋体"/>
          <w:color w:val="auto"/>
          <w:sz w:val="20"/>
          <w:szCs w:val="20"/>
          <w:highlight w:val="none"/>
        </w:rPr>
      </w:pPr>
    </w:p>
    <w:p w14:paraId="5CFD3A7A">
      <w:pPr>
        <w:rPr>
          <w:rFonts w:hint="eastAsia" w:ascii="宋体" w:hAnsi="宋体" w:cs="宋体"/>
          <w:color w:val="auto"/>
          <w:sz w:val="20"/>
          <w:szCs w:val="20"/>
          <w:highlight w:val="none"/>
        </w:rPr>
      </w:pPr>
    </w:p>
    <w:p w14:paraId="643BA877">
      <w:pPr>
        <w:rPr>
          <w:rFonts w:hint="eastAsia" w:ascii="宋体" w:hAnsi="宋体" w:cs="宋体"/>
          <w:color w:val="auto"/>
          <w:sz w:val="20"/>
          <w:szCs w:val="20"/>
          <w:highlight w:val="none"/>
        </w:rPr>
      </w:pPr>
    </w:p>
    <w:p w14:paraId="55B58102">
      <w:pPr>
        <w:rPr>
          <w:rFonts w:hint="eastAsia" w:ascii="宋体" w:hAnsi="宋体" w:cs="宋体"/>
          <w:color w:val="auto"/>
          <w:sz w:val="20"/>
          <w:szCs w:val="20"/>
          <w:highlight w:val="none"/>
        </w:rPr>
      </w:pPr>
    </w:p>
    <w:p w14:paraId="317797C2">
      <w:pPr>
        <w:rPr>
          <w:rFonts w:hint="eastAsia" w:ascii="宋体" w:hAnsi="宋体" w:cs="宋体"/>
          <w:color w:val="auto"/>
          <w:sz w:val="20"/>
          <w:szCs w:val="20"/>
          <w:highlight w:val="none"/>
        </w:rPr>
      </w:pPr>
    </w:p>
    <w:p w14:paraId="5DE76A16">
      <w:pPr>
        <w:rPr>
          <w:rFonts w:hint="eastAsia" w:ascii="宋体" w:hAnsi="宋体" w:cs="宋体"/>
          <w:color w:val="auto"/>
          <w:sz w:val="20"/>
          <w:szCs w:val="20"/>
          <w:highlight w:val="none"/>
        </w:rPr>
      </w:pPr>
    </w:p>
    <w:p w14:paraId="09D918A0">
      <w:pPr>
        <w:rPr>
          <w:rFonts w:hint="eastAsia" w:ascii="宋体" w:hAnsi="宋体" w:cs="宋体"/>
          <w:color w:val="auto"/>
          <w:sz w:val="20"/>
          <w:szCs w:val="20"/>
          <w:highlight w:val="none"/>
        </w:rPr>
      </w:pPr>
    </w:p>
    <w:p w14:paraId="3CCD45B1">
      <w:pPr>
        <w:spacing w:before="8"/>
        <w:rPr>
          <w:rFonts w:hint="eastAsia" w:ascii="宋体" w:hAnsi="宋体" w:cs="宋体"/>
          <w:color w:val="auto"/>
          <w:sz w:val="25"/>
          <w:szCs w:val="25"/>
          <w:highlight w:val="none"/>
        </w:rPr>
      </w:pPr>
    </w:p>
    <w:p w14:paraId="25AF642A">
      <w:pPr>
        <w:spacing w:before="37"/>
        <w:ind w:right="102"/>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7BA366C9">
      <w:pPr>
        <w:rPr>
          <w:rFonts w:hint="eastAsia" w:ascii="宋体" w:hAnsi="宋体" w:cs="宋体"/>
          <w:color w:val="auto"/>
          <w:sz w:val="20"/>
          <w:szCs w:val="20"/>
          <w:highlight w:val="none"/>
        </w:rPr>
      </w:pPr>
    </w:p>
    <w:p w14:paraId="4920B9AB">
      <w:pPr>
        <w:rPr>
          <w:rFonts w:hint="eastAsia" w:ascii="宋体" w:hAnsi="宋体" w:cs="宋体"/>
          <w:color w:val="auto"/>
          <w:sz w:val="20"/>
          <w:szCs w:val="20"/>
          <w:highlight w:val="none"/>
        </w:rPr>
      </w:pPr>
    </w:p>
    <w:p w14:paraId="4E0DE5BB">
      <w:pPr>
        <w:rPr>
          <w:rFonts w:hint="eastAsia" w:ascii="宋体" w:hAnsi="宋体" w:cs="宋体"/>
          <w:color w:val="auto"/>
          <w:sz w:val="20"/>
          <w:szCs w:val="20"/>
          <w:highlight w:val="none"/>
        </w:rPr>
      </w:pPr>
    </w:p>
    <w:p w14:paraId="188407FF">
      <w:pPr>
        <w:rPr>
          <w:rFonts w:hint="eastAsia" w:ascii="宋体" w:hAnsi="宋体" w:cs="宋体"/>
          <w:color w:val="auto"/>
          <w:sz w:val="20"/>
          <w:szCs w:val="20"/>
          <w:highlight w:val="none"/>
        </w:rPr>
      </w:pPr>
    </w:p>
    <w:p w14:paraId="7FE07AA2">
      <w:pPr>
        <w:rPr>
          <w:rFonts w:hint="eastAsia" w:ascii="宋体" w:hAnsi="宋体" w:cs="宋体"/>
          <w:color w:val="auto"/>
          <w:sz w:val="20"/>
          <w:szCs w:val="20"/>
          <w:highlight w:val="none"/>
        </w:rPr>
      </w:pPr>
    </w:p>
    <w:p w14:paraId="6A19A2E3">
      <w:pPr>
        <w:rPr>
          <w:rFonts w:hint="eastAsia" w:ascii="宋体" w:hAnsi="宋体" w:cs="宋体"/>
          <w:color w:val="auto"/>
          <w:sz w:val="20"/>
          <w:szCs w:val="20"/>
          <w:highlight w:val="none"/>
        </w:rPr>
      </w:pPr>
    </w:p>
    <w:p w14:paraId="4EA1B0B0">
      <w:pPr>
        <w:rPr>
          <w:rFonts w:hint="eastAsia" w:ascii="宋体" w:hAnsi="宋体" w:cs="宋体"/>
          <w:color w:val="auto"/>
          <w:sz w:val="20"/>
          <w:szCs w:val="20"/>
          <w:highlight w:val="none"/>
        </w:rPr>
      </w:pPr>
    </w:p>
    <w:p w14:paraId="7DD07EF1">
      <w:pPr>
        <w:rPr>
          <w:rFonts w:hint="eastAsia" w:ascii="宋体" w:hAnsi="宋体" w:cs="宋体"/>
          <w:color w:val="auto"/>
          <w:sz w:val="20"/>
          <w:szCs w:val="20"/>
          <w:highlight w:val="none"/>
        </w:rPr>
      </w:pPr>
    </w:p>
    <w:p w14:paraId="6267C589">
      <w:pPr>
        <w:rPr>
          <w:rFonts w:hint="eastAsia" w:ascii="宋体" w:hAnsi="宋体" w:cs="宋体"/>
          <w:color w:val="auto"/>
          <w:sz w:val="20"/>
          <w:szCs w:val="20"/>
          <w:highlight w:val="none"/>
        </w:rPr>
      </w:pPr>
    </w:p>
    <w:p w14:paraId="4111C750">
      <w:pPr>
        <w:rPr>
          <w:rFonts w:hint="eastAsia" w:ascii="宋体" w:hAnsi="宋体" w:cs="宋体"/>
          <w:color w:val="auto"/>
          <w:sz w:val="20"/>
          <w:szCs w:val="20"/>
          <w:highlight w:val="none"/>
        </w:rPr>
      </w:pPr>
    </w:p>
    <w:p w14:paraId="70B2BCB4">
      <w:pPr>
        <w:rPr>
          <w:rFonts w:hint="eastAsia" w:ascii="宋体" w:hAnsi="宋体" w:cs="宋体"/>
          <w:color w:val="auto"/>
          <w:sz w:val="20"/>
          <w:szCs w:val="20"/>
          <w:highlight w:val="none"/>
        </w:rPr>
      </w:pPr>
    </w:p>
    <w:p w14:paraId="5B1001CF">
      <w:pPr>
        <w:rPr>
          <w:rFonts w:hint="eastAsia" w:ascii="宋体" w:hAnsi="宋体" w:cs="宋体"/>
          <w:color w:val="auto"/>
          <w:sz w:val="20"/>
          <w:szCs w:val="20"/>
          <w:highlight w:val="none"/>
        </w:rPr>
      </w:pPr>
    </w:p>
    <w:p w14:paraId="32187A5A">
      <w:pPr>
        <w:rPr>
          <w:rFonts w:hint="eastAsia" w:ascii="宋体" w:hAnsi="宋体" w:cs="宋体"/>
          <w:color w:val="auto"/>
          <w:sz w:val="20"/>
          <w:szCs w:val="20"/>
          <w:highlight w:val="none"/>
        </w:rPr>
      </w:pPr>
    </w:p>
    <w:p w14:paraId="33E1293C">
      <w:pPr>
        <w:rPr>
          <w:rFonts w:hint="eastAsia" w:ascii="宋体" w:hAnsi="宋体" w:cs="宋体"/>
          <w:color w:val="auto"/>
          <w:sz w:val="20"/>
          <w:szCs w:val="20"/>
          <w:highlight w:val="none"/>
        </w:rPr>
      </w:pPr>
    </w:p>
    <w:p w14:paraId="7E119952">
      <w:pPr>
        <w:rPr>
          <w:rFonts w:hint="eastAsia" w:ascii="宋体" w:hAnsi="宋体" w:cs="宋体"/>
          <w:color w:val="auto"/>
          <w:sz w:val="20"/>
          <w:szCs w:val="20"/>
          <w:highlight w:val="none"/>
        </w:rPr>
      </w:pPr>
    </w:p>
    <w:p w14:paraId="10F34E90">
      <w:pPr>
        <w:rPr>
          <w:rFonts w:hint="eastAsia" w:ascii="宋体" w:hAnsi="宋体" w:cs="宋体"/>
          <w:color w:val="auto"/>
          <w:sz w:val="20"/>
          <w:szCs w:val="20"/>
          <w:highlight w:val="none"/>
        </w:rPr>
      </w:pPr>
    </w:p>
    <w:p w14:paraId="747ABE5E">
      <w:pPr>
        <w:rPr>
          <w:rFonts w:hint="eastAsia" w:ascii="宋体" w:hAnsi="宋体" w:cs="宋体"/>
          <w:color w:val="auto"/>
          <w:sz w:val="20"/>
          <w:szCs w:val="20"/>
          <w:highlight w:val="none"/>
        </w:rPr>
      </w:pPr>
    </w:p>
    <w:p w14:paraId="0AA86507">
      <w:pPr>
        <w:rPr>
          <w:rFonts w:hint="eastAsia" w:ascii="宋体" w:hAnsi="宋体" w:cs="宋体"/>
          <w:color w:val="auto"/>
          <w:sz w:val="20"/>
          <w:szCs w:val="20"/>
          <w:highlight w:val="none"/>
        </w:rPr>
      </w:pPr>
    </w:p>
    <w:p w14:paraId="0483B363">
      <w:pPr>
        <w:rPr>
          <w:rFonts w:hint="eastAsia" w:ascii="宋体" w:hAnsi="宋体" w:cs="宋体"/>
          <w:color w:val="auto"/>
          <w:sz w:val="20"/>
          <w:szCs w:val="20"/>
          <w:highlight w:val="none"/>
        </w:rPr>
      </w:pPr>
    </w:p>
    <w:p w14:paraId="20897DF3">
      <w:pPr>
        <w:rPr>
          <w:rFonts w:hint="eastAsia" w:ascii="宋体" w:hAnsi="宋体" w:cs="宋体"/>
          <w:color w:val="auto"/>
          <w:sz w:val="20"/>
          <w:szCs w:val="20"/>
          <w:highlight w:val="none"/>
        </w:rPr>
      </w:pPr>
    </w:p>
    <w:p w14:paraId="7F09AF10">
      <w:pPr>
        <w:spacing w:before="3"/>
        <w:rPr>
          <w:rFonts w:hint="eastAsia" w:ascii="宋体" w:hAnsi="宋体" w:cs="宋体"/>
          <w:color w:val="auto"/>
          <w:sz w:val="29"/>
          <w:szCs w:val="29"/>
          <w:highlight w:val="none"/>
        </w:rPr>
      </w:pPr>
    </w:p>
    <w:p w14:paraId="0F8D45BC">
      <w:pPr>
        <w:spacing w:before="37"/>
        <w:ind w:right="150"/>
        <w:jc w:val="right"/>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p>
    <w:p w14:paraId="4AB82272">
      <w:pPr>
        <w:spacing w:before="37"/>
        <w:ind w:right="150"/>
        <w:jc w:val="right"/>
        <w:rPr>
          <w:rFonts w:hint="eastAsia" w:ascii="宋体" w:hAnsi="宋体" w:cs="宋体"/>
          <w:color w:val="auto"/>
          <w:sz w:val="20"/>
          <w:szCs w:val="20"/>
          <w:highlight w:val="none"/>
        </w:rPr>
      </w:pPr>
    </w:p>
    <w:p w14:paraId="55946D9F">
      <w:pPr>
        <w:spacing w:before="37"/>
        <w:ind w:right="550"/>
        <w:rPr>
          <w:rFonts w:ascii="宋体" w:hAnsi="宋体" w:cs="宋体"/>
          <w:color w:val="auto"/>
          <w:sz w:val="20"/>
          <w:szCs w:val="20"/>
          <w:highlight w:val="none"/>
        </w:rPr>
      </w:pPr>
    </w:p>
    <w:p w14:paraId="54D9080D">
      <w:pPr>
        <w:spacing w:before="37"/>
        <w:ind w:right="550"/>
        <w:rPr>
          <w:rFonts w:ascii="宋体" w:hAnsi="宋体" w:cs="宋体"/>
          <w:color w:val="auto"/>
          <w:sz w:val="20"/>
          <w:szCs w:val="20"/>
          <w:highlight w:val="none"/>
        </w:rPr>
      </w:pPr>
      <w:r>
        <w:rPr>
          <w:rFonts w:ascii="宋体" w:hAnsi="宋体" w:cs="宋体"/>
          <w:color w:val="auto"/>
          <w:sz w:val="20"/>
          <w:szCs w:val="20"/>
          <w:highlight w:val="none"/>
        </w:rPr>
        <w:br w:type="page"/>
      </w:r>
    </w:p>
    <w:tbl>
      <w:tblPr>
        <w:tblStyle w:val="84"/>
        <w:tblW w:w="0" w:type="auto"/>
        <w:tblInd w:w="98" w:type="dxa"/>
        <w:tblLayout w:type="fixed"/>
        <w:tblCellMar>
          <w:top w:w="0" w:type="dxa"/>
          <w:left w:w="0" w:type="dxa"/>
          <w:bottom w:w="0" w:type="dxa"/>
          <w:right w:w="0" w:type="dxa"/>
        </w:tblCellMar>
      </w:tblPr>
      <w:tblGrid>
        <w:gridCol w:w="574"/>
        <w:gridCol w:w="1166"/>
        <w:gridCol w:w="1800"/>
        <w:gridCol w:w="1915"/>
        <w:gridCol w:w="2966"/>
      </w:tblGrid>
      <w:tr w14:paraId="6FE2E6C4">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A973B17">
            <w:pPr>
              <w:pStyle w:val="749"/>
              <w:spacing w:before="8"/>
              <w:rPr>
                <w:rFonts w:ascii="宋体" w:hAnsi="宋体" w:cs="宋体"/>
                <w:color w:val="auto"/>
                <w:sz w:val="23"/>
                <w:szCs w:val="23"/>
                <w:highlight w:val="none"/>
                <w:lang w:eastAsia="zh-CN"/>
              </w:rPr>
            </w:pPr>
          </w:p>
          <w:p w14:paraId="7EB35B85">
            <w:pPr>
              <w:pStyle w:val="749"/>
              <w:ind w:left="182"/>
              <w:rPr>
                <w:rFonts w:ascii="宋体" w:hAnsi="宋体" w:cs="宋体"/>
                <w:color w:val="auto"/>
                <w:sz w:val="20"/>
                <w:szCs w:val="20"/>
                <w:highlight w:val="none"/>
              </w:rPr>
            </w:pPr>
            <w:r>
              <w:rPr>
                <w:rFonts w:hint="eastAsia" w:ascii="宋体"/>
                <w:color w:val="auto"/>
                <w:sz w:val="20"/>
                <w:highlight w:val="none"/>
              </w:rPr>
              <w:t>16</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41AA6B7">
            <w:pPr>
              <w:pStyle w:val="749"/>
              <w:spacing w:before="153"/>
              <w:ind w:left="7"/>
              <w:rPr>
                <w:rFonts w:ascii="宋体" w:hAnsi="宋体" w:cs="宋体"/>
                <w:color w:val="auto"/>
                <w:sz w:val="20"/>
                <w:szCs w:val="20"/>
                <w:highlight w:val="none"/>
              </w:rPr>
            </w:pPr>
            <w:r>
              <w:rPr>
                <w:rFonts w:hint="eastAsia" w:ascii="宋体" w:hAnsi="宋体" w:cs="宋体"/>
                <w:color w:val="auto"/>
                <w:sz w:val="20"/>
                <w:szCs w:val="20"/>
                <w:highlight w:val="none"/>
              </w:rPr>
              <w:t>★A060806水</w:t>
            </w:r>
          </w:p>
          <w:p w14:paraId="0CC010D0">
            <w:pPr>
              <w:pStyle w:val="749"/>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EC2843B">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67929DF">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36782BC">
            <w:pPr>
              <w:pStyle w:val="749"/>
              <w:spacing w:before="153"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14:paraId="36CFA7F7">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A1042A9">
            <w:pPr>
              <w:pStyle w:val="749"/>
              <w:spacing w:before="6"/>
              <w:rPr>
                <w:rFonts w:ascii="宋体" w:hAnsi="宋体" w:cs="宋体"/>
                <w:color w:val="auto"/>
                <w:sz w:val="20"/>
                <w:szCs w:val="20"/>
                <w:highlight w:val="none"/>
                <w:lang w:eastAsia="zh-CN"/>
              </w:rPr>
            </w:pPr>
          </w:p>
          <w:p w14:paraId="7749ECF0">
            <w:pPr>
              <w:pStyle w:val="749"/>
              <w:ind w:left="182"/>
              <w:rPr>
                <w:rFonts w:ascii="宋体" w:hAnsi="宋体" w:cs="宋体"/>
                <w:color w:val="auto"/>
                <w:sz w:val="20"/>
                <w:szCs w:val="20"/>
                <w:highlight w:val="none"/>
              </w:rPr>
            </w:pPr>
            <w:r>
              <w:rPr>
                <w:rFonts w:hint="eastAsia" w:ascii="宋体"/>
                <w:color w:val="auto"/>
                <w:sz w:val="20"/>
                <w:highlight w:val="none"/>
              </w:rPr>
              <w:t>17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66EF476">
            <w:pPr>
              <w:pStyle w:val="749"/>
              <w:spacing w:before="112"/>
              <w:ind w:left="7"/>
              <w:rPr>
                <w:rFonts w:ascii="宋体" w:hAnsi="宋体" w:cs="宋体"/>
                <w:color w:val="auto"/>
                <w:sz w:val="20"/>
                <w:szCs w:val="20"/>
                <w:highlight w:val="none"/>
              </w:rPr>
            </w:pPr>
            <w:r>
              <w:rPr>
                <w:rFonts w:hint="eastAsia" w:ascii="宋体" w:hAnsi="宋体" w:cs="宋体"/>
                <w:color w:val="auto"/>
                <w:sz w:val="20"/>
                <w:szCs w:val="20"/>
                <w:highlight w:val="none"/>
              </w:rPr>
              <w:t>A060807便器</w:t>
            </w:r>
          </w:p>
          <w:p w14:paraId="60239998">
            <w:pPr>
              <w:pStyle w:val="749"/>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E4F9CDF">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0C778E0">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75A3E16">
            <w:pPr>
              <w:pStyle w:val="749"/>
              <w:spacing w:before="112"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14:paraId="4459D630">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F00AC61">
            <w:pPr>
              <w:pStyle w:val="749"/>
              <w:spacing w:before="12"/>
              <w:rPr>
                <w:rFonts w:ascii="宋体" w:hAnsi="宋体" w:cs="宋体"/>
                <w:color w:val="auto"/>
                <w:sz w:val="21"/>
                <w:szCs w:val="21"/>
                <w:highlight w:val="none"/>
                <w:lang w:eastAsia="zh-CN"/>
              </w:rPr>
            </w:pPr>
          </w:p>
          <w:p w14:paraId="11E753FC">
            <w:pPr>
              <w:pStyle w:val="749"/>
              <w:ind w:left="182"/>
              <w:rPr>
                <w:rFonts w:ascii="宋体" w:hAnsi="宋体" w:cs="宋体"/>
                <w:color w:val="auto"/>
                <w:sz w:val="20"/>
                <w:szCs w:val="20"/>
                <w:highlight w:val="none"/>
              </w:rPr>
            </w:pPr>
            <w:r>
              <w:rPr>
                <w:rFonts w:hint="eastAsia" w:ascii="宋体"/>
                <w:color w:val="auto"/>
                <w:sz w:val="20"/>
                <w:highlight w:val="none"/>
              </w:rPr>
              <w:t>18</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492B63C">
            <w:pPr>
              <w:pStyle w:val="749"/>
              <w:spacing w:before="131"/>
              <w:ind w:left="7"/>
              <w:rPr>
                <w:rFonts w:ascii="宋体" w:hAnsi="宋体" w:cs="宋体"/>
                <w:color w:val="auto"/>
                <w:sz w:val="20"/>
                <w:szCs w:val="20"/>
                <w:highlight w:val="none"/>
              </w:rPr>
            </w:pPr>
            <w:r>
              <w:rPr>
                <w:rFonts w:hint="eastAsia" w:ascii="宋体" w:hAnsi="宋体" w:cs="宋体"/>
                <w:color w:val="auto"/>
                <w:sz w:val="20"/>
                <w:szCs w:val="20"/>
                <w:highlight w:val="none"/>
              </w:rPr>
              <w:t>A060810淋浴</w:t>
            </w:r>
          </w:p>
          <w:p w14:paraId="2ED59CFB">
            <w:pPr>
              <w:pStyle w:val="749"/>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D0CFFE8">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D7CA3D3">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A86E70">
            <w:pPr>
              <w:pStyle w:val="749"/>
              <w:spacing w:before="131"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14:paraId="483C13A5">
      <w:pPr>
        <w:pStyle w:val="32"/>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77F79C43">
      <w:pPr>
        <w:pStyle w:val="32"/>
        <w:spacing w:line="360" w:lineRule="auto"/>
        <w:rPr>
          <w:color w:val="auto"/>
          <w:szCs w:val="21"/>
          <w:highlight w:val="none"/>
        </w:rPr>
      </w:pPr>
      <w:r>
        <w:rPr>
          <w:rFonts w:hint="eastAsia" w:ascii="宋体" w:hAnsi="宋体"/>
          <w:color w:val="auto"/>
          <w:szCs w:val="21"/>
          <w:highlight w:val="none"/>
        </w:rPr>
        <w:t xml:space="preserve">    </w:t>
      </w:r>
      <w:r>
        <w:rPr>
          <w:color w:val="auto"/>
          <w:szCs w:val="21"/>
          <w:highlight w:val="none"/>
        </w:rPr>
        <w:t>2.</w:t>
      </w:r>
      <w:r>
        <w:rPr>
          <w:rFonts w:hint="eastAsia"/>
          <w:color w:val="auto"/>
          <w:szCs w:val="21"/>
          <w:highlight w:val="none"/>
        </w:rPr>
        <w:t>以</w:t>
      </w:r>
      <w:r>
        <w:rPr>
          <w:color w:val="auto"/>
          <w:szCs w:val="21"/>
          <w:highlight w:val="none"/>
        </w:rPr>
        <w:t>“</w:t>
      </w:r>
      <w:r>
        <w:rPr>
          <w:rFonts w:hint="eastAsia"/>
          <w:color w:val="auto"/>
          <w:szCs w:val="21"/>
          <w:highlight w:val="none"/>
        </w:rPr>
        <w:t>★</w:t>
      </w:r>
      <w:r>
        <w:rPr>
          <w:color w:val="auto"/>
          <w:szCs w:val="21"/>
          <w:highlight w:val="none"/>
        </w:rPr>
        <w:t>”</w:t>
      </w:r>
      <w:r>
        <w:rPr>
          <w:rFonts w:hint="eastAsia"/>
          <w:color w:val="auto"/>
          <w:szCs w:val="21"/>
          <w:highlight w:val="none"/>
        </w:rPr>
        <w:t>标注的为政府强制采购产品。</w:t>
      </w:r>
    </w:p>
    <w:p w14:paraId="7FFED277">
      <w:pPr>
        <w:outlineLvl w:val="9"/>
        <w:rPr>
          <w:rFonts w:hint="eastAsia" w:ascii="宋体" w:hAnsi="宋体" w:cs="宋体"/>
          <w:color w:val="auto"/>
          <w:highlight w:val="none"/>
        </w:rPr>
      </w:pPr>
    </w:p>
    <w:p w14:paraId="0B64CFDA">
      <w:pPr>
        <w:outlineLvl w:val="9"/>
        <w:rPr>
          <w:rFonts w:hint="eastAsia" w:ascii="宋体" w:hAnsi="宋体" w:cs="宋体"/>
          <w:color w:val="auto"/>
          <w:highlight w:val="none"/>
        </w:rPr>
      </w:pPr>
    </w:p>
    <w:p w14:paraId="2252267D">
      <w:pPr>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注：</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w:t>
      </w:r>
    </w:p>
    <w:p w14:paraId="4B6D24A9">
      <w:pPr>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0A2F3D07">
      <w:pPr>
        <w:outlineLvl w:val="9"/>
        <w:rPr>
          <w:rFonts w:hint="eastAsia" w:ascii="宋体" w:hAnsi="宋体" w:cs="宋体"/>
          <w:color w:val="auto"/>
          <w:highlight w:val="none"/>
        </w:rPr>
      </w:pPr>
      <w:r>
        <w:rPr>
          <w:rFonts w:hint="eastAsia" w:ascii="宋体" w:hAnsi="宋体" w:cs="宋体"/>
          <w:color w:val="auto"/>
          <w:highlight w:val="none"/>
        </w:rPr>
        <w:br w:type="page"/>
      </w:r>
    </w:p>
    <w:p w14:paraId="5FEE0F64">
      <w:pPr>
        <w:keepNext w:val="0"/>
        <w:keepLines w:val="0"/>
        <w:pageBreakBefore/>
        <w:spacing w:line="400" w:lineRule="exact"/>
        <w:ind w:firstLine="2236" w:firstLineChars="696"/>
        <w:outlineLvl w:val="0"/>
        <w:rPr>
          <w:b/>
          <w:bCs/>
          <w:color w:val="auto"/>
          <w:sz w:val="32"/>
          <w:szCs w:val="32"/>
          <w:highlight w:val="none"/>
        </w:rPr>
      </w:pPr>
      <w:bookmarkStart w:id="117" w:name="_Toc5703"/>
      <w:bookmarkStart w:id="118" w:name="_Toc1648"/>
      <w:bookmarkStart w:id="119" w:name="_Toc24396"/>
      <w:r>
        <w:rPr>
          <w:rFonts w:hint="eastAsia"/>
          <w:b/>
          <w:bCs/>
          <w:color w:val="auto"/>
          <w:sz w:val="32"/>
          <w:szCs w:val="32"/>
          <w:highlight w:val="none"/>
        </w:rPr>
        <w:t xml:space="preserve">第三章  </w:t>
      </w:r>
      <w:r>
        <w:rPr>
          <w:b/>
          <w:bCs/>
          <w:color w:val="auto"/>
          <w:sz w:val="32"/>
          <w:szCs w:val="32"/>
          <w:highlight w:val="none"/>
        </w:rPr>
        <w:t>评标办法（综合评估法）</w:t>
      </w:r>
      <w:bookmarkEnd w:id="117"/>
      <w:bookmarkEnd w:id="118"/>
      <w:bookmarkEnd w:id="119"/>
    </w:p>
    <w:p w14:paraId="217B84FE">
      <w:pPr>
        <w:keepNext/>
        <w:keepLines/>
        <w:spacing w:line="400" w:lineRule="exact"/>
        <w:jc w:val="center"/>
        <w:outlineLvl w:val="9"/>
        <w:rPr>
          <w:color w:val="auto"/>
          <w:sz w:val="32"/>
          <w:szCs w:val="32"/>
          <w:highlight w:val="none"/>
        </w:rPr>
      </w:pPr>
      <w:bookmarkStart w:id="120" w:name="_Toc513815845"/>
      <w:bookmarkStart w:id="121" w:name="_Toc514078584"/>
      <w:bookmarkStart w:id="122" w:name="_Toc505241387"/>
      <w:bookmarkStart w:id="123" w:name="_Toc433988654"/>
      <w:bookmarkStart w:id="124" w:name="_Toc419321220"/>
      <w:bookmarkStart w:id="125" w:name="_Toc9850702"/>
      <w:bookmarkStart w:id="126" w:name="_Toc31521"/>
      <w:bookmarkStart w:id="127" w:name="_Toc419320184"/>
      <w:bookmarkStart w:id="128" w:name="_Toc419364311"/>
      <w:bookmarkStart w:id="129" w:name="_Toc419363613"/>
      <w:bookmarkStart w:id="130" w:name="_Toc528512950"/>
      <w:r>
        <w:rPr>
          <w:b/>
          <w:bCs/>
          <w:color w:val="auto"/>
          <w:sz w:val="32"/>
          <w:szCs w:val="32"/>
          <w:highlight w:val="none"/>
        </w:rPr>
        <w:t>评标办法前附表</w:t>
      </w:r>
      <w:bookmarkEnd w:id="120"/>
      <w:bookmarkEnd w:id="121"/>
      <w:bookmarkEnd w:id="122"/>
      <w:bookmarkEnd w:id="123"/>
      <w:bookmarkEnd w:id="124"/>
      <w:bookmarkEnd w:id="125"/>
      <w:bookmarkEnd w:id="126"/>
      <w:bookmarkEnd w:id="127"/>
      <w:bookmarkEnd w:id="128"/>
      <w:bookmarkEnd w:id="129"/>
      <w:bookmarkEnd w:id="130"/>
    </w:p>
    <w:tbl>
      <w:tblPr>
        <w:tblStyle w:val="84"/>
        <w:tblW w:w="10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851"/>
        <w:gridCol w:w="709"/>
        <w:gridCol w:w="1503"/>
        <w:gridCol w:w="1899"/>
        <w:gridCol w:w="4506"/>
      </w:tblGrid>
      <w:tr w14:paraId="774D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61" w:type="dxa"/>
            <w:shd w:val="clear" w:color="auto" w:fill="E6E6E6"/>
            <w:vAlign w:val="center"/>
          </w:tcPr>
          <w:p w14:paraId="13BBC392">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条款号</w:t>
            </w:r>
          </w:p>
        </w:tc>
        <w:tc>
          <w:tcPr>
            <w:tcW w:w="4962" w:type="dxa"/>
            <w:gridSpan w:val="4"/>
            <w:shd w:val="clear" w:color="auto" w:fill="E6E6E6"/>
            <w:vAlign w:val="center"/>
          </w:tcPr>
          <w:p w14:paraId="1A11526C">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评审因素</w:t>
            </w:r>
          </w:p>
        </w:tc>
        <w:tc>
          <w:tcPr>
            <w:tcW w:w="4506" w:type="dxa"/>
            <w:shd w:val="clear" w:color="auto" w:fill="E6E6E6"/>
            <w:vAlign w:val="center"/>
          </w:tcPr>
          <w:p w14:paraId="7B12E3C2">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评审标准</w:t>
            </w:r>
          </w:p>
        </w:tc>
      </w:tr>
      <w:tr w14:paraId="0032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restart"/>
            <w:vAlign w:val="center"/>
          </w:tcPr>
          <w:p w14:paraId="70166E2D">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2.1.1</w:t>
            </w:r>
          </w:p>
        </w:tc>
        <w:tc>
          <w:tcPr>
            <w:tcW w:w="1560" w:type="dxa"/>
            <w:gridSpan w:val="2"/>
            <w:vMerge w:val="restart"/>
            <w:vAlign w:val="center"/>
          </w:tcPr>
          <w:p w14:paraId="737365AD">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资格评审标准</w:t>
            </w:r>
          </w:p>
        </w:tc>
        <w:tc>
          <w:tcPr>
            <w:tcW w:w="1503" w:type="dxa"/>
            <w:vMerge w:val="restart"/>
            <w:vAlign w:val="center"/>
          </w:tcPr>
          <w:p w14:paraId="42CAAB2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eastAsia="宋体"/>
                <w:color w:val="auto"/>
                <w:highlight w:val="none"/>
                <w:lang w:eastAsia="zh-CN"/>
              </w:rPr>
            </w:pPr>
            <w:r>
              <w:rPr>
                <w:rFonts w:hint="eastAsia"/>
                <w:color w:val="auto"/>
                <w:highlight w:val="none"/>
                <w:lang w:eastAsia="zh-CN"/>
              </w:rPr>
              <w:t>☑</w:t>
            </w:r>
          </w:p>
          <w:p w14:paraId="716A6AF6">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合</w:t>
            </w:r>
          </w:p>
          <w:p w14:paraId="338048D5">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格</w:t>
            </w:r>
          </w:p>
          <w:p w14:paraId="77F38665">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制</w:t>
            </w:r>
          </w:p>
        </w:tc>
        <w:tc>
          <w:tcPr>
            <w:tcW w:w="6405" w:type="dxa"/>
            <w:gridSpan w:val="2"/>
            <w:vAlign w:val="center"/>
          </w:tcPr>
          <w:p w14:paraId="68D21771">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合格标准：缺少任何一项或有任何一项不合格者</w:t>
            </w:r>
            <w:r>
              <w:rPr>
                <w:rFonts w:hint="eastAsia"/>
                <w:color w:val="auto"/>
                <w:szCs w:val="21"/>
                <w:highlight w:val="none"/>
              </w:rPr>
              <w:t>，</w:t>
            </w:r>
            <w:r>
              <w:rPr>
                <w:color w:val="auto"/>
                <w:szCs w:val="21"/>
                <w:highlight w:val="none"/>
              </w:rPr>
              <w:t>其资格审查视为不合格</w:t>
            </w:r>
          </w:p>
        </w:tc>
      </w:tr>
      <w:tr w14:paraId="73AA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5B6519D6">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4A96F7BA">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00E3FD97">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11DE5BA5">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ascii="宋体"/>
                <w:color w:val="auto"/>
                <w:szCs w:val="21"/>
                <w:highlight w:val="none"/>
              </w:rPr>
              <w:t>（1）响应文件签署授权委托书；</w:t>
            </w:r>
            <w:r>
              <w:rPr>
                <w:rFonts w:hint="eastAsia" w:ascii="宋体" w:hAnsi="宋体"/>
                <w:color w:val="auto"/>
                <w:szCs w:val="21"/>
                <w:highlight w:val="none"/>
              </w:rPr>
              <w:t>（</w:t>
            </w:r>
            <w:r>
              <w:rPr>
                <w:rFonts w:hint="eastAsia" w:ascii="宋体"/>
                <w:color w:val="auto"/>
                <w:szCs w:val="21"/>
                <w:highlight w:val="none"/>
              </w:rPr>
              <w:t>附法定代表人身份证明、代理人身份证等材料的复印件）</w:t>
            </w:r>
            <w:r>
              <w:rPr>
                <w:rFonts w:hint="eastAsia" w:ascii="宋体" w:hAnsi="宋体"/>
                <w:color w:val="auto"/>
                <w:szCs w:val="21"/>
                <w:highlight w:val="none"/>
                <w:lang w:eastAsia="zh-CN"/>
              </w:rPr>
              <w:t>（必须提供）</w:t>
            </w:r>
          </w:p>
        </w:tc>
      </w:tr>
      <w:tr w14:paraId="3857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1AFADBEC">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29A48BB0">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1AE75CB8">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3C848167">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ascii="宋体"/>
                <w:color w:val="auto"/>
                <w:szCs w:val="21"/>
                <w:highlight w:val="none"/>
              </w:rPr>
              <w:t>（2）供应商基本情况表；（附企业法人营业执照副本、企业资质证书副本、安全生产许可证副本等材料的复印件）</w:t>
            </w:r>
            <w:r>
              <w:rPr>
                <w:rFonts w:hint="eastAsia" w:ascii="宋体" w:hAnsi="宋体"/>
                <w:color w:val="auto"/>
                <w:szCs w:val="21"/>
                <w:highlight w:val="none"/>
                <w:lang w:eastAsia="zh-CN"/>
              </w:rPr>
              <w:t>（必须提供）</w:t>
            </w:r>
          </w:p>
        </w:tc>
      </w:tr>
      <w:tr w14:paraId="5996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vMerge w:val="continue"/>
            <w:vAlign w:val="center"/>
          </w:tcPr>
          <w:p w14:paraId="482C354D">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3E24F6BF">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3FD67FA6">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53DFCBD8">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ascii="宋体"/>
                <w:color w:val="auto"/>
                <w:szCs w:val="21"/>
                <w:highlight w:val="none"/>
              </w:rPr>
              <w:t>（3）基本账户开户许可证；</w:t>
            </w:r>
            <w:r>
              <w:rPr>
                <w:rFonts w:hint="eastAsia" w:ascii="宋体" w:hAnsi="宋体"/>
                <w:color w:val="auto"/>
                <w:szCs w:val="21"/>
                <w:highlight w:val="none"/>
                <w:lang w:eastAsia="zh-CN"/>
              </w:rPr>
              <w:t>（必须提供）</w:t>
            </w:r>
          </w:p>
        </w:tc>
      </w:tr>
      <w:tr w14:paraId="061B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17DE3813">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5F9E9DC2">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0380AC2C">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1DACA5E2">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ascii="宋体"/>
                <w:color w:val="auto"/>
                <w:szCs w:val="21"/>
                <w:highlight w:val="none"/>
              </w:rPr>
              <w:t>（4）建设工程项目管理承诺书；</w:t>
            </w:r>
            <w:r>
              <w:rPr>
                <w:rFonts w:hint="eastAsia" w:ascii="宋体" w:hAnsi="宋体"/>
                <w:color w:val="auto"/>
                <w:szCs w:val="21"/>
                <w:highlight w:val="none"/>
                <w:lang w:eastAsia="zh-CN"/>
              </w:rPr>
              <w:t>（必须提供）</w:t>
            </w:r>
          </w:p>
        </w:tc>
      </w:tr>
      <w:tr w14:paraId="17F8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06465774">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7D247386">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65865789">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43BB55E0">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r>
              <w:rPr>
                <w:rFonts w:hint="eastAsia" w:ascii="宋体"/>
                <w:color w:val="auto"/>
                <w:szCs w:val="21"/>
                <w:highlight w:val="none"/>
              </w:rPr>
              <w:t>（5）</w:t>
            </w:r>
            <w:r>
              <w:rPr>
                <w:rFonts w:hint="eastAsia" w:ascii="宋体" w:hAnsi="宋体" w:cs="Times New Roman"/>
                <w:color w:val="auto"/>
                <w:szCs w:val="21"/>
                <w:highlight w:val="none"/>
                <w:lang w:eastAsia="zh-CN"/>
              </w:rPr>
              <w:t>防城港</w:t>
            </w:r>
            <w:r>
              <w:rPr>
                <w:rFonts w:hint="eastAsia" w:ascii="宋体" w:hAnsi="宋体" w:cs="Times New Roman"/>
                <w:color w:val="auto"/>
                <w:szCs w:val="21"/>
                <w:highlight w:val="none"/>
              </w:rPr>
              <w:t>市政府采购供应商信用承诺函</w:t>
            </w:r>
            <w:r>
              <w:rPr>
                <w:rFonts w:hint="eastAsia" w:ascii="宋体" w:hAnsi="宋体" w:cs="Times New Roman"/>
                <w:color w:val="auto"/>
                <w:szCs w:val="21"/>
                <w:highlight w:val="none"/>
                <w:lang w:eastAsia="zh-CN"/>
              </w:rPr>
              <w:t>（格式后附，</w:t>
            </w:r>
            <w:r>
              <w:rPr>
                <w:rFonts w:hint="eastAsia" w:ascii="宋体" w:hAnsi="宋体"/>
                <w:color w:val="auto"/>
                <w:szCs w:val="21"/>
                <w:highlight w:val="none"/>
                <w:lang w:eastAsia="zh-CN"/>
              </w:rPr>
              <w:t>必须提供）</w:t>
            </w:r>
            <w:r>
              <w:rPr>
                <w:rFonts w:hint="eastAsia" w:ascii="宋体" w:hAnsi="宋体" w:cs="Times New Roman"/>
                <w:color w:val="auto"/>
                <w:szCs w:val="21"/>
                <w:highlight w:val="none"/>
                <w:lang w:eastAsia="zh-CN"/>
              </w:rPr>
              <w:t>；</w:t>
            </w:r>
          </w:p>
        </w:tc>
      </w:tr>
      <w:tr w14:paraId="232D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506AE90B">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6F9614FE">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70E9FE70">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27D86065">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宋体" w:eastAsia="宋体"/>
                <w:color w:val="auto"/>
                <w:szCs w:val="21"/>
                <w:highlight w:val="none"/>
                <w:lang w:val="en-US" w:eastAsia="zh-CN"/>
              </w:rPr>
            </w:pPr>
            <w:r>
              <w:rPr>
                <w:rFonts w:hint="eastAsia" w:ascii="宋体"/>
                <w:color w:val="auto"/>
                <w:szCs w:val="21"/>
                <w:highlight w:val="none"/>
                <w:lang w:val="en-US" w:eastAsia="zh-CN"/>
              </w:rPr>
              <w:t>（6）投标人直接控股、管理关系信息表</w:t>
            </w:r>
            <w:r>
              <w:rPr>
                <w:rFonts w:hint="eastAsia" w:ascii="宋体" w:hAnsi="宋体" w:cs="Times New Roman"/>
                <w:color w:val="auto"/>
                <w:szCs w:val="21"/>
                <w:highlight w:val="none"/>
                <w:lang w:eastAsia="zh-CN"/>
              </w:rPr>
              <w:t>（格式后附，</w:t>
            </w:r>
            <w:r>
              <w:rPr>
                <w:rFonts w:hint="eastAsia" w:ascii="宋体" w:hAnsi="宋体"/>
                <w:color w:val="auto"/>
                <w:szCs w:val="21"/>
                <w:highlight w:val="none"/>
                <w:lang w:eastAsia="zh-CN"/>
              </w:rPr>
              <w:t>必须提供）</w:t>
            </w:r>
          </w:p>
        </w:tc>
      </w:tr>
      <w:tr w14:paraId="322A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79727135">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2ECA8047">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574A3364">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57685C3E">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w:t>
            </w:r>
            <w:r>
              <w:rPr>
                <w:rFonts w:hint="eastAsia" w:ascii="宋体" w:hAnsi="宋体"/>
                <w:color w:val="auto"/>
                <w:szCs w:val="21"/>
                <w:highlight w:val="none"/>
              </w:rPr>
              <w:t>项目经理注册建造师证书和安全生产考核合格证书（B类）、项目施工专职安全员安全生产考核合格证书（C类）；（必须提供）</w:t>
            </w:r>
          </w:p>
        </w:tc>
      </w:tr>
      <w:tr w14:paraId="23E0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61" w:type="dxa"/>
            <w:vMerge w:val="continue"/>
            <w:vAlign w:val="center"/>
          </w:tcPr>
          <w:p w14:paraId="3C398F94">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50E9FC01">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3BD69258">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3C245FA4">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）资格审查需要的其他材料：</w:t>
            </w:r>
            <w:r>
              <w:rPr>
                <w:rFonts w:hint="eastAsia" w:ascii="宋体" w:hAnsi="宋体"/>
                <w:color w:val="auto"/>
                <w:szCs w:val="21"/>
                <w:highlight w:val="none"/>
              </w:rPr>
              <w:t>中小企业声明函</w:t>
            </w:r>
            <w:r>
              <w:rPr>
                <w:rFonts w:hint="eastAsia" w:ascii="宋体" w:hAnsi="宋体"/>
                <w:color w:val="auto"/>
                <w:szCs w:val="21"/>
                <w:highlight w:val="none"/>
                <w:lang w:eastAsia="zh-CN"/>
              </w:rPr>
              <w:t>（必须提供）</w:t>
            </w:r>
            <w:r>
              <w:rPr>
                <w:rFonts w:hint="eastAsia" w:ascii="宋体" w:hAnsi="宋体"/>
                <w:color w:val="auto"/>
                <w:szCs w:val="21"/>
                <w:highlight w:val="none"/>
              </w:rPr>
              <w:t>、</w:t>
            </w:r>
            <w:r>
              <w:rPr>
                <w:rFonts w:hint="eastAsia" w:ascii="宋体"/>
                <w:color w:val="auto"/>
                <w:szCs w:val="21"/>
                <w:highlight w:val="none"/>
              </w:rPr>
              <w:t>企业信誉实力一览表、近三年发生的诉讼和仲裁情况等。</w:t>
            </w:r>
          </w:p>
        </w:tc>
      </w:tr>
      <w:tr w14:paraId="4613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61" w:type="dxa"/>
            <w:vMerge w:val="restart"/>
            <w:vAlign w:val="center"/>
          </w:tcPr>
          <w:p w14:paraId="68DB30E3">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2.1.2</w:t>
            </w:r>
          </w:p>
        </w:tc>
        <w:tc>
          <w:tcPr>
            <w:tcW w:w="3063" w:type="dxa"/>
            <w:gridSpan w:val="3"/>
            <w:vMerge w:val="restart"/>
            <w:vAlign w:val="center"/>
          </w:tcPr>
          <w:p w14:paraId="228CD550">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形式</w:t>
            </w:r>
          </w:p>
          <w:p w14:paraId="5031B542">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评审标准</w:t>
            </w:r>
          </w:p>
        </w:tc>
        <w:tc>
          <w:tcPr>
            <w:tcW w:w="1899" w:type="dxa"/>
            <w:vAlign w:val="center"/>
          </w:tcPr>
          <w:p w14:paraId="508B2EE2">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磋商</w:t>
            </w:r>
            <w:r>
              <w:rPr>
                <w:rFonts w:hint="eastAsia"/>
                <w:color w:val="auto"/>
                <w:szCs w:val="21"/>
                <w:highlight w:val="none"/>
              </w:rPr>
              <w:t>供应商</w:t>
            </w:r>
            <w:r>
              <w:rPr>
                <w:color w:val="auto"/>
                <w:szCs w:val="21"/>
                <w:highlight w:val="none"/>
              </w:rPr>
              <w:t>名称</w:t>
            </w:r>
          </w:p>
        </w:tc>
        <w:tc>
          <w:tcPr>
            <w:tcW w:w="4506" w:type="dxa"/>
            <w:vAlign w:val="center"/>
          </w:tcPr>
          <w:p w14:paraId="67C01210">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与营业执照、资质证书、安全生产许可证一致</w:t>
            </w:r>
          </w:p>
        </w:tc>
      </w:tr>
      <w:tr w14:paraId="643A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61" w:type="dxa"/>
            <w:vMerge w:val="continue"/>
            <w:vAlign w:val="center"/>
          </w:tcPr>
          <w:p w14:paraId="0DAB362D">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3063" w:type="dxa"/>
            <w:gridSpan w:val="3"/>
            <w:vMerge w:val="continue"/>
            <w:vAlign w:val="center"/>
          </w:tcPr>
          <w:p w14:paraId="31B4D8A5">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899" w:type="dxa"/>
            <w:vAlign w:val="center"/>
          </w:tcPr>
          <w:p w14:paraId="61F7085C">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投标函签字盖章</w:t>
            </w:r>
          </w:p>
        </w:tc>
        <w:tc>
          <w:tcPr>
            <w:tcW w:w="4506" w:type="dxa"/>
            <w:vAlign w:val="center"/>
          </w:tcPr>
          <w:p w14:paraId="3846225D">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法定代表人或其委托代理人签字或盖章及加盖</w:t>
            </w:r>
            <w:r>
              <w:rPr>
                <w:rFonts w:hint="eastAsia"/>
                <w:color w:val="auto"/>
                <w:szCs w:val="21"/>
                <w:highlight w:val="none"/>
              </w:rPr>
              <w:t>磋商供应商</w:t>
            </w:r>
            <w:r>
              <w:rPr>
                <w:color w:val="auto"/>
                <w:szCs w:val="21"/>
                <w:highlight w:val="none"/>
              </w:rPr>
              <w:t>单位公章</w:t>
            </w:r>
          </w:p>
        </w:tc>
      </w:tr>
      <w:tr w14:paraId="6007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1" w:type="dxa"/>
            <w:vMerge w:val="restart"/>
            <w:vAlign w:val="center"/>
          </w:tcPr>
          <w:p w14:paraId="595E6819">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2.1.3</w:t>
            </w:r>
          </w:p>
        </w:tc>
        <w:tc>
          <w:tcPr>
            <w:tcW w:w="3063" w:type="dxa"/>
            <w:gridSpan w:val="3"/>
            <w:vMerge w:val="restart"/>
            <w:vAlign w:val="center"/>
          </w:tcPr>
          <w:p w14:paraId="6B6B9049">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响应性</w:t>
            </w:r>
          </w:p>
          <w:p w14:paraId="57AAAFCC">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评审标准</w:t>
            </w:r>
          </w:p>
          <w:p w14:paraId="027BB06E">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eastAsia="楷体_GB2312"/>
                <w:color w:val="auto"/>
                <w:szCs w:val="21"/>
                <w:highlight w:val="none"/>
              </w:rPr>
              <w:t>【备注：</w:t>
            </w:r>
            <w:r>
              <w:rPr>
                <w:rFonts w:hint="eastAsia" w:eastAsia="楷体_GB2312"/>
                <w:color w:val="auto"/>
                <w:szCs w:val="21"/>
                <w:highlight w:val="none"/>
              </w:rPr>
              <w:t>采购人</w:t>
            </w:r>
            <w:r>
              <w:rPr>
                <w:rFonts w:eastAsia="楷体_GB2312"/>
                <w:color w:val="auto"/>
                <w:szCs w:val="21"/>
                <w:highlight w:val="none"/>
              </w:rPr>
              <w:t>可按项目需求分为商务标响应性评审和</w:t>
            </w:r>
            <w:r>
              <w:rPr>
                <w:rFonts w:hint="eastAsia" w:eastAsia="楷体_GB2312"/>
                <w:color w:val="auto"/>
                <w:szCs w:val="21"/>
                <w:highlight w:val="none"/>
              </w:rPr>
              <w:t>技术部分</w:t>
            </w:r>
            <w:r>
              <w:rPr>
                <w:rFonts w:eastAsia="楷体_GB2312"/>
                <w:color w:val="auto"/>
                <w:szCs w:val="21"/>
                <w:highlight w:val="none"/>
              </w:rPr>
              <w:t>响应性评审两部分】</w:t>
            </w:r>
          </w:p>
        </w:tc>
        <w:tc>
          <w:tcPr>
            <w:tcW w:w="1899" w:type="dxa"/>
            <w:vAlign w:val="center"/>
          </w:tcPr>
          <w:p w14:paraId="16DFD58D">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投标内容</w:t>
            </w:r>
          </w:p>
        </w:tc>
        <w:tc>
          <w:tcPr>
            <w:tcW w:w="4506" w:type="dxa"/>
            <w:vAlign w:val="center"/>
          </w:tcPr>
          <w:p w14:paraId="3700C411">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3</w:t>
            </w:r>
            <w:r>
              <w:rPr>
                <w:color w:val="auto"/>
                <w:szCs w:val="21"/>
                <w:highlight w:val="none"/>
              </w:rPr>
              <w:t>项规定</w:t>
            </w:r>
          </w:p>
        </w:tc>
      </w:tr>
      <w:tr w14:paraId="2203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61" w:type="dxa"/>
            <w:vMerge w:val="continue"/>
            <w:vAlign w:val="center"/>
          </w:tcPr>
          <w:p w14:paraId="3AC7FA0A">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3063" w:type="dxa"/>
            <w:gridSpan w:val="3"/>
            <w:vMerge w:val="continue"/>
            <w:vAlign w:val="center"/>
          </w:tcPr>
          <w:p w14:paraId="20C52BDF">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899" w:type="dxa"/>
            <w:vAlign w:val="center"/>
          </w:tcPr>
          <w:p w14:paraId="7E832AB6">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工期</w:t>
            </w:r>
          </w:p>
        </w:tc>
        <w:tc>
          <w:tcPr>
            <w:tcW w:w="4506" w:type="dxa"/>
            <w:vAlign w:val="center"/>
          </w:tcPr>
          <w:p w14:paraId="332B43BD">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3</w:t>
            </w:r>
            <w:r>
              <w:rPr>
                <w:color w:val="auto"/>
                <w:szCs w:val="21"/>
                <w:highlight w:val="none"/>
              </w:rPr>
              <w:t>项规定</w:t>
            </w:r>
          </w:p>
        </w:tc>
      </w:tr>
      <w:tr w14:paraId="7447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61" w:type="dxa"/>
            <w:vMerge w:val="continue"/>
            <w:vAlign w:val="center"/>
          </w:tcPr>
          <w:p w14:paraId="315C372B">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3063" w:type="dxa"/>
            <w:gridSpan w:val="3"/>
            <w:vMerge w:val="continue"/>
            <w:vAlign w:val="center"/>
          </w:tcPr>
          <w:p w14:paraId="2A57F0D4">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899" w:type="dxa"/>
            <w:vAlign w:val="center"/>
          </w:tcPr>
          <w:p w14:paraId="76445D74">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工程质量</w:t>
            </w:r>
          </w:p>
        </w:tc>
        <w:tc>
          <w:tcPr>
            <w:tcW w:w="4506" w:type="dxa"/>
            <w:vAlign w:val="center"/>
          </w:tcPr>
          <w:p w14:paraId="27D5EC83">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3</w:t>
            </w:r>
            <w:r>
              <w:rPr>
                <w:color w:val="auto"/>
                <w:szCs w:val="21"/>
                <w:highlight w:val="none"/>
              </w:rPr>
              <w:t>项规定</w:t>
            </w:r>
          </w:p>
        </w:tc>
      </w:tr>
      <w:tr w14:paraId="68F7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1" w:type="dxa"/>
            <w:vMerge w:val="continue"/>
            <w:vAlign w:val="center"/>
          </w:tcPr>
          <w:p w14:paraId="6D407437">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3063" w:type="dxa"/>
            <w:gridSpan w:val="3"/>
            <w:vMerge w:val="continue"/>
            <w:vAlign w:val="center"/>
          </w:tcPr>
          <w:p w14:paraId="2A76FA49">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899" w:type="dxa"/>
            <w:vAlign w:val="center"/>
          </w:tcPr>
          <w:p w14:paraId="052BCB33">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投标有效期</w:t>
            </w:r>
          </w:p>
        </w:tc>
        <w:tc>
          <w:tcPr>
            <w:tcW w:w="4506" w:type="dxa"/>
            <w:vAlign w:val="center"/>
          </w:tcPr>
          <w:p w14:paraId="59CE19BD">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14</w:t>
            </w:r>
            <w:r>
              <w:rPr>
                <w:color w:val="auto"/>
                <w:szCs w:val="21"/>
                <w:highlight w:val="none"/>
              </w:rPr>
              <w:t>项规定</w:t>
            </w:r>
          </w:p>
        </w:tc>
      </w:tr>
      <w:tr w14:paraId="5F89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61" w:type="dxa"/>
            <w:vMerge w:val="continue"/>
            <w:vAlign w:val="center"/>
          </w:tcPr>
          <w:p w14:paraId="615FB517">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3063" w:type="dxa"/>
            <w:gridSpan w:val="3"/>
            <w:vMerge w:val="continue"/>
            <w:vAlign w:val="center"/>
          </w:tcPr>
          <w:p w14:paraId="54B3FA05">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899" w:type="dxa"/>
            <w:vAlign w:val="center"/>
          </w:tcPr>
          <w:p w14:paraId="5AF71ACA">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权利义务</w:t>
            </w:r>
          </w:p>
        </w:tc>
        <w:tc>
          <w:tcPr>
            <w:tcW w:w="4506" w:type="dxa"/>
            <w:vAlign w:val="center"/>
          </w:tcPr>
          <w:p w14:paraId="3BA8798B">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投标函附录中的相关承诺符合或优于第四章“合同条款及格式”的相关规定</w:t>
            </w:r>
          </w:p>
        </w:tc>
      </w:tr>
      <w:tr w14:paraId="21E2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61" w:type="dxa"/>
            <w:vMerge w:val="continue"/>
            <w:vAlign w:val="center"/>
          </w:tcPr>
          <w:p w14:paraId="73B84B57">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3063" w:type="dxa"/>
            <w:gridSpan w:val="3"/>
            <w:vMerge w:val="continue"/>
            <w:vAlign w:val="center"/>
          </w:tcPr>
          <w:p w14:paraId="1D5E399B">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899" w:type="dxa"/>
            <w:vAlign w:val="center"/>
          </w:tcPr>
          <w:p w14:paraId="108DD1FB">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color w:val="auto"/>
                <w:szCs w:val="21"/>
                <w:highlight w:val="none"/>
              </w:rPr>
              <w:t>资格</w:t>
            </w:r>
            <w:r>
              <w:rPr>
                <w:color w:val="auto"/>
                <w:szCs w:val="21"/>
                <w:highlight w:val="none"/>
              </w:rPr>
              <w:t>和要求</w:t>
            </w:r>
          </w:p>
        </w:tc>
        <w:tc>
          <w:tcPr>
            <w:tcW w:w="4506" w:type="dxa"/>
            <w:vAlign w:val="center"/>
          </w:tcPr>
          <w:p w14:paraId="55818FC6">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4项</w:t>
            </w:r>
            <w:r>
              <w:rPr>
                <w:color w:val="auto"/>
                <w:szCs w:val="21"/>
                <w:highlight w:val="none"/>
              </w:rPr>
              <w:t>规定</w:t>
            </w:r>
          </w:p>
        </w:tc>
      </w:tr>
      <w:tr w14:paraId="41E8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61" w:type="dxa"/>
            <w:vAlign w:val="center"/>
          </w:tcPr>
          <w:p w14:paraId="0C307C87">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b/>
                <w:color w:val="auto"/>
                <w:szCs w:val="21"/>
                <w:highlight w:val="none"/>
              </w:rPr>
              <w:t>2.2</w:t>
            </w:r>
          </w:p>
        </w:tc>
        <w:tc>
          <w:tcPr>
            <w:tcW w:w="3063" w:type="dxa"/>
            <w:gridSpan w:val="3"/>
            <w:vAlign w:val="center"/>
          </w:tcPr>
          <w:p w14:paraId="531F7832">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color w:val="auto"/>
                <w:szCs w:val="21"/>
                <w:highlight w:val="none"/>
              </w:rPr>
              <w:t>详细评审</w:t>
            </w:r>
          </w:p>
        </w:tc>
        <w:tc>
          <w:tcPr>
            <w:tcW w:w="6405" w:type="dxa"/>
            <w:gridSpan w:val="2"/>
            <w:vAlign w:val="center"/>
          </w:tcPr>
          <w:p w14:paraId="1E67371F">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color w:val="auto"/>
                <w:szCs w:val="21"/>
                <w:highlight w:val="none"/>
              </w:rPr>
              <w:t>通过资格审查的合格磋商供应商，只有通过了形式性评审和响应性评审，才能进入详细评审程序</w:t>
            </w:r>
          </w:p>
        </w:tc>
      </w:tr>
      <w:tr w14:paraId="6380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961" w:type="dxa"/>
            <w:vAlign w:val="center"/>
          </w:tcPr>
          <w:p w14:paraId="711F736A">
            <w:pPr>
              <w:keepNext w:val="0"/>
              <w:keepLines w:val="0"/>
              <w:pageBreakBefore w:val="0"/>
              <w:kinsoku/>
              <w:wordWrap/>
              <w:overflowPunct/>
              <w:topLinePunct w:val="0"/>
              <w:autoSpaceDE/>
              <w:autoSpaceDN/>
              <w:bidi w:val="0"/>
              <w:adjustRightInd/>
              <w:snapToGrid/>
              <w:spacing w:line="360" w:lineRule="auto"/>
              <w:jc w:val="center"/>
              <w:textAlignment w:val="auto"/>
              <w:outlineLvl w:val="9"/>
              <w:rPr>
                <w:b/>
                <w:color w:val="auto"/>
                <w:szCs w:val="21"/>
                <w:highlight w:val="none"/>
              </w:rPr>
            </w:pPr>
            <w:r>
              <w:rPr>
                <w:b/>
                <w:color w:val="auto"/>
                <w:szCs w:val="21"/>
                <w:highlight w:val="none"/>
              </w:rPr>
              <w:t>2.2.1</w:t>
            </w:r>
          </w:p>
        </w:tc>
        <w:tc>
          <w:tcPr>
            <w:tcW w:w="3063" w:type="dxa"/>
            <w:gridSpan w:val="3"/>
            <w:vAlign w:val="center"/>
          </w:tcPr>
          <w:p w14:paraId="6513DBD4">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color w:val="auto"/>
                <w:szCs w:val="21"/>
                <w:highlight w:val="none"/>
              </w:rPr>
              <w:t>详细评审</w:t>
            </w:r>
          </w:p>
          <w:p w14:paraId="4DDEBD97">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color w:val="auto"/>
                <w:szCs w:val="21"/>
                <w:highlight w:val="none"/>
              </w:rPr>
              <w:t>内容</w:t>
            </w:r>
          </w:p>
        </w:tc>
        <w:tc>
          <w:tcPr>
            <w:tcW w:w="1899" w:type="dxa"/>
            <w:vAlign w:val="center"/>
          </w:tcPr>
          <w:p w14:paraId="08DAB8CF">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分值构成</w:t>
            </w:r>
          </w:p>
          <w:p w14:paraId="38402E15">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（总分100分）</w:t>
            </w:r>
          </w:p>
        </w:tc>
        <w:tc>
          <w:tcPr>
            <w:tcW w:w="4506" w:type="dxa"/>
          </w:tcPr>
          <w:p w14:paraId="680E0766">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color w:val="auto"/>
                <w:szCs w:val="21"/>
                <w:highlight w:val="none"/>
              </w:rPr>
              <w:t>1.价格</w:t>
            </w:r>
            <w:r>
              <w:rPr>
                <w:rFonts w:hint="eastAsia"/>
                <w:color w:val="auto"/>
                <w:szCs w:val="21"/>
                <w:highlight w:val="none"/>
                <w:u w:val="single"/>
              </w:rPr>
              <w:t>（30）</w:t>
            </w:r>
            <w:r>
              <w:rPr>
                <w:rFonts w:hint="eastAsia"/>
                <w:color w:val="auto"/>
                <w:szCs w:val="21"/>
                <w:highlight w:val="none"/>
              </w:rPr>
              <w:t>分</w:t>
            </w:r>
          </w:p>
          <w:p w14:paraId="53633923">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color w:val="auto"/>
                <w:szCs w:val="21"/>
                <w:highlight w:val="none"/>
              </w:rPr>
              <w:t>2.施工组织</w:t>
            </w:r>
            <w:r>
              <w:rPr>
                <w:rFonts w:hint="eastAsia"/>
                <w:color w:val="auto"/>
                <w:szCs w:val="21"/>
                <w:highlight w:val="none"/>
                <w:u w:val="single"/>
              </w:rPr>
              <w:t>（6</w:t>
            </w:r>
            <w:r>
              <w:rPr>
                <w:rFonts w:hint="eastAsia"/>
                <w:color w:val="auto"/>
                <w:szCs w:val="21"/>
                <w:highlight w:val="none"/>
                <w:u w:val="single"/>
                <w:lang w:val="en-US" w:eastAsia="zh-CN"/>
              </w:rPr>
              <w:t>5</w:t>
            </w:r>
            <w:r>
              <w:rPr>
                <w:rFonts w:hint="eastAsia"/>
                <w:color w:val="auto"/>
                <w:szCs w:val="21"/>
                <w:highlight w:val="none"/>
                <w:u w:val="single"/>
              </w:rPr>
              <w:t>）</w:t>
            </w:r>
            <w:r>
              <w:rPr>
                <w:rFonts w:hint="eastAsia"/>
                <w:color w:val="auto"/>
                <w:szCs w:val="21"/>
                <w:highlight w:val="none"/>
              </w:rPr>
              <w:t>分</w:t>
            </w:r>
          </w:p>
          <w:p w14:paraId="760FEBA2">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color w:val="auto"/>
                <w:szCs w:val="21"/>
                <w:highlight w:val="none"/>
              </w:rPr>
              <w:t>3.商务资信业绩</w:t>
            </w:r>
            <w:r>
              <w:rPr>
                <w:rFonts w:hint="eastAsia"/>
                <w:color w:val="auto"/>
                <w:szCs w:val="21"/>
                <w:highlight w:val="none"/>
                <w:u w:val="single"/>
              </w:rPr>
              <w:t>（</w:t>
            </w:r>
            <w:r>
              <w:rPr>
                <w:rFonts w:hint="eastAsia"/>
                <w:color w:val="auto"/>
                <w:szCs w:val="21"/>
                <w:highlight w:val="none"/>
                <w:u w:val="single"/>
                <w:lang w:val="en-US" w:eastAsia="zh-CN"/>
              </w:rPr>
              <w:t>5</w:t>
            </w:r>
            <w:r>
              <w:rPr>
                <w:rFonts w:hint="eastAsia"/>
                <w:color w:val="auto"/>
                <w:szCs w:val="21"/>
                <w:highlight w:val="none"/>
                <w:u w:val="single"/>
              </w:rPr>
              <w:t>）</w:t>
            </w:r>
            <w:r>
              <w:rPr>
                <w:rFonts w:hint="eastAsia"/>
                <w:color w:val="auto"/>
                <w:szCs w:val="21"/>
                <w:highlight w:val="none"/>
              </w:rPr>
              <w:t>分</w:t>
            </w:r>
          </w:p>
        </w:tc>
      </w:tr>
      <w:tr w14:paraId="521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961" w:type="dxa"/>
            <w:vAlign w:val="center"/>
          </w:tcPr>
          <w:p w14:paraId="66811108">
            <w:pPr>
              <w:keepNext w:val="0"/>
              <w:keepLines w:val="0"/>
              <w:pageBreakBefore w:val="0"/>
              <w:kinsoku/>
              <w:wordWrap/>
              <w:overflowPunct/>
              <w:topLinePunct w:val="0"/>
              <w:autoSpaceDE/>
              <w:autoSpaceDN/>
              <w:bidi w:val="0"/>
              <w:adjustRightInd/>
              <w:snapToGrid/>
              <w:spacing w:line="360" w:lineRule="auto"/>
              <w:jc w:val="center"/>
              <w:textAlignment w:val="auto"/>
              <w:outlineLvl w:val="9"/>
              <w:rPr>
                <w:b/>
                <w:color w:val="auto"/>
                <w:szCs w:val="21"/>
                <w:highlight w:val="none"/>
              </w:rPr>
            </w:pPr>
            <w:r>
              <w:rPr>
                <w:rFonts w:hint="eastAsia"/>
                <w:color w:val="auto"/>
                <w:szCs w:val="21"/>
                <w:highlight w:val="none"/>
              </w:rPr>
              <w:t>2.2.2（1）</w:t>
            </w:r>
          </w:p>
        </w:tc>
        <w:tc>
          <w:tcPr>
            <w:tcW w:w="851" w:type="dxa"/>
            <w:vAlign w:val="center"/>
          </w:tcPr>
          <w:p w14:paraId="1CE23282">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color w:val="auto"/>
                <w:szCs w:val="21"/>
                <w:highlight w:val="none"/>
              </w:rPr>
              <w:t>价格（满分30）</w:t>
            </w:r>
          </w:p>
        </w:tc>
        <w:tc>
          <w:tcPr>
            <w:tcW w:w="4111" w:type="dxa"/>
            <w:gridSpan w:val="3"/>
            <w:vAlign w:val="center"/>
          </w:tcPr>
          <w:p w14:paraId="395415AB">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bCs/>
                <w:color w:val="auto"/>
                <w:highlight w:val="none"/>
              </w:rPr>
            </w:pPr>
          </w:p>
          <w:p w14:paraId="122CED4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bCs/>
                <w:color w:val="auto"/>
                <w:highlight w:val="none"/>
              </w:rPr>
            </w:pPr>
            <w:r>
              <w:rPr>
                <w:rFonts w:hint="eastAsia" w:ascii="Times New Roman" w:hAnsi="Times New Roman" w:eastAsia="宋体" w:cs="Times New Roman"/>
                <w:bCs/>
                <w:color w:val="auto"/>
                <w:highlight w:val="none"/>
                <w:lang w:eastAsia="zh-CN"/>
              </w:rPr>
              <w:t>本项目</w:t>
            </w:r>
            <w:r>
              <w:rPr>
                <w:rFonts w:hint="eastAsia" w:ascii="Times New Roman" w:hAnsi="Times New Roman" w:eastAsia="宋体" w:cs="Times New Roman"/>
                <w:bCs/>
                <w:color w:val="auto"/>
                <w:highlight w:val="none"/>
              </w:rPr>
              <w:t>专门面向中小企业采购的项目或者采购包，不再执行价格评审优惠的扶持政策。</w:t>
            </w:r>
          </w:p>
          <w:p w14:paraId="5638C4D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color w:val="auto"/>
                <w:szCs w:val="21"/>
                <w:highlight w:val="none"/>
              </w:rPr>
            </w:pPr>
            <w:r>
              <w:rPr>
                <w:rFonts w:hint="eastAsia"/>
                <w:bCs/>
                <w:color w:val="auto"/>
                <w:highlight w:val="none"/>
              </w:rPr>
              <w:t>采用低价优先法计算，即满足磋商文件要求且最后报价最低的供应商的价格为磋商基准价，其价格分30分为满分。</w:t>
            </w:r>
          </w:p>
        </w:tc>
        <w:tc>
          <w:tcPr>
            <w:tcW w:w="4506" w:type="dxa"/>
            <w:vAlign w:val="center"/>
          </w:tcPr>
          <w:p w14:paraId="0D7AA1B1">
            <w:pPr>
              <w:keepNext w:val="0"/>
              <w:keepLines w:val="0"/>
              <w:pageBreakBefore w:val="0"/>
              <w:kinsoku/>
              <w:wordWrap/>
              <w:overflowPunct/>
              <w:topLinePunct w:val="0"/>
              <w:autoSpaceDE/>
              <w:autoSpaceDN/>
              <w:bidi w:val="0"/>
              <w:adjustRightInd/>
              <w:snapToGrid/>
              <w:spacing w:line="360" w:lineRule="auto"/>
              <w:ind w:left="1155"/>
              <w:textAlignment w:val="auto"/>
              <w:outlineLvl w:val="9"/>
              <w:rPr>
                <w:color w:val="auto"/>
                <w:szCs w:val="21"/>
                <w:highlight w:val="none"/>
              </w:rPr>
            </w:pPr>
            <w:r>
              <w:rPr>
                <w:rFonts w:hint="eastAsia" w:ascii="宋体" w:cs="Courier New"/>
                <w:bCs/>
                <w:color w:val="auto"/>
                <w:szCs w:val="21"/>
                <w:highlight w:val="none"/>
              </w:rPr>
              <w:t xml:space="preserve">        </w:t>
            </w:r>
            <w:r>
              <w:rPr>
                <w:rFonts w:hint="eastAsia"/>
                <w:color w:val="auto"/>
                <w:szCs w:val="21"/>
                <w:highlight w:val="none"/>
              </w:rPr>
              <w:t>磋商基准价</w:t>
            </w:r>
          </w:p>
          <w:p w14:paraId="440E422E">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s="Courier New"/>
                <w:bCs/>
                <w:color w:val="auto"/>
                <w:szCs w:val="21"/>
                <w:highlight w:val="none"/>
              </w:rPr>
            </w:pPr>
            <w:r>
              <w:rPr>
                <w:rFonts w:hint="eastAsia" w:ascii="宋体" w:cs="Courier New"/>
                <w:bCs/>
                <w:color w:val="auto"/>
                <w:szCs w:val="21"/>
                <w:highlight w:val="none"/>
              </w:rPr>
              <w:t>某供应商价格分=-------------------×30分</w:t>
            </w:r>
          </w:p>
          <w:p w14:paraId="5D37D61A">
            <w:pPr>
              <w:keepNext w:val="0"/>
              <w:keepLines w:val="0"/>
              <w:pageBreakBefore w:val="0"/>
              <w:kinsoku/>
              <w:wordWrap/>
              <w:overflowPunct/>
              <w:topLinePunct w:val="0"/>
              <w:autoSpaceDE/>
              <w:autoSpaceDN/>
              <w:bidi w:val="0"/>
              <w:adjustRightInd/>
              <w:snapToGrid/>
              <w:spacing w:line="360" w:lineRule="auto"/>
              <w:ind w:firstLine="1890" w:firstLineChars="900"/>
              <w:textAlignment w:val="auto"/>
              <w:outlineLvl w:val="9"/>
              <w:rPr>
                <w:color w:val="auto"/>
                <w:sz w:val="24"/>
                <w:highlight w:val="none"/>
              </w:rPr>
            </w:pPr>
            <w:r>
              <w:rPr>
                <w:rFonts w:hint="eastAsia"/>
                <w:color w:val="auto"/>
                <w:szCs w:val="21"/>
                <w:highlight w:val="none"/>
              </w:rPr>
              <w:t>最后磋商报价</w:t>
            </w:r>
          </w:p>
        </w:tc>
      </w:tr>
      <w:tr w14:paraId="43A6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961" w:type="dxa"/>
            <w:vMerge w:val="restart"/>
            <w:vAlign w:val="center"/>
          </w:tcPr>
          <w:p w14:paraId="145A622A">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color w:val="auto"/>
                <w:szCs w:val="21"/>
                <w:highlight w:val="none"/>
              </w:rPr>
              <w:t>2.2.2（2）</w:t>
            </w:r>
          </w:p>
          <w:p w14:paraId="0197AFDC">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p>
          <w:p w14:paraId="2B60B2DF">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p>
          <w:p w14:paraId="253CA77E">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p>
        </w:tc>
        <w:tc>
          <w:tcPr>
            <w:tcW w:w="851" w:type="dxa"/>
            <w:vMerge w:val="restart"/>
            <w:vAlign w:val="center"/>
          </w:tcPr>
          <w:p w14:paraId="678C6E5A">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01D8781A">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5A6BE3CB">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2DCC3A2E">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4321C0E4">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6D11CBB7">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21348B79">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ascii="宋体"/>
                <w:color w:val="auto"/>
                <w:szCs w:val="21"/>
                <w:highlight w:val="none"/>
                <w:lang w:eastAsia="zh-CN"/>
              </w:rPr>
              <w:t>项目管理机构和</w:t>
            </w:r>
            <w:r>
              <w:rPr>
                <w:rFonts w:hint="eastAsia" w:ascii="宋体"/>
                <w:color w:val="auto"/>
                <w:szCs w:val="21"/>
                <w:highlight w:val="none"/>
              </w:rPr>
              <w:t>施工组织</w:t>
            </w:r>
            <w:r>
              <w:rPr>
                <w:rFonts w:hint="eastAsia" w:ascii="宋体"/>
                <w:color w:val="auto"/>
                <w:szCs w:val="21"/>
                <w:highlight w:val="none"/>
                <w:lang w:eastAsia="zh-CN"/>
              </w:rPr>
              <w:t>设计</w:t>
            </w:r>
            <w:r>
              <w:rPr>
                <w:rFonts w:hint="eastAsia" w:ascii="宋体"/>
                <w:color w:val="auto"/>
                <w:szCs w:val="21"/>
                <w:highlight w:val="none"/>
              </w:rPr>
              <w:t>评分标准</w:t>
            </w:r>
            <w:r>
              <w:rPr>
                <w:rFonts w:hint="eastAsia"/>
                <w:color w:val="auto"/>
                <w:szCs w:val="21"/>
                <w:highlight w:val="none"/>
              </w:rPr>
              <w:t>（满分6</w:t>
            </w:r>
            <w:r>
              <w:rPr>
                <w:rFonts w:hint="eastAsia"/>
                <w:color w:val="auto"/>
                <w:szCs w:val="21"/>
                <w:highlight w:val="none"/>
                <w:lang w:val="en-US" w:eastAsia="zh-CN"/>
              </w:rPr>
              <w:t>5</w:t>
            </w:r>
            <w:r>
              <w:rPr>
                <w:rFonts w:hint="eastAsia"/>
                <w:color w:val="auto"/>
                <w:szCs w:val="21"/>
                <w:highlight w:val="none"/>
              </w:rPr>
              <w:t>分）</w:t>
            </w:r>
          </w:p>
          <w:p w14:paraId="73BEE42F">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p w14:paraId="6DCC2D0B">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p w14:paraId="6D1E920C">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p w14:paraId="1EFD3186">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p w14:paraId="5E896E87">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p w14:paraId="39B273DC">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p w14:paraId="5619F60A">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p w14:paraId="15641426">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3A1BD8B9">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54D47E55">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tc>
        <w:tc>
          <w:tcPr>
            <w:tcW w:w="2212" w:type="dxa"/>
            <w:gridSpan w:val="2"/>
            <w:vAlign w:val="center"/>
          </w:tcPr>
          <w:p w14:paraId="5BA20CC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olor w:val="auto"/>
                <w:kern w:val="0"/>
                <w:szCs w:val="21"/>
                <w:highlight w:val="none"/>
              </w:rPr>
            </w:pPr>
            <w:r>
              <w:rPr>
                <w:rFonts w:hint="eastAsia"/>
                <w:color w:val="auto"/>
                <w:kern w:val="0"/>
                <w:szCs w:val="21"/>
                <w:highlight w:val="none"/>
              </w:rPr>
              <w:t>项目经理任职资格与业绩、工作经历等</w:t>
            </w:r>
          </w:p>
          <w:p w14:paraId="1FFE36A3">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分）</w:t>
            </w:r>
          </w:p>
        </w:tc>
        <w:tc>
          <w:tcPr>
            <w:tcW w:w="6405" w:type="dxa"/>
            <w:gridSpan w:val="2"/>
            <w:vAlign w:val="center"/>
          </w:tcPr>
          <w:p w14:paraId="165E9E78">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default" w:hAnsi="宋体"/>
                <w:bCs/>
                <w:color w:val="auto"/>
                <w:sz w:val="21"/>
                <w:szCs w:val="21"/>
                <w:highlight w:val="none"/>
                <w:lang w:val="en-US" w:eastAsia="zh-CN"/>
              </w:rPr>
            </w:pPr>
            <w:r>
              <w:rPr>
                <w:rFonts w:hint="eastAsia" w:hAnsi="宋体"/>
                <w:bCs/>
                <w:color w:val="auto"/>
                <w:sz w:val="21"/>
                <w:szCs w:val="21"/>
                <w:highlight w:val="none"/>
                <w:lang w:val="en-US" w:eastAsia="zh-CN"/>
              </w:rPr>
              <w:t>项目经理具</w:t>
            </w:r>
            <w:r>
              <w:rPr>
                <w:rFonts w:hint="eastAsia" w:ascii="宋体" w:hAnsi="宋体" w:eastAsia="宋体" w:cs="Times New Roman"/>
                <w:bCs/>
                <w:color w:val="auto"/>
                <w:sz w:val="21"/>
                <w:szCs w:val="21"/>
                <w:highlight w:val="none"/>
                <w:lang w:val="en-US" w:eastAsia="zh-CN"/>
              </w:rPr>
              <w:t>备市政公用工程专业二级及以</w:t>
            </w:r>
            <w:r>
              <w:rPr>
                <w:rFonts w:hint="eastAsia" w:hAnsi="宋体"/>
                <w:bCs/>
                <w:color w:val="auto"/>
                <w:sz w:val="21"/>
                <w:szCs w:val="21"/>
                <w:highlight w:val="none"/>
                <w:lang w:val="en-US" w:eastAsia="zh-CN"/>
              </w:rPr>
              <w:t>上（含二级）注册建造师执业资格和有效的安全生产考核合格证书（B类）的得3分；具有</w:t>
            </w:r>
            <w:r>
              <w:rPr>
                <w:rFonts w:hint="eastAsia" w:hAnsi="宋体" w:cs="宋体"/>
                <w:color w:val="auto"/>
                <w:sz w:val="21"/>
                <w:szCs w:val="21"/>
                <w:lang w:val="en-US" w:eastAsia="zh-CN"/>
              </w:rPr>
              <w:t>中</w:t>
            </w:r>
            <w:r>
              <w:rPr>
                <w:rFonts w:hint="eastAsia" w:ascii="宋体" w:hAnsi="宋体" w:eastAsia="宋体" w:cs="宋体"/>
                <w:color w:val="auto"/>
                <w:sz w:val="21"/>
                <w:szCs w:val="21"/>
              </w:rPr>
              <w:t>级</w:t>
            </w:r>
            <w:r>
              <w:rPr>
                <w:rFonts w:hint="eastAsia" w:hAnsi="宋体" w:cs="宋体"/>
                <w:color w:val="auto"/>
                <w:sz w:val="21"/>
                <w:szCs w:val="21"/>
                <w:lang w:eastAsia="zh-CN"/>
              </w:rPr>
              <w:t>及以上</w:t>
            </w:r>
            <w:r>
              <w:rPr>
                <w:rFonts w:hint="eastAsia" w:ascii="宋体" w:hAnsi="宋体" w:eastAsia="宋体" w:cs="宋体"/>
                <w:color w:val="auto"/>
                <w:sz w:val="21"/>
                <w:szCs w:val="21"/>
              </w:rPr>
              <w:t>工程师职称</w:t>
            </w:r>
            <w:r>
              <w:rPr>
                <w:rFonts w:hint="eastAsia" w:hAnsi="宋体"/>
                <w:bCs/>
                <w:color w:val="auto"/>
                <w:sz w:val="21"/>
                <w:szCs w:val="21"/>
                <w:highlight w:val="none"/>
                <w:lang w:val="en-US" w:eastAsia="zh-CN"/>
              </w:rPr>
              <w:t>得2分；此项满分5分。</w:t>
            </w:r>
          </w:p>
        </w:tc>
      </w:tr>
      <w:tr w14:paraId="267D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61" w:type="dxa"/>
            <w:vMerge w:val="continue"/>
            <w:vAlign w:val="center"/>
          </w:tcPr>
          <w:p w14:paraId="48DE1167">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p>
        </w:tc>
        <w:tc>
          <w:tcPr>
            <w:tcW w:w="851" w:type="dxa"/>
            <w:vMerge w:val="continue"/>
            <w:vAlign w:val="center"/>
          </w:tcPr>
          <w:p w14:paraId="3897C976">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tc>
        <w:tc>
          <w:tcPr>
            <w:tcW w:w="2212" w:type="dxa"/>
            <w:gridSpan w:val="2"/>
            <w:vAlign w:val="center"/>
          </w:tcPr>
          <w:p w14:paraId="2618B07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olor w:val="auto"/>
                <w:highlight w:val="none"/>
              </w:rPr>
            </w:pPr>
            <w:r>
              <w:rPr>
                <w:rFonts w:hint="eastAsia"/>
                <w:color w:val="auto"/>
                <w:highlight w:val="none"/>
              </w:rPr>
              <w:t>其他主要人员</w:t>
            </w:r>
          </w:p>
          <w:p w14:paraId="35D322C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分）</w:t>
            </w:r>
          </w:p>
        </w:tc>
        <w:tc>
          <w:tcPr>
            <w:tcW w:w="6405" w:type="dxa"/>
            <w:gridSpan w:val="2"/>
            <w:vAlign w:val="center"/>
          </w:tcPr>
          <w:p w14:paraId="17A547A6">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基本要求：拟投入本工程管理人员全部持证上岗且年检合格在有效期内，其中施工员、质量员、材料员应具有有效的相应施工现场专业人员职业培训合格证书，专职安全生产管理人员需有有效建筑施工企业三类人员C证，且拟投入的项目管理人员符合国家及广西壮族自治区的规定。包括：项目技术负责人、施工员、质量员、材料员、安全员； 拟投入本工程管理的其他人员满足工程需求情况。</w:t>
            </w:r>
          </w:p>
          <w:p w14:paraId="71DB6F5A">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szCs w:val="21"/>
                <w:highlight w:val="none"/>
                <w:lang w:val="en-US" w:eastAsia="zh-CN"/>
              </w:rPr>
            </w:pPr>
            <w:r>
              <w:rPr>
                <w:rFonts w:hint="eastAsia" w:hAnsi="宋体"/>
                <w:bCs/>
                <w:color w:val="auto"/>
                <w:sz w:val="21"/>
                <w:highlight w:val="none"/>
                <w:lang w:val="en-US" w:eastAsia="zh-CN"/>
              </w:rPr>
              <w:t>评分内容：</w:t>
            </w:r>
          </w:p>
          <w:p w14:paraId="2F3A1658">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优（5分）：拟投入本工程主要管理人员完全满足施工需要，管理人员配备齐全并且有一定的储备人员，且有经验及综合素质优秀；</w:t>
            </w:r>
          </w:p>
          <w:p w14:paraId="11B1568A">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良（3分）：投入本工程主要管理人员能较好满足施工需要，管理人员配备齐全及综合素质良好；</w:t>
            </w:r>
          </w:p>
          <w:p w14:paraId="236A17F8">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中（2分）投入本工程主要管理人员基本满足施工需要，管理人员配备齐全；</w:t>
            </w:r>
          </w:p>
          <w:p w14:paraId="62DF0291">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差（1分）：投入本工程主要管理人员不满足施工需要，管理人员配备不齐全。</w:t>
            </w:r>
          </w:p>
          <w:p w14:paraId="4BA3F60F">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color w:val="auto"/>
                <w:kern w:val="0"/>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4ABA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61" w:type="dxa"/>
            <w:vMerge w:val="continue"/>
            <w:vAlign w:val="center"/>
          </w:tcPr>
          <w:p w14:paraId="4B8062F0">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p>
        </w:tc>
        <w:tc>
          <w:tcPr>
            <w:tcW w:w="851" w:type="dxa"/>
            <w:vMerge w:val="continue"/>
            <w:vAlign w:val="center"/>
          </w:tcPr>
          <w:p w14:paraId="453F7EB9">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tc>
        <w:tc>
          <w:tcPr>
            <w:tcW w:w="2212" w:type="dxa"/>
            <w:gridSpan w:val="2"/>
            <w:vAlign w:val="center"/>
          </w:tcPr>
          <w:p w14:paraId="1BF7609A">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color w:val="auto"/>
                <w:kern w:val="0"/>
                <w:szCs w:val="21"/>
                <w:highlight w:val="none"/>
              </w:rPr>
              <w:t>主要施工方法</w:t>
            </w:r>
          </w:p>
          <w:p w14:paraId="0AA05CB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rPr>
              <w:t>（10分）</w:t>
            </w:r>
          </w:p>
        </w:tc>
        <w:tc>
          <w:tcPr>
            <w:tcW w:w="6405" w:type="dxa"/>
            <w:gridSpan w:val="2"/>
            <w:vAlign w:val="center"/>
          </w:tcPr>
          <w:p w14:paraId="036EEDCD">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Ansi="宋体"/>
                <w:bCs/>
                <w:color w:val="auto"/>
                <w:sz w:val="21"/>
                <w:highlight w:val="none"/>
                <w:lang w:val="en-US" w:eastAsia="zh-CN"/>
              </w:rPr>
            </w:pPr>
            <w:r>
              <w:rPr>
                <w:rFonts w:hint="eastAsia" w:hAnsi="宋体"/>
                <w:bCs/>
                <w:color w:val="auto"/>
                <w:sz w:val="21"/>
                <w:highlight w:val="none"/>
                <w:lang w:val="en-US" w:eastAsia="zh-CN"/>
              </w:rPr>
              <w:t>各主要分部施工方法符合项目实际，须有详尽的施工技术方案，工艺先进、方法科学合理、可行，能指导具体施工并确保安全。</w:t>
            </w:r>
          </w:p>
          <w:p w14:paraId="19DBAE77">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485BA37E">
            <w:pPr>
              <w:pStyle w:val="42"/>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auto"/>
                <w:sz w:val="21"/>
                <w:highlight w:val="none"/>
                <w:lang w:val="en-US" w:eastAsia="zh-CN"/>
              </w:rPr>
            </w:pPr>
            <w:r>
              <w:rPr>
                <w:rFonts w:hint="eastAsia" w:hAnsi="宋体"/>
                <w:bCs/>
                <w:color w:val="auto"/>
                <w:sz w:val="21"/>
                <w:highlight w:val="none"/>
                <w:lang w:val="en-US" w:eastAsia="zh-CN"/>
              </w:rPr>
              <w:t>优（10 分）：各主要分部施工方法符合项目实际，须有详尽的施工技术方案，</w:t>
            </w:r>
            <w:r>
              <w:rPr>
                <w:rFonts w:hint="eastAsia" w:ascii="宋体" w:hAnsi="宋体" w:eastAsia="宋体" w:cs="宋体"/>
                <w:bCs/>
                <w:color w:val="auto"/>
                <w:sz w:val="21"/>
                <w:highlight w:val="none"/>
                <w:lang w:val="en-US" w:eastAsia="zh-CN"/>
              </w:rPr>
              <w:t xml:space="preserve">工艺先进、方法科学合理、可行，完全能指导具体施工并确保安全，方案完整性、针对性强、合理性高； </w:t>
            </w:r>
          </w:p>
          <w:p w14:paraId="3D2433BF">
            <w:pPr>
              <w:pStyle w:val="42"/>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 xml:space="preserve">良（8分）：各主要分部施工方法符合项目实际，须有施工技术方案，工艺、方法可行，能指导具体施工并确保安全，方案较完整，有一定的针对性和合理性； </w:t>
            </w:r>
          </w:p>
          <w:p w14:paraId="72C1F2B2">
            <w:pPr>
              <w:pStyle w:val="42"/>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中（5分）：各主要分部施工方法符合项目实际，有简单的施工技术方案，基本能指导具体施工并确保安全，方案针对性一般；</w:t>
            </w:r>
          </w:p>
          <w:p w14:paraId="17C802D1">
            <w:pPr>
              <w:pStyle w:val="42"/>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差（3 分）：提供施工技术方案或施工方案内容不完整、有缺失。</w:t>
            </w:r>
          </w:p>
          <w:p w14:paraId="16730EA6">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 w:val="21"/>
                <w:szCs w:val="21"/>
                <w:highlight w:val="none"/>
              </w:rPr>
              <w:t>注：未提供该方案的得0分</w:t>
            </w:r>
            <w:r>
              <w:rPr>
                <w:rFonts w:hint="eastAsia" w:ascii="宋体" w:hAnsi="宋体" w:eastAsia="宋体" w:cs="宋体"/>
                <w:color w:val="auto"/>
                <w:sz w:val="21"/>
                <w:szCs w:val="21"/>
                <w:highlight w:val="none"/>
                <w:lang w:eastAsia="zh-CN"/>
              </w:rPr>
              <w:t>。</w:t>
            </w:r>
          </w:p>
        </w:tc>
      </w:tr>
      <w:tr w14:paraId="2382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961" w:type="dxa"/>
            <w:vMerge w:val="continue"/>
            <w:vAlign w:val="center"/>
          </w:tcPr>
          <w:p w14:paraId="732C694E">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Merge w:val="continue"/>
            <w:vAlign w:val="center"/>
          </w:tcPr>
          <w:p w14:paraId="5121509A">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0EC8DB5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kern w:val="0"/>
                <w:szCs w:val="21"/>
                <w:highlight w:val="none"/>
              </w:rPr>
              <w:t>拟投入的主要物资计划</w:t>
            </w:r>
            <w:r>
              <w:rPr>
                <w:rFonts w:hint="eastAsia"/>
                <w:color w:val="auto"/>
                <w:highlight w:val="none"/>
              </w:rPr>
              <w:t>（</w:t>
            </w:r>
            <w:r>
              <w:rPr>
                <w:rFonts w:hint="eastAsia"/>
                <w:color w:val="auto"/>
                <w:highlight w:val="none"/>
                <w:lang w:val="en-US" w:eastAsia="zh-CN"/>
              </w:rPr>
              <w:t>10</w:t>
            </w:r>
            <w:r>
              <w:rPr>
                <w:rFonts w:hint="eastAsia"/>
                <w:color w:val="auto"/>
                <w:highlight w:val="none"/>
              </w:rPr>
              <w:t>分）</w:t>
            </w:r>
          </w:p>
        </w:tc>
        <w:tc>
          <w:tcPr>
            <w:tcW w:w="6405" w:type="dxa"/>
            <w:gridSpan w:val="2"/>
            <w:vAlign w:val="center"/>
          </w:tcPr>
          <w:p w14:paraId="7CE32D43">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Ansi="宋体"/>
                <w:bCs/>
                <w:color w:val="auto"/>
                <w:sz w:val="21"/>
                <w:highlight w:val="none"/>
                <w:lang w:val="en-US" w:eastAsia="zh-CN"/>
              </w:rPr>
            </w:pPr>
            <w:r>
              <w:rPr>
                <w:rFonts w:hint="eastAsia" w:hAnsi="宋体"/>
                <w:bCs/>
                <w:color w:val="auto"/>
                <w:sz w:val="21"/>
                <w:highlight w:val="none"/>
                <w:lang w:val="en-US" w:eastAsia="zh-CN"/>
              </w:rPr>
              <w:t>投入的施工材料有详细的组织计划且计划周密，数量、选型配置、进场时间安排合理，满足施工需要。</w:t>
            </w:r>
          </w:p>
          <w:p w14:paraId="2CDD4049">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4C30B452">
            <w:pPr>
              <w:pStyle w:val="749"/>
              <w:keepNext w:val="0"/>
              <w:keepLines w:val="0"/>
              <w:pageBreakBefore w:val="0"/>
              <w:widowControl w:val="0"/>
              <w:kinsoku/>
              <w:wordWrap/>
              <w:overflowPunct/>
              <w:topLinePunct w:val="0"/>
              <w:autoSpaceDE/>
              <w:autoSpaceDN/>
              <w:bidi w:val="0"/>
              <w:adjustRightInd/>
              <w:snapToGrid/>
              <w:spacing w:before="100" w:line="360" w:lineRule="auto"/>
              <w:ind w:left="0" w:leftChars="0" w:firstLine="0" w:firstLineChars="0"/>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优（</w:t>
            </w:r>
            <w:r>
              <w:rPr>
                <w:rFonts w:hint="eastAsia"/>
                <w:color w:val="auto"/>
                <w:sz w:val="21"/>
                <w:szCs w:val="21"/>
                <w:highlight w:val="none"/>
                <w:lang w:val="en-US" w:eastAsia="zh-CN"/>
              </w:rPr>
              <w:t>10</w:t>
            </w:r>
            <w:r>
              <w:rPr>
                <w:rFonts w:hint="eastAsia"/>
                <w:color w:val="auto"/>
                <w:sz w:val="21"/>
                <w:szCs w:val="21"/>
                <w:highlight w:val="none"/>
                <w:lang w:eastAsia="zh-CN"/>
              </w:rPr>
              <w:t>分）</w:t>
            </w:r>
            <w:r>
              <w:rPr>
                <w:color w:val="auto"/>
                <w:sz w:val="21"/>
                <w:szCs w:val="21"/>
                <w:highlight w:val="none"/>
              </w:rPr>
              <w:t>：投入的施工材料有详细的组织计划且计划周密，投入计划与进度计划</w:t>
            </w:r>
            <w:r>
              <w:rPr>
                <w:rFonts w:hint="eastAsia"/>
                <w:color w:val="auto"/>
                <w:sz w:val="21"/>
                <w:szCs w:val="21"/>
                <w:highlight w:val="none"/>
                <w:lang w:eastAsia="zh-CN"/>
              </w:rPr>
              <w:t>完全</w:t>
            </w:r>
            <w:r>
              <w:rPr>
                <w:color w:val="auto"/>
                <w:sz w:val="21"/>
                <w:szCs w:val="21"/>
                <w:highlight w:val="none"/>
              </w:rPr>
              <w:t>呼应，</w:t>
            </w:r>
            <w:r>
              <w:rPr>
                <w:rFonts w:hint="eastAsia"/>
                <w:color w:val="auto"/>
                <w:sz w:val="21"/>
                <w:szCs w:val="21"/>
                <w:highlight w:val="none"/>
                <w:lang w:eastAsia="zh-CN"/>
              </w:rPr>
              <w:t>完全</w:t>
            </w:r>
            <w:r>
              <w:rPr>
                <w:color w:val="auto"/>
                <w:sz w:val="21"/>
                <w:szCs w:val="21"/>
                <w:highlight w:val="none"/>
              </w:rPr>
              <w:t>满足施工需要，调配投入计划合理、准确</w:t>
            </w:r>
            <w:r>
              <w:rPr>
                <w:rFonts w:hint="eastAsia"/>
                <w:color w:val="auto"/>
                <w:sz w:val="21"/>
                <w:szCs w:val="21"/>
                <w:highlight w:val="none"/>
                <w:lang w:eastAsia="zh-CN"/>
              </w:rPr>
              <w:t>、完整；</w:t>
            </w:r>
          </w:p>
          <w:p w14:paraId="03D42116">
            <w:pPr>
              <w:pStyle w:val="74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8</w:t>
            </w:r>
            <w:r>
              <w:rPr>
                <w:rFonts w:hint="eastAsia"/>
                <w:color w:val="auto"/>
                <w:sz w:val="21"/>
                <w:szCs w:val="21"/>
                <w:highlight w:val="none"/>
                <w:lang w:eastAsia="zh-CN"/>
              </w:rPr>
              <w:t>分）</w:t>
            </w:r>
            <w:r>
              <w:rPr>
                <w:color w:val="auto"/>
                <w:sz w:val="21"/>
                <w:szCs w:val="21"/>
                <w:highlight w:val="none"/>
              </w:rPr>
              <w:t>：投入的施工材料有详细的组织计划，投入计划与进度计划</w:t>
            </w:r>
            <w:r>
              <w:rPr>
                <w:rFonts w:hint="eastAsia"/>
                <w:color w:val="auto"/>
                <w:sz w:val="21"/>
                <w:szCs w:val="21"/>
                <w:highlight w:val="none"/>
                <w:lang w:eastAsia="zh-CN"/>
              </w:rPr>
              <w:t>同步</w:t>
            </w:r>
            <w:r>
              <w:rPr>
                <w:color w:val="auto"/>
                <w:sz w:val="21"/>
                <w:szCs w:val="21"/>
                <w:highlight w:val="none"/>
              </w:rPr>
              <w:t>，</w:t>
            </w:r>
            <w:r>
              <w:rPr>
                <w:rFonts w:hint="eastAsia"/>
                <w:color w:val="auto"/>
                <w:sz w:val="21"/>
                <w:szCs w:val="21"/>
                <w:highlight w:val="none"/>
                <w:lang w:eastAsia="zh-CN"/>
              </w:rPr>
              <w:t>可以</w:t>
            </w:r>
            <w:r>
              <w:rPr>
                <w:color w:val="auto"/>
                <w:sz w:val="21"/>
                <w:szCs w:val="21"/>
                <w:highlight w:val="none"/>
              </w:rPr>
              <w:t>满足施工需要，调配投入计划</w:t>
            </w:r>
            <w:r>
              <w:rPr>
                <w:rFonts w:hint="eastAsia"/>
                <w:color w:val="auto"/>
                <w:sz w:val="21"/>
                <w:szCs w:val="21"/>
                <w:highlight w:val="none"/>
                <w:lang w:eastAsia="zh-CN"/>
              </w:rPr>
              <w:t>较</w:t>
            </w:r>
            <w:r>
              <w:rPr>
                <w:color w:val="auto"/>
                <w:sz w:val="21"/>
                <w:szCs w:val="21"/>
                <w:highlight w:val="none"/>
              </w:rPr>
              <w:t>合理、准确</w:t>
            </w:r>
            <w:r>
              <w:rPr>
                <w:rFonts w:hint="eastAsia"/>
                <w:color w:val="auto"/>
                <w:sz w:val="21"/>
                <w:szCs w:val="21"/>
                <w:highlight w:val="none"/>
                <w:lang w:eastAsia="zh-CN"/>
              </w:rPr>
              <w:t>；</w:t>
            </w:r>
            <w:r>
              <w:rPr>
                <w:color w:val="auto"/>
                <w:sz w:val="21"/>
                <w:szCs w:val="21"/>
                <w:highlight w:val="none"/>
              </w:rPr>
              <w:t xml:space="preserve"> </w:t>
            </w:r>
          </w:p>
          <w:p w14:paraId="04754214">
            <w:pPr>
              <w:pStyle w:val="74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color w:val="auto"/>
                <w:sz w:val="21"/>
                <w:szCs w:val="21"/>
                <w:highlight w:val="none"/>
              </w:rPr>
            </w:pPr>
            <w:r>
              <w:rPr>
                <w:rFonts w:hint="eastAsia"/>
                <w:color w:val="auto"/>
                <w:sz w:val="21"/>
                <w:szCs w:val="21"/>
                <w:highlight w:val="none"/>
                <w:lang w:eastAsia="zh-CN"/>
              </w:rPr>
              <w:t>中（</w:t>
            </w:r>
            <w:r>
              <w:rPr>
                <w:rFonts w:hint="eastAsia"/>
                <w:color w:val="auto"/>
                <w:sz w:val="21"/>
                <w:szCs w:val="21"/>
                <w:highlight w:val="none"/>
                <w:lang w:val="en-US" w:eastAsia="zh-CN"/>
              </w:rPr>
              <w:t>5</w:t>
            </w:r>
            <w:r>
              <w:rPr>
                <w:rFonts w:hint="eastAsia"/>
                <w:color w:val="auto"/>
                <w:sz w:val="21"/>
                <w:szCs w:val="21"/>
                <w:highlight w:val="none"/>
                <w:lang w:eastAsia="zh-CN"/>
              </w:rPr>
              <w:t>分）</w:t>
            </w:r>
            <w:r>
              <w:rPr>
                <w:color w:val="auto"/>
                <w:sz w:val="21"/>
                <w:szCs w:val="21"/>
                <w:highlight w:val="none"/>
              </w:rPr>
              <w:t>：投入的施工材料有</w:t>
            </w:r>
            <w:r>
              <w:rPr>
                <w:rFonts w:hint="eastAsia"/>
                <w:color w:val="auto"/>
                <w:sz w:val="21"/>
                <w:szCs w:val="21"/>
                <w:highlight w:val="none"/>
                <w:lang w:eastAsia="zh-CN"/>
              </w:rPr>
              <w:t>完整</w:t>
            </w:r>
            <w:r>
              <w:rPr>
                <w:color w:val="auto"/>
                <w:sz w:val="21"/>
                <w:szCs w:val="21"/>
                <w:highlight w:val="none"/>
              </w:rPr>
              <w:t>的组织计划，投入计划与进度计划</w:t>
            </w:r>
            <w:r>
              <w:rPr>
                <w:rFonts w:hint="eastAsia"/>
                <w:color w:val="auto"/>
                <w:sz w:val="21"/>
                <w:szCs w:val="21"/>
                <w:highlight w:val="none"/>
                <w:lang w:eastAsia="zh-CN"/>
              </w:rPr>
              <w:t>基本同步</w:t>
            </w:r>
            <w:r>
              <w:rPr>
                <w:color w:val="auto"/>
                <w:spacing w:val="-10"/>
                <w:sz w:val="21"/>
                <w:szCs w:val="21"/>
                <w:highlight w:val="none"/>
              </w:rPr>
              <w:t>，基本满足施工需要，</w:t>
            </w:r>
            <w:r>
              <w:rPr>
                <w:color w:val="auto"/>
                <w:sz w:val="21"/>
                <w:szCs w:val="21"/>
                <w:highlight w:val="none"/>
              </w:rPr>
              <w:t>调配投入计划基本合理</w:t>
            </w:r>
            <w:r>
              <w:rPr>
                <w:rFonts w:hint="eastAsia"/>
                <w:color w:val="auto"/>
                <w:sz w:val="21"/>
                <w:szCs w:val="21"/>
                <w:highlight w:val="none"/>
                <w:lang w:eastAsia="zh-CN"/>
              </w:rPr>
              <w:t>；</w:t>
            </w:r>
            <w:r>
              <w:rPr>
                <w:color w:val="auto"/>
                <w:sz w:val="21"/>
                <w:szCs w:val="21"/>
                <w:highlight w:val="none"/>
              </w:rPr>
              <w:t xml:space="preserve"> </w:t>
            </w:r>
          </w:p>
          <w:p w14:paraId="1EF5D7C1">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差（3 分）：投入的施工材料没有组织计划，不能满足施工需要。</w:t>
            </w:r>
          </w:p>
          <w:p w14:paraId="58C07F64">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4293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1" w:type="dxa"/>
            <w:vMerge w:val="continue"/>
            <w:vAlign w:val="center"/>
          </w:tcPr>
          <w:p w14:paraId="296324F8">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Merge w:val="continue"/>
            <w:vAlign w:val="center"/>
          </w:tcPr>
          <w:p w14:paraId="30B16B6D">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0153EF99">
            <w:pPr>
              <w:pStyle w:val="42"/>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劳动力安排计划</w:t>
            </w:r>
          </w:p>
          <w:p w14:paraId="0BEEBD6C">
            <w:pPr>
              <w:pStyle w:val="42"/>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（5分）</w:t>
            </w:r>
          </w:p>
          <w:p w14:paraId="75AF456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szCs w:val="21"/>
                <w:highlight w:val="none"/>
              </w:rPr>
            </w:pPr>
          </w:p>
        </w:tc>
        <w:tc>
          <w:tcPr>
            <w:tcW w:w="6405" w:type="dxa"/>
            <w:gridSpan w:val="2"/>
            <w:vAlign w:val="center"/>
          </w:tcPr>
          <w:p w14:paraId="0F07E97A">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Ansi="宋体"/>
                <w:bCs/>
                <w:color w:val="auto"/>
                <w:sz w:val="21"/>
                <w:highlight w:val="none"/>
                <w:lang w:val="en-US" w:eastAsia="zh-CN"/>
              </w:rPr>
            </w:pPr>
            <w:r>
              <w:rPr>
                <w:rFonts w:hint="eastAsia" w:hAnsi="宋体"/>
                <w:bCs/>
                <w:color w:val="auto"/>
                <w:sz w:val="21"/>
                <w:highlight w:val="none"/>
                <w:lang w:val="en-US" w:eastAsia="zh-CN"/>
              </w:rPr>
              <w:t>各主要施工工序应有详细周密的劳动力安排计划，有各工种劳动力安排计划，劳动力投入合理，满足施工需要。</w:t>
            </w:r>
          </w:p>
          <w:p w14:paraId="2A7A5E31">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优（5 分）：各主要施工工序应有详细 周密的劳动力安排计划，有详细的各工种劳动力安排计划，劳动力投入充裕且科学合理，较好的满足施工需要；</w:t>
            </w:r>
          </w:p>
          <w:p w14:paraId="771BD232">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良（4分）：各主要施工工序有劳动力安排计划，有各工种劳动力安排计划，劳动力投入合理，满足施工需要；</w:t>
            </w:r>
          </w:p>
          <w:p w14:paraId="1AFD1710">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中（3 分）：各主要施工工序有劳动力安排计划，有各工种劳动力安排计划，劳动力投入基本合理，基本能满足施工需要；</w:t>
            </w:r>
          </w:p>
          <w:p w14:paraId="12DC0F88">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差（1分）：主要施工工序的劳动力安排计划不详细，各工种劳动力安排计划不明确，劳动力投入不合理，不能满足施工需要。</w:t>
            </w:r>
          </w:p>
          <w:p w14:paraId="1EF00FA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1B00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61" w:type="dxa"/>
            <w:vMerge w:val="continue"/>
            <w:vAlign w:val="center"/>
          </w:tcPr>
          <w:p w14:paraId="76970A56">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Merge w:val="continue"/>
            <w:vAlign w:val="center"/>
          </w:tcPr>
          <w:p w14:paraId="57C93D8A">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13C68C6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color w:val="auto"/>
                <w:kern w:val="0"/>
                <w:szCs w:val="21"/>
                <w:highlight w:val="none"/>
              </w:rPr>
              <w:t>确保工程质量的技术组织措施</w:t>
            </w:r>
            <w:r>
              <w:rPr>
                <w:rFonts w:hint="eastAsia"/>
                <w:color w:val="auto"/>
                <w:highlight w:val="none"/>
              </w:rPr>
              <w:t>（5分）</w:t>
            </w:r>
          </w:p>
        </w:tc>
        <w:tc>
          <w:tcPr>
            <w:tcW w:w="6405" w:type="dxa"/>
            <w:gridSpan w:val="2"/>
            <w:vAlign w:val="center"/>
          </w:tcPr>
          <w:p w14:paraId="417F162D">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Ansi="宋体"/>
                <w:bCs/>
                <w:color w:val="auto"/>
                <w:sz w:val="21"/>
                <w:highlight w:val="none"/>
                <w:lang w:val="en-US" w:eastAsia="zh-CN"/>
              </w:rPr>
            </w:pPr>
            <w:r>
              <w:rPr>
                <w:rFonts w:hint="eastAsia" w:hAnsi="宋体"/>
                <w:bCs/>
                <w:color w:val="auto"/>
                <w:sz w:val="21"/>
                <w:highlight w:val="none"/>
                <w:lang w:val="en-US" w:eastAsia="zh-CN"/>
              </w:rPr>
              <w:t>应有专门的质量技术管理班子和制度，且人员配备合理，制度健全。主要工序应有质量技术保证措施和手段，自控体系完整，能有效保证技术质量，达到承诺的质量标准。</w:t>
            </w:r>
          </w:p>
          <w:p w14:paraId="55EBDF1E">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38402644">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优（5分）：质量技术管理班子和制度内容完整，人员配备合理，制度健全，主要工序的质量技术保证措施和手段完善，自控体系完整，完全保证技术质量，达到承诺的质量标准； </w:t>
            </w:r>
          </w:p>
          <w:p w14:paraId="76BC9AF4">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 分）：质量技术管理班子和制度内容较完整，人员配备完整，制度设置较好，主要工序的质量技术保证措施和手段较完善，自控体系较完整，保证技术质量，达到承诺的质量标准； </w:t>
            </w:r>
          </w:p>
          <w:p w14:paraId="10A92F9F">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中（3 分）：质量技术管理班子和制度内容基本完整，人员配备基本满足，制度基本完善，主要工序的质量技术保证措施和手段完善，自控体系基本完整，基本保证技术质量，达到承诺的质量标准；</w:t>
            </w:r>
          </w:p>
          <w:p w14:paraId="610C0F0A">
            <w:pPr>
              <w:pStyle w:val="42"/>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差（1分）：未提供质量技术管理班子和制度、质量技术管理班子、制度内容和人员配备不完整、有缺失、不能保证技术质量，达不到承诺的质量标准。</w:t>
            </w:r>
          </w:p>
          <w:p w14:paraId="2326266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363A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61" w:type="dxa"/>
            <w:vMerge w:val="continue"/>
            <w:vAlign w:val="center"/>
          </w:tcPr>
          <w:p w14:paraId="6C2A26F4">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Merge w:val="continue"/>
            <w:vAlign w:val="center"/>
          </w:tcPr>
          <w:p w14:paraId="14C8EA7E">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593D40E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color w:val="auto"/>
                <w:kern w:val="0"/>
                <w:szCs w:val="21"/>
                <w:highlight w:val="none"/>
              </w:rPr>
              <w:t>确保安全生产的技术组织措施</w:t>
            </w:r>
            <w:r>
              <w:rPr>
                <w:rFonts w:hint="eastAsia"/>
                <w:color w:val="auto"/>
                <w:highlight w:val="none"/>
              </w:rPr>
              <w:t>（5分）</w:t>
            </w:r>
          </w:p>
        </w:tc>
        <w:tc>
          <w:tcPr>
            <w:tcW w:w="6405" w:type="dxa"/>
            <w:gridSpan w:val="2"/>
            <w:vAlign w:val="center"/>
          </w:tcPr>
          <w:p w14:paraId="3C7A21FD">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Ansi="宋体"/>
                <w:bCs/>
                <w:color w:val="auto"/>
                <w:sz w:val="21"/>
                <w:highlight w:val="none"/>
                <w:lang w:val="en-US" w:eastAsia="zh-CN"/>
              </w:rPr>
            </w:pPr>
            <w:r>
              <w:rPr>
                <w:rFonts w:hint="eastAsia" w:hAnsi="宋体"/>
                <w:bCs/>
                <w:color w:val="auto"/>
                <w:sz w:val="21"/>
                <w:highlight w:val="none"/>
                <w:lang w:val="en-US" w:eastAsia="zh-CN"/>
              </w:rPr>
              <w:t>应有专门的安全管理人员和制度，且人员配备合理，制度健全，各道工序安全技术措施针对性强，符合实际且满足有关安全技术标准要求。现场防火、应急救援、社会治安安全措施得力。危险性较大的分部分项工程清单补充完善并明确相应的安全管理措施。</w:t>
            </w:r>
          </w:p>
          <w:p w14:paraId="7914864F">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2573ABFF">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优（5分）：安全管理人员和制度条款设置完善，人员配备合理，制度非常健全，各道工序安全技术措施针对性强，符合实际且满足有关安全技术标准要求。现场防火、应急 救援、社会治安安全措施得力； </w:t>
            </w:r>
          </w:p>
          <w:p w14:paraId="1A47772E">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 分）：安全管理人员和制度条款设置良好， 人员配备合理，制度健全度，各道工序安全技术措施针对性较好，符合实际且满足有关安全技术标准要求。现场防火、应急救援、社会治安安全措施良好；  </w:t>
            </w:r>
          </w:p>
          <w:p w14:paraId="6865351A">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中（3 分）：有安全管理人员和制度条款设置，人员配备一般，各道工序安全技术措施针对性一般，有关安全技术标准要求。有现场防火、应急救援、社会治安安全措施； </w:t>
            </w:r>
          </w:p>
          <w:p w14:paraId="06F2CFA0">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差（1分）：提供安全管理人员和制度、安全管理人员、制度和人员配备不完整、有缺失。</w:t>
            </w:r>
          </w:p>
          <w:p w14:paraId="0981FD10">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78D2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961" w:type="dxa"/>
            <w:vMerge w:val="continue"/>
            <w:vAlign w:val="center"/>
          </w:tcPr>
          <w:p w14:paraId="38B6A8CA">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Merge w:val="continue"/>
            <w:vAlign w:val="center"/>
          </w:tcPr>
          <w:p w14:paraId="28B9A705">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2677A58E">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color w:val="auto"/>
                <w:kern w:val="0"/>
                <w:szCs w:val="21"/>
                <w:highlight w:val="none"/>
              </w:rPr>
              <w:t>确保工期的技术组织措施</w:t>
            </w:r>
            <w:r>
              <w:rPr>
                <w:rFonts w:hint="eastAsia"/>
                <w:color w:val="auto"/>
                <w:highlight w:val="none"/>
              </w:rPr>
              <w:t>（5分）</w:t>
            </w:r>
          </w:p>
        </w:tc>
        <w:tc>
          <w:tcPr>
            <w:tcW w:w="6405" w:type="dxa"/>
            <w:gridSpan w:val="2"/>
            <w:vAlign w:val="center"/>
          </w:tcPr>
          <w:p w14:paraId="4180ECC7">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Ansi="宋体"/>
                <w:bCs/>
                <w:color w:val="auto"/>
                <w:sz w:val="21"/>
                <w:highlight w:val="none"/>
                <w:lang w:val="en-US" w:eastAsia="zh-CN"/>
              </w:rPr>
            </w:pPr>
            <w:r>
              <w:rPr>
                <w:rFonts w:hint="eastAsia" w:hAnsi="宋体"/>
                <w:bCs/>
                <w:color w:val="auto"/>
                <w:sz w:val="21"/>
                <w:highlight w:val="none"/>
                <w:lang w:val="en-US" w:eastAsia="zh-CN"/>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0A90FDCD">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1E1F6909">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优（5分）：施工工艺、施工方法、材料选用、劳动力安排、技术等方面有保证工期的 具体措施且措施得当。有控制工期的施工进 度计划。施工总进度表或施工网络图详实完整，各项计划图表编制完善， 安排科学合理， 符合本项目施工实际要求； </w:t>
            </w:r>
          </w:p>
          <w:p w14:paraId="75DE8A73">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良（4分）：施工工艺、施工方法、材料选用、劳动力安排、技术等方面的保证工期措施良好。控制工期的施工进度计划良好。施工总进度表或施工网络图完整， 各项计划图表编制良好， 符合本项目施工实际要求； </w:t>
            </w:r>
          </w:p>
          <w:p w14:paraId="7C106318">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中（3分）：施工工艺、施工方法、材料选用、劳动力安排、技术等方面有保证工期措施一般。有控制工期的施工进度计划。有施工总进度表或施工网络图，有各项计划图表编制； </w:t>
            </w:r>
          </w:p>
          <w:p w14:paraId="740D424E">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差（1分）：提供确保工期的技术组织措施或提供确保工期的技术组织措施不完整。</w:t>
            </w:r>
          </w:p>
          <w:p w14:paraId="6CAA452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4691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961" w:type="dxa"/>
            <w:vMerge w:val="continue"/>
            <w:vAlign w:val="center"/>
          </w:tcPr>
          <w:p w14:paraId="34D512DC">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Merge w:val="continue"/>
            <w:vAlign w:val="center"/>
          </w:tcPr>
          <w:p w14:paraId="04F8B20C">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282726F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color w:val="auto"/>
                <w:kern w:val="0"/>
                <w:szCs w:val="21"/>
                <w:highlight w:val="none"/>
              </w:rPr>
              <w:t>确保文明施工的技术组织措施</w:t>
            </w:r>
            <w:r>
              <w:rPr>
                <w:rFonts w:hint="eastAsia"/>
                <w:color w:val="auto"/>
                <w:highlight w:val="none"/>
              </w:rPr>
              <w:t>（5分）</w:t>
            </w:r>
          </w:p>
        </w:tc>
        <w:tc>
          <w:tcPr>
            <w:tcW w:w="6405" w:type="dxa"/>
            <w:gridSpan w:val="2"/>
            <w:vAlign w:val="center"/>
          </w:tcPr>
          <w:p w14:paraId="5187EB35">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5F4AE73B">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优（5分）：针对本工程项目特点，有全面、详细现场文明施工、环境保护措施，且措施内容达到《建筑施工安全生产检查标准》（JGJ59-2011）合格标准并符合《广西壮族自治区建筑工程文明施工导则》要求，各项措施周全、具体、有效，有具体实现现场文明施工目标的承诺；</w:t>
            </w:r>
          </w:p>
          <w:p w14:paraId="54B0F655">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良（4分）：针对本工程项目特点，有详细的现场文明施工、环境保护措施，且措施内容达到《建筑施工安全生产检查标准》（JGJ59-2011）合格标准并符合《广西壮族自治区建筑工程文明施工导则》要求，各项措施有效，有具体实现现场文明施工目标的承诺；</w:t>
            </w:r>
          </w:p>
          <w:p w14:paraId="0B678A30">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中（3分）：有简单的现场文明施工、环境保护措施，措施内容基本达到《建筑施工安全生产检查标准》（JGJ59-2011）合格标准并符合《广西壮族自治区建筑工程文明施工导则》要求；</w:t>
            </w:r>
          </w:p>
          <w:p w14:paraId="162024A6">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差（1分）：措施不完整，不合理，不能满足施工要求。</w:t>
            </w:r>
          </w:p>
          <w:p w14:paraId="15AACDBE">
            <w:pPr>
              <w:pStyle w:val="2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color w:val="auto"/>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6C3C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61" w:type="dxa"/>
            <w:vMerge w:val="continue"/>
            <w:vAlign w:val="center"/>
          </w:tcPr>
          <w:p w14:paraId="3D411ED9">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Merge w:val="continue"/>
            <w:vAlign w:val="center"/>
          </w:tcPr>
          <w:p w14:paraId="1CE9D289">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6257827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color w:val="auto"/>
                <w:kern w:val="0"/>
                <w:szCs w:val="21"/>
                <w:highlight w:val="none"/>
              </w:rPr>
              <w:t>工程施工的重点和难点及保证措施</w:t>
            </w:r>
            <w:r>
              <w:rPr>
                <w:rFonts w:hint="eastAsia"/>
                <w:color w:val="auto"/>
                <w:highlight w:val="none"/>
              </w:rPr>
              <w:t>（5分）</w:t>
            </w:r>
          </w:p>
        </w:tc>
        <w:tc>
          <w:tcPr>
            <w:tcW w:w="6405" w:type="dxa"/>
            <w:gridSpan w:val="2"/>
            <w:vAlign w:val="center"/>
          </w:tcPr>
          <w:p w14:paraId="2DDE00F8">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Ansi="宋体"/>
                <w:bCs/>
                <w:color w:val="auto"/>
                <w:sz w:val="21"/>
                <w:highlight w:val="none"/>
                <w:lang w:val="en-US" w:eastAsia="zh-CN"/>
              </w:rPr>
            </w:pPr>
            <w:r>
              <w:rPr>
                <w:rFonts w:hint="eastAsia" w:hAnsi="宋体"/>
                <w:bCs/>
                <w:color w:val="auto"/>
                <w:sz w:val="21"/>
                <w:highlight w:val="none"/>
                <w:lang w:val="en-US" w:eastAsia="zh-CN"/>
              </w:rPr>
              <w:t>针对本工程的特点，阐述本工程的重点和难点，解决重点和难点问题的方法是否合理。</w:t>
            </w:r>
          </w:p>
          <w:p w14:paraId="64339FB6">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25C4B010">
            <w:pPr>
              <w:pStyle w:val="749"/>
              <w:keepNext w:val="0"/>
              <w:keepLines w:val="0"/>
              <w:pageBreakBefore w:val="0"/>
              <w:widowControl w:val="0"/>
              <w:kinsoku/>
              <w:wordWrap/>
              <w:overflowPunct/>
              <w:topLinePunct w:val="0"/>
              <w:autoSpaceDE/>
              <w:autoSpaceDN/>
              <w:bidi w:val="0"/>
              <w:adjustRightInd/>
              <w:snapToGrid/>
              <w:spacing w:before="101" w:line="360" w:lineRule="auto"/>
              <w:ind w:left="0" w:leftChars="0" w:right="101" w:firstLine="0" w:firstLineChars="0"/>
              <w:textAlignment w:val="auto"/>
              <w:outlineLvl w:val="9"/>
              <w:rPr>
                <w:rFonts w:hint="eastAsia" w:ascii="宋体" w:hAnsi="宋体" w:eastAsia="宋体" w:cs="宋体"/>
                <w:color w:val="auto"/>
                <w:sz w:val="21"/>
                <w:szCs w:val="21"/>
                <w:highlight w:val="none"/>
                <w:lang w:eastAsia="zh-CN"/>
              </w:rPr>
            </w:pPr>
            <w:r>
              <w:rPr>
                <w:rFonts w:hint="eastAsia"/>
                <w:color w:val="auto"/>
                <w:sz w:val="21"/>
                <w:szCs w:val="21"/>
                <w:highlight w:val="none"/>
                <w:lang w:eastAsia="zh-CN"/>
              </w:rPr>
              <w:t>优（</w:t>
            </w:r>
            <w:r>
              <w:rPr>
                <w:rFonts w:hint="eastAsia"/>
                <w:color w:val="auto"/>
                <w:sz w:val="21"/>
                <w:szCs w:val="21"/>
                <w:highlight w:val="none"/>
                <w:lang w:val="en-US" w:eastAsia="zh-CN"/>
              </w:rPr>
              <w:t>5</w:t>
            </w:r>
            <w:r>
              <w:rPr>
                <w:rFonts w:hint="eastAsia"/>
                <w:color w:val="auto"/>
                <w:sz w:val="21"/>
                <w:szCs w:val="21"/>
                <w:highlight w:val="none"/>
                <w:lang w:eastAsia="zh-CN"/>
              </w:rPr>
              <w:t>分）</w:t>
            </w:r>
            <w:r>
              <w:rPr>
                <w:color w:val="auto"/>
                <w:sz w:val="21"/>
                <w:szCs w:val="21"/>
                <w:highlight w:val="none"/>
              </w:rPr>
              <w:t>：针对该项目的难点、重点</w:t>
            </w:r>
            <w:r>
              <w:rPr>
                <w:rFonts w:hint="eastAsia"/>
                <w:color w:val="auto"/>
                <w:sz w:val="21"/>
                <w:szCs w:val="21"/>
                <w:highlight w:val="none"/>
                <w:lang w:eastAsia="zh-CN"/>
              </w:rPr>
              <w:t>进行深入</w:t>
            </w:r>
            <w:r>
              <w:rPr>
                <w:color w:val="auto"/>
                <w:sz w:val="21"/>
                <w:szCs w:val="21"/>
                <w:highlight w:val="none"/>
              </w:rPr>
              <w:t>详细分析，</w:t>
            </w:r>
            <w:r>
              <w:rPr>
                <w:rFonts w:hint="eastAsia"/>
                <w:color w:val="auto"/>
                <w:sz w:val="21"/>
                <w:szCs w:val="21"/>
                <w:highlight w:val="none"/>
                <w:lang w:eastAsia="zh-CN"/>
              </w:rPr>
              <w:t>提出有效合理的措施，对</w:t>
            </w:r>
            <w:r>
              <w:rPr>
                <w:color w:val="auto"/>
                <w:sz w:val="21"/>
                <w:szCs w:val="21"/>
                <w:highlight w:val="none"/>
              </w:rPr>
              <w:t>重点考虑各部分施工如何相互</w:t>
            </w:r>
            <w:r>
              <w:rPr>
                <w:rFonts w:hint="eastAsia" w:ascii="宋体" w:hAnsi="宋体" w:eastAsia="宋体" w:cs="宋体"/>
                <w:color w:val="auto"/>
                <w:sz w:val="21"/>
                <w:szCs w:val="21"/>
                <w:highlight w:val="none"/>
                <w:lang w:eastAsia="zh-CN"/>
              </w:rPr>
              <w:t>交叉和衔接，以保证施工质量效果和设计效果的完美统一</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 xml:space="preserve"> </w:t>
            </w:r>
          </w:p>
          <w:p w14:paraId="53B04328">
            <w:pPr>
              <w:pStyle w:val="749"/>
              <w:keepNext w:val="0"/>
              <w:keepLines w:val="0"/>
              <w:pageBreakBefore w:val="0"/>
              <w:widowControl w:val="0"/>
              <w:kinsoku/>
              <w:wordWrap/>
              <w:overflowPunct/>
              <w:topLinePunct w:val="0"/>
              <w:autoSpaceDE/>
              <w:autoSpaceDN/>
              <w:bidi w:val="0"/>
              <w:adjustRightInd/>
              <w:snapToGrid/>
              <w:spacing w:before="101" w:line="360" w:lineRule="auto"/>
              <w:ind w:left="0" w:leftChars="0" w:right="101" w:firstLine="0" w:firstLine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分）：针对该项目的难点、重点分析到位，</w:t>
            </w:r>
            <w:r>
              <w:rPr>
                <w:rFonts w:hint="eastAsia"/>
                <w:color w:val="auto"/>
                <w:sz w:val="21"/>
                <w:szCs w:val="21"/>
                <w:highlight w:val="none"/>
                <w:lang w:eastAsia="zh-CN"/>
              </w:rPr>
              <w:t>提出较合理的措施，</w:t>
            </w:r>
            <w:r>
              <w:rPr>
                <w:rFonts w:hint="eastAsia" w:ascii="宋体" w:hAnsi="宋体" w:eastAsia="宋体" w:cs="宋体"/>
                <w:color w:val="auto"/>
                <w:sz w:val="21"/>
                <w:szCs w:val="21"/>
                <w:highlight w:val="none"/>
                <w:lang w:eastAsia="zh-CN"/>
              </w:rPr>
              <w:t>未重点考虑各部分施工如何相互交叉和衔接，施工质量效果符合设计效果</w:t>
            </w:r>
            <w:r>
              <w:rPr>
                <w:rFonts w:hint="eastAsia" w:ascii="宋体" w:hAnsi="宋体" w:cs="宋体"/>
                <w:color w:val="auto"/>
                <w:sz w:val="21"/>
                <w:szCs w:val="21"/>
                <w:highlight w:val="none"/>
                <w:lang w:eastAsia="zh-CN"/>
              </w:rPr>
              <w:t>；</w:t>
            </w:r>
          </w:p>
          <w:p w14:paraId="27BAE9FB">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cs="宋体"/>
                <w:color w:val="auto"/>
                <w:sz w:val="21"/>
                <w:szCs w:val="21"/>
                <w:highlight w:val="none"/>
                <w:lang w:eastAsia="zh-CN"/>
              </w:rPr>
              <w:t>中（</w:t>
            </w:r>
            <w:r>
              <w:rPr>
                <w:rFonts w:hint="eastAsia" w:cs="宋体"/>
                <w:color w:val="auto"/>
                <w:sz w:val="21"/>
                <w:szCs w:val="21"/>
                <w:highlight w:val="none"/>
                <w:lang w:val="en-US" w:eastAsia="zh-CN"/>
              </w:rPr>
              <w:t>3</w:t>
            </w:r>
            <w:r>
              <w:rPr>
                <w:rFonts w:hint="eastAsia" w:cs="宋体"/>
                <w:color w:val="auto"/>
                <w:sz w:val="21"/>
                <w:szCs w:val="21"/>
                <w:highlight w:val="none"/>
                <w:lang w:eastAsia="zh-CN"/>
              </w:rPr>
              <w:t>分）</w:t>
            </w:r>
            <w:r>
              <w:rPr>
                <w:rFonts w:hint="eastAsia" w:ascii="宋体" w:hAnsi="宋体" w:eastAsia="宋体" w:cs="宋体"/>
                <w:color w:val="auto"/>
                <w:sz w:val="21"/>
                <w:szCs w:val="21"/>
                <w:highlight w:val="none"/>
                <w:lang w:eastAsia="zh-CN"/>
              </w:rPr>
              <w:t>：针对该项目的难点、重点分析基本详细，各部分施工如何相互交叉和衔接一般， 施工质量效果和设计效果一般</w:t>
            </w:r>
            <w:r>
              <w:rPr>
                <w:rFonts w:hint="eastAsia" w:hAnsi="宋体" w:cs="宋体"/>
                <w:color w:val="auto"/>
                <w:sz w:val="21"/>
                <w:szCs w:val="21"/>
                <w:highlight w:val="none"/>
                <w:lang w:eastAsia="zh-CN"/>
              </w:rPr>
              <w:t>；</w:t>
            </w:r>
            <w:r>
              <w:rPr>
                <w:rFonts w:hint="eastAsia" w:hAnsi="宋体"/>
                <w:bCs/>
                <w:color w:val="auto"/>
                <w:sz w:val="21"/>
                <w:highlight w:val="none"/>
                <w:lang w:val="en-US" w:eastAsia="zh-CN"/>
              </w:rPr>
              <w:t xml:space="preserve"> </w:t>
            </w:r>
          </w:p>
          <w:p w14:paraId="63F8C867">
            <w:pPr>
              <w:pStyle w:val="4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差（1分）：简单阐述本工程的重点和难点，没有说明解决重点和难点问题的方法或解决重点和难点问题的方法不完整。</w:t>
            </w:r>
          </w:p>
          <w:p w14:paraId="52A6680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2926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61" w:type="dxa"/>
            <w:vAlign w:val="center"/>
          </w:tcPr>
          <w:p w14:paraId="553F5F3B">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Align w:val="center"/>
          </w:tcPr>
          <w:p w14:paraId="0B928A00">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22FB273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宋体"/>
                <w:color w:val="auto"/>
                <w:kern w:val="0"/>
                <w:sz w:val="21"/>
                <w:szCs w:val="21"/>
                <w:highlight w:val="none"/>
              </w:rPr>
            </w:pPr>
            <w:r>
              <w:rPr>
                <w:rFonts w:hint="eastAsia" w:cs="宋体"/>
                <w:color w:val="auto"/>
                <w:kern w:val="0"/>
                <w:sz w:val="21"/>
                <w:szCs w:val="21"/>
                <w:highlight w:val="none"/>
              </w:rPr>
              <w:t>施工总平面布置图</w:t>
            </w:r>
          </w:p>
          <w:p w14:paraId="04CB9FC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rFonts w:hint="eastAsia" w:cs="宋体"/>
                <w:color w:val="auto"/>
                <w:kern w:val="0"/>
                <w:sz w:val="21"/>
                <w:szCs w:val="21"/>
                <w:highlight w:val="none"/>
              </w:rPr>
              <w:t>（</w:t>
            </w:r>
            <w:r>
              <w:rPr>
                <w:rFonts w:hint="eastAsia"/>
                <w:color w:val="auto"/>
                <w:kern w:val="0"/>
                <w:sz w:val="21"/>
                <w:szCs w:val="21"/>
                <w:highlight w:val="none"/>
                <w:lang w:val="en-US" w:eastAsia="zh-CN"/>
              </w:rPr>
              <w:t>5</w:t>
            </w:r>
            <w:r>
              <w:rPr>
                <w:rFonts w:hint="eastAsia" w:cs="宋体"/>
                <w:color w:val="auto"/>
                <w:kern w:val="0"/>
                <w:sz w:val="21"/>
                <w:szCs w:val="21"/>
                <w:highlight w:val="none"/>
              </w:rPr>
              <w:t>分）</w:t>
            </w:r>
          </w:p>
        </w:tc>
        <w:tc>
          <w:tcPr>
            <w:tcW w:w="6405" w:type="dxa"/>
            <w:gridSpan w:val="2"/>
            <w:vAlign w:val="center"/>
          </w:tcPr>
          <w:p w14:paraId="335FA27A">
            <w:pPr>
              <w:pStyle w:val="749"/>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outlineLvl w:val="9"/>
              <w:rPr>
                <w:rFonts w:hint="eastAsia"/>
                <w:color w:val="auto"/>
                <w:sz w:val="21"/>
                <w:szCs w:val="21"/>
                <w:highlight w:val="none"/>
                <w:lang w:eastAsia="zh-CN"/>
              </w:rPr>
            </w:pPr>
            <w:r>
              <w:rPr>
                <w:rFonts w:hint="eastAsia"/>
                <w:color w:val="auto"/>
                <w:sz w:val="21"/>
                <w:szCs w:val="21"/>
                <w:highlight w:val="none"/>
                <w:lang w:eastAsia="zh-CN"/>
              </w:rPr>
              <w:t xml:space="preserve">评审专家自行对施工总平面图是否有针对性、满足施工要求、完整合理性等各方面进行独立打分。 </w:t>
            </w:r>
          </w:p>
          <w:p w14:paraId="694A57FF">
            <w:pPr>
              <w:pStyle w:val="749"/>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outlineLvl w:val="9"/>
              <w:rPr>
                <w:color w:val="auto"/>
                <w:sz w:val="21"/>
                <w:szCs w:val="21"/>
                <w:highlight w:val="none"/>
              </w:rPr>
            </w:pPr>
            <w:r>
              <w:rPr>
                <w:rFonts w:hint="eastAsia"/>
                <w:color w:val="auto"/>
                <w:sz w:val="21"/>
                <w:szCs w:val="21"/>
                <w:highlight w:val="none"/>
                <w:lang w:eastAsia="zh-CN"/>
              </w:rPr>
              <w:t>优（</w:t>
            </w:r>
            <w:r>
              <w:rPr>
                <w:rFonts w:hint="eastAsia"/>
                <w:color w:val="auto"/>
                <w:sz w:val="21"/>
                <w:szCs w:val="21"/>
                <w:highlight w:val="none"/>
                <w:lang w:val="en-US" w:eastAsia="zh-CN"/>
              </w:rPr>
              <w:t>5</w:t>
            </w:r>
            <w:r>
              <w:rPr>
                <w:rFonts w:hint="eastAsia"/>
                <w:color w:val="auto"/>
                <w:sz w:val="21"/>
                <w:szCs w:val="21"/>
                <w:highlight w:val="none"/>
                <w:lang w:eastAsia="zh-CN"/>
              </w:rPr>
              <w:t>分）</w:t>
            </w:r>
            <w:r>
              <w:rPr>
                <w:color w:val="auto"/>
                <w:sz w:val="21"/>
                <w:szCs w:val="21"/>
                <w:highlight w:val="none"/>
              </w:rPr>
              <w:t>：</w:t>
            </w:r>
            <w:r>
              <w:rPr>
                <w:rFonts w:hint="eastAsia"/>
                <w:color w:val="auto"/>
                <w:sz w:val="21"/>
                <w:szCs w:val="21"/>
                <w:highlight w:val="none"/>
                <w:lang w:eastAsia="zh-CN"/>
              </w:rPr>
              <w:t>施工总平面图</w:t>
            </w:r>
            <w:r>
              <w:rPr>
                <w:color w:val="auto"/>
                <w:sz w:val="21"/>
                <w:szCs w:val="21"/>
                <w:highlight w:val="none"/>
              </w:rPr>
              <w:t>总体布置有针对性，</w:t>
            </w:r>
            <w:r>
              <w:rPr>
                <w:rFonts w:hint="eastAsia"/>
                <w:color w:val="auto"/>
                <w:sz w:val="21"/>
                <w:szCs w:val="21"/>
                <w:highlight w:val="none"/>
                <w:lang w:eastAsia="zh-CN"/>
              </w:rPr>
              <w:t>对施工期内工作、休息、生活、仓储、检测等各区域进行科学、合理分配，完全有效能进行安全施工，文明生产等要求；</w:t>
            </w:r>
            <w:r>
              <w:rPr>
                <w:color w:val="auto"/>
                <w:sz w:val="21"/>
                <w:szCs w:val="21"/>
                <w:highlight w:val="none"/>
              </w:rPr>
              <w:t xml:space="preserve"> </w:t>
            </w:r>
          </w:p>
          <w:p w14:paraId="2AEE38AA">
            <w:pPr>
              <w:pStyle w:val="749"/>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outlineLvl w:val="9"/>
              <w:rPr>
                <w:rFonts w:hint="eastAsia" w:eastAsia="宋体"/>
                <w:color w:val="auto"/>
                <w:sz w:val="21"/>
                <w:szCs w:val="21"/>
                <w:highlight w:val="none"/>
                <w:lang w:eastAsia="zh-CN"/>
              </w:rPr>
            </w:pPr>
            <w:r>
              <w:rPr>
                <w:color w:val="auto"/>
                <w:sz w:val="21"/>
                <w:szCs w:val="21"/>
                <w:highlight w:val="none"/>
              </w:rPr>
              <w:t>良（</w:t>
            </w:r>
            <w:r>
              <w:rPr>
                <w:rFonts w:hint="eastAsia"/>
                <w:color w:val="auto"/>
                <w:sz w:val="21"/>
                <w:szCs w:val="21"/>
                <w:highlight w:val="none"/>
                <w:lang w:val="en-US" w:eastAsia="zh-CN"/>
              </w:rPr>
              <w:t>4</w:t>
            </w:r>
            <w:r>
              <w:rPr>
                <w:color w:val="auto"/>
                <w:sz w:val="21"/>
                <w:szCs w:val="21"/>
                <w:highlight w:val="none"/>
              </w:rPr>
              <w:t>分）：</w:t>
            </w:r>
            <w:r>
              <w:rPr>
                <w:rFonts w:hint="eastAsia"/>
                <w:color w:val="auto"/>
                <w:sz w:val="21"/>
                <w:szCs w:val="21"/>
                <w:highlight w:val="none"/>
                <w:lang w:eastAsia="zh-CN"/>
              </w:rPr>
              <w:t>施工总平面图</w:t>
            </w:r>
            <w:r>
              <w:rPr>
                <w:color w:val="auto"/>
                <w:sz w:val="21"/>
                <w:szCs w:val="21"/>
                <w:highlight w:val="none"/>
              </w:rPr>
              <w:t>总体布置</w:t>
            </w:r>
            <w:r>
              <w:rPr>
                <w:rFonts w:hint="eastAsia"/>
                <w:color w:val="auto"/>
                <w:sz w:val="21"/>
                <w:szCs w:val="21"/>
                <w:highlight w:val="none"/>
                <w:lang w:eastAsia="zh-CN"/>
              </w:rPr>
              <w:t>完整</w:t>
            </w:r>
            <w:r>
              <w:rPr>
                <w:color w:val="auto"/>
                <w:sz w:val="21"/>
                <w:szCs w:val="21"/>
                <w:highlight w:val="none"/>
              </w:rPr>
              <w:t>，能满足施工需要，</w:t>
            </w:r>
            <w:r>
              <w:rPr>
                <w:rFonts w:hint="eastAsia"/>
                <w:color w:val="auto"/>
                <w:sz w:val="21"/>
                <w:szCs w:val="21"/>
                <w:highlight w:val="none"/>
                <w:lang w:eastAsia="zh-CN"/>
              </w:rPr>
              <w:t>对施工期内工作、休息、生活、仓储、检测等各区域合理分配，可以</w:t>
            </w:r>
            <w:r>
              <w:rPr>
                <w:color w:val="auto"/>
                <w:sz w:val="21"/>
                <w:szCs w:val="21"/>
                <w:highlight w:val="none"/>
              </w:rPr>
              <w:t>符合安全、文明生产要求</w:t>
            </w:r>
            <w:r>
              <w:rPr>
                <w:rFonts w:hint="eastAsia"/>
                <w:color w:val="auto"/>
                <w:sz w:val="21"/>
                <w:szCs w:val="21"/>
                <w:highlight w:val="none"/>
                <w:lang w:eastAsia="zh-CN"/>
              </w:rPr>
              <w:t>；</w:t>
            </w:r>
          </w:p>
          <w:p w14:paraId="68ADB659">
            <w:pPr>
              <w:pStyle w:val="749"/>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中（</w:t>
            </w:r>
            <w:r>
              <w:rPr>
                <w:rFonts w:hint="eastAsia"/>
                <w:color w:val="auto"/>
                <w:sz w:val="21"/>
                <w:szCs w:val="21"/>
                <w:highlight w:val="none"/>
                <w:lang w:val="en-US" w:eastAsia="zh-CN"/>
              </w:rPr>
              <w:t>3</w:t>
            </w:r>
            <w:r>
              <w:rPr>
                <w:rFonts w:hint="eastAsia"/>
                <w:color w:val="auto"/>
                <w:sz w:val="21"/>
                <w:szCs w:val="21"/>
                <w:highlight w:val="none"/>
                <w:lang w:eastAsia="zh-CN"/>
              </w:rPr>
              <w:t>分）</w:t>
            </w:r>
            <w:r>
              <w:rPr>
                <w:color w:val="auto"/>
                <w:sz w:val="21"/>
                <w:szCs w:val="21"/>
                <w:highlight w:val="none"/>
              </w:rPr>
              <w:t>：总体布置基本合理，</w:t>
            </w:r>
            <w:r>
              <w:rPr>
                <w:rFonts w:hint="eastAsia"/>
                <w:color w:val="auto"/>
                <w:sz w:val="21"/>
                <w:szCs w:val="21"/>
                <w:highlight w:val="none"/>
                <w:lang w:eastAsia="zh-CN"/>
              </w:rPr>
              <w:t>对施工期内工作、休息、生活、仓储、检测等各区域进行分配基本合理，</w:t>
            </w:r>
            <w:r>
              <w:rPr>
                <w:color w:val="auto"/>
                <w:sz w:val="21"/>
                <w:szCs w:val="21"/>
                <w:highlight w:val="none"/>
              </w:rPr>
              <w:t>基本满足施工需要</w:t>
            </w:r>
            <w:r>
              <w:rPr>
                <w:rFonts w:hint="eastAsia"/>
                <w:color w:val="auto"/>
                <w:sz w:val="21"/>
                <w:szCs w:val="21"/>
                <w:highlight w:val="none"/>
                <w:lang w:eastAsia="zh-CN"/>
              </w:rPr>
              <w:t>；</w:t>
            </w:r>
          </w:p>
          <w:p w14:paraId="2AFA6210">
            <w:pPr>
              <w:pStyle w:val="749"/>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outlineLvl w:val="9"/>
              <w:rPr>
                <w:color w:val="auto"/>
                <w:sz w:val="21"/>
                <w:szCs w:val="21"/>
                <w:highlight w:val="none"/>
              </w:rPr>
            </w:pPr>
            <w:r>
              <w:rPr>
                <w:rFonts w:hint="eastAsia"/>
                <w:color w:val="auto"/>
                <w:sz w:val="21"/>
                <w:szCs w:val="21"/>
                <w:highlight w:val="none"/>
                <w:lang w:eastAsia="zh-CN"/>
              </w:rPr>
              <w:t>差（1分）</w:t>
            </w:r>
            <w:r>
              <w:rPr>
                <w:color w:val="auto"/>
                <w:sz w:val="21"/>
                <w:szCs w:val="21"/>
                <w:highlight w:val="none"/>
              </w:rPr>
              <w:t>：总体布置不合理，不符合安全、文明生产要求。</w:t>
            </w:r>
          </w:p>
          <w:p w14:paraId="0B4FE2D6">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olor w:val="auto"/>
                <w:sz w:val="21"/>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7D10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61" w:type="dxa"/>
            <w:vAlign w:val="center"/>
          </w:tcPr>
          <w:p w14:paraId="3BD7D8BE">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2.2.</w:t>
            </w:r>
            <w:r>
              <w:rPr>
                <w:rFonts w:hint="eastAsia"/>
                <w:color w:val="auto"/>
                <w:szCs w:val="21"/>
                <w:highlight w:val="none"/>
              </w:rPr>
              <w:t>2（3）</w:t>
            </w:r>
          </w:p>
        </w:tc>
        <w:tc>
          <w:tcPr>
            <w:tcW w:w="851" w:type="dxa"/>
            <w:vAlign w:val="center"/>
          </w:tcPr>
          <w:p w14:paraId="262D5684">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color w:val="auto"/>
                <w:szCs w:val="21"/>
                <w:highlight w:val="none"/>
              </w:rPr>
              <w:t>商务资信业绩评分标准</w:t>
            </w:r>
          </w:p>
          <w:p w14:paraId="73FE7DE2">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color w:val="auto"/>
                <w:szCs w:val="21"/>
                <w:highlight w:val="none"/>
              </w:rPr>
              <w:t>（满分</w:t>
            </w:r>
            <w:r>
              <w:rPr>
                <w:rFonts w:hint="eastAsia" w:ascii="宋体"/>
                <w:color w:val="auto"/>
                <w:szCs w:val="21"/>
                <w:highlight w:val="none"/>
                <w:lang w:val="en-US" w:eastAsia="zh-CN"/>
              </w:rPr>
              <w:t>5</w:t>
            </w:r>
            <w:r>
              <w:rPr>
                <w:rFonts w:hint="eastAsia" w:ascii="宋体"/>
                <w:color w:val="auto"/>
                <w:szCs w:val="21"/>
                <w:highlight w:val="none"/>
              </w:rPr>
              <w:t>分）</w:t>
            </w:r>
          </w:p>
        </w:tc>
        <w:tc>
          <w:tcPr>
            <w:tcW w:w="2212" w:type="dxa"/>
            <w:gridSpan w:val="2"/>
            <w:vAlign w:val="center"/>
          </w:tcPr>
          <w:p w14:paraId="425FFBC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cs="Courier New"/>
                <w:bCs/>
                <w:color w:val="auto"/>
                <w:szCs w:val="21"/>
                <w:highlight w:val="none"/>
              </w:rPr>
            </w:pPr>
            <w:r>
              <w:rPr>
                <w:rFonts w:hint="eastAsia" w:ascii="宋体" w:hAnsi="宋体" w:cs="Courier New"/>
                <w:bCs/>
                <w:color w:val="auto"/>
                <w:szCs w:val="21"/>
                <w:highlight w:val="none"/>
              </w:rPr>
              <w:t>类似项目业绩</w:t>
            </w:r>
          </w:p>
          <w:p w14:paraId="21C16F7A">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ascii="宋体" w:hAnsi="宋体" w:cs="Courier New"/>
                <w:bCs/>
                <w:color w:val="auto"/>
                <w:szCs w:val="21"/>
                <w:highlight w:val="none"/>
                <w:lang w:val="en-US" w:eastAsia="zh-CN"/>
              </w:rPr>
              <w:t>(5分）</w:t>
            </w:r>
          </w:p>
        </w:tc>
        <w:tc>
          <w:tcPr>
            <w:tcW w:w="6405" w:type="dxa"/>
            <w:gridSpan w:val="2"/>
            <w:vAlign w:val="center"/>
          </w:tcPr>
          <w:p w14:paraId="6600AFBF">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ascii="宋体"/>
                <w:color w:val="auto"/>
                <w:szCs w:val="21"/>
                <w:highlight w:val="none"/>
              </w:rPr>
            </w:pPr>
            <w:r>
              <w:rPr>
                <w:rFonts w:hint="eastAsia" w:hAnsi="宋体" w:cs="Courier New"/>
                <w:bCs/>
                <w:color w:val="auto"/>
                <w:kern w:val="2"/>
                <w:sz w:val="21"/>
                <w:highlight w:val="none"/>
                <w:lang w:val="en-US" w:eastAsia="zh-CN"/>
              </w:rPr>
              <w:t>自2023年1月1日起至本项目磋商截止之日止承接过市政项目工程业绩的，每有一个得2.5分，最多计5分（</w:t>
            </w:r>
            <w:r>
              <w:rPr>
                <w:rFonts w:hint="eastAsia" w:ascii="宋体" w:hAnsi="宋体" w:eastAsia="宋体" w:cs="宋体"/>
                <w:color w:val="auto"/>
                <w:sz w:val="21"/>
                <w:szCs w:val="21"/>
              </w:rPr>
              <w:t>业绩证明以中标或成交通知书或签订的合同复印件为准</w:t>
            </w:r>
            <w:r>
              <w:rPr>
                <w:rFonts w:hint="eastAsia" w:hAnsi="宋体" w:cs="Courier New"/>
                <w:bCs/>
                <w:color w:val="auto"/>
                <w:kern w:val="2"/>
                <w:sz w:val="21"/>
                <w:highlight w:val="none"/>
                <w:lang w:val="en-US" w:eastAsia="zh-CN"/>
              </w:rPr>
              <w:t>）。</w:t>
            </w:r>
          </w:p>
        </w:tc>
      </w:tr>
      <w:tr w14:paraId="3346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24" w:type="dxa"/>
            <w:gridSpan w:val="4"/>
            <w:vAlign w:val="center"/>
          </w:tcPr>
          <w:p w14:paraId="6165A8C0">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磋商</w:t>
            </w:r>
            <w:r>
              <w:rPr>
                <w:rFonts w:hint="eastAsia"/>
                <w:color w:val="auto"/>
                <w:szCs w:val="21"/>
                <w:highlight w:val="none"/>
              </w:rPr>
              <w:t>供应商</w:t>
            </w:r>
            <w:r>
              <w:rPr>
                <w:color w:val="auto"/>
                <w:szCs w:val="21"/>
                <w:highlight w:val="none"/>
              </w:rPr>
              <w:t>汇总得分</w:t>
            </w:r>
          </w:p>
        </w:tc>
        <w:tc>
          <w:tcPr>
            <w:tcW w:w="6405" w:type="dxa"/>
            <w:gridSpan w:val="2"/>
            <w:vAlign w:val="center"/>
          </w:tcPr>
          <w:p w14:paraId="48B49AAD">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磋商</w:t>
            </w:r>
            <w:r>
              <w:rPr>
                <w:rFonts w:hint="eastAsia"/>
                <w:color w:val="auto"/>
                <w:szCs w:val="21"/>
                <w:highlight w:val="none"/>
              </w:rPr>
              <w:t>供应商</w:t>
            </w:r>
            <w:r>
              <w:rPr>
                <w:color w:val="auto"/>
                <w:szCs w:val="21"/>
                <w:highlight w:val="none"/>
              </w:rPr>
              <w:t>汇总得分=</w:t>
            </w:r>
            <w:r>
              <w:rPr>
                <w:rFonts w:hint="eastAsia"/>
                <w:color w:val="auto"/>
                <w:szCs w:val="21"/>
                <w:highlight w:val="none"/>
              </w:rPr>
              <w:t>2.2.2（1）+2.2.2（2）+2.2.2（3）</w:t>
            </w:r>
          </w:p>
        </w:tc>
      </w:tr>
    </w:tbl>
    <w:p w14:paraId="61158257">
      <w:pPr>
        <w:pStyle w:val="42"/>
        <w:spacing w:line="400" w:lineRule="exact"/>
        <w:ind w:firstLine="482" w:firstLineChars="200"/>
        <w:outlineLvl w:val="9"/>
        <w:rPr>
          <w:rFonts w:hAnsi="宋体" w:cs="宋体"/>
          <w:b/>
          <w:bCs/>
          <w:color w:val="auto"/>
          <w:sz w:val="24"/>
          <w:highlight w:val="none"/>
        </w:rPr>
      </w:pPr>
    </w:p>
    <w:p w14:paraId="622650E1">
      <w:pPr>
        <w:pStyle w:val="42"/>
        <w:spacing w:line="400" w:lineRule="exact"/>
        <w:jc w:val="left"/>
        <w:outlineLvl w:val="9"/>
        <w:rPr>
          <w:rFonts w:cs="Courier New"/>
          <w:b/>
          <w:bCs/>
          <w:color w:val="auto"/>
          <w:kern w:val="2"/>
          <w:sz w:val="24"/>
          <w:szCs w:val="24"/>
          <w:highlight w:val="none"/>
        </w:rPr>
      </w:pPr>
      <w:r>
        <w:rPr>
          <w:rFonts w:hint="eastAsia" w:cs="Courier New"/>
          <w:b/>
          <w:bCs/>
          <w:color w:val="auto"/>
          <w:kern w:val="2"/>
          <w:sz w:val="24"/>
          <w:szCs w:val="24"/>
          <w:highlight w:val="none"/>
        </w:rPr>
        <w:t>一、成交候选人推荐原则</w:t>
      </w:r>
    </w:p>
    <w:p w14:paraId="43386BB3">
      <w:pPr>
        <w:pStyle w:val="42"/>
        <w:spacing w:line="400" w:lineRule="exact"/>
        <w:ind w:firstLine="420"/>
        <w:jc w:val="left"/>
        <w:outlineLvl w:val="9"/>
        <w:rPr>
          <w:rFonts w:cs="Courier New"/>
          <w:bCs/>
          <w:color w:val="auto"/>
          <w:sz w:val="24"/>
          <w:szCs w:val="24"/>
          <w:highlight w:val="none"/>
        </w:rPr>
      </w:pPr>
      <w:r>
        <w:rPr>
          <w:rFonts w:hint="eastAsia" w:cs="Courier New"/>
          <w:bCs/>
          <w:color w:val="auto"/>
          <w:sz w:val="24"/>
          <w:szCs w:val="24"/>
          <w:highlight w:val="none"/>
        </w:rPr>
        <w:t>1.本工程供应商的有效磋商报价：供应商磋商报价低于或等于本工程上限预算控制价。供应商提供的已标价工程量清单中单价经磋商小组审定存在严重不平衡、不合理、低于其企业成本的磋商报价或供应商磋商报价超出有效磋商报价范围，作废标处理。在评审过程中，磋商小组发现供应商的磋商报价明显低于其他磋商报价，使得其磋商报价可能低于其成本的，应当要求该供应商做出书面说明并提供相关证明材料。供应商不能合理说明或者不能提供相关证明材料的，由磋商小组认定该供应商以低于成本磋商报价竞标，磋商报价严重不平衡、不合理，其竞标作废标处理。</w:t>
      </w:r>
    </w:p>
    <w:p w14:paraId="1BDF497B">
      <w:pPr>
        <w:spacing w:line="460" w:lineRule="exact"/>
        <w:ind w:firstLine="480" w:firstLineChars="200"/>
        <w:outlineLvl w:val="9"/>
        <w:rPr>
          <w:rFonts w:cs="Courier New"/>
          <w:bCs/>
          <w:color w:val="auto"/>
          <w:sz w:val="24"/>
          <w:szCs w:val="24"/>
          <w:highlight w:val="none"/>
        </w:rPr>
      </w:pPr>
      <w:r>
        <w:rPr>
          <w:rFonts w:hint="eastAsia" w:cs="Courier New"/>
          <w:bCs/>
          <w:color w:val="auto"/>
          <w:sz w:val="24"/>
          <w:szCs w:val="24"/>
          <w:highlight w:val="none"/>
        </w:rPr>
        <w:t>2.磋商小组应当根据综合评分情况，按照评审得分由高到低顺序推荐 3 名成交候选人，并编写评审报告。评审得分相同的，以</w:t>
      </w:r>
      <w:r>
        <w:rPr>
          <w:rFonts w:hint="eastAsia" w:cs="Courier New"/>
          <w:bCs/>
          <w:color w:val="auto"/>
          <w:sz w:val="24"/>
          <w:szCs w:val="24"/>
          <w:highlight w:val="none"/>
          <w:lang w:val="en-US" w:eastAsia="zh-CN"/>
        </w:rPr>
        <w:t>最后</w:t>
      </w:r>
      <w:r>
        <w:rPr>
          <w:rFonts w:hint="eastAsia" w:cs="Courier New"/>
          <w:bCs/>
          <w:color w:val="auto"/>
          <w:sz w:val="24"/>
          <w:szCs w:val="24"/>
          <w:highlight w:val="none"/>
        </w:rPr>
        <w:t>响应报价由低到高顺序排列；若得分相同且响应报价相同的，按照项目技术部分优劣顺序推荐</w:t>
      </w:r>
      <w:r>
        <w:rPr>
          <w:rFonts w:hint="eastAsia" w:cs="Courier New"/>
          <w:bCs/>
          <w:color w:val="auto"/>
          <w:sz w:val="24"/>
          <w:szCs w:val="24"/>
          <w:highlight w:val="none"/>
          <w:lang w:eastAsia="zh-CN"/>
        </w:rPr>
        <w:t>，</w:t>
      </w:r>
      <w:r>
        <w:rPr>
          <w:rFonts w:hint="eastAsia" w:ascii="Times New Roman" w:hAnsi="Times New Roman" w:eastAsia="宋体" w:cs="Courier New"/>
          <w:bCs/>
          <w:color w:val="auto"/>
          <w:sz w:val="24"/>
          <w:szCs w:val="24"/>
          <w:highlight w:val="none"/>
        </w:rPr>
        <w:t>若仍相同的，由磋商小组按照抽签的方式决定排列次序。</w:t>
      </w:r>
    </w:p>
    <w:p w14:paraId="5074D2DC">
      <w:pPr>
        <w:pStyle w:val="42"/>
        <w:spacing w:line="400" w:lineRule="exact"/>
        <w:ind w:firstLine="420"/>
        <w:jc w:val="left"/>
        <w:outlineLvl w:val="9"/>
        <w:rPr>
          <w:rFonts w:cs="Courier New"/>
          <w:bCs/>
          <w:color w:val="auto"/>
          <w:sz w:val="24"/>
          <w:szCs w:val="24"/>
          <w:highlight w:val="none"/>
        </w:rPr>
      </w:pPr>
      <w:r>
        <w:rPr>
          <w:rFonts w:hint="eastAsia" w:cs="Courier New"/>
          <w:bCs/>
          <w:color w:val="auto"/>
          <w:sz w:val="24"/>
          <w:szCs w:val="24"/>
          <w:highlight w:val="none"/>
        </w:rPr>
        <w:t>3.第一名成交候选人放弃成交或因不可抗力等原因提出不能履行合同，采购人可以确定排名次位的候选人为成交人，以此类推。但确定为成交人的候选人放弃成交时，采购人也可以重新开展磋商。</w:t>
      </w:r>
    </w:p>
    <w:p w14:paraId="3DF44BB5">
      <w:pPr>
        <w:pStyle w:val="42"/>
        <w:spacing w:line="400" w:lineRule="exact"/>
        <w:ind w:firstLine="420"/>
        <w:jc w:val="left"/>
        <w:outlineLvl w:val="9"/>
        <w:rPr>
          <w:rFonts w:hint="eastAsia" w:cs="Courier New"/>
          <w:bCs/>
          <w:color w:val="auto"/>
          <w:sz w:val="24"/>
          <w:szCs w:val="24"/>
          <w:highlight w:val="none"/>
        </w:rPr>
      </w:pPr>
      <w:r>
        <w:rPr>
          <w:rFonts w:hint="eastAsia" w:cs="Courier New"/>
          <w:bCs/>
          <w:color w:val="auto"/>
          <w:sz w:val="24"/>
          <w:szCs w:val="24"/>
          <w:highlight w:val="none"/>
        </w:rPr>
        <w:t>4.磋商小组认为，某供应商的有效响应报价或者某些分项报价明显不合理或者低于成本，有可能影响商品质量和不能诚信履约的，应要求其在规定的期限内提供书面文件予以解释说明，并提交相关证明材料，否则，磋商小组可以取消该供应商的成交候选资格，按顺序由排在其后面的供应商递补，以此类推。</w:t>
      </w:r>
    </w:p>
    <w:p w14:paraId="686D57EF">
      <w:pPr>
        <w:pStyle w:val="42"/>
        <w:spacing w:line="400" w:lineRule="exact"/>
        <w:ind w:firstLine="420"/>
        <w:jc w:val="left"/>
        <w:outlineLvl w:val="9"/>
        <w:rPr>
          <w:rFonts w:hint="eastAsia" w:cs="Courier New"/>
          <w:bCs/>
          <w:color w:val="auto"/>
          <w:sz w:val="24"/>
          <w:szCs w:val="24"/>
          <w:highlight w:val="none"/>
        </w:rPr>
      </w:pPr>
    </w:p>
    <w:p w14:paraId="1ED967B2">
      <w:pPr>
        <w:pStyle w:val="42"/>
        <w:spacing w:line="400" w:lineRule="exact"/>
        <w:ind w:firstLine="420"/>
        <w:jc w:val="left"/>
        <w:outlineLvl w:val="9"/>
        <w:rPr>
          <w:rFonts w:hint="eastAsia" w:cs="Courier New"/>
          <w:bCs/>
          <w:color w:val="auto"/>
          <w:sz w:val="24"/>
          <w:szCs w:val="24"/>
          <w:highlight w:val="none"/>
        </w:rPr>
      </w:pPr>
    </w:p>
    <w:p w14:paraId="4D35652A">
      <w:pPr>
        <w:pStyle w:val="42"/>
        <w:spacing w:line="400" w:lineRule="exact"/>
        <w:ind w:firstLine="420"/>
        <w:jc w:val="left"/>
        <w:outlineLvl w:val="9"/>
        <w:rPr>
          <w:rFonts w:hint="eastAsia" w:cs="Courier New"/>
          <w:bCs/>
          <w:color w:val="auto"/>
          <w:sz w:val="24"/>
          <w:szCs w:val="24"/>
          <w:highlight w:val="none"/>
        </w:rPr>
      </w:pPr>
    </w:p>
    <w:p w14:paraId="6296DC80">
      <w:pPr>
        <w:pStyle w:val="42"/>
        <w:spacing w:line="400" w:lineRule="exact"/>
        <w:ind w:firstLine="420"/>
        <w:jc w:val="left"/>
        <w:outlineLvl w:val="9"/>
        <w:rPr>
          <w:rFonts w:hint="eastAsia" w:cs="Courier New"/>
          <w:bCs/>
          <w:color w:val="auto"/>
          <w:sz w:val="24"/>
          <w:szCs w:val="24"/>
          <w:highlight w:val="none"/>
        </w:rPr>
      </w:pPr>
    </w:p>
    <w:p w14:paraId="2CC0CE9E">
      <w:pPr>
        <w:outlineLvl w:val="9"/>
        <w:rPr>
          <w:color w:val="auto"/>
          <w:highlight w:val="none"/>
        </w:rPr>
      </w:pPr>
      <w:bookmarkStart w:id="131" w:name="_Toc524262060"/>
    </w:p>
    <w:p w14:paraId="4EAD6C37">
      <w:pPr>
        <w:outlineLvl w:val="9"/>
        <w:rPr>
          <w:rFonts w:hint="eastAsia" w:cs="黑体"/>
          <w:color w:val="auto"/>
          <w:sz w:val="32"/>
          <w:szCs w:val="32"/>
          <w:highlight w:val="none"/>
        </w:rPr>
      </w:pPr>
      <w:bookmarkStart w:id="132" w:name="_Toc23379"/>
      <w:r>
        <w:rPr>
          <w:rFonts w:hint="eastAsia" w:cs="黑体"/>
          <w:color w:val="auto"/>
          <w:sz w:val="32"/>
          <w:szCs w:val="32"/>
          <w:highlight w:val="none"/>
        </w:rPr>
        <w:br w:type="page"/>
      </w:r>
    </w:p>
    <w:p w14:paraId="1BE166EF">
      <w:pPr>
        <w:adjustRightInd w:val="0"/>
        <w:snapToGrid w:val="0"/>
        <w:spacing w:before="100" w:beforeAutospacing="1" w:after="0"/>
        <w:jc w:val="center"/>
        <w:outlineLvl w:val="0"/>
        <w:rPr>
          <w:b/>
          <w:bCs/>
          <w:color w:val="auto"/>
          <w:sz w:val="32"/>
          <w:szCs w:val="32"/>
          <w:highlight w:val="none"/>
        </w:rPr>
      </w:pPr>
      <w:bookmarkStart w:id="133" w:name="_Toc14877"/>
      <w:r>
        <w:rPr>
          <w:rFonts w:hint="eastAsia" w:cs="黑体"/>
          <w:b/>
          <w:bCs/>
          <w:color w:val="auto"/>
          <w:sz w:val="32"/>
          <w:szCs w:val="32"/>
          <w:highlight w:val="none"/>
        </w:rPr>
        <w:t>第四章  合同格式</w:t>
      </w:r>
      <w:bookmarkEnd w:id="131"/>
      <w:bookmarkEnd w:id="132"/>
      <w:bookmarkEnd w:id="133"/>
      <w:bookmarkStart w:id="134" w:name="_Toc27323"/>
    </w:p>
    <w:p w14:paraId="77FE2613">
      <w:pPr>
        <w:keepNext/>
        <w:keepLines/>
        <w:spacing w:before="340" w:after="330" w:line="578" w:lineRule="auto"/>
        <w:jc w:val="center"/>
        <w:outlineLvl w:val="9"/>
        <w:rPr>
          <w:rFonts w:ascii="宋体" w:hAnsi="宋体"/>
          <w:b/>
          <w:bCs/>
          <w:color w:val="auto"/>
          <w:kern w:val="44"/>
          <w:sz w:val="44"/>
          <w:szCs w:val="44"/>
          <w:highlight w:val="none"/>
        </w:rPr>
      </w:pPr>
      <w:bookmarkStart w:id="135" w:name="_Toc389065255"/>
      <w:bookmarkStart w:id="136" w:name="_Toc256000078"/>
      <w:bookmarkStart w:id="137" w:name="_Toc466537223"/>
      <w:bookmarkStart w:id="138" w:name="_Toc256000079"/>
      <w:bookmarkStart w:id="139" w:name="_Toc534962159"/>
      <w:bookmarkStart w:id="140" w:name="_Toc373478199"/>
      <w:bookmarkStart w:id="141" w:name="_Toc373227552"/>
      <w:bookmarkStart w:id="142" w:name="_Toc296890982"/>
      <w:bookmarkStart w:id="143" w:name="_Toc351203480"/>
      <w:bookmarkStart w:id="144" w:name="_Toc12955971"/>
      <w:bookmarkStart w:id="145" w:name="_Toc296503025"/>
      <w:r>
        <w:rPr>
          <w:rFonts w:ascii="宋体" w:hAnsi="宋体"/>
          <w:b/>
          <w:bCs/>
          <w:color w:val="auto"/>
          <w:kern w:val="44"/>
          <w:sz w:val="44"/>
          <w:szCs w:val="44"/>
          <w:highlight w:val="none"/>
        </w:rPr>
        <w:t>第一</w:t>
      </w:r>
      <w:r>
        <w:rPr>
          <w:rFonts w:hint="eastAsia" w:ascii="宋体" w:hAnsi="宋体"/>
          <w:b/>
          <w:bCs/>
          <w:color w:val="auto"/>
          <w:kern w:val="44"/>
          <w:sz w:val="44"/>
          <w:szCs w:val="44"/>
          <w:highlight w:val="none"/>
        </w:rPr>
        <w:t>部分</w:t>
      </w:r>
      <w:r>
        <w:rPr>
          <w:rFonts w:ascii="宋体" w:hAnsi="宋体"/>
          <w:b/>
          <w:bCs/>
          <w:color w:val="auto"/>
          <w:kern w:val="44"/>
          <w:sz w:val="44"/>
          <w:szCs w:val="44"/>
          <w:highlight w:val="none"/>
        </w:rPr>
        <w:t xml:space="preserve"> 合同协议书</w:t>
      </w:r>
      <w:bookmarkEnd w:id="135"/>
      <w:bookmarkEnd w:id="136"/>
      <w:bookmarkEnd w:id="137"/>
      <w:bookmarkEnd w:id="138"/>
      <w:bookmarkEnd w:id="139"/>
      <w:bookmarkEnd w:id="140"/>
      <w:bookmarkEnd w:id="141"/>
      <w:bookmarkEnd w:id="142"/>
      <w:bookmarkEnd w:id="143"/>
      <w:bookmarkEnd w:id="144"/>
      <w:bookmarkEnd w:id="145"/>
    </w:p>
    <w:p w14:paraId="0C0FD10F">
      <w:pPr>
        <w:spacing w:line="360" w:lineRule="auto"/>
        <w:outlineLvl w:val="9"/>
        <w:rPr>
          <w:rFonts w:ascii="Calibri" w:hAnsi="Calibri"/>
          <w:color w:val="auto"/>
          <w:szCs w:val="21"/>
          <w:highlight w:val="none"/>
          <w:u w:val="single"/>
        </w:rPr>
      </w:pPr>
      <w:r>
        <w:rPr>
          <w:rFonts w:ascii="Calibri" w:hAnsi="宋体"/>
          <w:color w:val="auto"/>
          <w:szCs w:val="21"/>
          <w:highlight w:val="none"/>
        </w:rPr>
        <w:t>发包人（全称）：</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u w:val="single"/>
        </w:rPr>
        <w:t></w:t>
      </w:r>
    </w:p>
    <w:p w14:paraId="7BD23261">
      <w:pPr>
        <w:spacing w:line="360" w:lineRule="auto"/>
        <w:outlineLvl w:val="9"/>
        <w:rPr>
          <w:rFonts w:ascii="Calibri" w:hAnsi="Calibri"/>
          <w:color w:val="auto"/>
          <w:szCs w:val="21"/>
          <w:highlight w:val="none"/>
          <w:u w:val="single"/>
        </w:rPr>
      </w:pPr>
      <w:r>
        <w:rPr>
          <w:rFonts w:ascii="Calibri" w:hAnsi="宋体"/>
          <w:color w:val="auto"/>
          <w:szCs w:val="21"/>
          <w:highlight w:val="none"/>
        </w:rPr>
        <w:t>承包人（全称）：</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u w:val="single"/>
        </w:rPr>
        <w:t></w:t>
      </w:r>
    </w:p>
    <w:p w14:paraId="7E2D451D">
      <w:pPr>
        <w:spacing w:line="360" w:lineRule="auto"/>
        <w:ind w:firstLine="420" w:firstLineChars="200"/>
        <w:outlineLvl w:val="9"/>
        <w:rPr>
          <w:rFonts w:ascii="Calibri" w:hAnsi="宋体"/>
          <w:color w:val="auto"/>
          <w:szCs w:val="21"/>
          <w:highlight w:val="none"/>
        </w:rPr>
      </w:pPr>
      <w:r>
        <w:rPr>
          <w:rFonts w:ascii="Calibri" w:hAnsi="宋体"/>
          <w:color w:val="auto"/>
          <w:szCs w:val="21"/>
          <w:highlight w:val="none"/>
        </w:rPr>
        <w:t>根据《中华人民共和国</w:t>
      </w:r>
      <w:r>
        <w:rPr>
          <w:rFonts w:hint="eastAsia" w:ascii="Calibri" w:hAnsi="宋体"/>
          <w:color w:val="auto"/>
          <w:szCs w:val="21"/>
          <w:highlight w:val="none"/>
        </w:rPr>
        <w:t>民法典</w:t>
      </w:r>
      <w:r>
        <w:rPr>
          <w:rFonts w:ascii="Calibri" w:hAnsi="宋体"/>
          <w:color w:val="auto"/>
          <w:szCs w:val="21"/>
          <w:highlight w:val="none"/>
        </w:rPr>
        <w:t>》、《中华人民共和国建筑法》及有关法律规定，遵循平等、自愿、公平和诚实信用的原则，双方就</w:t>
      </w:r>
      <w:r>
        <w:rPr>
          <w:rFonts w:ascii="Calibri" w:hAnsi="Calibri"/>
          <w:color w:val="auto"/>
          <w:szCs w:val="21"/>
          <w:highlight w:val="none"/>
          <w:u w:val="single"/>
        </w:rPr>
        <w:t xml:space="preserve">                       </w:t>
      </w:r>
      <w:r>
        <w:rPr>
          <w:rFonts w:ascii="Calibri" w:hAnsi="宋体"/>
          <w:color w:val="auto"/>
          <w:szCs w:val="21"/>
          <w:highlight w:val="none"/>
        </w:rPr>
        <w:t>工程施工及有关事项协商一致，共同达成如下协议：</w:t>
      </w:r>
      <w:bookmarkStart w:id="146" w:name="_Toc351203481"/>
    </w:p>
    <w:p w14:paraId="242CFBA0">
      <w:pPr>
        <w:spacing w:line="360" w:lineRule="auto"/>
        <w:ind w:firstLine="422" w:firstLineChars="200"/>
        <w:outlineLvl w:val="9"/>
        <w:rPr>
          <w:rFonts w:ascii="Calibri" w:hAnsi="Calibri"/>
          <w:b/>
          <w:bCs/>
          <w:color w:val="auto"/>
          <w:szCs w:val="21"/>
          <w:highlight w:val="none"/>
        </w:rPr>
      </w:pPr>
      <w:r>
        <w:rPr>
          <w:rFonts w:ascii="Calibri" w:hAnsi="宋体"/>
          <w:b/>
          <w:bCs/>
          <w:color w:val="auto"/>
          <w:szCs w:val="21"/>
          <w:highlight w:val="none"/>
        </w:rPr>
        <w:t>一、工程概况</w:t>
      </w:r>
      <w:bookmarkEnd w:id="146"/>
    </w:p>
    <w:p w14:paraId="13CEFC75">
      <w:pPr>
        <w:spacing w:line="360" w:lineRule="auto"/>
        <w:ind w:firstLine="411" w:firstLineChars="196"/>
        <w:outlineLvl w:val="9"/>
        <w:rPr>
          <w:rFonts w:ascii="Calibri" w:hAnsi="Calibri"/>
          <w:color w:val="auto"/>
          <w:szCs w:val="21"/>
          <w:highlight w:val="none"/>
          <w:u w:val="single"/>
        </w:rPr>
      </w:pPr>
      <w:r>
        <w:rPr>
          <w:rFonts w:ascii="Calibri" w:hAnsi="Calibri"/>
          <w:bCs/>
          <w:color w:val="auto"/>
          <w:szCs w:val="21"/>
          <w:highlight w:val="none"/>
        </w:rPr>
        <w:t>1.</w:t>
      </w:r>
      <w:r>
        <w:rPr>
          <w:rFonts w:hint="eastAsia" w:ascii="Calibri" w:hAnsi="Calibri"/>
          <w:bCs/>
          <w:color w:val="auto"/>
          <w:szCs w:val="21"/>
          <w:highlight w:val="none"/>
        </w:rPr>
        <w:t xml:space="preserve"> </w:t>
      </w:r>
      <w:r>
        <w:rPr>
          <w:rFonts w:ascii="Calibri" w:hAnsi="宋体"/>
          <w:bCs/>
          <w:color w:val="auto"/>
          <w:szCs w:val="21"/>
          <w:highlight w:val="none"/>
        </w:rPr>
        <w:t>工程名称</w:t>
      </w:r>
      <w:r>
        <w:rPr>
          <w:rFonts w:ascii="Calibri" w:hAnsi="宋体"/>
          <w:color w:val="auto"/>
          <w:szCs w:val="21"/>
          <w:highlight w:val="none"/>
        </w:rPr>
        <w:t>：</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rPr>
        <w:t>。</w:t>
      </w:r>
    </w:p>
    <w:p w14:paraId="298DE1E6">
      <w:pPr>
        <w:spacing w:line="360" w:lineRule="auto"/>
        <w:ind w:firstLine="411" w:firstLineChars="196"/>
        <w:outlineLvl w:val="9"/>
        <w:rPr>
          <w:rFonts w:ascii="Calibri" w:hAnsi="Calibri"/>
          <w:bCs/>
          <w:color w:val="auto"/>
          <w:szCs w:val="21"/>
          <w:highlight w:val="none"/>
        </w:rPr>
      </w:pPr>
      <w:r>
        <w:rPr>
          <w:rFonts w:ascii="Calibri" w:hAnsi="Calibri"/>
          <w:bCs/>
          <w:color w:val="auto"/>
          <w:szCs w:val="21"/>
          <w:highlight w:val="none"/>
        </w:rPr>
        <w:t>2.</w:t>
      </w:r>
      <w:r>
        <w:rPr>
          <w:rFonts w:hint="eastAsia" w:ascii="Calibri" w:hAnsi="Calibri"/>
          <w:bCs/>
          <w:color w:val="auto"/>
          <w:szCs w:val="21"/>
          <w:highlight w:val="none"/>
        </w:rPr>
        <w:t xml:space="preserve"> </w:t>
      </w:r>
      <w:r>
        <w:rPr>
          <w:rFonts w:ascii="Calibri" w:hAnsi="宋体"/>
          <w:bCs/>
          <w:color w:val="auto"/>
          <w:szCs w:val="21"/>
          <w:highlight w:val="none"/>
        </w:rPr>
        <w:t>工程地点：</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rPr>
        <w:t>。</w:t>
      </w:r>
    </w:p>
    <w:p w14:paraId="3C5526EF">
      <w:pPr>
        <w:spacing w:line="360" w:lineRule="auto"/>
        <w:ind w:firstLine="411" w:firstLineChars="196"/>
        <w:outlineLvl w:val="9"/>
        <w:rPr>
          <w:rFonts w:ascii="Calibri" w:hAnsi="Calibri"/>
          <w:bCs/>
          <w:color w:val="auto"/>
          <w:szCs w:val="21"/>
          <w:highlight w:val="none"/>
        </w:rPr>
      </w:pPr>
      <w:r>
        <w:rPr>
          <w:rFonts w:ascii="Calibri" w:hAnsi="Calibri"/>
          <w:bCs/>
          <w:color w:val="auto"/>
          <w:szCs w:val="21"/>
          <w:highlight w:val="none"/>
        </w:rPr>
        <w:t>3.</w:t>
      </w:r>
      <w:r>
        <w:rPr>
          <w:rFonts w:hint="eastAsia" w:ascii="Calibri" w:hAnsi="Calibri"/>
          <w:bCs/>
          <w:color w:val="auto"/>
          <w:szCs w:val="21"/>
          <w:highlight w:val="none"/>
        </w:rPr>
        <w:t xml:space="preserve"> </w:t>
      </w:r>
      <w:r>
        <w:rPr>
          <w:rFonts w:ascii="Calibri" w:hAnsi="宋体"/>
          <w:bCs/>
          <w:color w:val="auto"/>
          <w:szCs w:val="21"/>
          <w:highlight w:val="none"/>
        </w:rPr>
        <w:t>工程立项批准文号：</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bCs/>
          <w:color w:val="auto"/>
          <w:szCs w:val="21"/>
          <w:highlight w:val="none"/>
        </w:rPr>
        <w:t>。</w:t>
      </w:r>
    </w:p>
    <w:p w14:paraId="7B1CE5E9">
      <w:pPr>
        <w:spacing w:line="360" w:lineRule="auto"/>
        <w:ind w:firstLine="411" w:firstLineChars="196"/>
        <w:outlineLvl w:val="9"/>
        <w:rPr>
          <w:rFonts w:ascii="Calibri" w:hAnsi="Calibri"/>
          <w:bCs/>
          <w:color w:val="auto"/>
          <w:szCs w:val="21"/>
          <w:highlight w:val="none"/>
        </w:rPr>
      </w:pPr>
      <w:r>
        <w:rPr>
          <w:rFonts w:ascii="Calibri" w:hAnsi="Calibri"/>
          <w:bCs/>
          <w:color w:val="auto"/>
          <w:szCs w:val="21"/>
          <w:highlight w:val="none"/>
        </w:rPr>
        <w:t>4.</w:t>
      </w:r>
      <w:r>
        <w:rPr>
          <w:rFonts w:hint="eastAsia" w:ascii="Calibri" w:hAnsi="Calibri"/>
          <w:bCs/>
          <w:color w:val="auto"/>
          <w:szCs w:val="21"/>
          <w:highlight w:val="none"/>
        </w:rPr>
        <w:t xml:space="preserve"> </w:t>
      </w:r>
      <w:r>
        <w:rPr>
          <w:rFonts w:ascii="Calibri" w:hAnsi="宋体"/>
          <w:bCs/>
          <w:color w:val="auto"/>
          <w:szCs w:val="21"/>
          <w:highlight w:val="none"/>
        </w:rPr>
        <w:t>资金来源：</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bCs/>
          <w:color w:val="auto"/>
          <w:szCs w:val="21"/>
          <w:highlight w:val="none"/>
        </w:rPr>
        <w:t>。</w:t>
      </w:r>
    </w:p>
    <w:p w14:paraId="35AFA564">
      <w:pPr>
        <w:spacing w:line="360" w:lineRule="auto"/>
        <w:ind w:firstLine="411" w:firstLineChars="196"/>
        <w:outlineLvl w:val="9"/>
        <w:rPr>
          <w:rFonts w:ascii="Calibri" w:hAnsi="Calibri"/>
          <w:bCs/>
          <w:color w:val="auto"/>
          <w:szCs w:val="21"/>
          <w:highlight w:val="none"/>
        </w:rPr>
      </w:pPr>
      <w:r>
        <w:rPr>
          <w:rFonts w:ascii="Calibri" w:hAnsi="Calibri"/>
          <w:bCs/>
          <w:color w:val="auto"/>
          <w:szCs w:val="21"/>
          <w:highlight w:val="none"/>
        </w:rPr>
        <w:t>5.</w:t>
      </w:r>
      <w:r>
        <w:rPr>
          <w:rFonts w:hint="eastAsia" w:ascii="Calibri" w:hAnsi="Calibri"/>
          <w:bCs/>
          <w:color w:val="auto"/>
          <w:szCs w:val="21"/>
          <w:highlight w:val="none"/>
        </w:rPr>
        <w:t xml:space="preserve"> </w:t>
      </w:r>
      <w:r>
        <w:rPr>
          <w:rFonts w:ascii="Calibri" w:hAnsi="宋体"/>
          <w:bCs/>
          <w:color w:val="auto"/>
          <w:szCs w:val="21"/>
          <w:highlight w:val="none"/>
        </w:rPr>
        <w:t>工程内容：</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bCs/>
          <w:color w:val="auto"/>
          <w:szCs w:val="21"/>
          <w:highlight w:val="none"/>
        </w:rPr>
        <w:t>。</w:t>
      </w:r>
    </w:p>
    <w:p w14:paraId="4B9F081F">
      <w:pPr>
        <w:spacing w:line="360" w:lineRule="auto"/>
        <w:ind w:firstLine="411" w:firstLineChars="196"/>
        <w:outlineLvl w:val="9"/>
        <w:rPr>
          <w:rFonts w:ascii="Calibri" w:hAnsi="Calibri"/>
          <w:bCs/>
          <w:color w:val="auto"/>
          <w:szCs w:val="21"/>
          <w:highlight w:val="none"/>
        </w:rPr>
      </w:pPr>
      <w:r>
        <w:rPr>
          <w:rFonts w:ascii="Calibri" w:hAnsi="宋体"/>
          <w:color w:val="auto"/>
          <w:szCs w:val="21"/>
          <w:highlight w:val="none"/>
        </w:rPr>
        <w:t>群体工程应附《承包人承揽工程项目一览表》（附件</w:t>
      </w:r>
      <w:r>
        <w:rPr>
          <w:rFonts w:ascii="Calibri" w:hAnsi="Calibri"/>
          <w:color w:val="auto"/>
          <w:szCs w:val="21"/>
          <w:highlight w:val="none"/>
        </w:rPr>
        <w:t>1</w:t>
      </w:r>
      <w:r>
        <w:rPr>
          <w:rFonts w:ascii="Calibri" w:hAnsi="宋体"/>
          <w:color w:val="auto"/>
          <w:szCs w:val="21"/>
          <w:highlight w:val="none"/>
        </w:rPr>
        <w:t>）。</w:t>
      </w:r>
    </w:p>
    <w:p w14:paraId="26C408DA">
      <w:pPr>
        <w:spacing w:line="360" w:lineRule="auto"/>
        <w:ind w:firstLine="411" w:firstLineChars="196"/>
        <w:outlineLvl w:val="9"/>
        <w:rPr>
          <w:rFonts w:ascii="Calibri" w:hAnsi="Calibri"/>
          <w:bCs/>
          <w:color w:val="auto"/>
          <w:szCs w:val="21"/>
          <w:highlight w:val="none"/>
        </w:rPr>
      </w:pPr>
      <w:r>
        <w:rPr>
          <w:rFonts w:ascii="Calibri" w:hAnsi="Calibri"/>
          <w:bCs/>
          <w:color w:val="auto"/>
          <w:szCs w:val="21"/>
          <w:highlight w:val="none"/>
        </w:rPr>
        <w:t>6.</w:t>
      </w:r>
      <w:r>
        <w:rPr>
          <w:rFonts w:hint="eastAsia" w:ascii="Calibri" w:hAnsi="Calibri"/>
          <w:bCs/>
          <w:color w:val="auto"/>
          <w:szCs w:val="21"/>
          <w:highlight w:val="none"/>
        </w:rPr>
        <w:t xml:space="preserve"> </w:t>
      </w:r>
      <w:r>
        <w:rPr>
          <w:rFonts w:ascii="Calibri" w:hAnsi="宋体"/>
          <w:bCs/>
          <w:color w:val="auto"/>
          <w:szCs w:val="21"/>
          <w:highlight w:val="none"/>
        </w:rPr>
        <w:t>工程承包范围：</w:t>
      </w:r>
    </w:p>
    <w:p w14:paraId="48295CC9">
      <w:pPr>
        <w:spacing w:line="360" w:lineRule="auto"/>
        <w:ind w:firstLine="405" w:firstLineChars="193"/>
        <w:outlineLvl w:val="9"/>
        <w:rPr>
          <w:rFonts w:ascii="Calibri" w:hAnsi="宋体"/>
          <w:color w:val="auto"/>
          <w:szCs w:val="21"/>
          <w:highlight w:val="none"/>
        </w:rPr>
      </w:pP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宋体"/>
          <w:color w:val="auto"/>
          <w:szCs w:val="21"/>
          <w:highlight w:val="none"/>
        </w:rPr>
        <w:t>。</w:t>
      </w:r>
    </w:p>
    <w:p w14:paraId="3BD64753">
      <w:pPr>
        <w:spacing w:line="360" w:lineRule="auto"/>
        <w:ind w:firstLine="407" w:firstLineChars="193"/>
        <w:outlineLvl w:val="9"/>
        <w:rPr>
          <w:rFonts w:ascii="Calibri" w:hAnsi="Calibri"/>
          <w:b/>
          <w:bCs/>
          <w:color w:val="auto"/>
          <w:szCs w:val="21"/>
          <w:highlight w:val="none"/>
        </w:rPr>
      </w:pPr>
      <w:bookmarkStart w:id="147" w:name="_Toc351203482"/>
      <w:r>
        <w:rPr>
          <w:rFonts w:ascii="Calibri" w:hAnsi="宋体"/>
          <w:b/>
          <w:bCs/>
          <w:color w:val="auto"/>
          <w:szCs w:val="21"/>
          <w:highlight w:val="none"/>
        </w:rPr>
        <w:t>二、合同工期</w:t>
      </w:r>
      <w:bookmarkEnd w:id="147"/>
    </w:p>
    <w:p w14:paraId="185D6F13">
      <w:pPr>
        <w:spacing w:line="360" w:lineRule="auto"/>
        <w:ind w:firstLine="459"/>
        <w:outlineLvl w:val="9"/>
        <w:rPr>
          <w:rFonts w:ascii="Calibri" w:hAnsi="Calibri"/>
          <w:color w:val="auto"/>
          <w:szCs w:val="21"/>
          <w:highlight w:val="none"/>
        </w:rPr>
      </w:pPr>
      <w:r>
        <w:rPr>
          <w:rFonts w:ascii="Calibri" w:hAnsi="宋体"/>
          <w:color w:val="auto"/>
          <w:szCs w:val="21"/>
          <w:highlight w:val="none"/>
        </w:rPr>
        <w:t>计划开工日期：</w:t>
      </w:r>
      <w:r>
        <w:rPr>
          <w:rFonts w:ascii="Calibri" w:hAnsi="宋体"/>
          <w:color w:val="auto"/>
          <w:szCs w:val="21"/>
          <w:highlight w:val="none"/>
          <w:u w:val="single"/>
        </w:rPr>
        <w:t></w:t>
      </w:r>
      <w:r>
        <w:rPr>
          <w:rFonts w:ascii="Calibri" w:hAnsi="宋体"/>
          <w:color w:val="auto"/>
          <w:szCs w:val="21"/>
          <w:highlight w:val="none"/>
        </w:rPr>
        <w:t>年</w:t>
      </w:r>
      <w:r>
        <w:rPr>
          <w:rFonts w:ascii="Calibri" w:hAnsi="宋体"/>
          <w:color w:val="auto"/>
          <w:szCs w:val="21"/>
          <w:highlight w:val="none"/>
          <w:u w:val="single"/>
        </w:rPr>
        <w:t></w:t>
      </w:r>
      <w:r>
        <w:rPr>
          <w:rFonts w:ascii="Calibri" w:hAnsi="宋体"/>
          <w:color w:val="auto"/>
          <w:szCs w:val="21"/>
          <w:highlight w:val="none"/>
        </w:rPr>
        <w:t>月</w:t>
      </w:r>
      <w:r>
        <w:rPr>
          <w:rFonts w:ascii="Calibri" w:hAnsi="宋体"/>
          <w:color w:val="auto"/>
          <w:szCs w:val="21"/>
          <w:highlight w:val="none"/>
          <w:u w:val="single"/>
        </w:rPr>
        <w:t></w:t>
      </w:r>
      <w:r>
        <w:rPr>
          <w:rFonts w:ascii="Calibri" w:hAnsi="宋体"/>
          <w:color w:val="auto"/>
          <w:szCs w:val="21"/>
          <w:highlight w:val="none"/>
        </w:rPr>
        <w:t>日。</w:t>
      </w:r>
    </w:p>
    <w:p w14:paraId="0824882C">
      <w:pPr>
        <w:spacing w:line="360" w:lineRule="auto"/>
        <w:ind w:firstLine="459"/>
        <w:outlineLvl w:val="9"/>
        <w:rPr>
          <w:rFonts w:ascii="Calibri" w:hAnsi="Calibri"/>
          <w:color w:val="auto"/>
          <w:szCs w:val="21"/>
          <w:highlight w:val="none"/>
        </w:rPr>
      </w:pPr>
      <w:r>
        <w:rPr>
          <w:rFonts w:ascii="Calibri" w:hAnsi="宋体"/>
          <w:color w:val="auto"/>
          <w:szCs w:val="21"/>
          <w:highlight w:val="none"/>
        </w:rPr>
        <w:t>计划竣工日期：</w:t>
      </w:r>
      <w:r>
        <w:rPr>
          <w:rFonts w:ascii="Calibri" w:hAnsi="宋体"/>
          <w:color w:val="auto"/>
          <w:szCs w:val="21"/>
          <w:highlight w:val="none"/>
          <w:u w:val="single"/>
        </w:rPr>
        <w:t></w:t>
      </w:r>
      <w:r>
        <w:rPr>
          <w:rFonts w:ascii="Calibri" w:hAnsi="宋体"/>
          <w:color w:val="auto"/>
          <w:szCs w:val="21"/>
          <w:highlight w:val="none"/>
        </w:rPr>
        <w:t>年</w:t>
      </w:r>
      <w:r>
        <w:rPr>
          <w:rFonts w:ascii="Calibri" w:hAnsi="宋体"/>
          <w:color w:val="auto"/>
          <w:szCs w:val="21"/>
          <w:highlight w:val="none"/>
          <w:u w:val="single"/>
        </w:rPr>
        <w:t></w:t>
      </w:r>
      <w:r>
        <w:rPr>
          <w:rFonts w:ascii="Calibri" w:hAnsi="宋体"/>
          <w:color w:val="auto"/>
          <w:szCs w:val="21"/>
          <w:highlight w:val="none"/>
        </w:rPr>
        <w:t>月</w:t>
      </w:r>
      <w:r>
        <w:rPr>
          <w:rFonts w:ascii="Calibri" w:hAnsi="宋体"/>
          <w:color w:val="auto"/>
          <w:szCs w:val="21"/>
          <w:highlight w:val="none"/>
          <w:u w:val="single"/>
        </w:rPr>
        <w:t></w:t>
      </w:r>
      <w:r>
        <w:rPr>
          <w:rFonts w:ascii="Calibri" w:hAnsi="宋体"/>
          <w:color w:val="auto"/>
          <w:szCs w:val="21"/>
          <w:highlight w:val="none"/>
        </w:rPr>
        <w:t>日。</w:t>
      </w:r>
    </w:p>
    <w:p w14:paraId="6E145037">
      <w:pPr>
        <w:spacing w:line="360" w:lineRule="auto"/>
        <w:ind w:firstLine="459"/>
        <w:outlineLvl w:val="9"/>
        <w:rPr>
          <w:rFonts w:ascii="Calibri" w:hAnsi="宋体"/>
          <w:color w:val="auto"/>
          <w:szCs w:val="21"/>
          <w:highlight w:val="none"/>
        </w:rPr>
      </w:pPr>
      <w:r>
        <w:rPr>
          <w:rFonts w:ascii="Calibri" w:hAnsi="宋体"/>
          <w:color w:val="auto"/>
          <w:szCs w:val="21"/>
          <w:highlight w:val="none"/>
        </w:rPr>
        <w:t>工期总日历天数：</w:t>
      </w:r>
      <w:r>
        <w:rPr>
          <w:rFonts w:ascii="Calibri" w:hAnsi="宋体"/>
          <w:color w:val="auto"/>
          <w:szCs w:val="21"/>
          <w:highlight w:val="none"/>
          <w:u w:val="single"/>
        </w:rPr>
        <w:t></w:t>
      </w:r>
      <w:r>
        <w:rPr>
          <w:rFonts w:ascii="Calibri" w:hAnsi="宋体"/>
          <w:color w:val="auto"/>
          <w:szCs w:val="21"/>
          <w:highlight w:val="none"/>
        </w:rPr>
        <w:t>天。工期总日历天数与根据前述计划开竣工日期计算的工期天数不一致的，以工期总日历天数为准。</w:t>
      </w:r>
    </w:p>
    <w:p w14:paraId="6921FA38">
      <w:pPr>
        <w:spacing w:line="360" w:lineRule="auto"/>
        <w:ind w:firstLine="459"/>
        <w:outlineLvl w:val="9"/>
        <w:rPr>
          <w:rFonts w:ascii="Calibri" w:hAnsi="Calibri"/>
          <w:b/>
          <w:bCs/>
          <w:color w:val="auto"/>
          <w:szCs w:val="21"/>
          <w:highlight w:val="none"/>
        </w:rPr>
      </w:pPr>
      <w:bookmarkStart w:id="148" w:name="_Toc351203483"/>
      <w:r>
        <w:rPr>
          <w:rFonts w:ascii="Calibri" w:hAnsi="宋体"/>
          <w:b/>
          <w:bCs/>
          <w:color w:val="auto"/>
          <w:szCs w:val="21"/>
          <w:highlight w:val="none"/>
        </w:rPr>
        <w:t>三、质量标准</w:t>
      </w:r>
      <w:bookmarkEnd w:id="148"/>
    </w:p>
    <w:p w14:paraId="367B826B">
      <w:pPr>
        <w:spacing w:line="360" w:lineRule="auto"/>
        <w:ind w:firstLine="459"/>
        <w:outlineLvl w:val="9"/>
        <w:rPr>
          <w:rFonts w:ascii="Calibri" w:hAnsi="宋体"/>
          <w:color w:val="auto"/>
          <w:szCs w:val="21"/>
          <w:highlight w:val="none"/>
        </w:rPr>
      </w:pPr>
      <w:r>
        <w:rPr>
          <w:rFonts w:ascii="Calibri" w:hAnsi="宋体"/>
          <w:color w:val="auto"/>
          <w:szCs w:val="21"/>
          <w:highlight w:val="none"/>
        </w:rPr>
        <w:t>工程质量符合</w:t>
      </w:r>
      <w:r>
        <w:rPr>
          <w:rFonts w:ascii="Calibri" w:hAnsi="宋体"/>
          <w:color w:val="auto"/>
          <w:szCs w:val="21"/>
          <w:highlight w:val="none"/>
          <w:u w:val="single"/>
        </w:rPr>
        <w:t></w:t>
      </w:r>
      <w:r>
        <w:rPr>
          <w:rFonts w:ascii="Calibri" w:hAnsi="宋体"/>
          <w:color w:val="auto"/>
          <w:szCs w:val="21"/>
          <w:highlight w:val="none"/>
        </w:rPr>
        <w:t>标准。</w:t>
      </w:r>
    </w:p>
    <w:p w14:paraId="2A56B574">
      <w:pPr>
        <w:spacing w:line="360" w:lineRule="auto"/>
        <w:ind w:firstLine="459"/>
        <w:outlineLvl w:val="9"/>
        <w:rPr>
          <w:rFonts w:ascii="Calibri" w:hAnsi="宋体"/>
          <w:b/>
          <w:bCs/>
          <w:color w:val="auto"/>
          <w:szCs w:val="21"/>
          <w:highlight w:val="none"/>
        </w:rPr>
      </w:pPr>
      <w:bookmarkStart w:id="149" w:name="_Toc351203484"/>
      <w:r>
        <w:rPr>
          <w:rFonts w:ascii="Calibri" w:hAnsi="宋体"/>
          <w:b/>
          <w:bCs/>
          <w:color w:val="auto"/>
          <w:szCs w:val="21"/>
          <w:highlight w:val="none"/>
        </w:rPr>
        <w:t>四、签约合同价与合同价格形式</w:t>
      </w:r>
      <w:bookmarkEnd w:id="149"/>
    </w:p>
    <w:p w14:paraId="4930A3AD">
      <w:pPr>
        <w:spacing w:line="360" w:lineRule="auto"/>
        <w:ind w:firstLine="459"/>
        <w:outlineLvl w:val="9"/>
        <w:rPr>
          <w:rFonts w:ascii="Calibri" w:hAnsi="Calibri"/>
          <w:color w:val="auto"/>
          <w:szCs w:val="21"/>
          <w:highlight w:val="none"/>
        </w:rPr>
      </w:pPr>
      <w:r>
        <w:rPr>
          <w:rFonts w:ascii="Calibri" w:hAnsi="Calibri"/>
          <w:color w:val="auto"/>
          <w:szCs w:val="21"/>
          <w:highlight w:val="none"/>
        </w:rPr>
        <w:t>1.</w:t>
      </w:r>
      <w:r>
        <w:rPr>
          <w:rFonts w:hint="eastAsia" w:ascii="Calibri" w:hAnsi="Calibri"/>
          <w:color w:val="auto"/>
          <w:szCs w:val="21"/>
          <w:highlight w:val="none"/>
        </w:rPr>
        <w:t xml:space="preserve"> </w:t>
      </w:r>
      <w:r>
        <w:rPr>
          <w:rFonts w:ascii="Calibri" w:hAnsi="宋体"/>
          <w:color w:val="auto"/>
          <w:szCs w:val="21"/>
          <w:highlight w:val="none"/>
        </w:rPr>
        <w:t>签约合同价为：</w:t>
      </w:r>
    </w:p>
    <w:p w14:paraId="78FBC8F5">
      <w:pPr>
        <w:spacing w:line="360" w:lineRule="auto"/>
        <w:ind w:firstLine="525" w:firstLineChars="250"/>
        <w:outlineLvl w:val="9"/>
        <w:rPr>
          <w:rFonts w:ascii="Calibri" w:hAnsi="宋体"/>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6F069244">
      <w:pPr>
        <w:spacing w:line="360" w:lineRule="auto"/>
        <w:ind w:firstLine="525" w:firstLineChars="250"/>
        <w:outlineLvl w:val="9"/>
        <w:rPr>
          <w:rFonts w:ascii="Calibri" w:hAnsi="宋体"/>
          <w:color w:val="auto"/>
          <w:szCs w:val="21"/>
          <w:highlight w:val="none"/>
        </w:rPr>
      </w:pPr>
      <w:r>
        <w:rPr>
          <w:rFonts w:ascii="Calibri" w:hAnsi="宋体"/>
          <w:color w:val="auto"/>
          <w:szCs w:val="21"/>
          <w:highlight w:val="none"/>
        </w:rPr>
        <w:t>其中：</w:t>
      </w:r>
    </w:p>
    <w:p w14:paraId="77FC2D21">
      <w:pPr>
        <w:spacing w:line="360" w:lineRule="auto"/>
        <w:ind w:firstLine="420" w:firstLineChars="200"/>
        <w:outlineLvl w:val="9"/>
        <w:rPr>
          <w:rFonts w:ascii="Calibri" w:hAnsi="Calibri"/>
          <w:color w:val="auto"/>
          <w:szCs w:val="21"/>
          <w:highlight w:val="none"/>
        </w:rPr>
      </w:pPr>
      <w:r>
        <w:rPr>
          <w:rFonts w:hint="eastAsia" w:ascii="Calibri" w:hAnsi="宋体"/>
          <w:color w:val="auto"/>
          <w:szCs w:val="21"/>
          <w:highlight w:val="none"/>
        </w:rPr>
        <w:t>（1）</w:t>
      </w:r>
      <w:r>
        <w:rPr>
          <w:rFonts w:ascii="Calibri" w:hAnsi="宋体"/>
          <w:color w:val="auto"/>
          <w:szCs w:val="21"/>
          <w:highlight w:val="none"/>
        </w:rPr>
        <w:t>安全文明施工费：</w:t>
      </w:r>
    </w:p>
    <w:p w14:paraId="1F7363DB">
      <w:pPr>
        <w:spacing w:line="360" w:lineRule="auto"/>
        <w:ind w:left="420" w:leftChars="200" w:firstLine="525" w:firstLineChars="250"/>
        <w:outlineLvl w:val="9"/>
        <w:rPr>
          <w:rFonts w:ascii="Calibri" w:hAnsi="宋体"/>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7B6FFBBB">
      <w:pPr>
        <w:spacing w:line="360" w:lineRule="auto"/>
        <w:ind w:firstLine="420" w:firstLineChars="200"/>
        <w:outlineLvl w:val="9"/>
        <w:rPr>
          <w:rFonts w:ascii="Calibri" w:hAnsi="宋体"/>
          <w:color w:val="auto"/>
          <w:szCs w:val="21"/>
          <w:highlight w:val="none"/>
        </w:rPr>
      </w:pPr>
      <w:r>
        <w:rPr>
          <w:rFonts w:ascii="Calibri" w:hAnsi="宋体"/>
          <w:color w:val="auto"/>
          <w:szCs w:val="21"/>
          <w:highlight w:val="none"/>
        </w:rPr>
        <w:t>（</w:t>
      </w:r>
      <w:r>
        <w:rPr>
          <w:rFonts w:ascii="Calibri" w:hAnsi="Calibri"/>
          <w:color w:val="auto"/>
          <w:szCs w:val="21"/>
          <w:highlight w:val="none"/>
        </w:rPr>
        <w:t>2</w:t>
      </w:r>
      <w:r>
        <w:rPr>
          <w:rFonts w:ascii="Calibri" w:hAnsi="宋体"/>
          <w:color w:val="auto"/>
          <w:szCs w:val="21"/>
          <w:highlight w:val="none"/>
        </w:rPr>
        <w:t>）建安劳保费：</w:t>
      </w:r>
    </w:p>
    <w:p w14:paraId="5BF3A6EC">
      <w:pPr>
        <w:spacing w:line="360" w:lineRule="auto"/>
        <w:ind w:left="420" w:leftChars="200" w:firstLine="525" w:firstLineChars="250"/>
        <w:outlineLvl w:val="9"/>
        <w:rPr>
          <w:rFonts w:ascii="Calibri" w:hAnsi="Calibri"/>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6B918B3B">
      <w:pPr>
        <w:spacing w:line="360" w:lineRule="auto"/>
        <w:ind w:firstLine="420" w:firstLineChars="200"/>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3</w:t>
      </w:r>
      <w:r>
        <w:rPr>
          <w:rFonts w:ascii="Calibri" w:hAnsi="宋体"/>
          <w:color w:val="auto"/>
          <w:szCs w:val="21"/>
          <w:highlight w:val="none"/>
        </w:rPr>
        <w:t>）材料和工程设备暂估价金额：</w:t>
      </w:r>
    </w:p>
    <w:p w14:paraId="275746F0">
      <w:pPr>
        <w:spacing w:line="360" w:lineRule="auto"/>
        <w:ind w:firstLine="945" w:firstLineChars="450"/>
        <w:outlineLvl w:val="9"/>
        <w:rPr>
          <w:rFonts w:ascii="Calibri" w:hAnsi="Calibri"/>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1BF471F1">
      <w:pPr>
        <w:spacing w:line="360" w:lineRule="auto"/>
        <w:ind w:firstLine="420" w:firstLineChars="200"/>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4</w:t>
      </w:r>
      <w:r>
        <w:rPr>
          <w:rFonts w:ascii="Calibri" w:hAnsi="宋体"/>
          <w:color w:val="auto"/>
          <w:szCs w:val="21"/>
          <w:highlight w:val="none"/>
        </w:rPr>
        <w:t>）专业工程暂估价金额：</w:t>
      </w:r>
    </w:p>
    <w:p w14:paraId="7B2F04F2">
      <w:pPr>
        <w:spacing w:line="360" w:lineRule="auto"/>
        <w:ind w:firstLine="945" w:firstLineChars="450"/>
        <w:outlineLvl w:val="9"/>
        <w:rPr>
          <w:rFonts w:ascii="Calibri" w:hAnsi="Calibri"/>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2FD19BCC">
      <w:pPr>
        <w:spacing w:line="360" w:lineRule="auto"/>
        <w:ind w:firstLine="420" w:firstLineChars="200"/>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5</w:t>
      </w:r>
      <w:r>
        <w:rPr>
          <w:rFonts w:ascii="Calibri" w:hAnsi="宋体"/>
          <w:color w:val="auto"/>
          <w:szCs w:val="21"/>
          <w:highlight w:val="none"/>
        </w:rPr>
        <w:t>）暂列金额：</w:t>
      </w:r>
    </w:p>
    <w:p w14:paraId="6306A0C3">
      <w:pPr>
        <w:spacing w:line="360" w:lineRule="auto"/>
        <w:ind w:firstLine="945" w:firstLineChars="450"/>
        <w:outlineLvl w:val="9"/>
        <w:rPr>
          <w:rFonts w:ascii="Calibri" w:hAnsi="Calibri"/>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2DD4DE54">
      <w:pPr>
        <w:spacing w:line="360" w:lineRule="auto"/>
        <w:ind w:firstLine="420" w:firstLineChars="200"/>
        <w:outlineLvl w:val="9"/>
        <w:rPr>
          <w:rFonts w:ascii="Calibri" w:hAnsi="宋体"/>
          <w:color w:val="auto"/>
          <w:szCs w:val="21"/>
          <w:highlight w:val="none"/>
        </w:rPr>
      </w:pPr>
      <w:r>
        <w:rPr>
          <w:rFonts w:ascii="Calibri" w:hAnsi="Calibri"/>
          <w:color w:val="auto"/>
          <w:szCs w:val="21"/>
          <w:highlight w:val="none"/>
        </w:rPr>
        <w:t>2.</w:t>
      </w:r>
      <w:r>
        <w:rPr>
          <w:rFonts w:hint="eastAsia" w:ascii="Calibri" w:hAnsi="Calibri"/>
          <w:color w:val="auto"/>
          <w:szCs w:val="21"/>
          <w:highlight w:val="none"/>
        </w:rPr>
        <w:t xml:space="preserve"> </w:t>
      </w:r>
      <w:r>
        <w:rPr>
          <w:rFonts w:ascii="Calibri" w:hAnsi="宋体"/>
          <w:color w:val="auto"/>
          <w:szCs w:val="21"/>
          <w:highlight w:val="none"/>
        </w:rPr>
        <w:t>合同价格形式：</w:t>
      </w:r>
      <w:r>
        <w:rPr>
          <w:rFonts w:ascii="Calibri" w:hAnsi="Calibri"/>
          <w:color w:val="auto"/>
          <w:szCs w:val="21"/>
          <w:highlight w:val="non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rPr>
        <w:t>。</w:t>
      </w:r>
    </w:p>
    <w:p w14:paraId="073B0534">
      <w:pPr>
        <w:spacing w:line="360" w:lineRule="auto"/>
        <w:ind w:firstLine="422" w:firstLineChars="200"/>
        <w:outlineLvl w:val="9"/>
        <w:rPr>
          <w:rFonts w:ascii="Calibri" w:hAnsi="Calibri"/>
          <w:b/>
          <w:bCs/>
          <w:color w:val="auto"/>
          <w:szCs w:val="21"/>
          <w:highlight w:val="none"/>
        </w:rPr>
      </w:pPr>
      <w:bookmarkStart w:id="150" w:name="_Toc351203485"/>
      <w:r>
        <w:rPr>
          <w:rFonts w:ascii="Calibri" w:hAnsi="宋体"/>
          <w:b/>
          <w:bCs/>
          <w:color w:val="auto"/>
          <w:szCs w:val="21"/>
          <w:highlight w:val="none"/>
        </w:rPr>
        <w:t>五、</w:t>
      </w:r>
      <w:bookmarkEnd w:id="150"/>
      <w:r>
        <w:rPr>
          <w:rFonts w:ascii="Calibri" w:hAnsi="宋体"/>
          <w:b/>
          <w:bCs/>
          <w:color w:val="auto"/>
          <w:szCs w:val="21"/>
          <w:highlight w:val="none"/>
        </w:rPr>
        <w:t>项目经理</w:t>
      </w:r>
    </w:p>
    <w:p w14:paraId="36814798">
      <w:pPr>
        <w:spacing w:line="360" w:lineRule="auto"/>
        <w:ind w:firstLine="420" w:firstLineChars="200"/>
        <w:outlineLvl w:val="9"/>
        <w:rPr>
          <w:rFonts w:ascii="Calibri" w:hAnsi="宋体"/>
          <w:color w:val="auto"/>
          <w:szCs w:val="21"/>
          <w:highlight w:val="none"/>
        </w:rPr>
      </w:pPr>
      <w:r>
        <w:rPr>
          <w:rFonts w:ascii="Calibri" w:hAnsi="宋体"/>
          <w:color w:val="auto"/>
          <w:szCs w:val="21"/>
          <w:highlight w:val="none"/>
        </w:rPr>
        <w:t>承包人项目经理：</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宋体"/>
          <w:color w:val="auto"/>
          <w:szCs w:val="21"/>
          <w:highlight w:val="none"/>
        </w:rPr>
        <w:t>。</w:t>
      </w:r>
    </w:p>
    <w:p w14:paraId="454859EB">
      <w:pPr>
        <w:spacing w:line="360" w:lineRule="auto"/>
        <w:ind w:firstLine="422" w:firstLineChars="200"/>
        <w:outlineLvl w:val="9"/>
        <w:rPr>
          <w:rFonts w:ascii="Calibri" w:hAnsi="Calibri"/>
          <w:b/>
          <w:bCs/>
          <w:color w:val="auto"/>
          <w:szCs w:val="21"/>
          <w:highlight w:val="none"/>
        </w:rPr>
      </w:pPr>
      <w:bookmarkStart w:id="151" w:name="_Toc351203486"/>
      <w:r>
        <w:rPr>
          <w:rFonts w:ascii="Calibri" w:hAnsi="宋体"/>
          <w:b/>
          <w:bCs/>
          <w:color w:val="auto"/>
          <w:szCs w:val="21"/>
          <w:highlight w:val="none"/>
        </w:rPr>
        <w:t>六、合同文件构成</w:t>
      </w:r>
      <w:bookmarkEnd w:id="151"/>
    </w:p>
    <w:p w14:paraId="38C8D1F7">
      <w:pPr>
        <w:spacing w:line="360" w:lineRule="auto"/>
        <w:ind w:firstLine="420" w:firstLineChars="200"/>
        <w:outlineLvl w:val="9"/>
        <w:rPr>
          <w:rFonts w:ascii="Calibri" w:hAnsi="Calibri"/>
          <w:bCs/>
          <w:color w:val="auto"/>
          <w:szCs w:val="21"/>
          <w:highlight w:val="none"/>
        </w:rPr>
      </w:pPr>
      <w:r>
        <w:rPr>
          <w:rFonts w:ascii="Calibri" w:hAnsi="宋体"/>
          <w:bCs/>
          <w:color w:val="auto"/>
          <w:szCs w:val="21"/>
          <w:highlight w:val="none"/>
        </w:rPr>
        <w:t>本协议书与下列文件一起构成合同文件：</w:t>
      </w:r>
    </w:p>
    <w:p w14:paraId="765EF102">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1</w:t>
      </w:r>
      <w:r>
        <w:rPr>
          <w:rFonts w:ascii="Calibri" w:hAnsi="宋体"/>
          <w:color w:val="auto"/>
          <w:szCs w:val="21"/>
          <w:highlight w:val="none"/>
        </w:rPr>
        <w:t>）中标通知书（如果有）；</w:t>
      </w:r>
    </w:p>
    <w:p w14:paraId="148BBD2B">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2</w:t>
      </w:r>
      <w:r>
        <w:rPr>
          <w:rFonts w:ascii="Calibri" w:hAnsi="宋体"/>
          <w:color w:val="auto"/>
          <w:szCs w:val="21"/>
          <w:highlight w:val="none"/>
        </w:rPr>
        <w:t>）投标函及其附录（如果有）；</w:t>
      </w:r>
      <w:r>
        <w:rPr>
          <w:rFonts w:ascii="Calibri" w:hAnsi="Calibri"/>
          <w:color w:val="auto"/>
          <w:szCs w:val="21"/>
          <w:highlight w:val="none"/>
        </w:rPr>
        <w:t xml:space="preserve"> </w:t>
      </w:r>
    </w:p>
    <w:p w14:paraId="2F42F647">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3</w:t>
      </w:r>
      <w:r>
        <w:rPr>
          <w:rFonts w:ascii="Calibri" w:hAnsi="宋体"/>
          <w:color w:val="auto"/>
          <w:szCs w:val="21"/>
          <w:highlight w:val="none"/>
        </w:rPr>
        <w:t>）专用合同条款及其附件；</w:t>
      </w:r>
    </w:p>
    <w:p w14:paraId="2716E354">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4</w:t>
      </w:r>
      <w:r>
        <w:rPr>
          <w:rFonts w:ascii="Calibri" w:hAnsi="宋体"/>
          <w:color w:val="auto"/>
          <w:szCs w:val="21"/>
          <w:highlight w:val="none"/>
        </w:rPr>
        <w:t>）通用合同条款；</w:t>
      </w:r>
    </w:p>
    <w:p w14:paraId="5743238B">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5</w:t>
      </w:r>
      <w:r>
        <w:rPr>
          <w:rFonts w:ascii="Calibri" w:hAnsi="宋体"/>
          <w:color w:val="auto"/>
          <w:szCs w:val="21"/>
          <w:highlight w:val="none"/>
        </w:rPr>
        <w:t>）技术标准和要求；</w:t>
      </w:r>
    </w:p>
    <w:p w14:paraId="1F98746C">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6</w:t>
      </w:r>
      <w:r>
        <w:rPr>
          <w:rFonts w:ascii="Calibri" w:hAnsi="宋体"/>
          <w:color w:val="auto"/>
          <w:szCs w:val="21"/>
          <w:highlight w:val="none"/>
        </w:rPr>
        <w:t>）已标价工程量清单或预算书；</w:t>
      </w:r>
      <w:r>
        <w:rPr>
          <w:rFonts w:ascii="Calibri" w:hAnsi="Calibri"/>
          <w:color w:val="auto"/>
          <w:szCs w:val="21"/>
          <w:highlight w:val="none"/>
        </w:rPr>
        <w:t xml:space="preserve"> </w:t>
      </w:r>
    </w:p>
    <w:p w14:paraId="318FA2D6">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7</w:t>
      </w:r>
      <w:r>
        <w:rPr>
          <w:rFonts w:ascii="Calibri" w:hAnsi="宋体"/>
          <w:color w:val="auto"/>
          <w:szCs w:val="21"/>
          <w:highlight w:val="none"/>
        </w:rPr>
        <w:t>）图纸；</w:t>
      </w:r>
    </w:p>
    <w:p w14:paraId="0678577E">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8</w:t>
      </w:r>
      <w:r>
        <w:rPr>
          <w:rFonts w:ascii="Calibri" w:hAnsi="宋体"/>
          <w:color w:val="auto"/>
          <w:szCs w:val="21"/>
          <w:highlight w:val="none"/>
        </w:rPr>
        <w:t>）其他合同文件。</w:t>
      </w:r>
    </w:p>
    <w:p w14:paraId="194E6402">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在合同订立及履行过程中形成的与合同有关的文件均构成合同文件组成部分。</w:t>
      </w:r>
    </w:p>
    <w:p w14:paraId="2073349B">
      <w:pPr>
        <w:autoSpaceDE w:val="0"/>
        <w:autoSpaceDN w:val="0"/>
        <w:adjustRightInd w:val="0"/>
        <w:spacing w:line="360" w:lineRule="auto"/>
        <w:ind w:firstLine="420" w:firstLineChars="200"/>
        <w:jc w:val="left"/>
        <w:outlineLvl w:val="9"/>
        <w:rPr>
          <w:rFonts w:ascii="Calibri" w:hAnsi="宋体"/>
          <w:color w:val="auto"/>
          <w:szCs w:val="21"/>
          <w:highlight w:val="none"/>
        </w:rPr>
      </w:pPr>
      <w:r>
        <w:rPr>
          <w:rFonts w:ascii="Calibri"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2233F048">
      <w:pPr>
        <w:autoSpaceDE w:val="0"/>
        <w:autoSpaceDN w:val="0"/>
        <w:adjustRightInd w:val="0"/>
        <w:spacing w:line="360" w:lineRule="auto"/>
        <w:ind w:firstLine="422" w:firstLineChars="200"/>
        <w:jc w:val="left"/>
        <w:outlineLvl w:val="9"/>
        <w:rPr>
          <w:rFonts w:ascii="Calibri" w:hAnsi="Calibri"/>
          <w:b/>
          <w:bCs/>
          <w:color w:val="auto"/>
          <w:szCs w:val="21"/>
          <w:highlight w:val="none"/>
        </w:rPr>
      </w:pPr>
      <w:bookmarkStart w:id="152" w:name="_Toc351203487"/>
      <w:r>
        <w:rPr>
          <w:rFonts w:ascii="Calibri" w:hAnsi="宋体"/>
          <w:b/>
          <w:bCs/>
          <w:color w:val="auto"/>
          <w:szCs w:val="21"/>
          <w:highlight w:val="none"/>
        </w:rPr>
        <w:t>七、承诺</w:t>
      </w:r>
      <w:bookmarkEnd w:id="152"/>
    </w:p>
    <w:p w14:paraId="676D4A2E">
      <w:pPr>
        <w:spacing w:line="360" w:lineRule="auto"/>
        <w:ind w:firstLine="420" w:firstLineChars="200"/>
        <w:outlineLvl w:val="9"/>
        <w:rPr>
          <w:rFonts w:ascii="Calibri" w:hAnsi="Calibri"/>
          <w:bCs/>
          <w:color w:val="auto"/>
          <w:szCs w:val="21"/>
          <w:highlight w:val="none"/>
        </w:rPr>
      </w:pPr>
      <w:r>
        <w:rPr>
          <w:rFonts w:ascii="Calibri" w:hAnsi="Calibri"/>
          <w:bCs/>
          <w:color w:val="auto"/>
          <w:szCs w:val="21"/>
          <w:highlight w:val="none"/>
        </w:rPr>
        <w:t>1.</w:t>
      </w:r>
      <w:r>
        <w:rPr>
          <w:rFonts w:hint="eastAsia" w:ascii="Calibri" w:hAnsi="Calibri"/>
          <w:bCs/>
          <w:color w:val="auto"/>
          <w:szCs w:val="21"/>
          <w:highlight w:val="none"/>
        </w:rPr>
        <w:t xml:space="preserve"> </w:t>
      </w:r>
      <w:r>
        <w:rPr>
          <w:rFonts w:ascii="Calibri" w:hAnsi="宋体"/>
          <w:bCs/>
          <w:color w:val="auto"/>
          <w:szCs w:val="21"/>
          <w:highlight w:val="none"/>
        </w:rPr>
        <w:t>发包人承诺按照法律规定履行项目审批手续、筹集工程建设资金并按照合同约定的期限和方式支付合同价款。</w:t>
      </w:r>
    </w:p>
    <w:p w14:paraId="1AD2A92C">
      <w:pPr>
        <w:spacing w:line="360" w:lineRule="auto"/>
        <w:ind w:firstLine="420" w:firstLineChars="200"/>
        <w:outlineLvl w:val="9"/>
        <w:rPr>
          <w:rFonts w:ascii="Calibri" w:hAnsi="Calibri"/>
          <w:bCs/>
          <w:color w:val="auto"/>
          <w:szCs w:val="21"/>
          <w:highlight w:val="none"/>
        </w:rPr>
      </w:pPr>
      <w:r>
        <w:rPr>
          <w:rFonts w:ascii="Calibri" w:hAnsi="Calibri"/>
          <w:bCs/>
          <w:color w:val="auto"/>
          <w:szCs w:val="21"/>
          <w:highlight w:val="none"/>
        </w:rPr>
        <w:t>2.</w:t>
      </w:r>
      <w:r>
        <w:rPr>
          <w:rFonts w:hint="eastAsia" w:ascii="Calibri" w:hAnsi="Calibri"/>
          <w:bCs/>
          <w:color w:val="auto"/>
          <w:szCs w:val="21"/>
          <w:highlight w:val="none"/>
        </w:rPr>
        <w:t xml:space="preserve"> </w:t>
      </w:r>
      <w:r>
        <w:rPr>
          <w:rFonts w:ascii="Calibri" w:hAnsi="宋体"/>
          <w:bCs/>
          <w:color w:val="auto"/>
          <w:szCs w:val="21"/>
          <w:highlight w:val="none"/>
        </w:rPr>
        <w:t>承包人承诺按照法律规定及合同约定组织完成工程施工，确保工程质量和安全，不进行转包及违法分包，并在缺陷责任期及保修期内承担相应的工程维修责任。</w:t>
      </w:r>
    </w:p>
    <w:p w14:paraId="0CA1D60F">
      <w:pPr>
        <w:spacing w:line="360" w:lineRule="auto"/>
        <w:ind w:firstLine="420" w:firstLineChars="200"/>
        <w:outlineLvl w:val="9"/>
        <w:rPr>
          <w:rFonts w:ascii="Calibri" w:hAnsi="宋体"/>
          <w:bCs/>
          <w:color w:val="auto"/>
          <w:szCs w:val="21"/>
          <w:highlight w:val="none"/>
        </w:rPr>
      </w:pPr>
      <w:r>
        <w:rPr>
          <w:rFonts w:ascii="Calibri" w:hAnsi="Calibri"/>
          <w:bCs/>
          <w:color w:val="auto"/>
          <w:szCs w:val="21"/>
          <w:highlight w:val="none"/>
        </w:rPr>
        <w:t>3.</w:t>
      </w:r>
      <w:r>
        <w:rPr>
          <w:rFonts w:hint="eastAsia" w:ascii="Calibri" w:hAnsi="Calibri"/>
          <w:bCs/>
          <w:color w:val="auto"/>
          <w:szCs w:val="21"/>
          <w:highlight w:val="none"/>
        </w:rPr>
        <w:t xml:space="preserve"> </w:t>
      </w:r>
      <w:r>
        <w:rPr>
          <w:rFonts w:ascii="Calibri" w:hAnsi="宋体"/>
          <w:bCs/>
          <w:color w:val="auto"/>
          <w:szCs w:val="21"/>
          <w:highlight w:val="none"/>
        </w:rPr>
        <w:t>发包人和承包人通过招投标形式签订合同的，双方理解并承诺不再就同一工程另行签订与合同实质性内容相背离的协议。</w:t>
      </w:r>
      <w:bookmarkStart w:id="153" w:name="_Toc351203488"/>
    </w:p>
    <w:p w14:paraId="53F2F9B2">
      <w:pPr>
        <w:spacing w:line="360" w:lineRule="auto"/>
        <w:ind w:firstLine="422" w:firstLineChars="200"/>
        <w:outlineLvl w:val="9"/>
        <w:rPr>
          <w:rFonts w:ascii="Calibri" w:hAnsi="Calibri"/>
          <w:b/>
          <w:bCs/>
          <w:color w:val="auto"/>
          <w:szCs w:val="21"/>
          <w:highlight w:val="none"/>
        </w:rPr>
      </w:pPr>
      <w:r>
        <w:rPr>
          <w:rFonts w:ascii="Calibri" w:hAnsi="宋体"/>
          <w:b/>
          <w:bCs/>
          <w:color w:val="auto"/>
          <w:szCs w:val="21"/>
          <w:highlight w:val="none"/>
        </w:rPr>
        <w:t>八、词语含义</w:t>
      </w:r>
      <w:bookmarkEnd w:id="153"/>
    </w:p>
    <w:p w14:paraId="6344DB11">
      <w:pPr>
        <w:spacing w:line="360" w:lineRule="auto"/>
        <w:ind w:firstLine="420" w:firstLineChars="200"/>
        <w:outlineLvl w:val="9"/>
        <w:rPr>
          <w:rFonts w:ascii="Calibri" w:hAnsi="宋体"/>
          <w:bCs/>
          <w:color w:val="auto"/>
          <w:szCs w:val="21"/>
          <w:highlight w:val="none"/>
        </w:rPr>
      </w:pPr>
      <w:r>
        <w:rPr>
          <w:rFonts w:ascii="Calibri" w:hAnsi="宋体"/>
          <w:bCs/>
          <w:color w:val="auto"/>
          <w:szCs w:val="21"/>
          <w:highlight w:val="none"/>
        </w:rPr>
        <w:t>本协议书中词语含义与第二部分通用合同条款中赋予的含义相同。</w:t>
      </w:r>
    </w:p>
    <w:p w14:paraId="03B1B1AC">
      <w:pPr>
        <w:spacing w:line="360" w:lineRule="auto"/>
        <w:ind w:firstLine="422" w:firstLineChars="200"/>
        <w:outlineLvl w:val="9"/>
        <w:rPr>
          <w:rFonts w:ascii="Calibri" w:hAnsi="Calibri"/>
          <w:b/>
          <w:bCs/>
          <w:color w:val="auto"/>
          <w:szCs w:val="21"/>
          <w:highlight w:val="none"/>
        </w:rPr>
      </w:pPr>
      <w:bookmarkStart w:id="154" w:name="_Toc351203489"/>
      <w:r>
        <w:rPr>
          <w:rFonts w:ascii="Calibri" w:hAnsi="宋体"/>
          <w:b/>
          <w:bCs/>
          <w:color w:val="auto"/>
          <w:szCs w:val="21"/>
          <w:highlight w:val="none"/>
        </w:rPr>
        <w:t>九、签订时间</w:t>
      </w:r>
      <w:bookmarkEnd w:id="154"/>
    </w:p>
    <w:p w14:paraId="7BBC69B3">
      <w:pPr>
        <w:spacing w:line="360" w:lineRule="auto"/>
        <w:ind w:firstLine="420" w:firstLineChars="200"/>
        <w:outlineLvl w:val="9"/>
        <w:rPr>
          <w:rFonts w:ascii="Calibri" w:hAnsi="宋体"/>
          <w:bCs/>
          <w:color w:val="auto"/>
          <w:szCs w:val="21"/>
          <w:highlight w:val="none"/>
        </w:rPr>
      </w:pPr>
      <w:r>
        <w:rPr>
          <w:rFonts w:ascii="Calibri" w:hAnsi="宋体"/>
          <w:bCs/>
          <w:color w:val="auto"/>
          <w:szCs w:val="21"/>
          <w:highlight w:val="none"/>
        </w:rPr>
        <w:t>本合同于</w:t>
      </w:r>
      <w:r>
        <w:rPr>
          <w:rFonts w:ascii="Calibri" w:hAnsi="Calibri"/>
          <w:bCs/>
          <w:color w:val="auto"/>
          <w:szCs w:val="21"/>
          <w:highlight w:val="none"/>
          <w:u w:val="single"/>
        </w:rPr>
        <w:t xml:space="preserve">         </w:t>
      </w:r>
      <w:r>
        <w:rPr>
          <w:rFonts w:ascii="Calibri" w:hAnsi="宋体"/>
          <w:bCs/>
          <w:color w:val="auto"/>
          <w:szCs w:val="21"/>
          <w:highlight w:val="none"/>
        </w:rPr>
        <w:t>年</w:t>
      </w:r>
      <w:r>
        <w:rPr>
          <w:rFonts w:ascii="Calibri" w:hAnsi="Calibri"/>
          <w:bCs/>
          <w:color w:val="auto"/>
          <w:szCs w:val="21"/>
          <w:highlight w:val="none"/>
          <w:u w:val="single"/>
        </w:rPr>
        <w:t xml:space="preserve">    </w:t>
      </w:r>
      <w:r>
        <w:rPr>
          <w:rFonts w:ascii="Calibri" w:hAnsi="宋体"/>
          <w:bCs/>
          <w:color w:val="auto"/>
          <w:szCs w:val="21"/>
          <w:highlight w:val="none"/>
        </w:rPr>
        <w:t>月</w:t>
      </w:r>
      <w:r>
        <w:rPr>
          <w:rFonts w:ascii="Calibri" w:hAnsi="Calibri"/>
          <w:bCs/>
          <w:color w:val="auto"/>
          <w:szCs w:val="21"/>
          <w:highlight w:val="none"/>
          <w:u w:val="single"/>
        </w:rPr>
        <w:t xml:space="preserve">    </w:t>
      </w:r>
      <w:r>
        <w:rPr>
          <w:rFonts w:ascii="Calibri" w:hAnsi="宋体"/>
          <w:bCs/>
          <w:color w:val="auto"/>
          <w:szCs w:val="21"/>
          <w:highlight w:val="none"/>
        </w:rPr>
        <w:t>日签订。</w:t>
      </w:r>
    </w:p>
    <w:p w14:paraId="4AB64A58">
      <w:pPr>
        <w:spacing w:line="360" w:lineRule="auto"/>
        <w:ind w:firstLine="422" w:firstLineChars="200"/>
        <w:outlineLvl w:val="9"/>
        <w:rPr>
          <w:rFonts w:ascii="Calibri" w:hAnsi="Calibri"/>
          <w:b/>
          <w:bCs/>
          <w:color w:val="auto"/>
          <w:szCs w:val="21"/>
          <w:highlight w:val="none"/>
        </w:rPr>
      </w:pPr>
      <w:bookmarkStart w:id="155" w:name="_Toc351203490"/>
      <w:r>
        <w:rPr>
          <w:rFonts w:ascii="Calibri" w:hAnsi="宋体"/>
          <w:b/>
          <w:bCs/>
          <w:color w:val="auto"/>
          <w:szCs w:val="21"/>
          <w:highlight w:val="none"/>
        </w:rPr>
        <w:t>十、签订地点</w:t>
      </w:r>
      <w:bookmarkEnd w:id="155"/>
    </w:p>
    <w:p w14:paraId="6D3C4D5D">
      <w:pPr>
        <w:spacing w:line="360" w:lineRule="auto"/>
        <w:ind w:firstLine="420" w:firstLineChars="200"/>
        <w:outlineLvl w:val="9"/>
        <w:rPr>
          <w:rFonts w:ascii="Calibri" w:hAnsi="宋体"/>
          <w:bCs/>
          <w:color w:val="auto"/>
          <w:szCs w:val="21"/>
          <w:highlight w:val="none"/>
        </w:rPr>
      </w:pPr>
      <w:r>
        <w:rPr>
          <w:rFonts w:ascii="Calibri" w:hAnsi="宋体"/>
          <w:bCs/>
          <w:color w:val="auto"/>
          <w:szCs w:val="21"/>
          <w:highlight w:val="none"/>
        </w:rPr>
        <w:t>本合同在</w:t>
      </w:r>
      <w:r>
        <w:rPr>
          <w:rFonts w:ascii="Calibri" w:hAnsi="Calibri"/>
          <w:bCs/>
          <w:color w:val="auto"/>
          <w:szCs w:val="21"/>
          <w:highlight w:val="none"/>
          <w:u w:val="single"/>
        </w:rPr>
        <w:t xml:space="preserve">                                    </w:t>
      </w:r>
      <w:r>
        <w:rPr>
          <w:rFonts w:ascii="Calibri" w:hAnsi="宋体"/>
          <w:bCs/>
          <w:color w:val="auto"/>
          <w:szCs w:val="21"/>
          <w:highlight w:val="none"/>
        </w:rPr>
        <w:t>签订。</w:t>
      </w:r>
    </w:p>
    <w:p w14:paraId="0B979FCC">
      <w:pPr>
        <w:spacing w:line="360" w:lineRule="auto"/>
        <w:ind w:firstLine="422" w:firstLineChars="200"/>
        <w:outlineLvl w:val="9"/>
        <w:rPr>
          <w:rFonts w:ascii="Calibri" w:hAnsi="Calibri"/>
          <w:b/>
          <w:bCs/>
          <w:color w:val="auto"/>
          <w:szCs w:val="21"/>
          <w:highlight w:val="none"/>
        </w:rPr>
      </w:pPr>
      <w:bookmarkStart w:id="156" w:name="_Toc351203491"/>
      <w:r>
        <w:rPr>
          <w:rFonts w:ascii="Calibri" w:hAnsi="宋体"/>
          <w:b/>
          <w:bCs/>
          <w:color w:val="auto"/>
          <w:szCs w:val="21"/>
          <w:highlight w:val="none"/>
        </w:rPr>
        <w:t>十一、补充协议</w:t>
      </w:r>
      <w:bookmarkEnd w:id="156"/>
    </w:p>
    <w:p w14:paraId="5C453562">
      <w:pPr>
        <w:spacing w:line="360" w:lineRule="auto"/>
        <w:ind w:firstLine="420" w:firstLineChars="200"/>
        <w:outlineLvl w:val="9"/>
        <w:rPr>
          <w:rFonts w:ascii="Calibri" w:hAnsi="宋体"/>
          <w:bCs/>
          <w:color w:val="auto"/>
          <w:szCs w:val="21"/>
          <w:highlight w:val="none"/>
        </w:rPr>
      </w:pPr>
      <w:r>
        <w:rPr>
          <w:rFonts w:ascii="Calibri" w:hAnsi="宋体"/>
          <w:bCs/>
          <w:color w:val="auto"/>
          <w:szCs w:val="21"/>
          <w:highlight w:val="none"/>
        </w:rPr>
        <w:t>合同未尽事宜，合同当事人另行签订补充协议，补充协议是合同的组成部分。</w:t>
      </w:r>
    </w:p>
    <w:p w14:paraId="5AE57D5B">
      <w:pPr>
        <w:spacing w:line="360" w:lineRule="auto"/>
        <w:ind w:firstLine="422" w:firstLineChars="200"/>
        <w:outlineLvl w:val="9"/>
        <w:rPr>
          <w:rFonts w:ascii="Calibri" w:hAnsi="Calibri"/>
          <w:b/>
          <w:bCs/>
          <w:color w:val="auto"/>
          <w:szCs w:val="21"/>
          <w:highlight w:val="none"/>
        </w:rPr>
      </w:pPr>
      <w:bookmarkStart w:id="157" w:name="_Toc351203492"/>
      <w:r>
        <w:rPr>
          <w:rFonts w:ascii="Calibri" w:hAnsi="宋体"/>
          <w:b/>
          <w:bCs/>
          <w:color w:val="auto"/>
          <w:szCs w:val="21"/>
          <w:highlight w:val="none"/>
        </w:rPr>
        <w:t>十二、合同生效</w:t>
      </w:r>
      <w:bookmarkEnd w:id="157"/>
    </w:p>
    <w:p w14:paraId="18EB0403">
      <w:pPr>
        <w:spacing w:line="360" w:lineRule="auto"/>
        <w:ind w:firstLine="420" w:firstLineChars="200"/>
        <w:outlineLvl w:val="9"/>
        <w:rPr>
          <w:rFonts w:ascii="Calibri" w:hAnsi="宋体"/>
          <w:bCs/>
          <w:color w:val="auto"/>
          <w:szCs w:val="21"/>
          <w:highlight w:val="none"/>
        </w:rPr>
      </w:pPr>
      <w:r>
        <w:rPr>
          <w:rFonts w:ascii="Calibri" w:hAnsi="宋体"/>
          <w:bCs/>
          <w:color w:val="auto"/>
          <w:szCs w:val="21"/>
          <w:highlight w:val="none"/>
        </w:rPr>
        <w:t>本合同自</w:t>
      </w:r>
      <w:r>
        <w:rPr>
          <w:rFonts w:ascii="Calibri" w:hAnsi="Calibri"/>
          <w:bCs/>
          <w:color w:val="auto"/>
          <w:szCs w:val="21"/>
          <w:highlight w:val="none"/>
          <w:u w:val="single"/>
        </w:rPr>
        <w:t xml:space="preserve">                                   </w:t>
      </w:r>
      <w:r>
        <w:rPr>
          <w:rFonts w:ascii="Calibri" w:hAnsi="宋体"/>
          <w:bCs/>
          <w:color w:val="auto"/>
          <w:szCs w:val="21"/>
          <w:highlight w:val="none"/>
        </w:rPr>
        <w:t>生效。</w:t>
      </w:r>
    </w:p>
    <w:p w14:paraId="691CB1A6">
      <w:pPr>
        <w:spacing w:line="360" w:lineRule="auto"/>
        <w:ind w:firstLine="422" w:firstLineChars="200"/>
        <w:outlineLvl w:val="9"/>
        <w:rPr>
          <w:rFonts w:ascii="Calibri" w:hAnsi="Calibri"/>
          <w:b/>
          <w:bCs/>
          <w:color w:val="auto"/>
          <w:szCs w:val="21"/>
          <w:highlight w:val="none"/>
        </w:rPr>
      </w:pPr>
      <w:bookmarkStart w:id="158" w:name="_Toc351203493"/>
      <w:r>
        <w:rPr>
          <w:rFonts w:ascii="Calibri" w:hAnsi="宋体"/>
          <w:b/>
          <w:bCs/>
          <w:color w:val="auto"/>
          <w:szCs w:val="21"/>
          <w:highlight w:val="none"/>
        </w:rPr>
        <w:t>十三、合同份数</w:t>
      </w:r>
      <w:bookmarkEnd w:id="158"/>
    </w:p>
    <w:p w14:paraId="27FBBE2F">
      <w:pPr>
        <w:spacing w:line="360" w:lineRule="auto"/>
        <w:ind w:firstLine="420" w:firstLineChars="200"/>
        <w:outlineLvl w:val="9"/>
        <w:rPr>
          <w:rFonts w:ascii="Calibri" w:hAnsi="Calibri"/>
          <w:bCs/>
          <w:color w:val="auto"/>
          <w:szCs w:val="21"/>
          <w:highlight w:val="none"/>
        </w:rPr>
      </w:pPr>
      <w:r>
        <w:rPr>
          <w:rFonts w:ascii="Calibri" w:hAnsi="宋体"/>
          <w:bCs/>
          <w:color w:val="auto"/>
          <w:szCs w:val="21"/>
          <w:highlight w:val="none"/>
        </w:rPr>
        <w:t>本合同一式</w:t>
      </w:r>
      <w:r>
        <w:rPr>
          <w:rFonts w:ascii="Calibri" w:hAnsi="Calibri"/>
          <w:bCs/>
          <w:color w:val="auto"/>
          <w:szCs w:val="21"/>
          <w:highlight w:val="none"/>
          <w:u w:val="single"/>
        </w:rPr>
        <w:t xml:space="preserve">    </w:t>
      </w:r>
      <w:r>
        <w:rPr>
          <w:rFonts w:ascii="Calibri" w:hAnsi="宋体"/>
          <w:bCs/>
          <w:color w:val="auto"/>
          <w:szCs w:val="21"/>
          <w:highlight w:val="none"/>
        </w:rPr>
        <w:t>份，均具有同等法律效力，发包人执</w:t>
      </w:r>
      <w:r>
        <w:rPr>
          <w:rFonts w:ascii="Calibri" w:hAnsi="Calibri"/>
          <w:bCs/>
          <w:color w:val="auto"/>
          <w:szCs w:val="21"/>
          <w:highlight w:val="none"/>
          <w:u w:val="single"/>
        </w:rPr>
        <w:t xml:space="preserve">    </w:t>
      </w:r>
      <w:r>
        <w:rPr>
          <w:rFonts w:ascii="Calibri" w:hAnsi="宋体"/>
          <w:bCs/>
          <w:color w:val="auto"/>
          <w:szCs w:val="21"/>
          <w:highlight w:val="none"/>
        </w:rPr>
        <w:t>份，承包人执</w:t>
      </w:r>
      <w:r>
        <w:rPr>
          <w:rFonts w:ascii="Calibri" w:hAnsi="Calibri"/>
          <w:bCs/>
          <w:color w:val="auto"/>
          <w:szCs w:val="21"/>
          <w:highlight w:val="none"/>
          <w:u w:val="single"/>
        </w:rPr>
        <w:t xml:space="preserve">    </w:t>
      </w:r>
      <w:r>
        <w:rPr>
          <w:rFonts w:ascii="Calibri" w:hAnsi="宋体"/>
          <w:bCs/>
          <w:color w:val="auto"/>
          <w:szCs w:val="21"/>
          <w:highlight w:val="none"/>
        </w:rPr>
        <w:t>份。</w:t>
      </w:r>
    </w:p>
    <w:p w14:paraId="30FA17B1">
      <w:pPr>
        <w:spacing w:line="360" w:lineRule="auto"/>
        <w:outlineLvl w:val="9"/>
        <w:rPr>
          <w:rFonts w:ascii="Calibri" w:hAnsi="Calibri"/>
          <w:bCs/>
          <w:color w:val="auto"/>
          <w:szCs w:val="21"/>
          <w:highlight w:val="none"/>
        </w:rPr>
      </w:pPr>
    </w:p>
    <w:p w14:paraId="28064528">
      <w:pPr>
        <w:spacing w:line="360" w:lineRule="auto"/>
        <w:outlineLvl w:val="9"/>
        <w:rPr>
          <w:rFonts w:ascii="Calibri" w:hAnsi="Calibri"/>
          <w:color w:val="auto"/>
          <w:szCs w:val="21"/>
          <w:highlight w:val="none"/>
        </w:rPr>
      </w:pPr>
    </w:p>
    <w:p w14:paraId="6B67867F">
      <w:pPr>
        <w:spacing w:line="360" w:lineRule="auto"/>
        <w:outlineLvl w:val="9"/>
        <w:rPr>
          <w:rFonts w:ascii="Calibri" w:hAnsi="Calibri"/>
          <w:color w:val="auto"/>
          <w:szCs w:val="21"/>
          <w:highlight w:val="none"/>
        </w:rPr>
      </w:pPr>
      <w:r>
        <w:rPr>
          <w:rFonts w:ascii="Calibri" w:hAnsi="宋体"/>
          <w:color w:val="auto"/>
          <w:szCs w:val="21"/>
          <w:highlight w:val="none"/>
        </w:rPr>
        <w:t>发包人：</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宋体"/>
          <w:color w:val="auto"/>
          <w:szCs w:val="21"/>
          <w:highlight w:val="none"/>
        </w:rPr>
        <w:t>公章</w:t>
      </w:r>
      <w:r>
        <w:rPr>
          <w:rFonts w:hint="eastAsia" w:ascii="Calibri" w:hAnsi="Calibri"/>
          <w:color w:val="auto"/>
          <w:szCs w:val="21"/>
          <w:highlight w:val="none"/>
        </w:rPr>
        <w:t>）</w:t>
      </w:r>
      <w:r>
        <w:rPr>
          <w:rFonts w:ascii="Calibri" w:hAnsi="Calibri"/>
          <w:color w:val="auto"/>
          <w:szCs w:val="21"/>
          <w:highlight w:val="none"/>
        </w:rPr>
        <w:t xml:space="preserve">                              </w:t>
      </w:r>
      <w:r>
        <w:rPr>
          <w:rFonts w:ascii="Calibri" w:hAnsi="宋体"/>
          <w:color w:val="auto"/>
          <w:szCs w:val="21"/>
          <w:highlight w:val="none"/>
        </w:rPr>
        <w:t>承包人：</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宋体"/>
          <w:color w:val="auto"/>
          <w:szCs w:val="21"/>
          <w:highlight w:val="none"/>
        </w:rPr>
        <w:t>公章</w:t>
      </w:r>
      <w:r>
        <w:rPr>
          <w:rFonts w:hint="eastAsia" w:ascii="Calibri" w:hAnsi="Calibri"/>
          <w:color w:val="auto"/>
          <w:szCs w:val="21"/>
          <w:highlight w:val="none"/>
        </w:rPr>
        <w:t>）</w:t>
      </w:r>
    </w:p>
    <w:p w14:paraId="7901E07F">
      <w:pPr>
        <w:spacing w:line="360" w:lineRule="auto"/>
        <w:outlineLvl w:val="9"/>
        <w:rPr>
          <w:rFonts w:ascii="Calibri" w:hAnsi="Calibri"/>
          <w:color w:val="auto"/>
          <w:szCs w:val="21"/>
          <w:highlight w:val="none"/>
          <w:u w:val="single"/>
        </w:rPr>
      </w:pPr>
      <w:r>
        <w:rPr>
          <w:rFonts w:ascii="Calibri" w:hAnsi="Calibri"/>
          <w:color w:val="auto"/>
          <w:szCs w:val="21"/>
          <w:highlight w:val="none"/>
        </w:rPr>
        <w:t xml:space="preserve">                                 </w:t>
      </w:r>
    </w:p>
    <w:p w14:paraId="7EA6DDB7">
      <w:pPr>
        <w:spacing w:line="360" w:lineRule="auto"/>
        <w:outlineLvl w:val="9"/>
        <w:rPr>
          <w:rFonts w:ascii="Calibri" w:hAnsi="Calibri"/>
          <w:color w:val="auto"/>
          <w:szCs w:val="21"/>
          <w:highlight w:val="none"/>
        </w:rPr>
      </w:pPr>
      <w:r>
        <w:rPr>
          <w:rFonts w:ascii="Calibri" w:hAnsi="宋体"/>
          <w:color w:val="auto"/>
          <w:szCs w:val="21"/>
          <w:highlight w:val="none"/>
        </w:rPr>
        <w:t>法定代表人或其委托代理人：</w:t>
      </w:r>
      <w:r>
        <w:rPr>
          <w:rFonts w:ascii="Calibri" w:hAnsi="Calibri"/>
          <w:color w:val="auto"/>
          <w:szCs w:val="21"/>
          <w:highlight w:val="none"/>
        </w:rPr>
        <w:t xml:space="preserve">                    </w:t>
      </w:r>
      <w:r>
        <w:rPr>
          <w:rFonts w:ascii="Calibri" w:hAnsi="宋体"/>
          <w:color w:val="auto"/>
          <w:szCs w:val="21"/>
          <w:highlight w:val="none"/>
        </w:rPr>
        <w:t>法定代表人或其委托代理人：</w:t>
      </w:r>
    </w:p>
    <w:p w14:paraId="01E7DC87">
      <w:pPr>
        <w:spacing w:line="360" w:lineRule="auto"/>
        <w:outlineLvl w:val="9"/>
        <w:rPr>
          <w:rFonts w:ascii="Calibri" w:hAnsi="Calibri"/>
          <w:color w:val="auto"/>
          <w:szCs w:val="21"/>
          <w:highlight w:val="none"/>
        </w:rPr>
      </w:pPr>
      <w:r>
        <w:rPr>
          <w:rFonts w:ascii="Calibri" w:hAnsi="宋体"/>
          <w:color w:val="auto"/>
          <w:szCs w:val="21"/>
          <w:highlight w:val="none"/>
        </w:rPr>
        <w:t>（签字）</w:t>
      </w:r>
      <w:r>
        <w:rPr>
          <w:rFonts w:ascii="Calibri" w:hAnsi="Calibri"/>
          <w:color w:val="auto"/>
          <w:szCs w:val="21"/>
          <w:highlight w:val="none"/>
        </w:rPr>
        <w:t xml:space="preserve">                                     </w:t>
      </w:r>
      <w:r>
        <w:rPr>
          <w:rFonts w:ascii="Calibri" w:hAnsi="宋体"/>
          <w:color w:val="auto"/>
          <w:szCs w:val="21"/>
          <w:highlight w:val="none"/>
        </w:rPr>
        <w:t>（签字）</w:t>
      </w:r>
    </w:p>
    <w:p w14:paraId="39429DA0">
      <w:pPr>
        <w:spacing w:line="360" w:lineRule="auto"/>
        <w:outlineLvl w:val="9"/>
        <w:rPr>
          <w:rFonts w:ascii="Calibri" w:hAnsi="Calibri"/>
          <w:color w:val="auto"/>
          <w:szCs w:val="21"/>
          <w:highlight w:val="none"/>
          <w:u w:val="single"/>
        </w:rPr>
      </w:pPr>
    </w:p>
    <w:p w14:paraId="36E602A4">
      <w:pPr>
        <w:tabs>
          <w:tab w:val="left" w:pos="4410"/>
        </w:tabs>
        <w:spacing w:line="360" w:lineRule="auto"/>
        <w:outlineLvl w:val="9"/>
        <w:rPr>
          <w:rFonts w:ascii="Calibri" w:hAnsi="Calibri"/>
          <w:color w:val="auto"/>
          <w:szCs w:val="21"/>
          <w:highlight w:val="none"/>
        </w:rPr>
      </w:pPr>
      <w:r>
        <w:rPr>
          <w:rFonts w:ascii="Calibri" w:hAnsi="宋体"/>
          <w:color w:val="auto"/>
          <w:szCs w:val="21"/>
          <w:highlight w:val="none"/>
        </w:rPr>
        <w:t>组织机构代码：</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组织机构代码：</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p>
    <w:p w14:paraId="4F55E756">
      <w:pPr>
        <w:spacing w:line="360" w:lineRule="auto"/>
        <w:outlineLvl w:val="9"/>
        <w:rPr>
          <w:rFonts w:ascii="Calibri" w:hAnsi="Calibri"/>
          <w:color w:val="auto"/>
          <w:szCs w:val="21"/>
          <w:highlight w:val="none"/>
        </w:rPr>
      </w:pPr>
      <w:r>
        <w:rPr>
          <w:rFonts w:ascii="Calibri" w:hAnsi="宋体"/>
          <w:color w:val="auto"/>
          <w:szCs w:val="21"/>
          <w:highlight w:val="none"/>
        </w:rPr>
        <w:t>地</w:t>
      </w:r>
      <w:r>
        <w:rPr>
          <w:rFonts w:ascii="Calibri" w:hAnsi="Calibri"/>
          <w:color w:val="auto"/>
          <w:szCs w:val="21"/>
          <w:highlight w:val="none"/>
        </w:rPr>
        <w:t xml:space="preserve">  </w:t>
      </w:r>
      <w:r>
        <w:rPr>
          <w:rFonts w:ascii="Calibri" w:hAnsi="宋体"/>
          <w:color w:val="auto"/>
          <w:szCs w:val="21"/>
          <w:highlight w:val="none"/>
        </w:rPr>
        <w:t>址：</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地</w:t>
      </w:r>
      <w:r>
        <w:rPr>
          <w:rFonts w:ascii="Calibri" w:hAnsi="Calibri"/>
          <w:color w:val="auto"/>
          <w:szCs w:val="21"/>
          <w:highlight w:val="none"/>
        </w:rPr>
        <w:t xml:space="preserve">  </w:t>
      </w:r>
      <w:r>
        <w:rPr>
          <w:rFonts w:ascii="Calibri" w:hAnsi="宋体"/>
          <w:color w:val="auto"/>
          <w:szCs w:val="21"/>
          <w:highlight w:val="none"/>
        </w:rPr>
        <w:t>址：</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p>
    <w:p w14:paraId="56C46D0E">
      <w:pPr>
        <w:spacing w:line="360" w:lineRule="auto"/>
        <w:outlineLvl w:val="9"/>
        <w:rPr>
          <w:rFonts w:ascii="Calibri" w:hAnsi="Calibri"/>
          <w:color w:val="auto"/>
          <w:szCs w:val="21"/>
          <w:highlight w:val="none"/>
        </w:rPr>
      </w:pPr>
      <w:r>
        <w:rPr>
          <w:rFonts w:ascii="Calibri" w:hAnsi="宋体"/>
          <w:color w:val="auto"/>
          <w:szCs w:val="21"/>
          <w:highlight w:val="none"/>
        </w:rPr>
        <w:t>邮政编码：</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邮政编码：</w:t>
      </w:r>
      <w:r>
        <w:rPr>
          <w:rFonts w:ascii="Calibri" w:hAnsi="宋体"/>
          <w:color w:val="auto"/>
          <w:szCs w:val="21"/>
          <w:highlight w:val="none"/>
          <w:u w:val="single"/>
        </w:rPr>
        <w:t></w:t>
      </w:r>
      <w:r>
        <w:rPr>
          <w:rFonts w:ascii="Calibri" w:hAnsi="Calibri"/>
          <w:color w:val="auto"/>
          <w:szCs w:val="21"/>
          <w:highlight w:val="none"/>
          <w:u w:val="single"/>
        </w:rPr>
        <w:t xml:space="preserve">   </w:t>
      </w:r>
    </w:p>
    <w:p w14:paraId="46AFBDF4">
      <w:pPr>
        <w:spacing w:line="360" w:lineRule="auto"/>
        <w:outlineLvl w:val="9"/>
        <w:rPr>
          <w:rFonts w:ascii="Calibri" w:hAnsi="Calibri"/>
          <w:color w:val="auto"/>
          <w:szCs w:val="21"/>
          <w:highlight w:val="none"/>
        </w:rPr>
      </w:pPr>
      <w:r>
        <w:rPr>
          <w:rFonts w:ascii="Calibri" w:hAnsi="宋体"/>
          <w:color w:val="auto"/>
          <w:szCs w:val="21"/>
          <w:highlight w:val="none"/>
        </w:rPr>
        <w:t>法定代表人：</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法定代表人：</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p>
    <w:p w14:paraId="2F9F8D22">
      <w:pPr>
        <w:spacing w:line="360" w:lineRule="auto"/>
        <w:outlineLvl w:val="9"/>
        <w:rPr>
          <w:rFonts w:ascii="Calibri" w:hAnsi="Calibri"/>
          <w:color w:val="auto"/>
          <w:szCs w:val="21"/>
          <w:highlight w:val="none"/>
        </w:rPr>
      </w:pPr>
      <w:r>
        <w:rPr>
          <w:rFonts w:ascii="Calibri" w:hAnsi="宋体"/>
          <w:color w:val="auto"/>
          <w:szCs w:val="21"/>
          <w:highlight w:val="none"/>
        </w:rPr>
        <w:t>委托代理人：</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委托代理人：</w:t>
      </w:r>
      <w:r>
        <w:rPr>
          <w:rFonts w:ascii="Calibri" w:hAnsi="宋体"/>
          <w:color w:val="auto"/>
          <w:szCs w:val="21"/>
          <w:highlight w:val="none"/>
          <w:u w:val="single"/>
        </w:rPr>
        <w:t></w:t>
      </w:r>
      <w:r>
        <w:rPr>
          <w:rFonts w:ascii="Calibri" w:hAnsi="Calibri"/>
          <w:color w:val="auto"/>
          <w:szCs w:val="21"/>
          <w:highlight w:val="none"/>
          <w:u w:val="single"/>
        </w:rPr>
        <w:t xml:space="preserve">             </w:t>
      </w:r>
    </w:p>
    <w:p w14:paraId="2D89B5C1">
      <w:pPr>
        <w:spacing w:line="360" w:lineRule="auto"/>
        <w:outlineLvl w:val="9"/>
        <w:rPr>
          <w:rFonts w:ascii="Calibri" w:hAnsi="Calibri"/>
          <w:color w:val="auto"/>
          <w:szCs w:val="21"/>
          <w:highlight w:val="none"/>
        </w:rPr>
      </w:pPr>
      <w:r>
        <w:rPr>
          <w:rFonts w:ascii="Calibri" w:hAnsi="宋体"/>
          <w:color w:val="auto"/>
          <w:szCs w:val="21"/>
          <w:highlight w:val="none"/>
        </w:rPr>
        <w:t>电</w:t>
      </w:r>
      <w:r>
        <w:rPr>
          <w:rFonts w:ascii="Calibri" w:hAnsi="Calibri"/>
          <w:color w:val="auto"/>
          <w:szCs w:val="21"/>
          <w:highlight w:val="none"/>
        </w:rPr>
        <w:t xml:space="preserve">  </w:t>
      </w:r>
      <w:r>
        <w:rPr>
          <w:rFonts w:ascii="Calibri" w:hAnsi="宋体"/>
          <w:color w:val="auto"/>
          <w:szCs w:val="21"/>
          <w:highlight w:val="none"/>
        </w:rPr>
        <w:t>话：</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电</w:t>
      </w:r>
      <w:r>
        <w:rPr>
          <w:rFonts w:ascii="Calibri" w:hAnsi="Calibri"/>
          <w:color w:val="auto"/>
          <w:szCs w:val="21"/>
          <w:highlight w:val="none"/>
        </w:rPr>
        <w:t xml:space="preserve">  </w:t>
      </w:r>
      <w:r>
        <w:rPr>
          <w:rFonts w:ascii="Calibri" w:hAnsi="宋体"/>
          <w:color w:val="auto"/>
          <w:szCs w:val="21"/>
          <w:highlight w:val="none"/>
        </w:rPr>
        <w:t>话：</w:t>
      </w:r>
      <w:r>
        <w:rPr>
          <w:rFonts w:ascii="Calibri" w:hAnsi="宋体"/>
          <w:color w:val="auto"/>
          <w:szCs w:val="21"/>
          <w:highlight w:val="none"/>
          <w:u w:val="single"/>
        </w:rPr>
        <w:t></w:t>
      </w:r>
      <w:r>
        <w:rPr>
          <w:rFonts w:ascii="Calibri" w:hAnsi="Calibri"/>
          <w:color w:val="auto"/>
          <w:szCs w:val="21"/>
          <w:highlight w:val="none"/>
          <w:u w:val="single"/>
        </w:rPr>
        <w:t xml:space="preserve">     </w:t>
      </w:r>
    </w:p>
    <w:p w14:paraId="5B240D89">
      <w:pPr>
        <w:spacing w:line="360" w:lineRule="auto"/>
        <w:outlineLvl w:val="9"/>
        <w:rPr>
          <w:rFonts w:ascii="Calibri" w:hAnsi="Calibri"/>
          <w:color w:val="auto"/>
          <w:szCs w:val="21"/>
          <w:highlight w:val="none"/>
        </w:rPr>
      </w:pPr>
      <w:r>
        <w:rPr>
          <w:rFonts w:ascii="Calibri" w:hAnsi="宋体"/>
          <w:color w:val="auto"/>
          <w:szCs w:val="21"/>
          <w:highlight w:val="none"/>
        </w:rPr>
        <w:t>传</w:t>
      </w:r>
      <w:r>
        <w:rPr>
          <w:rFonts w:ascii="Calibri" w:hAnsi="Calibri"/>
          <w:color w:val="auto"/>
          <w:szCs w:val="21"/>
          <w:highlight w:val="none"/>
        </w:rPr>
        <w:t xml:space="preserve">  </w:t>
      </w:r>
      <w:r>
        <w:rPr>
          <w:rFonts w:ascii="Calibri" w:hAnsi="宋体"/>
          <w:color w:val="auto"/>
          <w:szCs w:val="21"/>
          <w:highlight w:val="none"/>
        </w:rPr>
        <w:t>真：</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传</w:t>
      </w:r>
      <w:r>
        <w:rPr>
          <w:rFonts w:ascii="Calibri" w:hAnsi="Calibri"/>
          <w:color w:val="auto"/>
          <w:szCs w:val="21"/>
          <w:highlight w:val="none"/>
        </w:rPr>
        <w:t xml:space="preserve">  </w:t>
      </w:r>
      <w:r>
        <w:rPr>
          <w:rFonts w:ascii="Calibri" w:hAnsi="宋体"/>
          <w:color w:val="auto"/>
          <w:szCs w:val="21"/>
          <w:highlight w:val="none"/>
        </w:rPr>
        <w:t>真：</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p>
    <w:p w14:paraId="02DFDE45">
      <w:pPr>
        <w:spacing w:line="360" w:lineRule="auto"/>
        <w:outlineLvl w:val="9"/>
        <w:rPr>
          <w:rFonts w:ascii="Calibri" w:hAnsi="Calibri"/>
          <w:color w:val="auto"/>
          <w:szCs w:val="21"/>
          <w:highlight w:val="none"/>
        </w:rPr>
      </w:pPr>
      <w:r>
        <w:rPr>
          <w:rFonts w:ascii="Calibri" w:hAnsi="宋体"/>
          <w:color w:val="auto"/>
          <w:szCs w:val="21"/>
          <w:highlight w:val="none"/>
        </w:rPr>
        <w:t>电子信箱：</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电子信箱：</w:t>
      </w:r>
      <w:r>
        <w:rPr>
          <w:rFonts w:ascii="Calibri" w:hAnsi="宋体"/>
          <w:color w:val="auto"/>
          <w:szCs w:val="21"/>
          <w:highlight w:val="none"/>
          <w:u w:val="single"/>
        </w:rPr>
        <w:t></w:t>
      </w:r>
      <w:r>
        <w:rPr>
          <w:rFonts w:ascii="Calibri" w:hAnsi="Calibri"/>
          <w:color w:val="auto"/>
          <w:szCs w:val="21"/>
          <w:highlight w:val="none"/>
          <w:u w:val="single"/>
        </w:rPr>
        <w:t xml:space="preserve">   </w:t>
      </w:r>
    </w:p>
    <w:p w14:paraId="72A68C4C">
      <w:pPr>
        <w:spacing w:line="360" w:lineRule="auto"/>
        <w:outlineLvl w:val="9"/>
        <w:rPr>
          <w:rFonts w:ascii="Calibri" w:hAnsi="Calibri"/>
          <w:color w:val="auto"/>
          <w:szCs w:val="21"/>
          <w:highlight w:val="none"/>
        </w:rPr>
      </w:pPr>
      <w:r>
        <w:rPr>
          <w:rFonts w:ascii="Calibri" w:hAnsi="宋体"/>
          <w:color w:val="auto"/>
          <w:szCs w:val="21"/>
          <w:highlight w:val="none"/>
        </w:rPr>
        <w:t>开户银行：</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开户银行：</w:t>
      </w:r>
      <w:r>
        <w:rPr>
          <w:rFonts w:ascii="Calibri" w:hAnsi="宋体"/>
          <w:color w:val="auto"/>
          <w:szCs w:val="21"/>
          <w:highlight w:val="none"/>
          <w:u w:val="single"/>
        </w:rPr>
        <w:t></w:t>
      </w:r>
      <w:r>
        <w:rPr>
          <w:rFonts w:ascii="Calibri" w:hAnsi="Calibri"/>
          <w:color w:val="auto"/>
          <w:szCs w:val="21"/>
          <w:highlight w:val="none"/>
          <w:u w:val="single"/>
        </w:rPr>
        <w:t xml:space="preserve">   </w:t>
      </w:r>
    </w:p>
    <w:p w14:paraId="7FD0C5E5">
      <w:pPr>
        <w:outlineLvl w:val="9"/>
        <w:rPr>
          <w:rFonts w:ascii="Calibri" w:hAnsi="Calibri"/>
          <w:color w:val="auto"/>
          <w:szCs w:val="21"/>
          <w:highlight w:val="none"/>
          <w:u w:val="single"/>
        </w:rPr>
      </w:pPr>
      <w:r>
        <w:rPr>
          <w:rFonts w:ascii="Calibri" w:hAnsi="宋体"/>
          <w:color w:val="auto"/>
          <w:szCs w:val="21"/>
          <w:highlight w:val="none"/>
        </w:rPr>
        <w:t>账</w:t>
      </w:r>
      <w:r>
        <w:rPr>
          <w:rFonts w:ascii="Calibri" w:hAnsi="Calibri"/>
          <w:color w:val="auto"/>
          <w:szCs w:val="21"/>
          <w:highlight w:val="none"/>
        </w:rPr>
        <w:t xml:space="preserve">  </w:t>
      </w:r>
      <w:r>
        <w:rPr>
          <w:rFonts w:ascii="Calibri" w:hAnsi="宋体"/>
          <w:color w:val="auto"/>
          <w:szCs w:val="21"/>
          <w:highlight w:val="none"/>
        </w:rPr>
        <w:t>号：</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账</w:t>
      </w:r>
      <w:r>
        <w:rPr>
          <w:rFonts w:ascii="Calibri" w:hAnsi="Calibri"/>
          <w:color w:val="auto"/>
          <w:szCs w:val="21"/>
          <w:highlight w:val="none"/>
        </w:rPr>
        <w:t xml:space="preserve">  </w:t>
      </w:r>
      <w:r>
        <w:rPr>
          <w:rFonts w:ascii="Calibri" w:hAnsi="宋体"/>
          <w:color w:val="auto"/>
          <w:szCs w:val="21"/>
          <w:highlight w:val="none"/>
        </w:rPr>
        <w:t>号：</w:t>
      </w:r>
      <w:r>
        <w:rPr>
          <w:rFonts w:ascii="Calibri" w:hAnsi="宋体"/>
          <w:color w:val="auto"/>
          <w:szCs w:val="21"/>
          <w:highlight w:val="none"/>
          <w:u w:val="single"/>
        </w:rPr>
        <w:t></w:t>
      </w:r>
      <w:r>
        <w:rPr>
          <w:rFonts w:ascii="Calibri" w:hAnsi="Calibri"/>
          <w:color w:val="auto"/>
          <w:szCs w:val="21"/>
          <w:highlight w:val="none"/>
          <w:u w:val="single"/>
        </w:rPr>
        <w:t xml:space="preserve">     </w:t>
      </w:r>
    </w:p>
    <w:p w14:paraId="55FC667E">
      <w:pPr>
        <w:outlineLvl w:val="9"/>
        <w:rPr>
          <w:rFonts w:ascii="宋体" w:hAnsi="宋体"/>
          <w:color w:val="auto"/>
          <w:szCs w:val="21"/>
          <w:highlight w:val="none"/>
          <w:u w:val="single"/>
        </w:rPr>
      </w:pPr>
    </w:p>
    <w:p w14:paraId="07FE9E7B">
      <w:pPr>
        <w:outlineLvl w:val="9"/>
        <w:rPr>
          <w:rFonts w:ascii="Calibri" w:hAnsi="Calibri"/>
          <w:color w:val="auto"/>
          <w:sz w:val="20"/>
          <w:szCs w:val="22"/>
          <w:highlight w:val="none"/>
        </w:rPr>
      </w:pPr>
      <w:r>
        <w:rPr>
          <w:rFonts w:hint="eastAsia" w:ascii="Calibri" w:hAnsi="Calibri"/>
          <w:color w:val="auto"/>
          <w:sz w:val="20"/>
          <w:szCs w:val="22"/>
          <w:highlight w:val="none"/>
        </w:rPr>
        <w:t xml:space="preserve"> </w:t>
      </w:r>
    </w:p>
    <w:p w14:paraId="0AEB9ED4">
      <w:pPr>
        <w:pStyle w:val="37"/>
        <w:outlineLvl w:val="9"/>
        <w:rPr>
          <w:rFonts w:ascii="Calibri" w:hAnsi="Calibri"/>
          <w:color w:val="auto"/>
          <w:sz w:val="20"/>
          <w:szCs w:val="22"/>
          <w:highlight w:val="none"/>
        </w:rPr>
      </w:pPr>
    </w:p>
    <w:p w14:paraId="43E3EEFC">
      <w:pPr>
        <w:pStyle w:val="37"/>
        <w:outlineLvl w:val="9"/>
        <w:rPr>
          <w:rFonts w:ascii="Calibri" w:hAnsi="Calibri"/>
          <w:color w:val="auto"/>
          <w:sz w:val="20"/>
          <w:szCs w:val="22"/>
          <w:highlight w:val="none"/>
        </w:rPr>
      </w:pPr>
    </w:p>
    <w:p w14:paraId="2DC117DC">
      <w:pPr>
        <w:pStyle w:val="37"/>
        <w:outlineLvl w:val="9"/>
        <w:rPr>
          <w:rFonts w:ascii="Calibri" w:hAnsi="Calibri"/>
          <w:color w:val="auto"/>
          <w:sz w:val="20"/>
          <w:szCs w:val="22"/>
          <w:highlight w:val="none"/>
        </w:rPr>
      </w:pPr>
    </w:p>
    <w:p w14:paraId="1B14F9B3">
      <w:pPr>
        <w:pStyle w:val="37"/>
        <w:outlineLvl w:val="9"/>
        <w:rPr>
          <w:rFonts w:ascii="Calibri" w:hAnsi="Calibri"/>
          <w:color w:val="auto"/>
          <w:sz w:val="20"/>
          <w:szCs w:val="22"/>
          <w:highlight w:val="none"/>
        </w:rPr>
      </w:pPr>
    </w:p>
    <w:p w14:paraId="31D45434">
      <w:pPr>
        <w:pStyle w:val="37"/>
        <w:outlineLvl w:val="9"/>
        <w:rPr>
          <w:rFonts w:ascii="Calibri" w:hAnsi="Calibri"/>
          <w:color w:val="auto"/>
          <w:sz w:val="20"/>
          <w:szCs w:val="22"/>
          <w:highlight w:val="none"/>
        </w:rPr>
      </w:pPr>
    </w:p>
    <w:p w14:paraId="7BDCFB4C">
      <w:pPr>
        <w:pStyle w:val="37"/>
        <w:outlineLvl w:val="9"/>
        <w:rPr>
          <w:rFonts w:ascii="Calibri" w:hAnsi="Calibri"/>
          <w:color w:val="auto"/>
          <w:sz w:val="20"/>
          <w:szCs w:val="22"/>
          <w:highlight w:val="none"/>
        </w:rPr>
      </w:pPr>
    </w:p>
    <w:p w14:paraId="0DD1E446">
      <w:pPr>
        <w:pStyle w:val="37"/>
        <w:outlineLvl w:val="9"/>
        <w:rPr>
          <w:rFonts w:ascii="Calibri" w:hAnsi="Calibri"/>
          <w:color w:val="auto"/>
          <w:sz w:val="20"/>
          <w:szCs w:val="22"/>
          <w:highlight w:val="none"/>
        </w:rPr>
      </w:pPr>
    </w:p>
    <w:p w14:paraId="6B6018A4">
      <w:pPr>
        <w:pStyle w:val="37"/>
        <w:outlineLvl w:val="9"/>
        <w:rPr>
          <w:rFonts w:ascii="Calibri" w:hAnsi="Calibri"/>
          <w:color w:val="auto"/>
          <w:sz w:val="20"/>
          <w:szCs w:val="22"/>
          <w:highlight w:val="none"/>
        </w:rPr>
      </w:pPr>
    </w:p>
    <w:p w14:paraId="7FA6946F">
      <w:pPr>
        <w:keepNext/>
        <w:keepLines/>
        <w:spacing w:before="60" w:after="60" w:line="413" w:lineRule="auto"/>
        <w:jc w:val="center"/>
        <w:outlineLvl w:val="9"/>
        <w:rPr>
          <w:rFonts w:ascii="Arial" w:hAnsi="Arial" w:eastAsia="黑体"/>
          <w:b/>
          <w:bCs/>
          <w:color w:val="auto"/>
          <w:sz w:val="32"/>
          <w:szCs w:val="32"/>
          <w:highlight w:val="none"/>
          <w:lang w:val="zh-CN"/>
        </w:rPr>
      </w:pPr>
      <w:bookmarkStart w:id="159" w:name="_Toc4661135"/>
      <w:bookmarkStart w:id="160" w:name="_Toc256000080"/>
      <w:r>
        <w:rPr>
          <w:rFonts w:hint="eastAsia" w:ascii="Arial" w:hAnsi="Arial" w:eastAsia="黑体"/>
          <w:b/>
          <w:bCs/>
          <w:color w:val="auto"/>
          <w:sz w:val="32"/>
          <w:szCs w:val="32"/>
          <w:highlight w:val="none"/>
          <w:lang w:val="zh-CN"/>
        </w:rPr>
        <w:t>第二部分</w:t>
      </w:r>
      <w:r>
        <w:rPr>
          <w:rFonts w:ascii="Arial" w:hAnsi="Arial" w:eastAsia="黑体"/>
          <w:b/>
          <w:bCs/>
          <w:color w:val="auto"/>
          <w:sz w:val="32"/>
          <w:szCs w:val="32"/>
          <w:highlight w:val="none"/>
          <w:lang w:val="zh-CN"/>
        </w:rPr>
        <w:t xml:space="preserve"> </w:t>
      </w:r>
      <w:r>
        <w:rPr>
          <w:rFonts w:hint="eastAsia" w:ascii="Arial" w:hAnsi="Arial" w:eastAsia="黑体"/>
          <w:b/>
          <w:bCs/>
          <w:color w:val="auto"/>
          <w:sz w:val="32"/>
          <w:szCs w:val="32"/>
          <w:highlight w:val="none"/>
          <w:lang w:val="zh-CN"/>
        </w:rPr>
        <w:t>通用合同条款</w:t>
      </w:r>
      <w:bookmarkEnd w:id="159"/>
      <w:bookmarkEnd w:id="160"/>
    </w:p>
    <w:p w14:paraId="68CAEDAD">
      <w:pPr>
        <w:spacing w:line="360" w:lineRule="auto"/>
        <w:ind w:firstLine="420" w:firstLineChars="200"/>
        <w:outlineLvl w:val="9"/>
        <w:rPr>
          <w:rFonts w:ascii="Calibri" w:hAnsi="宋体"/>
          <w:color w:val="auto"/>
          <w:kern w:val="0"/>
          <w:szCs w:val="22"/>
          <w:highlight w:val="none"/>
        </w:rPr>
      </w:pPr>
    </w:p>
    <w:p w14:paraId="5B08C0CB">
      <w:pPr>
        <w:spacing w:line="360" w:lineRule="auto"/>
        <w:ind w:firstLine="422" w:firstLineChars="200"/>
        <w:outlineLvl w:val="9"/>
        <w:rPr>
          <w:rFonts w:ascii="Calibri" w:hAnsi="宋体" w:cs="宋体"/>
          <w:b/>
          <w:bCs/>
          <w:color w:val="auto"/>
          <w:kern w:val="0"/>
          <w:szCs w:val="22"/>
          <w:highlight w:val="none"/>
        </w:rPr>
      </w:pPr>
      <w:r>
        <w:rPr>
          <w:rFonts w:hint="eastAsia" w:ascii="Calibri" w:hAnsi="宋体" w:cs="宋体"/>
          <w:b/>
          <w:bCs/>
          <w:color w:val="auto"/>
          <w:kern w:val="0"/>
          <w:szCs w:val="22"/>
          <w:highlight w:val="none"/>
        </w:rPr>
        <w:t>采用《建设工程施工合同（示范文本）》（</w:t>
      </w:r>
      <w:r>
        <w:rPr>
          <w:rFonts w:ascii="Calibri" w:hAnsi="宋体"/>
          <w:b/>
          <w:bCs/>
          <w:color w:val="auto"/>
          <w:kern w:val="0"/>
          <w:szCs w:val="22"/>
          <w:highlight w:val="none"/>
        </w:rPr>
        <w:t>GF</w:t>
      </w:r>
      <w:r>
        <w:rPr>
          <w:rFonts w:ascii="Calibri" w:hAnsi="宋体" w:cs="宋体"/>
          <w:b/>
          <w:bCs/>
          <w:color w:val="auto"/>
          <w:kern w:val="0"/>
          <w:szCs w:val="22"/>
          <w:highlight w:val="none"/>
        </w:rPr>
        <w:t>—</w:t>
      </w:r>
      <w:r>
        <w:rPr>
          <w:rFonts w:hint="eastAsia" w:ascii="Calibri" w:hAnsi="宋体"/>
          <w:b/>
          <w:bCs/>
          <w:color w:val="auto"/>
          <w:kern w:val="0"/>
          <w:szCs w:val="22"/>
          <w:highlight w:val="none"/>
        </w:rPr>
        <w:t>2017</w:t>
      </w:r>
      <w:r>
        <w:rPr>
          <w:rFonts w:ascii="Calibri" w:hAnsi="宋体" w:cs="宋体"/>
          <w:b/>
          <w:bCs/>
          <w:color w:val="auto"/>
          <w:kern w:val="0"/>
          <w:szCs w:val="22"/>
          <w:highlight w:val="none"/>
        </w:rPr>
        <w:t>—</w:t>
      </w:r>
      <w:r>
        <w:rPr>
          <w:rFonts w:ascii="Calibri" w:hAnsi="宋体"/>
          <w:b/>
          <w:bCs/>
          <w:color w:val="auto"/>
          <w:kern w:val="0"/>
          <w:szCs w:val="22"/>
          <w:highlight w:val="none"/>
        </w:rPr>
        <w:t>0201</w:t>
      </w:r>
      <w:r>
        <w:rPr>
          <w:rFonts w:hint="eastAsia" w:ascii="Calibri" w:hAnsi="宋体" w:cs="宋体"/>
          <w:b/>
          <w:bCs/>
          <w:color w:val="auto"/>
          <w:kern w:val="0"/>
          <w:szCs w:val="22"/>
          <w:highlight w:val="none"/>
        </w:rPr>
        <w:t>）。</w:t>
      </w:r>
    </w:p>
    <w:p w14:paraId="4ADE29AA">
      <w:pPr>
        <w:outlineLvl w:val="9"/>
        <w:rPr>
          <w:rFonts w:ascii="Calibri" w:hAnsi="Calibri"/>
          <w:color w:val="auto"/>
          <w:szCs w:val="22"/>
          <w:highlight w:val="none"/>
        </w:rPr>
      </w:pPr>
    </w:p>
    <w:p w14:paraId="1FEE376F">
      <w:pPr>
        <w:spacing w:line="360" w:lineRule="auto"/>
        <w:jc w:val="center"/>
        <w:outlineLvl w:val="9"/>
        <w:rPr>
          <w:rFonts w:ascii="宋体" w:hAnsi="宋体" w:eastAsia="黑体"/>
          <w:b/>
          <w:bCs/>
          <w:color w:val="auto"/>
          <w:kern w:val="44"/>
          <w:sz w:val="30"/>
          <w:szCs w:val="30"/>
          <w:highlight w:val="none"/>
          <w:lang w:val="zh-CN"/>
        </w:rPr>
      </w:pPr>
      <w:bookmarkStart w:id="161" w:name="_Toc534962161"/>
      <w:bookmarkStart w:id="162" w:name="_Toc454211102"/>
      <w:bookmarkStart w:id="163" w:name="_Toc256000081"/>
      <w:bookmarkStart w:id="164" w:name="_Toc12955993"/>
      <w:bookmarkStart w:id="165" w:name="_Toc453940964"/>
      <w:bookmarkStart w:id="166" w:name="_Toc389065257"/>
      <w:bookmarkStart w:id="167" w:name="_Toc466537225"/>
      <w:bookmarkStart w:id="168" w:name="_Toc461179232"/>
      <w:bookmarkStart w:id="169" w:name="_Toc411345171"/>
      <w:bookmarkStart w:id="170" w:name="_Toc256000082"/>
      <w:r>
        <w:rPr>
          <w:rFonts w:ascii="宋体" w:hAnsi="宋体" w:eastAsia="黑体"/>
          <w:b/>
          <w:bCs/>
          <w:color w:val="auto"/>
          <w:kern w:val="44"/>
          <w:sz w:val="30"/>
          <w:szCs w:val="30"/>
          <w:highlight w:val="none"/>
          <w:lang w:val="zh-CN"/>
        </w:rPr>
        <w:t>第</w:t>
      </w:r>
      <w:r>
        <w:rPr>
          <w:rFonts w:hint="eastAsia" w:ascii="宋体" w:hAnsi="宋体" w:eastAsia="黑体"/>
          <w:b/>
          <w:bCs/>
          <w:color w:val="auto"/>
          <w:kern w:val="44"/>
          <w:sz w:val="30"/>
          <w:szCs w:val="30"/>
          <w:highlight w:val="none"/>
          <w:lang w:val="zh-CN"/>
        </w:rPr>
        <w:t>三</w:t>
      </w:r>
      <w:r>
        <w:rPr>
          <w:rFonts w:ascii="宋体" w:hAnsi="宋体" w:eastAsia="黑体"/>
          <w:b/>
          <w:bCs/>
          <w:color w:val="auto"/>
          <w:kern w:val="44"/>
          <w:sz w:val="30"/>
          <w:szCs w:val="30"/>
          <w:highlight w:val="none"/>
          <w:lang w:val="zh-CN"/>
        </w:rPr>
        <w:t>部分 专用合同条款</w:t>
      </w:r>
      <w:bookmarkEnd w:id="161"/>
      <w:bookmarkEnd w:id="162"/>
      <w:bookmarkEnd w:id="163"/>
      <w:bookmarkEnd w:id="164"/>
      <w:bookmarkEnd w:id="165"/>
      <w:bookmarkEnd w:id="166"/>
      <w:bookmarkEnd w:id="167"/>
      <w:bookmarkEnd w:id="168"/>
      <w:bookmarkEnd w:id="169"/>
      <w:bookmarkEnd w:id="170"/>
    </w:p>
    <w:p w14:paraId="1C87CCAC">
      <w:pPr>
        <w:spacing w:line="360" w:lineRule="auto"/>
        <w:jc w:val="center"/>
        <w:outlineLvl w:val="9"/>
        <w:rPr>
          <w:rFonts w:ascii="Calibri" w:hAnsi="宋体"/>
          <w:b/>
          <w:color w:val="auto"/>
          <w:kern w:val="0"/>
          <w:szCs w:val="21"/>
          <w:highlight w:val="none"/>
        </w:rPr>
      </w:pPr>
      <w:r>
        <w:rPr>
          <w:rFonts w:hint="eastAsia" w:ascii="Calibri" w:hAnsi="宋体"/>
          <w:b/>
          <w:color w:val="auto"/>
          <w:kern w:val="0"/>
          <w:szCs w:val="21"/>
          <w:highlight w:val="none"/>
        </w:rPr>
        <w:t>（注：专用合同条款每一条均应填写完整！）</w:t>
      </w:r>
    </w:p>
    <w:p w14:paraId="70FC1C44">
      <w:pPr>
        <w:keepNext/>
        <w:keepLines/>
        <w:spacing w:before="260" w:after="260" w:line="416" w:lineRule="auto"/>
        <w:outlineLvl w:val="9"/>
        <w:rPr>
          <w:rFonts w:ascii="宋体" w:hAnsi="宋体"/>
          <w:b/>
          <w:bCs/>
          <w:color w:val="auto"/>
          <w:sz w:val="32"/>
          <w:szCs w:val="32"/>
          <w:highlight w:val="none"/>
        </w:rPr>
      </w:pPr>
      <w:bookmarkStart w:id="171" w:name="_Toc453940965"/>
      <w:bookmarkStart w:id="172" w:name="_Toc472931599"/>
      <w:bookmarkStart w:id="173" w:name="_Toc411345172"/>
      <w:bookmarkStart w:id="174" w:name="_Toc529526966"/>
      <w:bookmarkStart w:id="175" w:name="_Toc351203633"/>
      <w:bookmarkStart w:id="176" w:name="_Toc470247793"/>
      <w:bookmarkStart w:id="177" w:name="_Toc373227692"/>
      <w:bookmarkStart w:id="178" w:name="_Toc389065258"/>
      <w:bookmarkStart w:id="179" w:name="_Toc461179233"/>
      <w:bookmarkStart w:id="180" w:name="_Toc454211103"/>
      <w:bookmarkStart w:id="181" w:name="_Toc531186595"/>
      <w:bookmarkStart w:id="182" w:name="_Toc529547318"/>
      <w:bookmarkStart w:id="183" w:name="_Toc530144460"/>
      <w:bookmarkStart w:id="184" w:name="_Toc373478339"/>
      <w:bookmarkStart w:id="185" w:name="_Toc280868718"/>
      <w:bookmarkStart w:id="186" w:name="_Toc267251499"/>
      <w:bookmarkStart w:id="187" w:name="_Toc267251497"/>
      <w:bookmarkStart w:id="188" w:name="_Toc267251494"/>
      <w:bookmarkStart w:id="189" w:name="_Toc267251492"/>
      <w:bookmarkStart w:id="190" w:name="_Toc267251502"/>
      <w:bookmarkStart w:id="191" w:name="_Toc267251493"/>
      <w:bookmarkStart w:id="192" w:name="_Toc267251491"/>
      <w:bookmarkStart w:id="193" w:name="_Toc267251503"/>
      <w:bookmarkStart w:id="194" w:name="_Toc267251495"/>
      <w:bookmarkStart w:id="195" w:name="_Toc267251496"/>
      <w:bookmarkStart w:id="196" w:name="_Toc267251498"/>
      <w:bookmarkStart w:id="197" w:name="_Toc267251501"/>
      <w:bookmarkStart w:id="198" w:name="_Toc267251506"/>
      <w:bookmarkStart w:id="199" w:name="_Toc267251504"/>
      <w:bookmarkStart w:id="200" w:name="_Toc267251507"/>
      <w:bookmarkStart w:id="201" w:name="_Toc267251508"/>
      <w:bookmarkStart w:id="202" w:name="_Toc267251513"/>
      <w:bookmarkStart w:id="203" w:name="_Toc267251515"/>
      <w:bookmarkStart w:id="204" w:name="_Toc267251510"/>
      <w:bookmarkStart w:id="205" w:name="_Toc267251511"/>
      <w:bookmarkStart w:id="206" w:name="_Toc267251509"/>
      <w:bookmarkStart w:id="207" w:name="_Toc267251514"/>
      <w:r>
        <w:rPr>
          <w:rFonts w:ascii="宋体" w:hAnsi="宋体"/>
          <w:b/>
          <w:bCs/>
          <w:color w:val="auto"/>
          <w:sz w:val="32"/>
          <w:szCs w:val="32"/>
          <w:highlight w:val="none"/>
        </w:rPr>
        <w:t>1</w:t>
      </w:r>
      <w:bookmarkStart w:id="208" w:name="_Toc296944495"/>
      <w:bookmarkStart w:id="209" w:name="_Toc297120456"/>
      <w:bookmarkStart w:id="210" w:name="_Toc296890984"/>
      <w:bookmarkStart w:id="211" w:name="_Toc296891196"/>
      <w:bookmarkStart w:id="212" w:name="_Toc292559866"/>
      <w:bookmarkStart w:id="213" w:name="_Toc297048342"/>
      <w:bookmarkStart w:id="214" w:name="_Toc292559361"/>
      <w:bookmarkStart w:id="215" w:name="_Toc296346657"/>
      <w:bookmarkStart w:id="216" w:name="_Toc296347155"/>
      <w:bookmarkStart w:id="217" w:name="_Toc296503156"/>
      <w:r>
        <w:rPr>
          <w:rFonts w:ascii="宋体" w:hAnsi="宋体"/>
          <w:b/>
          <w:bCs/>
          <w:color w:val="auto"/>
          <w:sz w:val="32"/>
          <w:szCs w:val="32"/>
          <w:highlight w:val="none"/>
        </w:rPr>
        <w:t>. 一般约定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bookmarkEnd w:id="208"/>
    <w:bookmarkEnd w:id="209"/>
    <w:bookmarkEnd w:id="210"/>
    <w:bookmarkEnd w:id="211"/>
    <w:bookmarkEnd w:id="212"/>
    <w:bookmarkEnd w:id="213"/>
    <w:bookmarkEnd w:id="214"/>
    <w:bookmarkEnd w:id="215"/>
    <w:bookmarkEnd w:id="216"/>
    <w:bookmarkEnd w:id="217"/>
    <w:p w14:paraId="2C383898">
      <w:pPr>
        <w:keepNext/>
        <w:keepLines/>
        <w:spacing w:before="260" w:after="260" w:line="416" w:lineRule="auto"/>
        <w:outlineLvl w:val="9"/>
        <w:rPr>
          <w:rFonts w:ascii="宋体" w:hAnsi="宋体"/>
          <w:b/>
          <w:bCs/>
          <w:color w:val="auto"/>
          <w:sz w:val="32"/>
          <w:szCs w:val="32"/>
          <w:highlight w:val="none"/>
        </w:rPr>
      </w:pPr>
      <w:bookmarkStart w:id="218" w:name="_Toc453940966"/>
      <w:bookmarkStart w:id="219" w:name="_Toc454211104"/>
      <w:bookmarkStart w:id="220" w:name="_Toc373227693"/>
      <w:bookmarkStart w:id="221" w:name="_Toc531186596"/>
      <w:bookmarkStart w:id="222" w:name="_Toc470247794"/>
      <w:bookmarkStart w:id="223" w:name="_Toc529526967"/>
      <w:bookmarkStart w:id="224" w:name="_Toc373478340"/>
      <w:bookmarkStart w:id="225" w:name="_Toc461179234"/>
      <w:bookmarkStart w:id="226" w:name="_Toc389065259"/>
      <w:bookmarkStart w:id="227" w:name="_Toc529547319"/>
      <w:bookmarkStart w:id="228" w:name="_Toc472931600"/>
      <w:bookmarkStart w:id="229" w:name="_Toc411345173"/>
      <w:bookmarkStart w:id="230" w:name="_Toc530144461"/>
      <w:r>
        <w:rPr>
          <w:rFonts w:ascii="宋体" w:hAnsi="宋体"/>
          <w:b/>
          <w:bCs/>
          <w:color w:val="auto"/>
          <w:sz w:val="32"/>
          <w:szCs w:val="32"/>
          <w:highlight w:val="none"/>
        </w:rPr>
        <w:t>1.1 词语定义</w:t>
      </w:r>
      <w:bookmarkEnd w:id="218"/>
      <w:bookmarkEnd w:id="219"/>
      <w:bookmarkEnd w:id="220"/>
      <w:bookmarkEnd w:id="221"/>
      <w:bookmarkEnd w:id="222"/>
      <w:bookmarkEnd w:id="223"/>
      <w:bookmarkEnd w:id="224"/>
      <w:bookmarkEnd w:id="225"/>
      <w:bookmarkEnd w:id="226"/>
      <w:bookmarkEnd w:id="227"/>
      <w:bookmarkEnd w:id="228"/>
      <w:bookmarkEnd w:id="229"/>
      <w:bookmarkEnd w:id="230"/>
    </w:p>
    <w:p w14:paraId="0572118B">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1.1.1</w:t>
      </w:r>
      <w:r>
        <w:rPr>
          <w:rFonts w:hint="eastAsia" w:ascii="宋体" w:hAnsi="宋体"/>
          <w:color w:val="auto"/>
          <w:kern w:val="0"/>
          <w:szCs w:val="21"/>
          <w:highlight w:val="none"/>
        </w:rPr>
        <w:t xml:space="preserve"> </w:t>
      </w:r>
      <w:r>
        <w:rPr>
          <w:rFonts w:ascii="宋体" w:hAnsi="宋体"/>
          <w:color w:val="auto"/>
          <w:kern w:val="0"/>
          <w:szCs w:val="21"/>
          <w:highlight w:val="none"/>
        </w:rPr>
        <w:t>合同</w:t>
      </w:r>
    </w:p>
    <w:p w14:paraId="30B2EE7A">
      <w:pPr>
        <w:spacing w:line="360" w:lineRule="auto"/>
        <w:outlineLvl w:val="9"/>
        <w:rPr>
          <w:rFonts w:ascii="宋体" w:hAnsi="宋体"/>
          <w:color w:val="auto"/>
          <w:kern w:val="0"/>
          <w:szCs w:val="21"/>
          <w:highlight w:val="none"/>
          <w:u w:val="single"/>
        </w:rPr>
      </w:pPr>
      <w:r>
        <w:rPr>
          <w:rFonts w:ascii="宋体" w:hAnsi="宋体"/>
          <w:color w:val="auto"/>
          <w:kern w:val="0"/>
          <w:szCs w:val="21"/>
          <w:highlight w:val="none"/>
        </w:rPr>
        <w:t>1.1.1.10</w:t>
      </w:r>
      <w:r>
        <w:rPr>
          <w:rFonts w:hint="eastAsia" w:ascii="宋体" w:hAnsi="宋体"/>
          <w:color w:val="auto"/>
          <w:kern w:val="0"/>
          <w:szCs w:val="21"/>
          <w:highlight w:val="none"/>
        </w:rPr>
        <w:t xml:space="preserve"> </w:t>
      </w:r>
      <w:r>
        <w:rPr>
          <w:rFonts w:ascii="宋体" w:hAnsi="宋体"/>
          <w:color w:val="auto"/>
          <w:kern w:val="0"/>
          <w:szCs w:val="21"/>
          <w:highlight w:val="none"/>
        </w:rPr>
        <w:t>其他合同文件包括：</w:t>
      </w:r>
      <w:r>
        <w:rPr>
          <w:rFonts w:hint="eastAsia" w:ascii="宋体" w:hAnsi="宋体"/>
          <w:color w:val="auto"/>
          <w:kern w:val="0"/>
          <w:szCs w:val="21"/>
          <w:highlight w:val="none"/>
          <w:u w:val="single"/>
        </w:rPr>
        <w:t>投标文件及其附件，招标文件（含补充通知和答疑），履约保证金缴纳证明，农民工工资保证金缴纳证明；履行合同过程中双方法定代表人书面确认的对合同内容有实质性影响的补充协议、签证、设计变更等资料。</w:t>
      </w:r>
    </w:p>
    <w:p w14:paraId="368F8961">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1.1.2 合同当事人及其他相关方</w:t>
      </w:r>
    </w:p>
    <w:p w14:paraId="3AF35AB2">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1.1.2.4</w:t>
      </w:r>
      <w:r>
        <w:rPr>
          <w:rFonts w:hint="eastAsia" w:ascii="宋体" w:hAnsi="宋体"/>
          <w:color w:val="auto"/>
          <w:szCs w:val="21"/>
          <w:highlight w:val="none"/>
        </w:rPr>
        <w:t xml:space="preserve"> </w:t>
      </w:r>
      <w:r>
        <w:rPr>
          <w:rFonts w:ascii="宋体" w:hAnsi="宋体"/>
          <w:color w:val="auto"/>
          <w:szCs w:val="21"/>
          <w:highlight w:val="none"/>
        </w:rPr>
        <w:t>监理人：</w:t>
      </w:r>
    </w:p>
    <w:p w14:paraId="6DF4B512">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Cs w:val="21"/>
          <w:highlight w:val="none"/>
          <w:u w:val="single"/>
        </w:rPr>
        <w:t>待定</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rPr>
        <w:t>；</w:t>
      </w:r>
    </w:p>
    <w:p w14:paraId="7D1E56AB">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               </w:t>
      </w:r>
      <w:r>
        <w:rPr>
          <w:rFonts w:ascii="宋体" w:hAnsi="宋体"/>
          <w:color w:val="auto"/>
          <w:szCs w:val="21"/>
          <w:highlight w:val="none"/>
        </w:rPr>
        <w:t>；</w:t>
      </w:r>
    </w:p>
    <w:p w14:paraId="131A0C34">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ascii="宋体" w:hAnsi="宋体"/>
          <w:color w:val="auto"/>
          <w:szCs w:val="21"/>
          <w:highlight w:val="none"/>
        </w:rPr>
        <w:t>；</w:t>
      </w:r>
    </w:p>
    <w:p w14:paraId="68FD2283">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w:t>
      </w:r>
      <w:r>
        <w:rPr>
          <w:rFonts w:ascii="宋体" w:hAnsi="宋体"/>
          <w:color w:val="auto"/>
          <w:szCs w:val="21"/>
          <w:highlight w:val="none"/>
        </w:rPr>
        <w:t>；</w:t>
      </w:r>
    </w:p>
    <w:p w14:paraId="010D3A3F">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14:paraId="2D648775">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1.1.2.5 设计人：</w:t>
      </w:r>
    </w:p>
    <w:p w14:paraId="2D760572">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 w:val="24"/>
          <w:szCs w:val="22"/>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5E9D9C4">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 w:val="24"/>
          <w:szCs w:val="22"/>
          <w:highlight w:val="none"/>
          <w:u w:val="single"/>
        </w:rPr>
        <w:t xml:space="preserve">             </w:t>
      </w:r>
      <w:r>
        <w:rPr>
          <w:rFonts w:ascii="宋体" w:hAnsi="宋体"/>
          <w:color w:val="auto"/>
          <w:szCs w:val="21"/>
          <w:highlight w:val="none"/>
        </w:rPr>
        <w:t>；</w:t>
      </w:r>
    </w:p>
    <w:p w14:paraId="6B294C68">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 </w:t>
      </w:r>
      <w:r>
        <w:rPr>
          <w:rFonts w:ascii="宋体" w:hAnsi="宋体"/>
          <w:color w:val="auto"/>
          <w:szCs w:val="21"/>
          <w:highlight w:val="none"/>
        </w:rPr>
        <w:t>；</w:t>
      </w:r>
    </w:p>
    <w:p w14:paraId="5EB4E928">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                </w:t>
      </w:r>
      <w:r>
        <w:rPr>
          <w:rFonts w:ascii="宋体" w:hAnsi="宋体"/>
          <w:color w:val="auto"/>
          <w:szCs w:val="21"/>
          <w:highlight w:val="none"/>
        </w:rPr>
        <w:t>；</w:t>
      </w:r>
    </w:p>
    <w:p w14:paraId="466E2ADE">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w:t>
      </w:r>
      <w:r>
        <w:rPr>
          <w:rFonts w:hint="eastAsia" w:ascii="宋体" w:hAnsi="宋体"/>
          <w:color w:val="auto"/>
          <w:sz w:val="24"/>
          <w:szCs w:val="22"/>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14:paraId="642B7D33">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1.1.3 工程和设备</w:t>
      </w:r>
    </w:p>
    <w:p w14:paraId="40F814DF">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1.1.3.7 作为施工现场组成部分的其他场所包括：</w:t>
      </w:r>
      <w:r>
        <w:rPr>
          <w:rFonts w:hint="eastAsia" w:ascii="宋体" w:hAnsi="宋体"/>
          <w:color w:val="auto"/>
          <w:szCs w:val="21"/>
          <w:highlight w:val="none"/>
          <w:u w:val="single"/>
        </w:rPr>
        <w:t>工人宿舍、施工单位项目部、监理单位项目部、材料仓库及其他临时设施（详见施工平面图）。</w:t>
      </w:r>
    </w:p>
    <w:p w14:paraId="36164DFA">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1.1.3.9 永久占地包括：</w:t>
      </w:r>
      <w:r>
        <w:rPr>
          <w:rFonts w:hint="eastAsia" w:ascii="宋体" w:hAnsi="宋体"/>
          <w:color w:val="auto"/>
          <w:szCs w:val="21"/>
          <w:highlight w:val="none"/>
          <w:u w:val="single"/>
        </w:rPr>
        <w:t>依据设计图纸确定</w:t>
      </w:r>
      <w:r>
        <w:rPr>
          <w:rFonts w:ascii="宋体" w:hAnsi="宋体"/>
          <w:color w:val="auto"/>
          <w:kern w:val="0"/>
          <w:szCs w:val="21"/>
          <w:highlight w:val="none"/>
        </w:rPr>
        <w:t>。</w:t>
      </w:r>
    </w:p>
    <w:p w14:paraId="2055540D">
      <w:pPr>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1.1.3.10 临时占地包括：</w:t>
      </w:r>
      <w:r>
        <w:rPr>
          <w:rFonts w:hint="eastAsia" w:ascii="宋体" w:hAnsi="宋体"/>
          <w:color w:val="auto"/>
          <w:kern w:val="0"/>
          <w:szCs w:val="21"/>
          <w:highlight w:val="none"/>
          <w:u w:val="single"/>
        </w:rPr>
        <w:t>发包人临时征用的取土和弃土场地，</w:t>
      </w:r>
      <w:r>
        <w:rPr>
          <w:rFonts w:hint="eastAsia" w:ascii="宋体" w:hAnsi="宋体"/>
          <w:color w:val="auto"/>
          <w:szCs w:val="21"/>
          <w:highlight w:val="none"/>
          <w:u w:val="single"/>
        </w:rPr>
        <w:t>以及承包人自行承担且为本工程服务的工人宿舍、施工单位项目部、监理单位项目部、材料仓库，其他为本工程服务的临时设施。</w:t>
      </w:r>
    </w:p>
    <w:p w14:paraId="6B18F708">
      <w:pPr>
        <w:keepNext/>
        <w:keepLines/>
        <w:spacing w:before="260" w:after="260" w:line="416" w:lineRule="auto"/>
        <w:outlineLvl w:val="9"/>
        <w:rPr>
          <w:rFonts w:ascii="宋体" w:hAnsi="宋体"/>
          <w:b/>
          <w:bCs/>
          <w:color w:val="auto"/>
          <w:sz w:val="32"/>
          <w:szCs w:val="32"/>
          <w:highlight w:val="none"/>
        </w:rPr>
      </w:pPr>
      <w:bookmarkStart w:id="231" w:name="_Toc454211105"/>
      <w:bookmarkStart w:id="232" w:name="_Toc530144462"/>
      <w:bookmarkStart w:id="233" w:name="_Toc373227694"/>
      <w:bookmarkStart w:id="234" w:name="_Toc529547320"/>
      <w:bookmarkStart w:id="235" w:name="_Toc472931601"/>
      <w:bookmarkStart w:id="236" w:name="_Toc529526968"/>
      <w:bookmarkStart w:id="237" w:name="_Toc389065260"/>
      <w:bookmarkStart w:id="238" w:name="_Toc453940967"/>
      <w:bookmarkStart w:id="239" w:name="_Toc373478341"/>
      <w:bookmarkStart w:id="240" w:name="_Toc531186597"/>
      <w:bookmarkStart w:id="241" w:name="_Toc461179235"/>
      <w:bookmarkStart w:id="242" w:name="_Toc470247795"/>
      <w:bookmarkStart w:id="243" w:name="_Toc411345174"/>
      <w:r>
        <w:rPr>
          <w:rFonts w:ascii="宋体" w:hAnsi="宋体"/>
          <w:b/>
          <w:bCs/>
          <w:color w:val="auto"/>
          <w:sz w:val="32"/>
          <w:szCs w:val="32"/>
          <w:highlight w:val="none"/>
        </w:rPr>
        <w:t>1.3</w:t>
      </w:r>
      <w:r>
        <w:rPr>
          <w:rFonts w:hint="eastAsia" w:ascii="宋体" w:hAnsi="宋体"/>
          <w:b/>
          <w:bCs/>
          <w:color w:val="auto"/>
          <w:sz w:val="32"/>
          <w:szCs w:val="32"/>
          <w:highlight w:val="none"/>
        </w:rPr>
        <w:t xml:space="preserve"> </w:t>
      </w:r>
      <w:r>
        <w:rPr>
          <w:rFonts w:ascii="宋体" w:hAnsi="宋体"/>
          <w:b/>
          <w:bCs/>
          <w:color w:val="auto"/>
          <w:sz w:val="32"/>
          <w:szCs w:val="32"/>
          <w:highlight w:val="none"/>
        </w:rPr>
        <w:t>法律</w:t>
      </w:r>
      <w:bookmarkEnd w:id="231"/>
      <w:bookmarkEnd w:id="232"/>
      <w:bookmarkEnd w:id="233"/>
      <w:bookmarkEnd w:id="234"/>
      <w:bookmarkEnd w:id="235"/>
      <w:bookmarkEnd w:id="236"/>
      <w:bookmarkEnd w:id="237"/>
      <w:bookmarkEnd w:id="238"/>
      <w:bookmarkEnd w:id="239"/>
      <w:bookmarkEnd w:id="240"/>
      <w:bookmarkEnd w:id="241"/>
      <w:bookmarkEnd w:id="242"/>
      <w:bookmarkEnd w:id="243"/>
    </w:p>
    <w:p w14:paraId="4F62DC39">
      <w:pPr>
        <w:autoSpaceDE w:val="0"/>
        <w:autoSpaceDN w:val="0"/>
        <w:adjustRightInd w:val="0"/>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适用于合同的其他规范性文件：</w:t>
      </w:r>
      <w:r>
        <w:rPr>
          <w:rFonts w:hint="eastAsia" w:ascii="宋体" w:hAnsi="宋体"/>
          <w:color w:val="auto"/>
          <w:szCs w:val="21"/>
          <w:highlight w:val="none"/>
          <w:u w:val="single"/>
        </w:rPr>
        <w:t>工程所在地的政府及相关主管部门制定的规范性文件。</w:t>
      </w:r>
    </w:p>
    <w:p w14:paraId="7D64C8AD">
      <w:pPr>
        <w:keepNext/>
        <w:keepLines/>
        <w:spacing w:before="260" w:after="260" w:line="416" w:lineRule="auto"/>
        <w:outlineLvl w:val="9"/>
        <w:rPr>
          <w:rFonts w:ascii="宋体" w:hAnsi="宋体"/>
          <w:b/>
          <w:bCs/>
          <w:color w:val="auto"/>
          <w:sz w:val="32"/>
          <w:szCs w:val="32"/>
          <w:highlight w:val="none"/>
        </w:rPr>
      </w:pPr>
      <w:bookmarkStart w:id="244" w:name="_Toc530144463"/>
      <w:bookmarkStart w:id="245" w:name="_Toc373478342"/>
      <w:bookmarkStart w:id="246" w:name="_Toc531186598"/>
      <w:bookmarkStart w:id="247" w:name="_Toc373227695"/>
      <w:bookmarkStart w:id="248" w:name="_Toc411345175"/>
      <w:bookmarkStart w:id="249" w:name="_Toc389065261"/>
      <w:bookmarkStart w:id="250" w:name="_Toc472931602"/>
      <w:bookmarkStart w:id="251" w:name="_Toc470247796"/>
      <w:bookmarkStart w:id="252" w:name="_Toc454211106"/>
      <w:bookmarkStart w:id="253" w:name="_Toc529526969"/>
      <w:bookmarkStart w:id="254" w:name="_Toc529547321"/>
      <w:bookmarkStart w:id="255" w:name="_Toc461179236"/>
      <w:bookmarkStart w:id="256" w:name="_Toc453940968"/>
      <w:r>
        <w:rPr>
          <w:rFonts w:ascii="宋体" w:hAnsi="宋体"/>
          <w:b/>
          <w:bCs/>
          <w:color w:val="auto"/>
          <w:sz w:val="32"/>
          <w:szCs w:val="32"/>
          <w:highlight w:val="none"/>
        </w:rPr>
        <w:t>1.4 标准和规范</w:t>
      </w:r>
      <w:bookmarkEnd w:id="244"/>
      <w:bookmarkEnd w:id="245"/>
      <w:bookmarkEnd w:id="246"/>
      <w:bookmarkEnd w:id="247"/>
      <w:bookmarkEnd w:id="248"/>
      <w:bookmarkEnd w:id="249"/>
      <w:bookmarkEnd w:id="250"/>
      <w:bookmarkEnd w:id="251"/>
      <w:bookmarkEnd w:id="252"/>
      <w:bookmarkEnd w:id="253"/>
      <w:bookmarkEnd w:id="254"/>
      <w:bookmarkEnd w:id="255"/>
      <w:bookmarkEnd w:id="256"/>
    </w:p>
    <w:p w14:paraId="6ABEB923">
      <w:pPr>
        <w:spacing w:line="360" w:lineRule="auto"/>
        <w:outlineLvl w:val="9"/>
        <w:rPr>
          <w:rFonts w:ascii="宋体" w:hAnsi="宋体"/>
          <w:color w:val="auto"/>
          <w:szCs w:val="21"/>
          <w:highlight w:val="none"/>
        </w:rPr>
      </w:pPr>
      <w:r>
        <w:rPr>
          <w:rFonts w:ascii="宋体" w:hAnsi="宋体"/>
          <w:color w:val="auto"/>
          <w:szCs w:val="21"/>
          <w:highlight w:val="none"/>
        </w:rPr>
        <w:t>1.4.1</w:t>
      </w:r>
      <w:r>
        <w:rPr>
          <w:rFonts w:hint="eastAsia" w:ascii="宋体" w:hAnsi="宋体"/>
          <w:color w:val="auto"/>
          <w:szCs w:val="21"/>
          <w:highlight w:val="none"/>
        </w:rPr>
        <w:t xml:space="preserve"> </w:t>
      </w:r>
      <w:r>
        <w:rPr>
          <w:rFonts w:ascii="宋体" w:hAnsi="宋体"/>
          <w:color w:val="auto"/>
          <w:szCs w:val="21"/>
          <w:highlight w:val="none"/>
        </w:rPr>
        <w:t>适用于工程的标准规范包括：</w:t>
      </w:r>
      <w:r>
        <w:rPr>
          <w:rFonts w:ascii="宋体" w:hAnsi="宋体"/>
          <w:color w:val="auto"/>
          <w:szCs w:val="21"/>
          <w:highlight w:val="none"/>
          <w:u w:val="single"/>
        </w:rPr>
        <w:t></w:t>
      </w:r>
      <w:r>
        <w:rPr>
          <w:rFonts w:hint="eastAsia" w:ascii="宋体" w:hAnsi="宋体"/>
          <w:color w:val="auto"/>
          <w:szCs w:val="21"/>
          <w:highlight w:val="none"/>
          <w:u w:val="single"/>
        </w:rPr>
        <w:t>按通用合同条款</w:t>
      </w:r>
      <w:r>
        <w:rPr>
          <w:rFonts w:hint="eastAsia" w:ascii="宋体" w:hAnsi="宋体"/>
          <w:b/>
          <w:bCs/>
          <w:color w:val="auto"/>
          <w:szCs w:val="21"/>
          <w:highlight w:val="none"/>
          <w:u w:val="single"/>
        </w:rPr>
        <w:t>1.4</w:t>
      </w:r>
      <w:r>
        <w:rPr>
          <w:rFonts w:hint="eastAsia" w:ascii="宋体" w:hAnsi="宋体"/>
          <w:color w:val="auto"/>
          <w:szCs w:val="21"/>
          <w:highlight w:val="none"/>
          <w:u w:val="single"/>
        </w:rPr>
        <w:t>条执行</w:t>
      </w:r>
      <w:r>
        <w:rPr>
          <w:rFonts w:ascii="宋体" w:hAnsi="宋体"/>
          <w:color w:val="auto"/>
          <w:szCs w:val="21"/>
          <w:highlight w:val="none"/>
        </w:rPr>
        <w:t>。</w:t>
      </w:r>
    </w:p>
    <w:p w14:paraId="722FAAA6">
      <w:pPr>
        <w:spacing w:line="360" w:lineRule="auto"/>
        <w:outlineLvl w:val="9"/>
        <w:rPr>
          <w:rFonts w:ascii="宋体" w:hAnsi="宋体"/>
          <w:color w:val="auto"/>
          <w:kern w:val="0"/>
          <w:szCs w:val="21"/>
          <w:highlight w:val="none"/>
        </w:rPr>
      </w:pPr>
      <w:r>
        <w:rPr>
          <w:rFonts w:ascii="宋体" w:hAnsi="宋体"/>
          <w:color w:val="auto"/>
          <w:kern w:val="0"/>
          <w:szCs w:val="21"/>
          <w:highlight w:val="none"/>
        </w:rPr>
        <w:t>1.4.2 发包人提供国外标准、规范的名称：</w:t>
      </w:r>
      <w:r>
        <w:rPr>
          <w:rFonts w:hint="eastAsia" w:ascii="宋体" w:hAnsi="宋体"/>
          <w:color w:val="auto"/>
          <w:szCs w:val="21"/>
          <w:highlight w:val="none"/>
          <w:u w:val="single"/>
        </w:rPr>
        <w:t>无</w:t>
      </w:r>
      <w:r>
        <w:rPr>
          <w:rFonts w:hint="eastAsia" w:ascii="宋体" w:hAnsi="宋体"/>
          <w:color w:val="auto"/>
          <w:szCs w:val="21"/>
          <w:highlight w:val="none"/>
        </w:rPr>
        <w:t>；</w:t>
      </w:r>
    </w:p>
    <w:p w14:paraId="45426F25">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0B80CAC6">
      <w:pPr>
        <w:spacing w:line="360" w:lineRule="auto"/>
        <w:ind w:firstLine="420" w:firstLineChars="200"/>
        <w:outlineLvl w:val="9"/>
        <w:rPr>
          <w:rFonts w:ascii="宋体" w:hAnsi="宋体"/>
          <w:color w:val="auto"/>
          <w:szCs w:val="21"/>
          <w:highlight w:val="none"/>
        </w:rPr>
      </w:pPr>
      <w:r>
        <w:rPr>
          <w:rFonts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4048190B">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 xml:space="preserve"> </w:t>
      </w:r>
      <w:r>
        <w:rPr>
          <w:rFonts w:ascii="宋体" w:hAnsi="宋体"/>
          <w:color w:val="auto"/>
          <w:szCs w:val="21"/>
          <w:highlight w:val="none"/>
        </w:rPr>
        <w:t>发包人对工程的技术标准和功能要求的特殊要求：</w:t>
      </w:r>
      <w:r>
        <w:rPr>
          <w:rFonts w:hint="eastAsia" w:ascii="宋体" w:hAnsi="宋体"/>
          <w:color w:val="auto"/>
          <w:szCs w:val="21"/>
          <w:highlight w:val="none"/>
          <w:u w:val="single"/>
        </w:rPr>
        <w:t xml:space="preserve"> 无</w:t>
      </w:r>
      <w:r>
        <w:rPr>
          <w:rFonts w:ascii="宋体" w:hAnsi="宋体"/>
          <w:color w:val="auto"/>
          <w:szCs w:val="21"/>
          <w:highlight w:val="none"/>
        </w:rPr>
        <w:t>。</w:t>
      </w:r>
    </w:p>
    <w:p w14:paraId="3D7C304A">
      <w:pPr>
        <w:keepNext/>
        <w:keepLines/>
        <w:spacing w:before="260" w:after="260" w:line="416" w:lineRule="auto"/>
        <w:outlineLvl w:val="9"/>
        <w:rPr>
          <w:rFonts w:ascii="宋体" w:hAnsi="宋体"/>
          <w:b/>
          <w:bCs/>
          <w:color w:val="auto"/>
          <w:sz w:val="32"/>
          <w:szCs w:val="32"/>
          <w:highlight w:val="none"/>
        </w:rPr>
      </w:pPr>
      <w:bookmarkStart w:id="257" w:name="_Toc531186599"/>
      <w:bookmarkStart w:id="258" w:name="_Toc389065262"/>
      <w:bookmarkStart w:id="259" w:name="_Toc470247797"/>
      <w:bookmarkStart w:id="260" w:name="_Toc530144464"/>
      <w:bookmarkStart w:id="261" w:name="_Toc454211107"/>
      <w:bookmarkStart w:id="262" w:name="_Toc373227696"/>
      <w:bookmarkStart w:id="263" w:name="_Toc453940969"/>
      <w:bookmarkStart w:id="264" w:name="_Toc529547322"/>
      <w:bookmarkStart w:id="265" w:name="_Toc373478343"/>
      <w:bookmarkStart w:id="266" w:name="_Toc529526970"/>
      <w:bookmarkStart w:id="267" w:name="_Toc472931603"/>
      <w:bookmarkStart w:id="268" w:name="_Toc411345176"/>
      <w:bookmarkStart w:id="269" w:name="_Toc461179237"/>
      <w:r>
        <w:rPr>
          <w:rFonts w:ascii="宋体" w:hAnsi="宋体"/>
          <w:b/>
          <w:bCs/>
          <w:color w:val="auto"/>
          <w:sz w:val="32"/>
          <w:szCs w:val="32"/>
          <w:highlight w:val="none"/>
        </w:rPr>
        <w:t>1.5 合同文件的优先顺序</w:t>
      </w:r>
      <w:bookmarkEnd w:id="257"/>
      <w:bookmarkEnd w:id="258"/>
      <w:bookmarkEnd w:id="259"/>
      <w:bookmarkEnd w:id="260"/>
      <w:bookmarkEnd w:id="261"/>
      <w:bookmarkEnd w:id="262"/>
      <w:bookmarkEnd w:id="263"/>
      <w:bookmarkEnd w:id="264"/>
      <w:bookmarkEnd w:id="265"/>
      <w:bookmarkEnd w:id="266"/>
      <w:bookmarkEnd w:id="267"/>
      <w:bookmarkEnd w:id="268"/>
      <w:bookmarkEnd w:id="269"/>
    </w:p>
    <w:p w14:paraId="2C66F3D4">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合同文件组成及优先顺序为：</w:t>
      </w:r>
    </w:p>
    <w:p w14:paraId="6460E2BD">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合同协议书;</w:t>
      </w:r>
    </w:p>
    <w:p w14:paraId="77E2F904">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（2）中标通知书（如果有）；</w:t>
      </w:r>
    </w:p>
    <w:p w14:paraId="2739C6C2">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（3）投标函及其附录（如果有）；</w:t>
      </w:r>
    </w:p>
    <w:p w14:paraId="2AB8BF2D">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（4）专用合同条款及其附件；</w:t>
      </w:r>
    </w:p>
    <w:p w14:paraId="40D4E1BD">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（5）通用合同条款；</w:t>
      </w:r>
    </w:p>
    <w:p w14:paraId="1D718682">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olor w:val="auto"/>
          <w:kern w:val="0"/>
          <w:szCs w:val="21"/>
          <w:highlight w:val="none"/>
          <w:u w:val="single"/>
        </w:rPr>
        <w:t xml:space="preserve">技术标准和要求  </w:t>
      </w:r>
      <w:r>
        <w:rPr>
          <w:rFonts w:ascii="宋体" w:hAnsi="宋体"/>
          <w:color w:val="auto"/>
          <w:kern w:val="0"/>
          <w:szCs w:val="21"/>
          <w:highlight w:val="none"/>
        </w:rPr>
        <w:t>；</w:t>
      </w:r>
    </w:p>
    <w:p w14:paraId="7AABA2C6">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kern w:val="0"/>
          <w:szCs w:val="21"/>
          <w:highlight w:val="none"/>
          <w:u w:val="single"/>
        </w:rPr>
        <w:t xml:space="preserve">图纸  </w:t>
      </w:r>
      <w:r>
        <w:rPr>
          <w:rFonts w:ascii="宋体" w:hAnsi="宋体"/>
          <w:color w:val="auto"/>
          <w:kern w:val="0"/>
          <w:szCs w:val="21"/>
          <w:highlight w:val="none"/>
        </w:rPr>
        <w:t>；</w:t>
      </w:r>
    </w:p>
    <w:p w14:paraId="2FDA622A">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kern w:val="0"/>
          <w:szCs w:val="21"/>
          <w:highlight w:val="none"/>
          <w:u w:val="single"/>
        </w:rPr>
        <w:t xml:space="preserve">已标价工程量清单或预算书  </w:t>
      </w:r>
      <w:r>
        <w:rPr>
          <w:rFonts w:ascii="宋体" w:hAnsi="宋体"/>
          <w:color w:val="auto"/>
          <w:kern w:val="0"/>
          <w:szCs w:val="21"/>
          <w:highlight w:val="none"/>
        </w:rPr>
        <w:t>；</w:t>
      </w:r>
    </w:p>
    <w:p w14:paraId="0A897FB5">
      <w:pPr>
        <w:spacing w:line="360" w:lineRule="auto"/>
        <w:ind w:firstLine="420" w:firstLineChars="200"/>
        <w:outlineLvl w:val="9"/>
        <w:rPr>
          <w:rFonts w:ascii="宋体" w:hAnsi="宋体"/>
          <w:color w:val="auto"/>
          <w:kern w:val="0"/>
          <w:szCs w:val="21"/>
          <w:highlight w:val="none"/>
        </w:rPr>
      </w:pPr>
      <w:r>
        <w:rPr>
          <w:rFonts w:ascii="Calibri" w:hAnsi="宋体"/>
          <w:color w:val="auto"/>
          <w:kern w:val="0"/>
          <w:szCs w:val="21"/>
          <w:highlight w:val="none"/>
        </w:rPr>
        <w:t>（</w:t>
      </w:r>
      <w:r>
        <w:rPr>
          <w:rFonts w:hint="eastAsia" w:ascii="Calibri" w:hAnsi="宋体"/>
          <w:color w:val="auto"/>
          <w:kern w:val="0"/>
          <w:szCs w:val="21"/>
          <w:highlight w:val="none"/>
        </w:rPr>
        <w:t>9</w:t>
      </w:r>
      <w:r>
        <w:rPr>
          <w:rFonts w:ascii="Calibri" w:hAnsi="宋体"/>
          <w:color w:val="auto"/>
          <w:kern w:val="0"/>
          <w:szCs w:val="21"/>
          <w:highlight w:val="none"/>
        </w:rPr>
        <w:t>）</w:t>
      </w:r>
      <w:r>
        <w:rPr>
          <w:rFonts w:hint="eastAsia" w:ascii="宋体" w:hAnsi="宋体"/>
          <w:color w:val="auto"/>
          <w:kern w:val="0"/>
          <w:szCs w:val="21"/>
          <w:highlight w:val="none"/>
          <w:u w:val="single"/>
        </w:rPr>
        <w:t xml:space="preserve"> 其他合同文件                   </w:t>
      </w:r>
      <w:r>
        <w:rPr>
          <w:rFonts w:ascii="宋体" w:hAnsi="宋体"/>
          <w:color w:val="auto"/>
          <w:kern w:val="0"/>
          <w:szCs w:val="21"/>
          <w:highlight w:val="none"/>
        </w:rPr>
        <w:t>。</w:t>
      </w:r>
    </w:p>
    <w:p w14:paraId="318C4C8E">
      <w:pPr>
        <w:spacing w:line="360" w:lineRule="auto"/>
        <w:ind w:firstLine="420" w:firstLineChars="200"/>
        <w:outlineLvl w:val="9"/>
        <w:rPr>
          <w:rFonts w:ascii="Calibri" w:hAnsi="宋体"/>
          <w:color w:val="auto"/>
          <w:kern w:val="0"/>
          <w:szCs w:val="21"/>
          <w:highlight w:val="none"/>
        </w:rPr>
      </w:pPr>
      <w:bookmarkStart w:id="270" w:name="_Toc411345177"/>
      <w:bookmarkStart w:id="271" w:name="_Toc373227697"/>
      <w:bookmarkStart w:id="272" w:name="_Toc373478344"/>
      <w:bookmarkStart w:id="273" w:name="_Toc389065263"/>
      <w:r>
        <w:rPr>
          <w:rFonts w:hint="eastAsia" w:ascii="Calibri" w:hAnsi="宋体"/>
          <w:color w:val="auto"/>
          <w:kern w:val="0"/>
          <w:szCs w:val="21"/>
          <w:highlight w:val="none"/>
        </w:rPr>
        <w:t>（10）《</w:t>
      </w:r>
      <w:r>
        <w:rPr>
          <w:rFonts w:ascii="Calibri" w:hAnsi="宋体"/>
          <w:color w:val="auto"/>
          <w:kern w:val="0"/>
          <w:szCs w:val="21"/>
          <w:highlight w:val="none"/>
        </w:rPr>
        <w:t>建设工程工程量清单计价规范（GB5050-2013）</w:t>
      </w:r>
      <w:r>
        <w:rPr>
          <w:rFonts w:hint="eastAsia" w:ascii="Calibri" w:hAnsi="宋体"/>
          <w:color w:val="auto"/>
          <w:kern w:val="0"/>
          <w:szCs w:val="21"/>
          <w:highlight w:val="none"/>
        </w:rPr>
        <w:t>》及其</w:t>
      </w:r>
      <w:r>
        <w:rPr>
          <w:rFonts w:ascii="Calibri" w:hAnsi="宋体"/>
          <w:color w:val="auto"/>
          <w:kern w:val="0"/>
          <w:szCs w:val="21"/>
          <w:highlight w:val="none"/>
        </w:rPr>
        <w:t>广西实施细则</w:t>
      </w:r>
      <w:r>
        <w:rPr>
          <w:rFonts w:hint="eastAsia" w:ascii="Calibri" w:hAnsi="宋体"/>
          <w:color w:val="auto"/>
          <w:kern w:val="0"/>
          <w:szCs w:val="21"/>
          <w:highlight w:val="none"/>
        </w:rPr>
        <w:t>及《关于建筑业实施营业税改征增值税后广西壮族自治区建设工程计价依据调整的通知》（桂建标〔2016〕17号）、《</w:t>
      </w:r>
      <w:r>
        <w:rPr>
          <w:rFonts w:ascii="Calibri" w:hAnsi="宋体"/>
          <w:color w:val="auto"/>
          <w:kern w:val="0"/>
          <w:szCs w:val="21"/>
          <w:highlight w:val="none"/>
        </w:rPr>
        <w:t>建设工程工程量清单计</w:t>
      </w:r>
      <w:r>
        <w:rPr>
          <w:rFonts w:hint="eastAsia" w:ascii="Calibri" w:hAnsi="宋体"/>
          <w:color w:val="auto"/>
          <w:kern w:val="0"/>
          <w:szCs w:val="21"/>
          <w:highlight w:val="none"/>
        </w:rPr>
        <w:t>算</w:t>
      </w:r>
      <w:r>
        <w:rPr>
          <w:rFonts w:ascii="Calibri" w:hAnsi="宋体"/>
          <w:color w:val="auto"/>
          <w:kern w:val="0"/>
          <w:szCs w:val="21"/>
          <w:highlight w:val="none"/>
        </w:rPr>
        <w:t>规范（GB5</w:t>
      </w:r>
      <w:r>
        <w:rPr>
          <w:rFonts w:hint="eastAsia" w:ascii="Calibri" w:hAnsi="宋体"/>
          <w:color w:val="auto"/>
          <w:kern w:val="0"/>
          <w:szCs w:val="21"/>
          <w:highlight w:val="none"/>
        </w:rPr>
        <w:t>854~50862</w:t>
      </w:r>
      <w:r>
        <w:rPr>
          <w:rFonts w:ascii="Calibri" w:hAnsi="宋体"/>
          <w:color w:val="auto"/>
          <w:kern w:val="0"/>
          <w:szCs w:val="21"/>
          <w:highlight w:val="none"/>
        </w:rPr>
        <w:t>-2013）</w:t>
      </w:r>
      <w:r>
        <w:rPr>
          <w:rFonts w:hint="eastAsia" w:ascii="Calibri" w:hAnsi="宋体"/>
          <w:color w:val="auto"/>
          <w:kern w:val="0"/>
          <w:szCs w:val="21"/>
          <w:highlight w:val="none"/>
        </w:rPr>
        <w:t>》及其</w:t>
      </w:r>
      <w:r>
        <w:rPr>
          <w:rFonts w:ascii="Calibri" w:hAnsi="宋体"/>
          <w:color w:val="auto"/>
          <w:kern w:val="0"/>
          <w:szCs w:val="21"/>
          <w:highlight w:val="none"/>
        </w:rPr>
        <w:t>广西实施细则</w:t>
      </w:r>
      <w:r>
        <w:rPr>
          <w:rFonts w:hint="eastAsia" w:ascii="Calibri" w:hAnsi="宋体"/>
          <w:color w:val="auto"/>
          <w:kern w:val="0"/>
          <w:szCs w:val="21"/>
          <w:highlight w:val="none"/>
        </w:rPr>
        <w:t>（修订本）</w:t>
      </w:r>
      <w:r>
        <w:rPr>
          <w:rFonts w:ascii="Calibri" w:hAnsi="宋体"/>
          <w:color w:val="auto"/>
          <w:kern w:val="0"/>
          <w:szCs w:val="21"/>
          <w:highlight w:val="none"/>
        </w:rPr>
        <w:t>。</w:t>
      </w:r>
    </w:p>
    <w:p w14:paraId="0865D937">
      <w:pPr>
        <w:spacing w:line="360" w:lineRule="auto"/>
        <w:ind w:firstLine="420" w:firstLineChars="200"/>
        <w:outlineLvl w:val="9"/>
        <w:rPr>
          <w:rFonts w:ascii="Calibri" w:hAnsi="Calibri"/>
          <w:color w:val="auto"/>
          <w:szCs w:val="21"/>
          <w:highlight w:val="none"/>
        </w:rPr>
      </w:pPr>
      <w:r>
        <w:rPr>
          <w:rFonts w:ascii="Calibri" w:hAnsi="宋体"/>
          <w:color w:val="auto"/>
          <w:kern w:val="0"/>
          <w:szCs w:val="21"/>
          <w:highlight w:val="none"/>
        </w:rPr>
        <w:t>说明：</w:t>
      </w:r>
      <w:r>
        <w:rPr>
          <w:rFonts w:hint="eastAsia" w:ascii="Calibri" w:hAnsi="宋体"/>
          <w:color w:val="auto"/>
          <w:kern w:val="0"/>
          <w:szCs w:val="21"/>
          <w:highlight w:val="none"/>
        </w:rPr>
        <w:t>（6）、（7）</w:t>
      </w:r>
      <w:r>
        <w:rPr>
          <w:rFonts w:ascii="Calibri" w:hAnsi="宋体"/>
          <w:color w:val="auto"/>
          <w:kern w:val="0"/>
          <w:szCs w:val="21"/>
          <w:highlight w:val="none"/>
        </w:rPr>
        <w:t>、</w:t>
      </w:r>
      <w:r>
        <w:rPr>
          <w:rFonts w:hint="eastAsia" w:ascii="Calibri" w:hAnsi="宋体"/>
          <w:color w:val="auto"/>
          <w:kern w:val="0"/>
          <w:szCs w:val="21"/>
          <w:highlight w:val="none"/>
        </w:rPr>
        <w:t>（8）</w:t>
      </w:r>
      <w:r>
        <w:rPr>
          <w:rFonts w:ascii="Calibri" w:hAnsi="宋体"/>
          <w:color w:val="auto"/>
          <w:kern w:val="0"/>
          <w:szCs w:val="21"/>
          <w:highlight w:val="none"/>
        </w:rPr>
        <w:t>、</w:t>
      </w:r>
      <w:r>
        <w:rPr>
          <w:rFonts w:hint="eastAsia" w:ascii="Calibri" w:hAnsi="宋体"/>
          <w:color w:val="auto"/>
          <w:kern w:val="0"/>
          <w:szCs w:val="21"/>
          <w:highlight w:val="none"/>
        </w:rPr>
        <w:t>（9）</w:t>
      </w:r>
      <w:r>
        <w:rPr>
          <w:rFonts w:ascii="Calibri" w:hAnsi="宋体"/>
          <w:color w:val="auto"/>
          <w:kern w:val="0"/>
          <w:szCs w:val="21"/>
          <w:highlight w:val="none"/>
        </w:rPr>
        <w:t>填空内容分别限于技术标准和要求、图纸、已标价工程量清单</w:t>
      </w:r>
      <w:r>
        <w:rPr>
          <w:rFonts w:hint="eastAsia" w:ascii="Calibri" w:hAnsi="宋体"/>
          <w:color w:val="auto"/>
          <w:kern w:val="0"/>
          <w:szCs w:val="21"/>
          <w:highlight w:val="none"/>
        </w:rPr>
        <w:t>或预算书、</w:t>
      </w:r>
      <w:r>
        <w:rPr>
          <w:rFonts w:ascii="Calibri" w:hAnsi="宋体"/>
          <w:color w:val="auto"/>
          <w:kern w:val="0"/>
          <w:szCs w:val="21"/>
          <w:highlight w:val="none"/>
        </w:rPr>
        <w:t>其他合同文件</w:t>
      </w:r>
      <w:r>
        <w:rPr>
          <w:rFonts w:hint="eastAsia" w:ascii="Calibri" w:hAnsi="宋体"/>
          <w:color w:val="auto"/>
          <w:kern w:val="0"/>
          <w:szCs w:val="21"/>
          <w:highlight w:val="none"/>
        </w:rPr>
        <w:t>四</w:t>
      </w:r>
      <w:r>
        <w:rPr>
          <w:rFonts w:ascii="Calibri" w:hAnsi="宋体"/>
          <w:color w:val="auto"/>
          <w:kern w:val="0"/>
          <w:szCs w:val="21"/>
          <w:highlight w:val="none"/>
        </w:rPr>
        <w:t>者之一</w:t>
      </w:r>
      <w:r>
        <w:rPr>
          <w:rFonts w:hint="eastAsia" w:ascii="Calibri" w:hAnsi="宋体"/>
          <w:color w:val="auto"/>
          <w:kern w:val="0"/>
          <w:szCs w:val="21"/>
          <w:highlight w:val="none"/>
        </w:rPr>
        <w:t>，其优先顺序可根据采取的不同合同方式由双方约定</w:t>
      </w:r>
      <w:r>
        <w:rPr>
          <w:rFonts w:ascii="Calibri" w:hAnsi="宋体"/>
          <w:color w:val="auto"/>
          <w:kern w:val="0"/>
          <w:szCs w:val="21"/>
          <w:highlight w:val="none"/>
        </w:rPr>
        <w:t>。</w:t>
      </w:r>
    </w:p>
    <w:p w14:paraId="66514C62">
      <w:pPr>
        <w:keepNext/>
        <w:keepLines/>
        <w:spacing w:before="260" w:after="260" w:line="416" w:lineRule="auto"/>
        <w:outlineLvl w:val="9"/>
        <w:rPr>
          <w:rFonts w:ascii="宋体" w:hAnsi="宋体"/>
          <w:b/>
          <w:bCs/>
          <w:color w:val="auto"/>
          <w:sz w:val="32"/>
          <w:szCs w:val="32"/>
          <w:highlight w:val="none"/>
        </w:rPr>
      </w:pPr>
      <w:bookmarkStart w:id="274" w:name="_Toc529547323"/>
      <w:bookmarkStart w:id="275" w:name="_Toc530144465"/>
      <w:bookmarkStart w:id="276" w:name="_Toc531186600"/>
      <w:bookmarkStart w:id="277" w:name="_Toc529526971"/>
      <w:bookmarkStart w:id="278" w:name="_Toc454211108"/>
      <w:bookmarkStart w:id="279" w:name="_Toc470247798"/>
      <w:bookmarkStart w:id="280" w:name="_Toc472931604"/>
      <w:bookmarkStart w:id="281" w:name="_Toc453940970"/>
      <w:bookmarkStart w:id="282" w:name="_Toc461179238"/>
      <w:r>
        <w:rPr>
          <w:rFonts w:ascii="宋体" w:hAnsi="宋体"/>
          <w:b/>
          <w:bCs/>
          <w:color w:val="auto"/>
          <w:sz w:val="32"/>
          <w:szCs w:val="32"/>
          <w:highlight w:val="none"/>
        </w:rPr>
        <w:t>1.6 图纸和承包人文件</w:t>
      </w:r>
      <w:bookmarkEnd w:id="270"/>
      <w:bookmarkEnd w:id="271"/>
      <w:bookmarkEnd w:id="272"/>
      <w:bookmarkEnd w:id="273"/>
      <w:bookmarkEnd w:id="274"/>
      <w:bookmarkEnd w:id="275"/>
      <w:bookmarkEnd w:id="276"/>
      <w:bookmarkEnd w:id="277"/>
      <w:bookmarkEnd w:id="278"/>
      <w:bookmarkEnd w:id="279"/>
      <w:bookmarkEnd w:id="280"/>
      <w:bookmarkEnd w:id="281"/>
      <w:bookmarkEnd w:id="282"/>
      <w:r>
        <w:rPr>
          <w:rFonts w:ascii="宋体" w:hAnsi="宋体"/>
          <w:b/>
          <w:bCs/>
          <w:color w:val="auto"/>
          <w:sz w:val="32"/>
          <w:szCs w:val="32"/>
          <w:highlight w:val="none"/>
        </w:rPr>
        <w:tab/>
      </w:r>
    </w:p>
    <w:p w14:paraId="5BBD6401">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1.6.1 图纸的提供</w:t>
      </w:r>
    </w:p>
    <w:p w14:paraId="6504F8E0">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发包人向承包人提供图纸的期限：</w:t>
      </w:r>
      <w:r>
        <w:rPr>
          <w:rFonts w:ascii="宋体" w:hAnsi="宋体"/>
          <w:color w:val="auto"/>
          <w:szCs w:val="21"/>
          <w:highlight w:val="none"/>
          <w:u w:val="single"/>
        </w:rPr>
        <w:t></w:t>
      </w:r>
      <w:r>
        <w:rPr>
          <w:rFonts w:hint="eastAsia" w:ascii="宋体" w:hAnsi="宋体"/>
          <w:color w:val="auto"/>
          <w:szCs w:val="21"/>
          <w:highlight w:val="none"/>
          <w:u w:val="single"/>
        </w:rPr>
        <w:t>合同生效后7天内</w:t>
      </w:r>
      <w:r>
        <w:rPr>
          <w:rFonts w:ascii="宋体" w:hAnsi="宋体"/>
          <w:color w:val="auto"/>
          <w:szCs w:val="21"/>
          <w:highlight w:val="none"/>
        </w:rPr>
        <w:t>；</w:t>
      </w:r>
    </w:p>
    <w:p w14:paraId="27C024EE">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发包人向承包人提供图纸的数量：</w:t>
      </w:r>
      <w:r>
        <w:rPr>
          <w:rFonts w:ascii="宋体" w:hAnsi="宋体"/>
          <w:color w:val="auto"/>
          <w:szCs w:val="21"/>
          <w:highlight w:val="none"/>
          <w:u w:val="single"/>
        </w:rPr>
        <w:t></w:t>
      </w:r>
      <w:r>
        <w:rPr>
          <w:rFonts w:hint="eastAsia" w:ascii="宋体" w:hAnsi="宋体"/>
          <w:b/>
          <w:bCs/>
          <w:color w:val="auto"/>
          <w:szCs w:val="21"/>
          <w:highlight w:val="none"/>
          <w:u w:val="single"/>
        </w:rPr>
        <w:t>一</w:t>
      </w:r>
      <w:r>
        <w:rPr>
          <w:rFonts w:ascii="宋体" w:hAnsi="宋体"/>
          <w:color w:val="auto"/>
          <w:szCs w:val="21"/>
          <w:highlight w:val="none"/>
          <w:u w:val="single"/>
        </w:rPr>
        <w:t>套，承包人需要增加图纸套数的，复制费用由承包人承担</w:t>
      </w:r>
      <w:r>
        <w:rPr>
          <w:rFonts w:ascii="宋体" w:hAnsi="宋体"/>
          <w:color w:val="auto"/>
          <w:szCs w:val="21"/>
          <w:highlight w:val="none"/>
        </w:rPr>
        <w:t>；</w:t>
      </w:r>
    </w:p>
    <w:p w14:paraId="115A373B">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发包人向承包人提供图纸的内容：</w:t>
      </w:r>
      <w:r>
        <w:rPr>
          <w:rFonts w:hint="eastAsia" w:ascii="宋体" w:hAnsi="宋体"/>
          <w:color w:val="auto"/>
          <w:szCs w:val="21"/>
          <w:highlight w:val="none"/>
          <w:u w:val="single"/>
        </w:rPr>
        <w:t>施工设计图</w:t>
      </w:r>
      <w:r>
        <w:rPr>
          <w:rFonts w:ascii="宋体" w:hAnsi="宋体"/>
          <w:color w:val="auto"/>
          <w:szCs w:val="21"/>
          <w:highlight w:val="none"/>
        </w:rPr>
        <w:t>。</w:t>
      </w:r>
    </w:p>
    <w:p w14:paraId="0989F9E6">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1.6.4 承包人文件</w:t>
      </w:r>
    </w:p>
    <w:p w14:paraId="7AF4CB10">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需要由承包人提供的文件，包括：</w:t>
      </w:r>
      <w:r>
        <w:rPr>
          <w:rFonts w:hint="eastAsia" w:ascii="宋体" w:hAnsi="宋体"/>
          <w:color w:val="auto"/>
          <w:szCs w:val="21"/>
          <w:highlight w:val="none"/>
          <w:u w:val="single"/>
        </w:rPr>
        <w:t>报建程序所需要的所有资料；开工前3天应提供完善的施工组织设计和安全专项方案；竣工资料（含竣工图，竣工图编制费已含在签约合同价中，提供时间：工程竣工后[30]天内。份数：满足相应要求。承包人应协助发包人办理城建档案馆手续。），与城建档案馆手续未办理完成，视为承包人的合同义务未履行完毕。</w:t>
      </w:r>
    </w:p>
    <w:p w14:paraId="77A5D8DD">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承包人提供的文件的期限为：</w:t>
      </w:r>
      <w:r>
        <w:rPr>
          <w:rFonts w:ascii="宋体" w:hAnsi="宋体"/>
          <w:color w:val="auto"/>
          <w:szCs w:val="21"/>
          <w:highlight w:val="none"/>
          <w:u w:val="single"/>
        </w:rPr>
        <w:t></w:t>
      </w:r>
      <w:r>
        <w:rPr>
          <w:rFonts w:hint="eastAsia" w:ascii="宋体" w:hAnsi="宋体"/>
          <w:color w:val="auto"/>
          <w:szCs w:val="21"/>
          <w:highlight w:val="none"/>
          <w:u w:val="single"/>
        </w:rPr>
        <w:t>报建手续开始前7天内</w:t>
      </w:r>
      <w:r>
        <w:rPr>
          <w:rFonts w:ascii="宋体" w:hAnsi="宋体"/>
          <w:color w:val="auto"/>
          <w:szCs w:val="21"/>
          <w:highlight w:val="none"/>
          <w:u w:val="single"/>
        </w:rPr>
        <w:t></w:t>
      </w:r>
      <w:r>
        <w:rPr>
          <w:rFonts w:ascii="宋体" w:hAnsi="宋体"/>
          <w:color w:val="auto"/>
          <w:szCs w:val="21"/>
          <w:highlight w:val="none"/>
        </w:rPr>
        <w:t>；</w:t>
      </w:r>
    </w:p>
    <w:p w14:paraId="7924E1C3">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承包人提供的文件的数量为：</w:t>
      </w:r>
      <w:r>
        <w:rPr>
          <w:rFonts w:ascii="宋体" w:hAnsi="宋体"/>
          <w:color w:val="auto"/>
          <w:szCs w:val="21"/>
          <w:highlight w:val="none"/>
          <w:u w:val="single"/>
        </w:rPr>
        <w:t></w:t>
      </w:r>
      <w:r>
        <w:rPr>
          <w:rFonts w:hint="eastAsia" w:ascii="宋体" w:hAnsi="宋体"/>
          <w:color w:val="auto"/>
          <w:szCs w:val="21"/>
          <w:highlight w:val="none"/>
          <w:u w:val="single"/>
        </w:rPr>
        <w:t xml:space="preserve">按实提供 </w:t>
      </w:r>
      <w:r>
        <w:rPr>
          <w:rFonts w:ascii="宋体" w:hAnsi="宋体"/>
          <w:color w:val="auto"/>
          <w:szCs w:val="21"/>
          <w:highlight w:val="none"/>
        </w:rPr>
        <w:t>；</w:t>
      </w:r>
    </w:p>
    <w:p w14:paraId="66CAB7BA">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承包人提供的文件的形式为：</w:t>
      </w:r>
      <w:r>
        <w:rPr>
          <w:rFonts w:ascii="宋体" w:hAnsi="宋体"/>
          <w:color w:val="auto"/>
          <w:szCs w:val="21"/>
          <w:highlight w:val="none"/>
          <w:u w:val="single"/>
        </w:rPr>
        <w:t></w:t>
      </w:r>
      <w:r>
        <w:rPr>
          <w:rFonts w:hint="eastAsia" w:ascii="宋体" w:hAnsi="宋体"/>
          <w:color w:val="auto"/>
          <w:szCs w:val="21"/>
          <w:highlight w:val="none"/>
          <w:u w:val="single"/>
        </w:rPr>
        <w:t>书面及电子文档</w:t>
      </w:r>
      <w:r>
        <w:rPr>
          <w:rFonts w:ascii="宋体" w:hAnsi="宋体"/>
          <w:color w:val="auto"/>
          <w:szCs w:val="21"/>
          <w:highlight w:val="none"/>
          <w:u w:val="single"/>
        </w:rPr>
        <w:t></w:t>
      </w:r>
      <w:r>
        <w:rPr>
          <w:rFonts w:ascii="宋体" w:hAnsi="宋体"/>
          <w:color w:val="auto"/>
          <w:szCs w:val="21"/>
          <w:highlight w:val="none"/>
        </w:rPr>
        <w:t>；</w:t>
      </w:r>
    </w:p>
    <w:p w14:paraId="4BB49FE4">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发包人审批承包人文件的期限：</w:t>
      </w:r>
      <w:r>
        <w:rPr>
          <w:rFonts w:ascii="宋体" w:hAnsi="宋体"/>
          <w:color w:val="auto"/>
          <w:szCs w:val="21"/>
          <w:highlight w:val="none"/>
          <w:u w:val="single"/>
        </w:rPr>
        <w:t></w:t>
      </w:r>
      <w:r>
        <w:rPr>
          <w:rFonts w:hint="eastAsia" w:ascii="宋体" w:hAnsi="宋体"/>
          <w:bCs/>
          <w:color w:val="auto"/>
          <w:szCs w:val="21"/>
          <w:highlight w:val="none"/>
          <w:u w:val="single"/>
        </w:rPr>
        <w:t>7</w:t>
      </w:r>
      <w:r>
        <w:rPr>
          <w:rFonts w:hint="eastAsia" w:ascii="宋体" w:hAnsi="宋体"/>
          <w:color w:val="auto"/>
          <w:szCs w:val="21"/>
          <w:highlight w:val="none"/>
          <w:u w:val="single"/>
        </w:rPr>
        <w:t xml:space="preserve">天 </w:t>
      </w:r>
      <w:r>
        <w:rPr>
          <w:rFonts w:ascii="宋体" w:hAnsi="宋体"/>
          <w:color w:val="auto"/>
          <w:szCs w:val="21"/>
          <w:highlight w:val="none"/>
        </w:rPr>
        <w:t>。</w:t>
      </w:r>
    </w:p>
    <w:p w14:paraId="00C16F94">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1.6.5 现场图纸准备</w:t>
      </w:r>
    </w:p>
    <w:p w14:paraId="4E7B87A9">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关于现场图纸准备的约定：</w:t>
      </w:r>
      <w:r>
        <w:rPr>
          <w:rFonts w:hint="eastAsia" w:ascii="宋体" w:hAnsi="宋体"/>
          <w:color w:val="auto"/>
          <w:szCs w:val="21"/>
          <w:highlight w:val="none"/>
          <w:u w:val="single"/>
        </w:rPr>
        <w:t>承包人在施工现场保留一份完整的设计文件，供甲方及有关人员进行工程检查时使用</w:t>
      </w:r>
      <w:r>
        <w:rPr>
          <w:rFonts w:ascii="宋体" w:hAnsi="宋体"/>
          <w:color w:val="auto"/>
          <w:szCs w:val="21"/>
          <w:highlight w:val="none"/>
        </w:rPr>
        <w:t>。</w:t>
      </w:r>
    </w:p>
    <w:p w14:paraId="55FD3A86">
      <w:pPr>
        <w:keepNext/>
        <w:keepLines/>
        <w:spacing w:before="260" w:after="260" w:line="416" w:lineRule="auto"/>
        <w:outlineLvl w:val="9"/>
        <w:rPr>
          <w:rFonts w:ascii="宋体" w:hAnsi="宋体"/>
          <w:b/>
          <w:bCs/>
          <w:color w:val="auto"/>
          <w:sz w:val="32"/>
          <w:szCs w:val="32"/>
          <w:highlight w:val="none"/>
        </w:rPr>
      </w:pPr>
      <w:bookmarkStart w:id="283" w:name="_Toc453940971"/>
      <w:bookmarkStart w:id="284" w:name="_Toc472931605"/>
      <w:bookmarkStart w:id="285" w:name="_Toc530144466"/>
      <w:bookmarkStart w:id="286" w:name="_Toc454211109"/>
      <w:bookmarkStart w:id="287" w:name="_Toc411345178"/>
      <w:bookmarkStart w:id="288" w:name="_Toc529526972"/>
      <w:bookmarkStart w:id="289" w:name="_Toc389065264"/>
      <w:bookmarkStart w:id="290" w:name="_Toc529547324"/>
      <w:bookmarkStart w:id="291" w:name="_Toc531186601"/>
      <w:bookmarkStart w:id="292" w:name="_Toc373478345"/>
      <w:bookmarkStart w:id="293" w:name="_Toc373227698"/>
      <w:bookmarkStart w:id="294" w:name="_Toc470247799"/>
      <w:bookmarkStart w:id="295" w:name="_Toc461179239"/>
      <w:r>
        <w:rPr>
          <w:rFonts w:ascii="宋体" w:hAnsi="宋体"/>
          <w:b/>
          <w:bCs/>
          <w:color w:val="auto"/>
          <w:sz w:val="32"/>
          <w:szCs w:val="32"/>
          <w:highlight w:val="none"/>
        </w:rPr>
        <w:t>1.7 联络</w:t>
      </w:r>
      <w:bookmarkEnd w:id="283"/>
      <w:bookmarkEnd w:id="284"/>
      <w:bookmarkEnd w:id="285"/>
      <w:bookmarkEnd w:id="286"/>
      <w:bookmarkEnd w:id="287"/>
      <w:bookmarkEnd w:id="288"/>
      <w:bookmarkEnd w:id="289"/>
      <w:bookmarkEnd w:id="290"/>
      <w:bookmarkEnd w:id="291"/>
      <w:bookmarkEnd w:id="292"/>
      <w:bookmarkEnd w:id="293"/>
      <w:bookmarkEnd w:id="294"/>
      <w:bookmarkEnd w:id="295"/>
    </w:p>
    <w:p w14:paraId="385A988C">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1.7.1发包人和承包人应当在</w:t>
      </w:r>
      <w:r>
        <w:rPr>
          <w:rFonts w:ascii="宋体" w:hAnsi="宋体"/>
          <w:color w:val="auto"/>
          <w:szCs w:val="21"/>
          <w:highlight w:val="none"/>
          <w:u w:val="single"/>
        </w:rPr>
        <w:t></w:t>
      </w:r>
      <w:r>
        <w:rPr>
          <w:rFonts w:hint="eastAsia" w:ascii="宋体" w:hAnsi="宋体"/>
          <w:b/>
          <w:bCs/>
          <w:color w:val="auto"/>
          <w:szCs w:val="21"/>
          <w:highlight w:val="none"/>
          <w:u w:val="single"/>
        </w:rPr>
        <w:t>5</w:t>
      </w:r>
      <w:r>
        <w:rPr>
          <w:rFonts w:ascii="宋体" w:hAnsi="宋体"/>
          <w:b/>
          <w:bCs/>
          <w:color w:val="auto"/>
          <w:szCs w:val="21"/>
          <w:highlight w:val="none"/>
          <w:u w:val="single"/>
        </w:rPr>
        <w:t xml:space="preserve"> </w:t>
      </w:r>
      <w:r>
        <w:rPr>
          <w:rFonts w:ascii="宋体" w:hAnsi="宋体"/>
          <w:color w:val="auto"/>
          <w:kern w:val="0"/>
          <w:szCs w:val="21"/>
          <w:highlight w:val="none"/>
        </w:rPr>
        <w:t>天内将与合同有关的通知、批准、证明、证书、指示、指令、要求、请求、同意、意见、确定和决定等书面函件送达对方当事人。</w:t>
      </w:r>
    </w:p>
    <w:p w14:paraId="585AFC87">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1.7.2 发包人接收文件的地点：</w:t>
      </w:r>
      <w:r>
        <w:rPr>
          <w:rFonts w:ascii="宋体" w:hAnsi="宋体"/>
          <w:color w:val="auto"/>
          <w:szCs w:val="21"/>
          <w:highlight w:val="none"/>
          <w:u w:val="single"/>
        </w:rPr>
        <w:t></w:t>
      </w:r>
      <w:r>
        <w:rPr>
          <w:rFonts w:hint="eastAsia" w:ascii="宋体" w:hAnsi="宋体"/>
          <w:color w:val="auto"/>
          <w:szCs w:val="21"/>
          <w:highlight w:val="none"/>
          <w:u w:val="single"/>
        </w:rPr>
        <w:t>发包人办公室</w:t>
      </w:r>
      <w:r>
        <w:rPr>
          <w:rFonts w:ascii="宋体" w:hAnsi="宋体"/>
          <w:color w:val="auto"/>
          <w:szCs w:val="21"/>
          <w:highlight w:val="none"/>
          <w:u w:val="single"/>
        </w:rPr>
        <w:t></w:t>
      </w:r>
      <w:r>
        <w:rPr>
          <w:rFonts w:ascii="宋体" w:hAnsi="宋体"/>
          <w:color w:val="auto"/>
          <w:kern w:val="0"/>
          <w:szCs w:val="21"/>
          <w:highlight w:val="none"/>
        </w:rPr>
        <w:t>；</w:t>
      </w:r>
    </w:p>
    <w:p w14:paraId="05E25FE7">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发包人指定的接收人为：</w:t>
      </w:r>
      <w:r>
        <w:rPr>
          <w:rFonts w:ascii="宋体" w:hAnsi="宋体"/>
          <w:color w:val="auto"/>
          <w:szCs w:val="21"/>
          <w:highlight w:val="none"/>
          <w:u w:val="single"/>
        </w:rPr>
        <w:t></w:t>
      </w:r>
      <w:r>
        <w:rPr>
          <w:rFonts w:hint="eastAsia" w:ascii="宋体" w:hAnsi="宋体"/>
          <w:color w:val="auto"/>
          <w:szCs w:val="21"/>
          <w:highlight w:val="none"/>
          <w:u w:val="single"/>
        </w:rPr>
        <w:t xml:space="preserve">发包人代表  </w:t>
      </w:r>
      <w:r>
        <w:rPr>
          <w:rFonts w:ascii="宋体" w:hAnsi="宋体"/>
          <w:color w:val="auto"/>
          <w:kern w:val="0"/>
          <w:szCs w:val="21"/>
          <w:highlight w:val="none"/>
        </w:rPr>
        <w:t>。</w:t>
      </w:r>
    </w:p>
    <w:p w14:paraId="697BED32">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承包人接收文件的地点：</w:t>
      </w:r>
      <w:r>
        <w:rPr>
          <w:rFonts w:ascii="宋体" w:hAnsi="宋体"/>
          <w:color w:val="auto"/>
          <w:szCs w:val="21"/>
          <w:highlight w:val="none"/>
          <w:u w:val="single"/>
        </w:rPr>
        <w:t></w:t>
      </w:r>
      <w:r>
        <w:rPr>
          <w:rFonts w:hint="eastAsia" w:ascii="宋体" w:hAnsi="宋体" w:cs="宋体"/>
          <w:color w:val="auto"/>
          <w:szCs w:val="21"/>
          <w:highlight w:val="none"/>
          <w:u w:val="single"/>
        </w:rPr>
        <w:t>项目所在地承包人办公室</w:t>
      </w:r>
      <w:r>
        <w:rPr>
          <w:rFonts w:ascii="宋体" w:hAnsi="宋体"/>
          <w:color w:val="auto"/>
          <w:kern w:val="0"/>
          <w:szCs w:val="21"/>
          <w:highlight w:val="none"/>
        </w:rPr>
        <w:t>；</w:t>
      </w:r>
    </w:p>
    <w:p w14:paraId="46CC7C10">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承包人指定的接收人为：</w:t>
      </w:r>
      <w:r>
        <w:rPr>
          <w:rFonts w:ascii="宋体" w:hAnsi="宋体"/>
          <w:color w:val="auto"/>
          <w:szCs w:val="21"/>
          <w:highlight w:val="none"/>
          <w:u w:val="single"/>
        </w:rPr>
        <w:t></w:t>
      </w:r>
      <w:r>
        <w:rPr>
          <w:rFonts w:hint="eastAsia" w:ascii="宋体" w:hAnsi="宋体"/>
          <w:color w:val="auto"/>
          <w:szCs w:val="21"/>
          <w:highlight w:val="none"/>
          <w:u w:val="single"/>
        </w:rPr>
        <w:t>项目经理</w:t>
      </w:r>
      <w:r>
        <w:rPr>
          <w:rFonts w:ascii="宋体" w:hAnsi="宋体"/>
          <w:color w:val="auto"/>
          <w:kern w:val="0"/>
          <w:szCs w:val="21"/>
          <w:highlight w:val="none"/>
        </w:rPr>
        <w:t>。</w:t>
      </w:r>
    </w:p>
    <w:p w14:paraId="707FF91E">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监理人接收文件的地点：</w:t>
      </w:r>
      <w:r>
        <w:rPr>
          <w:rFonts w:ascii="宋体" w:hAnsi="宋体"/>
          <w:color w:val="auto"/>
          <w:szCs w:val="21"/>
          <w:highlight w:val="none"/>
          <w:u w:val="single"/>
        </w:rPr>
        <w:t></w:t>
      </w:r>
      <w:r>
        <w:rPr>
          <w:rFonts w:hint="eastAsia" w:ascii="宋体" w:hAnsi="宋体" w:cs="宋体"/>
          <w:color w:val="auto"/>
          <w:szCs w:val="21"/>
          <w:highlight w:val="none"/>
          <w:u w:val="single"/>
        </w:rPr>
        <w:t>项目所在地监理人办公室</w:t>
      </w:r>
      <w:r>
        <w:rPr>
          <w:rFonts w:ascii="宋体" w:hAnsi="宋体"/>
          <w:color w:val="auto"/>
          <w:kern w:val="0"/>
          <w:szCs w:val="21"/>
          <w:highlight w:val="none"/>
        </w:rPr>
        <w:t>；</w:t>
      </w:r>
    </w:p>
    <w:p w14:paraId="3DCB4579">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监理人指定的接收人为：</w:t>
      </w:r>
      <w:r>
        <w:rPr>
          <w:rFonts w:hint="eastAsia" w:ascii="宋体" w:hAnsi="宋体"/>
          <w:color w:val="auto"/>
          <w:szCs w:val="21"/>
          <w:highlight w:val="none"/>
          <w:u w:val="single"/>
        </w:rPr>
        <w:t>总监理工程师</w:t>
      </w:r>
      <w:r>
        <w:rPr>
          <w:rFonts w:ascii="宋体" w:hAnsi="宋体"/>
          <w:color w:val="auto"/>
          <w:kern w:val="0"/>
          <w:szCs w:val="21"/>
          <w:highlight w:val="none"/>
        </w:rPr>
        <w:t>。</w:t>
      </w:r>
    </w:p>
    <w:p w14:paraId="5737701F">
      <w:pPr>
        <w:keepNext/>
        <w:keepLines/>
        <w:spacing w:before="260" w:after="260" w:line="416" w:lineRule="auto"/>
        <w:outlineLvl w:val="9"/>
        <w:rPr>
          <w:rFonts w:ascii="宋体" w:hAnsi="宋体"/>
          <w:b/>
          <w:bCs/>
          <w:color w:val="auto"/>
          <w:sz w:val="32"/>
          <w:szCs w:val="32"/>
          <w:highlight w:val="none"/>
        </w:rPr>
      </w:pPr>
      <w:bookmarkStart w:id="296" w:name="_Toc373227699"/>
      <w:bookmarkStart w:id="297" w:name="_Toc531186602"/>
      <w:bookmarkStart w:id="298" w:name="_Toc530144467"/>
      <w:bookmarkStart w:id="299" w:name="_Toc461179240"/>
      <w:bookmarkStart w:id="300" w:name="_Toc470247800"/>
      <w:bookmarkStart w:id="301" w:name="_Toc373478346"/>
      <w:bookmarkStart w:id="302" w:name="_Toc529547325"/>
      <w:bookmarkStart w:id="303" w:name="_Toc453940972"/>
      <w:bookmarkStart w:id="304" w:name="_Toc411345179"/>
      <w:bookmarkStart w:id="305" w:name="_Toc454211110"/>
      <w:bookmarkStart w:id="306" w:name="_Toc389065265"/>
      <w:bookmarkStart w:id="307" w:name="_Toc472931606"/>
      <w:bookmarkStart w:id="308" w:name="_Toc529526973"/>
      <w:r>
        <w:rPr>
          <w:rFonts w:ascii="宋体" w:hAnsi="宋体"/>
          <w:b/>
          <w:bCs/>
          <w:color w:val="auto"/>
          <w:sz w:val="32"/>
          <w:szCs w:val="32"/>
          <w:highlight w:val="none"/>
        </w:rPr>
        <w:t>1.10 交通运输</w:t>
      </w:r>
      <w:bookmarkEnd w:id="296"/>
      <w:bookmarkEnd w:id="297"/>
      <w:bookmarkEnd w:id="298"/>
      <w:bookmarkEnd w:id="299"/>
      <w:bookmarkEnd w:id="300"/>
      <w:bookmarkEnd w:id="301"/>
      <w:bookmarkEnd w:id="302"/>
      <w:bookmarkEnd w:id="303"/>
      <w:bookmarkEnd w:id="304"/>
      <w:bookmarkEnd w:id="305"/>
      <w:bookmarkEnd w:id="306"/>
      <w:bookmarkEnd w:id="307"/>
      <w:bookmarkEnd w:id="308"/>
    </w:p>
    <w:p w14:paraId="013A100A">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w:t>
      </w:r>
      <w:bookmarkStart w:id="309" w:name="_Toc303539100"/>
      <w:bookmarkStart w:id="310" w:name="_Toc318581155"/>
      <w:bookmarkStart w:id="311" w:name="_Toc312677986"/>
      <w:bookmarkStart w:id="312" w:name="_Toc300934943"/>
      <w:bookmarkStart w:id="313" w:name="_Toc304295521"/>
      <w:r>
        <w:rPr>
          <w:rFonts w:ascii="宋体" w:hAnsi="宋体"/>
          <w:color w:val="auto"/>
          <w:szCs w:val="21"/>
          <w:highlight w:val="none"/>
        </w:rPr>
        <w:t>.10.1 出入现场的权利</w:t>
      </w:r>
    </w:p>
    <w:p w14:paraId="04E158ED">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关于出入现场的权利的约定：</w:t>
      </w:r>
      <w:r>
        <w:rPr>
          <w:rFonts w:hint="eastAsia" w:ascii="宋体" w:hAnsi="宋体"/>
          <w:color w:val="auto"/>
          <w:szCs w:val="21"/>
          <w:highlight w:val="none"/>
          <w:u w:val="single"/>
        </w:rPr>
        <w:t>由承包人按发包人要求负责取得出入施工现场所需的批准手续和全部权利，以及取得因施工所需修建道路、桥梁以及其他基础设施的权利，相关手续费用和建设费用由承包人承担。</w:t>
      </w:r>
    </w:p>
    <w:bookmarkEnd w:id="309"/>
    <w:bookmarkEnd w:id="310"/>
    <w:bookmarkEnd w:id="311"/>
    <w:bookmarkEnd w:id="312"/>
    <w:bookmarkEnd w:id="313"/>
    <w:p w14:paraId="468D11D1">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w:t>
      </w:r>
      <w:bookmarkStart w:id="314" w:name="_Toc303539101"/>
      <w:bookmarkStart w:id="315" w:name="_Toc304295522"/>
      <w:bookmarkStart w:id="316" w:name="_Toc300934944"/>
      <w:bookmarkStart w:id="317" w:name="_Toc318581156"/>
      <w:bookmarkStart w:id="318" w:name="_Toc312677987"/>
      <w:r>
        <w:rPr>
          <w:rFonts w:ascii="宋体" w:hAnsi="宋体"/>
          <w:color w:val="auto"/>
          <w:szCs w:val="21"/>
          <w:highlight w:val="none"/>
        </w:rPr>
        <w:t>.10.3 场内交通</w:t>
      </w:r>
    </w:p>
    <w:p w14:paraId="31A55EE9">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关于场外交通和场内交通的边界的约定：</w:t>
      </w:r>
      <w:r>
        <w:rPr>
          <w:rFonts w:ascii="宋体" w:hAnsi="宋体"/>
          <w:color w:val="auto"/>
          <w:szCs w:val="21"/>
          <w:highlight w:val="none"/>
          <w:u w:val="single"/>
        </w:rPr>
        <w:t></w:t>
      </w:r>
      <w:r>
        <w:rPr>
          <w:rFonts w:hint="eastAsia" w:ascii="宋体" w:hAnsi="宋体"/>
          <w:bCs/>
          <w:color w:val="auto"/>
          <w:szCs w:val="21"/>
          <w:highlight w:val="none"/>
          <w:u w:val="single"/>
        </w:rPr>
        <w:t>施工现场红线为界</w:t>
      </w:r>
      <w:r>
        <w:rPr>
          <w:rFonts w:ascii="宋体" w:hAnsi="宋体"/>
          <w:color w:val="auto"/>
          <w:szCs w:val="21"/>
          <w:highlight w:val="none"/>
        </w:rPr>
        <w:t>。</w:t>
      </w:r>
    </w:p>
    <w:p w14:paraId="7A93DEA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由承包人自行解决 </w:t>
      </w:r>
      <w:r>
        <w:rPr>
          <w:rFonts w:ascii="宋体" w:hAnsi="宋体"/>
          <w:color w:val="auto"/>
          <w:szCs w:val="21"/>
          <w:highlight w:val="none"/>
        </w:rPr>
        <w:t>。</w:t>
      </w:r>
      <w:bookmarkEnd w:id="314"/>
      <w:bookmarkEnd w:id="315"/>
      <w:bookmarkEnd w:id="316"/>
      <w:bookmarkEnd w:id="317"/>
      <w:bookmarkEnd w:id="318"/>
      <w:bookmarkStart w:id="319" w:name="_Toc318581157"/>
    </w:p>
    <w:p w14:paraId="0634C023">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1.10.4</w:t>
      </w:r>
      <w:r>
        <w:rPr>
          <w:rFonts w:hint="eastAsia" w:ascii="宋体" w:hAnsi="宋体"/>
          <w:color w:val="auto"/>
          <w:szCs w:val="21"/>
          <w:highlight w:val="none"/>
        </w:rPr>
        <w:t xml:space="preserve"> </w:t>
      </w:r>
      <w:r>
        <w:rPr>
          <w:rFonts w:ascii="宋体" w:hAnsi="宋体"/>
          <w:color w:val="auto"/>
          <w:szCs w:val="21"/>
          <w:highlight w:val="none"/>
        </w:rPr>
        <w:t>超大件和超重件的运输</w:t>
      </w:r>
    </w:p>
    <w:p w14:paraId="58AB454D">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运输超大件或超重件所需的道路和桥梁临时加固改造费用和其他有关费用由</w:t>
      </w:r>
      <w:r>
        <w:rPr>
          <w:rFonts w:ascii="宋体" w:hAnsi="宋体"/>
          <w:color w:val="auto"/>
          <w:szCs w:val="21"/>
          <w:highlight w:val="none"/>
          <w:u w:val="single"/>
        </w:rPr>
        <w:t xml:space="preserve"> </w:t>
      </w:r>
      <w:r>
        <w:rPr>
          <w:rFonts w:hint="eastAsia" w:ascii="宋体" w:hAnsi="宋体"/>
          <w:color w:val="auto"/>
          <w:szCs w:val="21"/>
          <w:highlight w:val="none"/>
          <w:u w:val="single"/>
        </w:rPr>
        <w:t>承包人</w:t>
      </w:r>
      <w:r>
        <w:rPr>
          <w:rFonts w:ascii="宋体" w:hAnsi="宋体"/>
          <w:color w:val="auto"/>
          <w:szCs w:val="21"/>
          <w:highlight w:val="none"/>
          <w:u w:val="single"/>
        </w:rPr>
        <w:t xml:space="preserve"> </w:t>
      </w:r>
      <w:r>
        <w:rPr>
          <w:rFonts w:ascii="宋体" w:hAnsi="宋体"/>
          <w:color w:val="auto"/>
          <w:szCs w:val="21"/>
          <w:highlight w:val="none"/>
        </w:rPr>
        <w:t>承担。</w:t>
      </w:r>
    </w:p>
    <w:bookmarkEnd w:id="319"/>
    <w:p w14:paraId="3D3AC387">
      <w:pPr>
        <w:keepNext/>
        <w:keepLines/>
        <w:spacing w:before="260" w:after="260" w:line="416" w:lineRule="auto"/>
        <w:outlineLvl w:val="9"/>
        <w:rPr>
          <w:rFonts w:ascii="宋体" w:hAnsi="宋体"/>
          <w:b/>
          <w:bCs/>
          <w:color w:val="auto"/>
          <w:sz w:val="32"/>
          <w:szCs w:val="32"/>
          <w:highlight w:val="none"/>
        </w:rPr>
      </w:pPr>
      <w:bookmarkStart w:id="320" w:name="_Toc453940973"/>
      <w:bookmarkStart w:id="321" w:name="_Toc373227700"/>
      <w:bookmarkStart w:id="322" w:name="_Toc530144468"/>
      <w:bookmarkStart w:id="323" w:name="_Toc529547326"/>
      <w:bookmarkStart w:id="324" w:name="_Toc529526974"/>
      <w:bookmarkStart w:id="325" w:name="_Toc411345180"/>
      <w:bookmarkStart w:id="326" w:name="_Toc461179241"/>
      <w:bookmarkStart w:id="327" w:name="_Toc389065266"/>
      <w:bookmarkStart w:id="328" w:name="_Toc470247801"/>
      <w:bookmarkStart w:id="329" w:name="_Toc472931607"/>
      <w:bookmarkStart w:id="330" w:name="_Toc454211111"/>
      <w:bookmarkStart w:id="331" w:name="_Toc373478347"/>
      <w:bookmarkStart w:id="332" w:name="_Toc531186603"/>
      <w:r>
        <w:rPr>
          <w:rFonts w:ascii="宋体" w:hAnsi="宋体"/>
          <w:b/>
          <w:bCs/>
          <w:color w:val="auto"/>
          <w:sz w:val="32"/>
          <w:szCs w:val="32"/>
          <w:highlight w:val="none"/>
        </w:rPr>
        <w:t>1.11 知识产权</w:t>
      </w:r>
      <w:bookmarkEnd w:id="320"/>
      <w:bookmarkEnd w:id="321"/>
      <w:bookmarkEnd w:id="322"/>
      <w:bookmarkEnd w:id="323"/>
      <w:bookmarkEnd w:id="324"/>
      <w:bookmarkEnd w:id="325"/>
      <w:bookmarkEnd w:id="326"/>
      <w:bookmarkEnd w:id="327"/>
      <w:bookmarkEnd w:id="328"/>
      <w:bookmarkEnd w:id="329"/>
      <w:bookmarkEnd w:id="330"/>
      <w:bookmarkEnd w:id="331"/>
      <w:bookmarkEnd w:id="332"/>
    </w:p>
    <w:p w14:paraId="259845CC">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1.11.1</w:t>
      </w:r>
      <w:r>
        <w:rPr>
          <w:rFonts w:hint="eastAsia" w:ascii="宋体" w:hAnsi="宋体"/>
          <w:color w:val="auto"/>
          <w:szCs w:val="21"/>
          <w:highlight w:val="none"/>
        </w:rPr>
        <w:t xml:space="preserve"> </w:t>
      </w:r>
      <w:r>
        <w:rPr>
          <w:rFonts w:ascii="宋体"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b/>
          <w:color w:val="auto"/>
          <w:szCs w:val="21"/>
          <w:highlight w:val="none"/>
          <w:u w:val="single"/>
        </w:rPr>
        <w:t>归属发包人所有，承包人不得向其他人转借、出售或泄露与本项目有关的上述文件资料情况。</w:t>
      </w:r>
    </w:p>
    <w:p w14:paraId="284A4475">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关于发包人提供的上述文件的使用限制的要求：</w:t>
      </w:r>
      <w:r>
        <w:rPr>
          <w:rFonts w:hint="eastAsia" w:ascii="宋体" w:hAnsi="宋体"/>
          <w:b/>
          <w:color w:val="auto"/>
          <w:szCs w:val="21"/>
          <w:highlight w:val="none"/>
          <w:u w:val="single"/>
        </w:rPr>
        <w:t>仅使用于本项目的建设</w:t>
      </w:r>
      <w:r>
        <w:rPr>
          <w:rFonts w:ascii="宋体" w:hAnsi="宋体"/>
          <w:color w:val="auto"/>
          <w:szCs w:val="21"/>
          <w:highlight w:val="none"/>
        </w:rPr>
        <w:t>。</w:t>
      </w:r>
    </w:p>
    <w:p w14:paraId="0002FF50">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1.11.2 关于承包人为实施工程所编制文件的著作权的归属：</w:t>
      </w:r>
      <w:r>
        <w:rPr>
          <w:rFonts w:ascii="宋体" w:hAnsi="宋体"/>
          <w:color w:val="auto"/>
          <w:szCs w:val="21"/>
          <w:highlight w:val="none"/>
          <w:u w:val="single"/>
        </w:rPr>
        <w:t xml:space="preserve"> </w:t>
      </w:r>
      <w:r>
        <w:rPr>
          <w:rFonts w:hint="eastAsia" w:ascii="宋体" w:hAnsi="宋体"/>
          <w:b/>
          <w:color w:val="auto"/>
          <w:szCs w:val="21"/>
          <w:highlight w:val="none"/>
          <w:u w:val="single"/>
        </w:rPr>
        <w:t>发包人</w:t>
      </w:r>
      <w:r>
        <w:rPr>
          <w:rFonts w:ascii="宋体" w:hAnsi="宋体"/>
          <w:color w:val="auto"/>
          <w:szCs w:val="21"/>
          <w:highlight w:val="none"/>
          <w:u w:val="single"/>
        </w:rPr>
        <w:t xml:space="preserve">  </w:t>
      </w:r>
      <w:r>
        <w:rPr>
          <w:rFonts w:ascii="宋体" w:hAnsi="宋体"/>
          <w:color w:val="auto"/>
          <w:szCs w:val="21"/>
          <w:highlight w:val="none"/>
        </w:rPr>
        <w:t>。</w:t>
      </w:r>
    </w:p>
    <w:p w14:paraId="4C2154B7">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关于承包人提供的上述文件的使用限制的要求：</w:t>
      </w:r>
      <w:r>
        <w:rPr>
          <w:rFonts w:ascii="宋体" w:hAnsi="宋体"/>
          <w:color w:val="auto"/>
          <w:szCs w:val="21"/>
          <w:highlight w:val="none"/>
          <w:u w:val="single"/>
        </w:rPr>
        <w:t></w:t>
      </w:r>
      <w:r>
        <w:rPr>
          <w:rFonts w:hint="eastAsia" w:ascii="宋体" w:hAnsi="宋体"/>
          <w:b/>
          <w:color w:val="auto"/>
          <w:szCs w:val="21"/>
          <w:highlight w:val="none"/>
          <w:u w:val="single"/>
        </w:rPr>
        <w:t>仅限本项目使用</w:t>
      </w:r>
      <w:r>
        <w:rPr>
          <w:rFonts w:ascii="宋体" w:hAnsi="宋体"/>
          <w:color w:val="auto"/>
          <w:szCs w:val="21"/>
          <w:highlight w:val="none"/>
          <w:u w:val="single"/>
        </w:rPr>
        <w:t></w:t>
      </w:r>
      <w:r>
        <w:rPr>
          <w:rFonts w:ascii="宋体" w:hAnsi="宋体"/>
          <w:color w:val="auto"/>
          <w:szCs w:val="21"/>
          <w:highlight w:val="none"/>
        </w:rPr>
        <w:t>。</w:t>
      </w:r>
    </w:p>
    <w:p w14:paraId="5AAE7A91">
      <w:pPr>
        <w:spacing w:line="360" w:lineRule="auto"/>
        <w:ind w:firstLine="420" w:firstLineChars="200"/>
        <w:outlineLvl w:val="9"/>
        <w:rPr>
          <w:rFonts w:ascii="宋体" w:hAnsi="宋体"/>
          <w:color w:val="auto"/>
          <w:kern w:val="0"/>
          <w:szCs w:val="21"/>
          <w:highlight w:val="none"/>
        </w:rPr>
      </w:pPr>
      <w:r>
        <w:rPr>
          <w:rFonts w:ascii="宋体" w:hAnsi="宋体"/>
          <w:color w:val="auto"/>
          <w:szCs w:val="21"/>
          <w:highlight w:val="none"/>
        </w:rPr>
        <w:t>1.11.4 承包人在施工过程中所采用的专利、专有技术、技术秘密的使用费的承担方式：</w:t>
      </w:r>
      <w:r>
        <w:rPr>
          <w:rFonts w:hint="eastAsia" w:ascii="宋体" w:hAnsi="宋体"/>
          <w:b/>
          <w:color w:val="auto"/>
          <w:szCs w:val="21"/>
          <w:highlight w:val="none"/>
          <w:u w:val="single"/>
        </w:rPr>
        <w:t>承包人自行承担</w:t>
      </w:r>
      <w:r>
        <w:rPr>
          <w:rFonts w:ascii="宋体" w:hAnsi="宋体"/>
          <w:color w:val="auto"/>
          <w:kern w:val="0"/>
          <w:szCs w:val="21"/>
          <w:highlight w:val="none"/>
        </w:rPr>
        <w:t>。</w:t>
      </w:r>
    </w:p>
    <w:p w14:paraId="37E3DB92">
      <w:pPr>
        <w:keepNext/>
        <w:keepLines/>
        <w:spacing w:before="260" w:after="260" w:line="416" w:lineRule="auto"/>
        <w:outlineLvl w:val="9"/>
        <w:rPr>
          <w:rFonts w:ascii="宋体" w:hAnsi="宋体"/>
          <w:b/>
          <w:bCs/>
          <w:color w:val="auto"/>
          <w:sz w:val="32"/>
          <w:szCs w:val="32"/>
          <w:highlight w:val="none"/>
        </w:rPr>
      </w:pPr>
      <w:bookmarkStart w:id="333" w:name="_Toc529526975"/>
      <w:bookmarkStart w:id="334" w:name="_Toc461179242"/>
      <w:bookmarkStart w:id="335" w:name="_Toc411345181"/>
      <w:bookmarkStart w:id="336" w:name="_Toc531186604"/>
      <w:bookmarkStart w:id="337" w:name="_Toc529547327"/>
      <w:bookmarkStart w:id="338" w:name="_Toc373227701"/>
      <w:bookmarkStart w:id="339" w:name="_Toc373478348"/>
      <w:bookmarkStart w:id="340" w:name="_Toc470247802"/>
      <w:bookmarkStart w:id="341" w:name="_Toc389065267"/>
      <w:bookmarkStart w:id="342" w:name="_Toc530144469"/>
      <w:bookmarkStart w:id="343" w:name="_Toc454211112"/>
      <w:bookmarkStart w:id="344" w:name="_Toc472931608"/>
      <w:bookmarkStart w:id="345" w:name="_Toc453940974"/>
      <w:r>
        <w:rPr>
          <w:rFonts w:ascii="宋体" w:hAnsi="宋体"/>
          <w:b/>
          <w:bCs/>
          <w:color w:val="auto"/>
          <w:sz w:val="32"/>
          <w:szCs w:val="32"/>
          <w:highlight w:val="none"/>
        </w:rPr>
        <w:t>1.13工程量清单错误的修正</w:t>
      </w:r>
      <w:bookmarkEnd w:id="333"/>
      <w:bookmarkEnd w:id="334"/>
      <w:bookmarkEnd w:id="335"/>
      <w:bookmarkEnd w:id="336"/>
      <w:bookmarkEnd w:id="337"/>
      <w:bookmarkEnd w:id="338"/>
      <w:bookmarkEnd w:id="339"/>
      <w:bookmarkEnd w:id="340"/>
      <w:bookmarkEnd w:id="341"/>
      <w:bookmarkEnd w:id="342"/>
      <w:bookmarkEnd w:id="343"/>
      <w:bookmarkEnd w:id="344"/>
      <w:bookmarkEnd w:id="345"/>
    </w:p>
    <w:p w14:paraId="64048AD8">
      <w:pPr>
        <w:spacing w:line="400" w:lineRule="exact"/>
        <w:ind w:firstLine="420" w:firstLineChars="200"/>
        <w:outlineLvl w:val="9"/>
        <w:rPr>
          <w:rFonts w:ascii="Calibri" w:hAnsi="Calibri"/>
          <w:color w:val="auto"/>
          <w:sz w:val="22"/>
          <w:szCs w:val="22"/>
          <w:highlight w:val="none"/>
        </w:rPr>
      </w:pPr>
      <w:r>
        <w:rPr>
          <w:rFonts w:hint="eastAsia" w:ascii="宋体" w:hAnsi="宋体"/>
          <w:color w:val="auto"/>
          <w:szCs w:val="21"/>
          <w:highlight w:val="none"/>
        </w:rPr>
        <w:t>出现工程量清单工程量偏差，是否调整合同价格：</w:t>
      </w:r>
      <w:r>
        <w:rPr>
          <w:rFonts w:hint="eastAsia" w:ascii="Calibri" w:hAnsi="Calibri"/>
          <w:color w:val="auto"/>
          <w:sz w:val="22"/>
          <w:szCs w:val="22"/>
          <w:highlight w:val="none"/>
          <w:u w:val="single"/>
        </w:rPr>
        <w:t>允许调整合同价格的工程量偏差范围及其调整办法：实际完成工程量超过±15%时允许调整，按GB 50500-2013《建设工程工程量清单计价规范》广西壮族自治区实施细则进行调整</w:t>
      </w:r>
      <w:r>
        <w:rPr>
          <w:rFonts w:ascii="Calibri" w:hAnsi="宋体"/>
          <w:color w:val="auto"/>
          <w:kern w:val="0"/>
          <w:sz w:val="22"/>
          <w:szCs w:val="22"/>
          <w:highlight w:val="none"/>
        </w:rPr>
        <w:t>。</w:t>
      </w:r>
    </w:p>
    <w:p w14:paraId="464D3995">
      <w:pPr>
        <w:spacing w:line="400" w:lineRule="exact"/>
        <w:ind w:firstLine="440" w:firstLineChars="200"/>
        <w:outlineLvl w:val="9"/>
        <w:rPr>
          <w:rFonts w:ascii="宋体" w:hAnsi="宋体"/>
          <w:color w:val="auto"/>
          <w:szCs w:val="21"/>
          <w:highlight w:val="none"/>
        </w:rPr>
      </w:pPr>
      <w:r>
        <w:rPr>
          <w:rFonts w:ascii="Calibri" w:hAnsi="宋体"/>
          <w:color w:val="auto"/>
          <w:sz w:val="22"/>
          <w:szCs w:val="22"/>
          <w:highlight w:val="none"/>
        </w:rPr>
        <w:t>允许调整合同价格的工程量偏差范围及其调整办法：</w:t>
      </w:r>
      <w:r>
        <w:rPr>
          <w:rFonts w:ascii="Calibri" w:hAnsi="宋体"/>
          <w:color w:val="auto"/>
          <w:sz w:val="22"/>
          <w:szCs w:val="22"/>
          <w:highlight w:val="none"/>
          <w:u w:val="single"/>
        </w:rPr>
        <w:t></w:t>
      </w:r>
      <w:r>
        <w:rPr>
          <w:rFonts w:hint="eastAsia" w:ascii="Calibri" w:hAnsi="宋体"/>
          <w:color w:val="auto"/>
          <w:sz w:val="22"/>
          <w:szCs w:val="22"/>
          <w:highlight w:val="none"/>
          <w:u w:val="single"/>
        </w:rPr>
        <w:t>按通用条款执行</w:t>
      </w:r>
      <w:r>
        <w:rPr>
          <w:rFonts w:ascii="Calibri" w:hAnsi="Calibri"/>
          <w:color w:val="auto"/>
          <w:sz w:val="22"/>
          <w:szCs w:val="22"/>
          <w:highlight w:val="none"/>
          <w:u w:val="single"/>
        </w:rPr>
        <w:t xml:space="preserve">    </w:t>
      </w:r>
      <w:r>
        <w:rPr>
          <w:rFonts w:ascii="宋体" w:hAnsi="宋体"/>
          <w:color w:val="auto"/>
          <w:kern w:val="0"/>
          <w:szCs w:val="21"/>
          <w:highlight w:val="none"/>
        </w:rPr>
        <w:t>。</w:t>
      </w:r>
    </w:p>
    <w:p w14:paraId="14B63FBD">
      <w:pPr>
        <w:keepNext/>
        <w:keepLines/>
        <w:spacing w:before="260" w:after="260" w:line="416" w:lineRule="auto"/>
        <w:outlineLvl w:val="9"/>
        <w:rPr>
          <w:rFonts w:ascii="宋体" w:hAnsi="宋体"/>
          <w:b/>
          <w:bCs/>
          <w:color w:val="auto"/>
          <w:sz w:val="32"/>
          <w:szCs w:val="32"/>
          <w:highlight w:val="none"/>
        </w:rPr>
      </w:pPr>
      <w:bookmarkStart w:id="346" w:name="_Toc454211113"/>
      <w:bookmarkStart w:id="347" w:name="_Toc472931609"/>
      <w:bookmarkStart w:id="348" w:name="_Toc531186605"/>
      <w:bookmarkStart w:id="349" w:name="_Toc529526976"/>
      <w:bookmarkStart w:id="350" w:name="_Toc470247803"/>
      <w:bookmarkStart w:id="351" w:name="_Toc529547328"/>
      <w:bookmarkStart w:id="352" w:name="_Toc461179243"/>
      <w:bookmarkStart w:id="353" w:name="_Toc530144470"/>
      <w:r>
        <w:rPr>
          <w:rFonts w:ascii="宋体" w:hAnsi="宋体"/>
          <w:b/>
          <w:bCs/>
          <w:color w:val="auto"/>
          <w:sz w:val="32"/>
          <w:szCs w:val="32"/>
          <w:highlight w:val="none"/>
        </w:rPr>
        <w:t>2</w:t>
      </w:r>
      <w:bookmarkStart w:id="354" w:name="_Toc296944496"/>
      <w:bookmarkStart w:id="355" w:name="_Toc296890985"/>
      <w:bookmarkStart w:id="356" w:name="_Toc297048343"/>
      <w:bookmarkStart w:id="357" w:name="_Toc292559362"/>
      <w:bookmarkStart w:id="358" w:name="_Toc296347156"/>
      <w:bookmarkStart w:id="359" w:name="_Toc296346658"/>
      <w:bookmarkStart w:id="360" w:name="_Toc296891197"/>
      <w:bookmarkStart w:id="361" w:name="_Toc296503157"/>
      <w:bookmarkStart w:id="362" w:name="_Toc292559867"/>
      <w:bookmarkStart w:id="363" w:name="_Toc297120457"/>
      <w:r>
        <w:rPr>
          <w:rFonts w:ascii="宋体" w:hAnsi="宋体"/>
          <w:b/>
          <w:bCs/>
          <w:color w:val="auto"/>
          <w:sz w:val="32"/>
          <w:szCs w:val="32"/>
          <w:highlight w:val="none"/>
        </w:rPr>
        <w:t>. 发包人</w:t>
      </w:r>
      <w:bookmarkEnd w:id="346"/>
      <w:bookmarkEnd w:id="347"/>
      <w:bookmarkEnd w:id="348"/>
      <w:bookmarkEnd w:id="349"/>
      <w:bookmarkEnd w:id="350"/>
      <w:bookmarkEnd w:id="351"/>
      <w:bookmarkEnd w:id="352"/>
      <w:bookmarkEnd w:id="353"/>
    </w:p>
    <w:bookmarkEnd w:id="354"/>
    <w:bookmarkEnd w:id="355"/>
    <w:bookmarkEnd w:id="356"/>
    <w:bookmarkEnd w:id="357"/>
    <w:bookmarkEnd w:id="358"/>
    <w:bookmarkEnd w:id="359"/>
    <w:bookmarkEnd w:id="360"/>
    <w:bookmarkEnd w:id="361"/>
    <w:bookmarkEnd w:id="362"/>
    <w:bookmarkEnd w:id="363"/>
    <w:p w14:paraId="007B4A2D">
      <w:pPr>
        <w:keepNext/>
        <w:keepLines/>
        <w:spacing w:before="260" w:after="260" w:line="416" w:lineRule="auto"/>
        <w:outlineLvl w:val="9"/>
        <w:rPr>
          <w:rFonts w:ascii="宋体" w:hAnsi="宋体"/>
          <w:b/>
          <w:bCs/>
          <w:color w:val="auto"/>
          <w:sz w:val="32"/>
          <w:szCs w:val="32"/>
          <w:highlight w:val="none"/>
        </w:rPr>
      </w:pPr>
      <w:bookmarkStart w:id="364" w:name="_Toc373478350"/>
      <w:bookmarkStart w:id="365" w:name="_Toc454211115"/>
      <w:bookmarkStart w:id="366" w:name="_Toc411345184"/>
      <w:bookmarkStart w:id="367" w:name="_Toc529547329"/>
      <w:bookmarkStart w:id="368" w:name="_Toc432343891"/>
      <w:bookmarkStart w:id="369" w:name="_Toc472931610"/>
      <w:bookmarkStart w:id="370" w:name="_Toc530144471"/>
      <w:bookmarkStart w:id="371" w:name="_Toc531186606"/>
      <w:bookmarkStart w:id="372" w:name="_Toc529526977"/>
      <w:bookmarkStart w:id="373" w:name="_Toc470247804"/>
      <w:bookmarkStart w:id="374" w:name="_Toc389065269"/>
      <w:bookmarkStart w:id="375" w:name="_Toc461179245"/>
      <w:bookmarkStart w:id="376" w:name="_Toc373227703"/>
      <w:r>
        <w:rPr>
          <w:rFonts w:ascii="宋体" w:hAnsi="宋体"/>
          <w:b/>
          <w:bCs/>
          <w:color w:val="auto"/>
          <w:sz w:val="32"/>
          <w:szCs w:val="32"/>
          <w:highlight w:val="none"/>
        </w:rPr>
        <w:t>2.2 发包人代表</w:t>
      </w:r>
      <w:bookmarkEnd w:id="364"/>
      <w:bookmarkEnd w:id="365"/>
      <w:bookmarkEnd w:id="366"/>
      <w:bookmarkEnd w:id="367"/>
      <w:bookmarkEnd w:id="368"/>
      <w:bookmarkEnd w:id="369"/>
      <w:bookmarkEnd w:id="370"/>
      <w:bookmarkEnd w:id="371"/>
      <w:bookmarkEnd w:id="372"/>
      <w:bookmarkEnd w:id="373"/>
      <w:bookmarkEnd w:id="374"/>
      <w:bookmarkEnd w:id="375"/>
      <w:bookmarkEnd w:id="376"/>
    </w:p>
    <w:p w14:paraId="335DEDAD">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发包人代表：</w:t>
      </w:r>
    </w:p>
    <w:p w14:paraId="42C053D3">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w:t>
      </w:r>
      <w:r>
        <w:rPr>
          <w:rFonts w:hint="eastAsia" w:ascii="宋体" w:hAnsi="宋体"/>
          <w:color w:val="auto"/>
          <w:szCs w:val="21"/>
          <w:highlight w:val="none"/>
          <w:u w:val="single"/>
        </w:rPr>
        <w:t>待定</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    </w:t>
      </w:r>
      <w:r>
        <w:rPr>
          <w:rFonts w:ascii="宋体" w:hAnsi="宋体"/>
          <w:color w:val="auto"/>
          <w:szCs w:val="21"/>
          <w:highlight w:val="none"/>
        </w:rPr>
        <w:t>；</w:t>
      </w:r>
    </w:p>
    <w:p w14:paraId="66F28C2E">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     </w:t>
      </w:r>
      <w:r>
        <w:rPr>
          <w:rFonts w:ascii="宋体" w:hAnsi="宋体"/>
          <w:color w:val="auto"/>
          <w:szCs w:val="21"/>
          <w:highlight w:val="none"/>
        </w:rPr>
        <w:t>；</w:t>
      </w:r>
    </w:p>
    <w:p w14:paraId="1BE26640">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14:paraId="170883D2">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  </w:t>
      </w:r>
      <w:r>
        <w:rPr>
          <w:rFonts w:ascii="宋体" w:hAnsi="宋体"/>
          <w:color w:val="auto"/>
          <w:szCs w:val="21"/>
          <w:highlight w:val="none"/>
        </w:rPr>
        <w:t>；</w:t>
      </w:r>
    </w:p>
    <w:p w14:paraId="57347B0B">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  </w:t>
      </w:r>
      <w:r>
        <w:rPr>
          <w:rFonts w:ascii="宋体" w:hAnsi="宋体"/>
          <w:color w:val="auto"/>
          <w:szCs w:val="21"/>
          <w:highlight w:val="none"/>
        </w:rPr>
        <w:t>；</w:t>
      </w:r>
    </w:p>
    <w:p w14:paraId="163E82EC">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通信地址：</w:t>
      </w:r>
      <w:r>
        <w:rPr>
          <w:rFonts w:hint="eastAsia" w:ascii="宋体" w:hAnsi="宋体"/>
          <w:color w:val="auto"/>
          <w:szCs w:val="21"/>
          <w:highlight w:val="none"/>
          <w:u w:val="single"/>
        </w:rPr>
        <w:t xml:space="preserve">                               </w:t>
      </w:r>
      <w:r>
        <w:rPr>
          <w:rFonts w:ascii="宋体" w:hAnsi="宋体"/>
          <w:color w:val="auto"/>
          <w:szCs w:val="21"/>
          <w:highlight w:val="none"/>
        </w:rPr>
        <w:t>。</w:t>
      </w:r>
    </w:p>
    <w:p w14:paraId="5651E915">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发包人对发包人代表的授权范围如下：</w:t>
      </w:r>
      <w:r>
        <w:rPr>
          <w:rFonts w:ascii="宋体" w:hAnsi="宋体"/>
          <w:color w:val="auto"/>
          <w:szCs w:val="21"/>
          <w:highlight w:val="none"/>
          <w:u w:val="single"/>
        </w:rPr>
        <w:t></w:t>
      </w:r>
      <w:r>
        <w:rPr>
          <w:rFonts w:hint="eastAsia" w:ascii="Calibri" w:hAnsi="宋体"/>
          <w:color w:val="auto"/>
          <w:sz w:val="22"/>
          <w:szCs w:val="22"/>
          <w:highlight w:val="none"/>
          <w:u w:val="single"/>
        </w:rPr>
        <w:t>以发包人签署予发包人代表的授权委托书的授权范围为准</w:t>
      </w:r>
      <w:r>
        <w:rPr>
          <w:rFonts w:ascii="宋体" w:hAnsi="宋体"/>
          <w:color w:val="auto"/>
          <w:szCs w:val="21"/>
          <w:highlight w:val="none"/>
        </w:rPr>
        <w:t>。</w:t>
      </w:r>
    </w:p>
    <w:p w14:paraId="0D669BC2">
      <w:pPr>
        <w:keepNext/>
        <w:keepLines/>
        <w:spacing w:before="260" w:after="260" w:line="416" w:lineRule="auto"/>
        <w:outlineLvl w:val="9"/>
        <w:rPr>
          <w:rFonts w:ascii="宋体" w:hAnsi="宋体"/>
          <w:b/>
          <w:bCs/>
          <w:color w:val="auto"/>
          <w:sz w:val="32"/>
          <w:szCs w:val="21"/>
          <w:highlight w:val="none"/>
        </w:rPr>
      </w:pPr>
      <w:bookmarkStart w:id="377" w:name="_Toc373227704"/>
      <w:bookmarkStart w:id="378" w:name="_Toc454211116"/>
      <w:bookmarkStart w:id="379" w:name="_Toc472931611"/>
      <w:bookmarkStart w:id="380" w:name="_Toc531186607"/>
      <w:bookmarkStart w:id="381" w:name="_Toc530144472"/>
      <w:bookmarkStart w:id="382" w:name="_Toc411345185"/>
      <w:bookmarkStart w:id="383" w:name="_Toc432343892"/>
      <w:bookmarkStart w:id="384" w:name="_Toc373478351"/>
      <w:bookmarkStart w:id="385" w:name="_Toc389065270"/>
      <w:bookmarkStart w:id="386" w:name="_Toc461179246"/>
      <w:bookmarkStart w:id="387" w:name="_Toc470247805"/>
      <w:bookmarkStart w:id="388" w:name="_Toc529547330"/>
      <w:bookmarkStart w:id="389" w:name="_Toc529526978"/>
      <w:r>
        <w:rPr>
          <w:rFonts w:ascii="宋体" w:hAnsi="宋体"/>
          <w:b/>
          <w:bCs/>
          <w:color w:val="auto"/>
          <w:sz w:val="32"/>
          <w:szCs w:val="21"/>
          <w:highlight w:val="none"/>
        </w:rPr>
        <w:t>2.4 施工现场、施工条件和基础资料的提供</w:t>
      </w:r>
      <w:bookmarkEnd w:id="377"/>
      <w:bookmarkEnd w:id="378"/>
      <w:bookmarkEnd w:id="379"/>
      <w:bookmarkEnd w:id="380"/>
      <w:bookmarkEnd w:id="381"/>
      <w:bookmarkEnd w:id="382"/>
      <w:bookmarkEnd w:id="383"/>
      <w:bookmarkEnd w:id="384"/>
      <w:bookmarkEnd w:id="385"/>
      <w:bookmarkEnd w:id="386"/>
      <w:bookmarkEnd w:id="387"/>
      <w:bookmarkEnd w:id="388"/>
      <w:bookmarkEnd w:id="389"/>
    </w:p>
    <w:p w14:paraId="32B77F4C">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2.4.1 提供施工现场</w:t>
      </w:r>
    </w:p>
    <w:p w14:paraId="78EC1B85">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关于发包人移交施工现场的期限要求：</w:t>
      </w:r>
      <w:r>
        <w:rPr>
          <w:rFonts w:ascii="宋体" w:hAnsi="宋体"/>
          <w:color w:val="auto"/>
          <w:szCs w:val="21"/>
          <w:highlight w:val="none"/>
          <w:u w:val="single"/>
        </w:rPr>
        <w:t></w:t>
      </w:r>
      <w:r>
        <w:rPr>
          <w:rFonts w:hint="eastAsia" w:ascii="宋体" w:hAnsi="宋体"/>
          <w:bCs/>
          <w:color w:val="auto"/>
          <w:szCs w:val="21"/>
          <w:highlight w:val="none"/>
          <w:u w:val="single"/>
        </w:rPr>
        <w:t>开工前7天内</w:t>
      </w:r>
      <w:r>
        <w:rPr>
          <w:rFonts w:ascii="宋体" w:hAnsi="宋体"/>
          <w:color w:val="auto"/>
          <w:szCs w:val="21"/>
          <w:highlight w:val="none"/>
          <w:u w:val="single"/>
        </w:rPr>
        <w:t></w:t>
      </w:r>
      <w:r>
        <w:rPr>
          <w:rFonts w:ascii="宋体" w:hAnsi="宋体"/>
          <w:color w:val="auto"/>
          <w:szCs w:val="21"/>
          <w:highlight w:val="none"/>
        </w:rPr>
        <w:t>。</w:t>
      </w:r>
    </w:p>
    <w:p w14:paraId="0D00E7C6">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2.4.2 提供施工条件</w:t>
      </w:r>
    </w:p>
    <w:p w14:paraId="37F5AA83">
      <w:pPr>
        <w:spacing w:line="360" w:lineRule="auto"/>
        <w:ind w:firstLine="420" w:firstLineChars="200"/>
        <w:outlineLvl w:val="9"/>
        <w:rPr>
          <w:rFonts w:ascii="宋体" w:hAnsi="宋体"/>
          <w:bCs/>
          <w:color w:val="auto"/>
          <w:szCs w:val="21"/>
          <w:highlight w:val="none"/>
          <w:u w:val="single"/>
        </w:rPr>
      </w:pPr>
      <w:r>
        <w:rPr>
          <w:rFonts w:ascii="宋体" w:hAnsi="宋体"/>
          <w:color w:val="auto"/>
          <w:szCs w:val="21"/>
          <w:highlight w:val="none"/>
        </w:rPr>
        <w:t>关于发包人应负责提供施工所需要的条件，包括：</w:t>
      </w:r>
      <w:r>
        <w:rPr>
          <w:rFonts w:hint="eastAsia" w:ascii="宋体" w:hAnsi="宋体"/>
          <w:bCs/>
          <w:color w:val="auto"/>
          <w:szCs w:val="21"/>
          <w:highlight w:val="none"/>
          <w:u w:val="single"/>
        </w:rPr>
        <w:t>协助承包人办理施工所需水和电接驳，但施工所需水和电接驳点由承包人根据现场实际情况解决，相应费用（不限于管线的安装、使用以及报装等与之相关的一切费用）已经在综合单价及措施费中综合考虑，发包人不另行支付。若供电和供水部门的原因造成停电或承包人未能及时报装，承包人必须自行解决施工用电，费用由承包人负责。发包人的协助不能免除或减轻承包人的任何责任。</w:t>
      </w:r>
    </w:p>
    <w:p w14:paraId="54442BFB">
      <w:pPr>
        <w:keepNext/>
        <w:keepLines/>
        <w:spacing w:before="260" w:after="260" w:line="416" w:lineRule="auto"/>
        <w:outlineLvl w:val="9"/>
        <w:rPr>
          <w:rFonts w:ascii="宋体" w:hAnsi="宋体"/>
          <w:b/>
          <w:bCs/>
          <w:color w:val="auto"/>
          <w:sz w:val="32"/>
          <w:szCs w:val="32"/>
          <w:highlight w:val="none"/>
        </w:rPr>
      </w:pPr>
      <w:bookmarkStart w:id="390" w:name="_Toc373478352"/>
      <w:bookmarkStart w:id="391" w:name="_Toc461179247"/>
      <w:bookmarkStart w:id="392" w:name="_Toc373227705"/>
      <w:bookmarkStart w:id="393" w:name="_Toc529526979"/>
      <w:bookmarkStart w:id="394" w:name="_Toc529547331"/>
      <w:bookmarkStart w:id="395" w:name="_Toc472931612"/>
      <w:bookmarkStart w:id="396" w:name="_Toc389065271"/>
      <w:bookmarkStart w:id="397" w:name="_Toc530144473"/>
      <w:bookmarkStart w:id="398" w:name="_Toc411345186"/>
      <w:bookmarkStart w:id="399" w:name="_Toc454211117"/>
      <w:bookmarkStart w:id="400" w:name="_Toc470247806"/>
      <w:bookmarkStart w:id="401" w:name="_Toc531186608"/>
      <w:bookmarkStart w:id="402" w:name="_Toc432343893"/>
      <w:r>
        <w:rPr>
          <w:rFonts w:ascii="宋体" w:hAnsi="宋体"/>
          <w:b/>
          <w:bCs/>
          <w:color w:val="auto"/>
          <w:sz w:val="32"/>
          <w:szCs w:val="32"/>
          <w:highlight w:val="none"/>
        </w:rPr>
        <w:t>2.5 资金来源证明及支付担保</w:t>
      </w:r>
      <w:bookmarkEnd w:id="390"/>
      <w:bookmarkEnd w:id="391"/>
      <w:bookmarkEnd w:id="392"/>
      <w:bookmarkEnd w:id="393"/>
      <w:bookmarkEnd w:id="394"/>
      <w:bookmarkEnd w:id="395"/>
      <w:bookmarkEnd w:id="396"/>
      <w:bookmarkEnd w:id="397"/>
      <w:bookmarkEnd w:id="398"/>
      <w:bookmarkEnd w:id="399"/>
      <w:bookmarkEnd w:id="400"/>
      <w:bookmarkEnd w:id="401"/>
      <w:bookmarkEnd w:id="402"/>
    </w:p>
    <w:p w14:paraId="1CDEF8CC">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发包人提供资金来源证明的期限要求：</w:t>
      </w:r>
      <w:r>
        <w:rPr>
          <w:rFonts w:ascii="宋体" w:hAnsi="宋体"/>
          <w:color w:val="auto"/>
          <w:szCs w:val="21"/>
          <w:highlight w:val="none"/>
          <w:u w:val="single"/>
        </w:rPr>
        <w:t></w:t>
      </w:r>
      <w:r>
        <w:rPr>
          <w:rFonts w:hint="eastAsia" w:ascii="宋体" w:hAnsi="宋体"/>
          <w:color w:val="auto"/>
          <w:szCs w:val="21"/>
          <w:highlight w:val="none"/>
          <w:u w:val="single"/>
        </w:rPr>
        <w:t>无</w:t>
      </w:r>
      <w:r>
        <w:rPr>
          <w:rFonts w:ascii="宋体" w:hAnsi="宋体"/>
          <w:color w:val="auto"/>
          <w:szCs w:val="21"/>
          <w:highlight w:val="none"/>
          <w:u w:val="single"/>
        </w:rPr>
        <w:t></w:t>
      </w:r>
      <w:r>
        <w:rPr>
          <w:rFonts w:ascii="宋体" w:hAnsi="宋体"/>
          <w:color w:val="auto"/>
          <w:szCs w:val="21"/>
          <w:highlight w:val="none"/>
        </w:rPr>
        <w:t>。</w:t>
      </w:r>
    </w:p>
    <w:p w14:paraId="26BC6237">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发包人是否提供支付担保：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无</w:t>
      </w:r>
      <w:r>
        <w:rPr>
          <w:rFonts w:ascii="宋体" w:hAnsi="宋体"/>
          <w:color w:val="auto"/>
          <w:szCs w:val="21"/>
          <w:highlight w:val="none"/>
          <w:u w:val="single"/>
        </w:rPr>
        <w:t xml:space="preserve">  </w:t>
      </w:r>
      <w:r>
        <w:rPr>
          <w:rFonts w:ascii="宋体" w:hAnsi="宋体"/>
          <w:color w:val="auto"/>
          <w:szCs w:val="21"/>
          <w:highlight w:val="none"/>
        </w:rPr>
        <w:t>。</w:t>
      </w:r>
    </w:p>
    <w:p w14:paraId="3D2973B2">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发包人提供支付担保的形式：</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4D45F8A1">
      <w:pPr>
        <w:spacing w:line="360" w:lineRule="auto"/>
        <w:ind w:firstLine="420" w:firstLineChars="200"/>
        <w:outlineLvl w:val="9"/>
        <w:rPr>
          <w:rFonts w:ascii="宋体" w:hAnsi="宋体"/>
          <w:color w:val="auto"/>
          <w:szCs w:val="21"/>
          <w:highlight w:val="none"/>
          <w:u w:val="single"/>
        </w:rPr>
      </w:pPr>
      <w:r>
        <w:rPr>
          <w:rFonts w:hint="eastAsia" w:ascii="宋体" w:hAnsi="宋体"/>
          <w:color w:val="auto"/>
          <w:szCs w:val="21"/>
          <w:highlight w:val="none"/>
        </w:rPr>
        <w:t>发包人提供的支付担保格式见合同附件2。</w:t>
      </w:r>
    </w:p>
    <w:p w14:paraId="3D43CBC3">
      <w:pPr>
        <w:keepNext/>
        <w:keepLines/>
        <w:spacing w:before="260" w:after="260" w:line="416" w:lineRule="auto"/>
        <w:outlineLvl w:val="9"/>
        <w:rPr>
          <w:rFonts w:ascii="宋体" w:hAnsi="宋体"/>
          <w:b/>
          <w:bCs/>
          <w:color w:val="auto"/>
          <w:sz w:val="32"/>
          <w:szCs w:val="32"/>
          <w:highlight w:val="none"/>
        </w:rPr>
      </w:pPr>
      <w:bookmarkStart w:id="403" w:name="_Toc470247807"/>
      <w:bookmarkStart w:id="404" w:name="_Toc373227706"/>
      <w:bookmarkStart w:id="405" w:name="_Toc530144474"/>
      <w:bookmarkStart w:id="406" w:name="_Toc411345187"/>
      <w:bookmarkStart w:id="407" w:name="_Toc461179248"/>
      <w:bookmarkStart w:id="408" w:name="_Toc351203635"/>
      <w:bookmarkStart w:id="409" w:name="_Toc529547332"/>
      <w:bookmarkStart w:id="410" w:name="_Toc529526980"/>
      <w:bookmarkStart w:id="411" w:name="_Toc454211118"/>
      <w:bookmarkStart w:id="412" w:name="_Toc472931613"/>
      <w:bookmarkStart w:id="413" w:name="_Toc373478353"/>
      <w:bookmarkStart w:id="414" w:name="_Toc432343894"/>
      <w:bookmarkStart w:id="415" w:name="_Toc531186609"/>
      <w:bookmarkStart w:id="416" w:name="_Toc389065272"/>
      <w:r>
        <w:rPr>
          <w:rFonts w:ascii="宋体" w:hAnsi="宋体"/>
          <w:b/>
          <w:bCs/>
          <w:color w:val="auto"/>
          <w:sz w:val="32"/>
          <w:szCs w:val="32"/>
          <w:highlight w:val="none"/>
        </w:rPr>
        <w:t>3</w:t>
      </w:r>
      <w:bookmarkStart w:id="417" w:name="_Toc297048344"/>
      <w:bookmarkStart w:id="418" w:name="_Toc296890986"/>
      <w:bookmarkStart w:id="419" w:name="_Toc292559868"/>
      <w:bookmarkStart w:id="420" w:name="_Toc296346659"/>
      <w:bookmarkStart w:id="421" w:name="_Toc292559363"/>
      <w:bookmarkStart w:id="422" w:name="_Toc297120458"/>
      <w:bookmarkStart w:id="423" w:name="_Toc296503158"/>
      <w:bookmarkStart w:id="424" w:name="_Toc296944497"/>
      <w:bookmarkStart w:id="425" w:name="_Toc296347157"/>
      <w:bookmarkStart w:id="426" w:name="_Toc296891198"/>
      <w:r>
        <w:rPr>
          <w:rFonts w:ascii="宋体" w:hAnsi="宋体"/>
          <w:b/>
          <w:bCs/>
          <w:color w:val="auto"/>
          <w:sz w:val="32"/>
          <w:szCs w:val="32"/>
          <w:highlight w:val="none"/>
        </w:rPr>
        <w:t>. 承包人</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bookmarkEnd w:id="417"/>
    <w:bookmarkEnd w:id="418"/>
    <w:bookmarkEnd w:id="419"/>
    <w:bookmarkEnd w:id="420"/>
    <w:bookmarkEnd w:id="421"/>
    <w:bookmarkEnd w:id="422"/>
    <w:bookmarkEnd w:id="423"/>
    <w:bookmarkEnd w:id="424"/>
    <w:bookmarkEnd w:id="425"/>
    <w:bookmarkEnd w:id="426"/>
    <w:p w14:paraId="7B4F2BC7">
      <w:pPr>
        <w:keepNext/>
        <w:keepLines/>
        <w:spacing w:before="260" w:after="260" w:line="416" w:lineRule="auto"/>
        <w:outlineLvl w:val="9"/>
        <w:rPr>
          <w:rFonts w:ascii="宋体" w:hAnsi="宋体"/>
          <w:b/>
          <w:bCs/>
          <w:color w:val="auto"/>
          <w:sz w:val="32"/>
          <w:szCs w:val="32"/>
          <w:highlight w:val="none"/>
        </w:rPr>
      </w:pPr>
      <w:bookmarkStart w:id="427" w:name="_Toc472931614"/>
      <w:bookmarkStart w:id="428" w:name="_Toc470247808"/>
      <w:bookmarkStart w:id="429" w:name="_Toc373227707"/>
      <w:bookmarkStart w:id="430" w:name="_Toc373478354"/>
      <w:bookmarkStart w:id="431" w:name="_Toc529526981"/>
      <w:bookmarkStart w:id="432" w:name="_Toc530144475"/>
      <w:bookmarkStart w:id="433" w:name="_Toc454211119"/>
      <w:bookmarkStart w:id="434" w:name="_Toc461179249"/>
      <w:bookmarkStart w:id="435" w:name="_Toc432343895"/>
      <w:bookmarkStart w:id="436" w:name="_Toc531186610"/>
      <w:bookmarkStart w:id="437" w:name="_Toc411345188"/>
      <w:bookmarkStart w:id="438" w:name="_Toc389065273"/>
      <w:bookmarkStart w:id="439" w:name="_Toc529547333"/>
      <w:r>
        <w:rPr>
          <w:rFonts w:ascii="宋体" w:hAnsi="宋体"/>
          <w:b/>
          <w:bCs/>
          <w:color w:val="auto"/>
          <w:sz w:val="32"/>
          <w:szCs w:val="32"/>
          <w:highlight w:val="none"/>
        </w:rPr>
        <w:t>3.1 承包人的一般义务</w:t>
      </w:r>
      <w:bookmarkEnd w:id="427"/>
      <w:bookmarkEnd w:id="428"/>
      <w:bookmarkEnd w:id="429"/>
      <w:bookmarkEnd w:id="430"/>
      <w:bookmarkEnd w:id="431"/>
      <w:bookmarkEnd w:id="432"/>
      <w:bookmarkEnd w:id="433"/>
      <w:bookmarkEnd w:id="434"/>
      <w:bookmarkEnd w:id="435"/>
      <w:bookmarkEnd w:id="436"/>
      <w:bookmarkEnd w:id="437"/>
      <w:bookmarkEnd w:id="438"/>
      <w:bookmarkEnd w:id="439"/>
    </w:p>
    <w:p w14:paraId="3161ACF2">
      <w:pPr>
        <w:spacing w:line="360" w:lineRule="auto"/>
        <w:ind w:firstLine="420" w:firstLineChars="200"/>
        <w:outlineLvl w:val="9"/>
        <w:rPr>
          <w:rFonts w:ascii="宋体" w:hAnsi="宋体"/>
          <w:color w:val="auto"/>
          <w:kern w:val="0"/>
          <w:szCs w:val="21"/>
          <w:highlight w:val="none"/>
        </w:rPr>
      </w:pPr>
      <w:r>
        <w:rPr>
          <w:rFonts w:hint="eastAsia" w:ascii="宋体" w:hAnsi="宋体"/>
          <w:color w:val="auto"/>
          <w:kern w:val="0"/>
          <w:szCs w:val="21"/>
          <w:highlight w:val="none"/>
        </w:rPr>
        <w:t>（9）承包人提交的竣工资料的内容：工程施工技术资料、工程质量资料、工程检验评定资料、竣工图，项目所在地建设主管部门规定的其他应交资料。</w:t>
      </w:r>
    </w:p>
    <w:p w14:paraId="5142D3D1">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rPr>
        <w:t>承包人需要提交的竣工资料套数：</w:t>
      </w:r>
      <w:r>
        <w:rPr>
          <w:rFonts w:hint="eastAsia" w:ascii="宋体" w:hAnsi="宋体"/>
          <w:color w:val="auto"/>
          <w:kern w:val="0"/>
          <w:szCs w:val="21"/>
          <w:highlight w:val="none"/>
          <w:u w:val="single"/>
        </w:rPr>
        <w:t>四套。</w:t>
      </w:r>
    </w:p>
    <w:p w14:paraId="3C0A1CE8">
      <w:pPr>
        <w:spacing w:line="360" w:lineRule="auto"/>
        <w:ind w:firstLine="420" w:firstLineChars="200"/>
        <w:outlineLvl w:val="9"/>
        <w:rPr>
          <w:rFonts w:ascii="宋体" w:hAnsi="宋体"/>
          <w:color w:val="auto"/>
          <w:kern w:val="0"/>
          <w:szCs w:val="21"/>
          <w:highlight w:val="none"/>
        </w:rPr>
      </w:pPr>
      <w:r>
        <w:rPr>
          <w:rFonts w:hint="eastAsia" w:ascii="宋体" w:hAnsi="宋体"/>
          <w:color w:val="auto"/>
          <w:kern w:val="0"/>
          <w:szCs w:val="21"/>
          <w:highlight w:val="none"/>
        </w:rPr>
        <w:t>承包人提交的竣工资料的费用承担：</w:t>
      </w:r>
      <w:r>
        <w:rPr>
          <w:rFonts w:hint="eastAsia" w:ascii="宋体" w:hAnsi="宋体"/>
          <w:color w:val="auto"/>
          <w:kern w:val="0"/>
          <w:szCs w:val="21"/>
          <w:highlight w:val="none"/>
          <w:u w:val="single"/>
        </w:rPr>
        <w:t>由承包人承担。</w:t>
      </w:r>
    </w:p>
    <w:p w14:paraId="796CDB66">
      <w:pPr>
        <w:spacing w:line="360" w:lineRule="auto"/>
        <w:ind w:firstLine="420" w:firstLineChars="200"/>
        <w:outlineLvl w:val="9"/>
        <w:rPr>
          <w:rFonts w:ascii="宋体" w:hAnsi="宋体"/>
          <w:color w:val="auto"/>
          <w:kern w:val="0"/>
          <w:szCs w:val="21"/>
          <w:highlight w:val="none"/>
        </w:rPr>
      </w:pPr>
      <w:r>
        <w:rPr>
          <w:rFonts w:hint="eastAsia" w:ascii="宋体" w:hAnsi="宋体"/>
          <w:color w:val="auto"/>
          <w:kern w:val="0"/>
          <w:szCs w:val="21"/>
          <w:highlight w:val="none"/>
        </w:rPr>
        <w:t>承包人提交的竣工资料移交时间：</w:t>
      </w:r>
      <w:r>
        <w:rPr>
          <w:rFonts w:hint="eastAsia" w:ascii="宋体" w:hAnsi="宋体"/>
          <w:color w:val="auto"/>
          <w:kern w:val="0"/>
          <w:szCs w:val="21"/>
          <w:highlight w:val="none"/>
          <w:u w:val="single"/>
        </w:rPr>
        <w:t>竣工验收合格之日起30天内。</w:t>
      </w:r>
    </w:p>
    <w:p w14:paraId="1268F6F4">
      <w:pPr>
        <w:spacing w:line="360" w:lineRule="auto"/>
        <w:ind w:firstLine="420" w:firstLineChars="200"/>
        <w:outlineLvl w:val="9"/>
        <w:rPr>
          <w:rFonts w:ascii="宋体" w:hAnsi="宋体"/>
          <w:color w:val="auto"/>
          <w:kern w:val="0"/>
          <w:szCs w:val="21"/>
          <w:highlight w:val="none"/>
        </w:rPr>
      </w:pPr>
      <w:r>
        <w:rPr>
          <w:rFonts w:hint="eastAsia" w:ascii="宋体" w:hAnsi="宋体"/>
          <w:color w:val="auto"/>
          <w:kern w:val="0"/>
          <w:szCs w:val="21"/>
          <w:highlight w:val="none"/>
        </w:rPr>
        <w:t>承包人提交的竣工资料形式要求：</w:t>
      </w:r>
      <w:r>
        <w:rPr>
          <w:rFonts w:hint="eastAsia" w:ascii="宋体" w:hAnsi="宋体"/>
          <w:color w:val="auto"/>
          <w:kern w:val="0"/>
          <w:szCs w:val="21"/>
          <w:highlight w:val="none"/>
          <w:u w:val="single"/>
        </w:rPr>
        <w:t>书面及电子文档。</w:t>
      </w:r>
    </w:p>
    <w:p w14:paraId="5F29645E">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rPr>
        <w:t>（10）承包人应履行的其他义务：</w:t>
      </w:r>
      <w:r>
        <w:rPr>
          <w:rFonts w:hint="eastAsia" w:ascii="宋体" w:hAnsi="宋体"/>
          <w:color w:val="auto"/>
          <w:kern w:val="0"/>
          <w:szCs w:val="21"/>
          <w:highlight w:val="none"/>
          <w:u w:val="single"/>
        </w:rPr>
        <w:t>1）协调处理施工场地内及场地周围地下管线和邻近建筑物、构筑物（含文物保护建筑）、古树名木的保护工作；若发生上述情况所产生的费用，由承包人承担（包含于合同总价中）。2）充分考虑工地现场的周围环境、交通道路、现场条件、施工图纸、施工组织设计、施工技术措施、安全文明施工措施等因素，应积极做好综合组织和协调，负责解决施工扰民和民扰问题。3）承包人负责补遗工作，即对于任何属于本工程的工作范围，但未以文字形式明确约定属于承包人的工作，且未在合同中以文字形式明确约定为属于发包人自行完成的工作范围，此类工作应由承包人作为本工程的责任和义务自行完成。4）对于施工过程中有需发包人配合完成的工作，承包人应提前足够时间通知发包人。5) 施工区内临时设施、水电管线安装和保养，施工现场内地下管线和临近建筑物、构筑物及临街交通要道、人行道的保护，费用由承包人负担。因承包人防护不力而发生事故，相关责任和费用由承包人承担。承包人施工完毕后，对所破坏的公共设施、劳动成果及道路应修复原貌，若承包人无能力或未在规定的时间内修复，由发包人代为修复，费用由承包人承担，由工程款中相应核减。6) 承包人须在现场踏勘的基础上充分考虑场内临时道路的施工维护，并在合同总价中包含。7) 档案管理要求</w:t>
      </w:r>
    </w:p>
    <w:p w14:paraId="08611655">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①承包人应设置负责施工档案管理的负责人；</w:t>
      </w:r>
    </w:p>
    <w:p w14:paraId="120B36CF">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②承包人应确保本单位施工档案的形成与施工进度同步，发包人在支付进度款时，如发现档案形成未与施工进度同步，可延迟支付相应进度款，直至同步为止；</w:t>
      </w:r>
    </w:p>
    <w:p w14:paraId="0487DA66">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③承包人应在发包人组织的竣工验收后30日内，将本单位施工过程中形成的所有施工档案，经监理单位审核确认后，移交给发包人，否则发包人拒绝向其颁发工程接收证书。</w:t>
      </w:r>
    </w:p>
    <w:p w14:paraId="48AF66AF">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④承包人在发包人组织的工程竣工投产验收（初验）前，将经监理单位审核确认的施工档案移交给发包人，是发包人完全支付除质量保证金外剩余款项的必要条件之一，否则，发包人有权扣除一定比例款项。</w:t>
      </w:r>
    </w:p>
    <w:p w14:paraId="396C5B0A">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 xml:space="preserve">⑤移交给发包人的施工档案应符合以下要求： </w:t>
      </w:r>
    </w:p>
    <w:p w14:paraId="3590CB79">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移交范围：承包人在合同约定的工程施工过程中形成的所有档案，包括但不限于发包人《科技文件归档范围与整理细则》附件3所列相应的清单及所有资料的电子版；</w:t>
      </w:r>
    </w:p>
    <w:p w14:paraId="75EB52F7">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移交档案质量要求：移交的档案应是原件而非复印件，每份档案齐全、无漏页与破损等情况，签字与盖章手续完备，档案清晰，档案载体能长久保存。</w:t>
      </w:r>
    </w:p>
    <w:p w14:paraId="17AF8482">
      <w:pPr>
        <w:keepNext/>
        <w:keepLines/>
        <w:spacing w:before="260" w:after="260" w:line="416" w:lineRule="auto"/>
        <w:outlineLvl w:val="9"/>
        <w:rPr>
          <w:rFonts w:ascii="宋体" w:hAnsi="宋体"/>
          <w:b/>
          <w:bCs/>
          <w:color w:val="auto"/>
          <w:sz w:val="32"/>
          <w:szCs w:val="32"/>
          <w:highlight w:val="none"/>
        </w:rPr>
      </w:pPr>
      <w:bookmarkStart w:id="440" w:name="_Toc454211120"/>
      <w:bookmarkStart w:id="441" w:name="_Toc529526982"/>
      <w:bookmarkStart w:id="442" w:name="_Toc373478355"/>
      <w:bookmarkStart w:id="443" w:name="_Toc531186611"/>
      <w:bookmarkStart w:id="444" w:name="_Toc373227708"/>
      <w:bookmarkStart w:id="445" w:name="_Toc432343896"/>
      <w:bookmarkStart w:id="446" w:name="_Toc470247809"/>
      <w:bookmarkStart w:id="447" w:name="_Toc529547334"/>
      <w:bookmarkStart w:id="448" w:name="_Toc530144476"/>
      <w:bookmarkStart w:id="449" w:name="_Toc472931615"/>
      <w:bookmarkStart w:id="450" w:name="_Toc461179250"/>
      <w:bookmarkStart w:id="451" w:name="_Toc411345189"/>
      <w:bookmarkStart w:id="452" w:name="_Toc389065274"/>
      <w:r>
        <w:rPr>
          <w:rFonts w:ascii="宋体" w:hAnsi="宋体"/>
          <w:b/>
          <w:bCs/>
          <w:color w:val="auto"/>
          <w:sz w:val="32"/>
          <w:szCs w:val="32"/>
          <w:highlight w:val="none"/>
        </w:rPr>
        <w:t>3.2 项目经理</w:t>
      </w:r>
      <w:bookmarkEnd w:id="440"/>
      <w:bookmarkEnd w:id="441"/>
      <w:bookmarkEnd w:id="442"/>
      <w:bookmarkEnd w:id="443"/>
      <w:bookmarkEnd w:id="444"/>
      <w:bookmarkEnd w:id="445"/>
      <w:bookmarkEnd w:id="446"/>
      <w:bookmarkEnd w:id="447"/>
      <w:bookmarkEnd w:id="448"/>
      <w:bookmarkEnd w:id="449"/>
      <w:bookmarkEnd w:id="450"/>
      <w:bookmarkEnd w:id="451"/>
      <w:bookmarkEnd w:id="452"/>
    </w:p>
    <w:p w14:paraId="04714FB8">
      <w:pPr>
        <w:spacing w:line="360" w:lineRule="auto"/>
        <w:ind w:firstLine="420" w:firstLineChars="200"/>
        <w:outlineLvl w:val="9"/>
        <w:rPr>
          <w:rFonts w:ascii="宋体" w:hAnsi="宋体"/>
          <w:color w:val="auto"/>
          <w:szCs w:val="21"/>
          <w:highlight w:val="none"/>
        </w:rPr>
      </w:pPr>
      <w:r>
        <w:rPr>
          <w:rFonts w:ascii="宋体" w:hAnsi="宋体"/>
          <w:color w:val="auto"/>
          <w:kern w:val="0"/>
          <w:szCs w:val="21"/>
          <w:highlight w:val="none"/>
        </w:rPr>
        <w:t xml:space="preserve">3.2.1 </w:t>
      </w:r>
      <w:r>
        <w:rPr>
          <w:rFonts w:ascii="宋体" w:hAnsi="宋体"/>
          <w:color w:val="auto"/>
          <w:szCs w:val="21"/>
          <w:highlight w:val="none"/>
        </w:rPr>
        <w:t>项目经理：</w:t>
      </w:r>
    </w:p>
    <w:p w14:paraId="112BEF73">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w:t>
      </w:r>
      <w:r>
        <w:rPr>
          <w:rFonts w:hint="eastAsia" w:ascii="宋体" w:hAnsi="宋体"/>
          <w:color w:val="auto"/>
          <w:szCs w:val="21"/>
          <w:highlight w:val="none"/>
          <w:u w:val="single"/>
        </w:rPr>
        <w:t xml:space="preserve">待定 </w:t>
      </w:r>
      <w:r>
        <w:rPr>
          <w:rFonts w:ascii="宋体" w:hAnsi="宋体"/>
          <w:color w:val="auto"/>
          <w:szCs w:val="21"/>
          <w:highlight w:val="none"/>
          <w:u w:val="single"/>
        </w:rPr>
        <w:t xml:space="preserve">        </w:t>
      </w:r>
      <w:r>
        <w:rPr>
          <w:rFonts w:ascii="宋体" w:hAnsi="宋体"/>
          <w:color w:val="auto"/>
          <w:szCs w:val="21"/>
          <w:highlight w:val="none"/>
        </w:rPr>
        <w:t>；</w:t>
      </w:r>
    </w:p>
    <w:p w14:paraId="6856C887">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       </w:t>
      </w:r>
      <w:r>
        <w:rPr>
          <w:rFonts w:ascii="宋体" w:hAnsi="宋体"/>
          <w:color w:val="auto"/>
          <w:szCs w:val="21"/>
          <w:highlight w:val="none"/>
        </w:rPr>
        <w:t>；</w:t>
      </w:r>
    </w:p>
    <w:p w14:paraId="057D78CD">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建造师执业资格等级：</w:t>
      </w:r>
      <w:r>
        <w:rPr>
          <w:rFonts w:ascii="宋体" w:hAnsi="宋体"/>
          <w:color w:val="auto"/>
          <w:szCs w:val="21"/>
          <w:highlight w:val="none"/>
          <w:u w:val="single"/>
        </w:rPr>
        <w:t>   </w:t>
      </w:r>
      <w:r>
        <w:rPr>
          <w:rFonts w:ascii="宋体" w:hAnsi="宋体"/>
          <w:color w:val="auto"/>
          <w:szCs w:val="21"/>
          <w:highlight w:val="none"/>
        </w:rPr>
        <w:t>；</w:t>
      </w:r>
    </w:p>
    <w:p w14:paraId="521FAB90">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建造师注册证书号：</w:t>
      </w:r>
      <w:r>
        <w:rPr>
          <w:rFonts w:ascii="宋体" w:hAnsi="宋体"/>
          <w:color w:val="auto"/>
          <w:szCs w:val="21"/>
          <w:highlight w:val="none"/>
          <w:u w:val="single"/>
        </w:rPr>
        <w:t> </w:t>
      </w:r>
      <w:r>
        <w:rPr>
          <w:rFonts w:ascii="宋体" w:hAnsi="宋体"/>
          <w:color w:val="auto"/>
          <w:szCs w:val="21"/>
          <w:highlight w:val="none"/>
        </w:rPr>
        <w:t>；</w:t>
      </w:r>
    </w:p>
    <w:p w14:paraId="0A3DF8FE">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建造师执业印章号：</w:t>
      </w:r>
      <w:r>
        <w:rPr>
          <w:rFonts w:ascii="宋体" w:hAnsi="宋体"/>
          <w:color w:val="auto"/>
          <w:szCs w:val="21"/>
          <w:highlight w:val="none"/>
          <w:u w:val="single"/>
        </w:rPr>
        <w:t> </w:t>
      </w:r>
      <w:r>
        <w:rPr>
          <w:rFonts w:ascii="宋体" w:hAnsi="宋体"/>
          <w:color w:val="auto"/>
          <w:szCs w:val="21"/>
          <w:highlight w:val="none"/>
        </w:rPr>
        <w:t>；</w:t>
      </w:r>
    </w:p>
    <w:p w14:paraId="1E0BDAB2">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安全生产考核合格证书号：</w:t>
      </w:r>
      <w:r>
        <w:rPr>
          <w:rFonts w:ascii="宋体" w:hAnsi="宋体"/>
          <w:color w:val="auto"/>
          <w:szCs w:val="21"/>
          <w:highlight w:val="none"/>
          <w:u w:val="single"/>
        </w:rPr>
        <w:t> </w:t>
      </w:r>
      <w:r>
        <w:rPr>
          <w:rFonts w:ascii="宋体" w:hAnsi="宋体"/>
          <w:color w:val="auto"/>
          <w:szCs w:val="21"/>
          <w:highlight w:val="none"/>
        </w:rPr>
        <w:t>；</w:t>
      </w:r>
    </w:p>
    <w:p w14:paraId="44E7EA78">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3680146">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 </w:t>
      </w:r>
      <w:r>
        <w:rPr>
          <w:rFonts w:ascii="宋体" w:hAnsi="宋体"/>
          <w:color w:val="auto"/>
          <w:szCs w:val="21"/>
          <w:highlight w:val="none"/>
        </w:rPr>
        <w:t>；</w:t>
      </w:r>
    </w:p>
    <w:p w14:paraId="1D85502D">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ascii="宋体" w:hAnsi="宋体"/>
          <w:color w:val="auto"/>
          <w:szCs w:val="21"/>
          <w:highlight w:val="none"/>
        </w:rPr>
        <w:t>；</w:t>
      </w:r>
    </w:p>
    <w:p w14:paraId="63C9EF4F">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14:paraId="472BC95A">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承包人对项目经理的授权范围如下：</w:t>
      </w:r>
      <w:r>
        <w:rPr>
          <w:rFonts w:hint="eastAsia" w:ascii="宋体" w:hAnsi="宋体"/>
          <w:color w:val="auto"/>
          <w:szCs w:val="21"/>
          <w:highlight w:val="none"/>
          <w:u w:val="single"/>
        </w:rPr>
        <w:t xml:space="preserve">    待定                </w:t>
      </w:r>
      <w:r>
        <w:rPr>
          <w:rFonts w:ascii="宋体" w:hAnsi="宋体"/>
          <w:color w:val="auto"/>
          <w:szCs w:val="21"/>
          <w:highlight w:val="none"/>
        </w:rPr>
        <w:t>。</w:t>
      </w:r>
    </w:p>
    <w:p w14:paraId="2F9208DA">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关于项目经理每月在施工现场的时间要求：</w:t>
      </w:r>
      <w:r>
        <w:rPr>
          <w:rFonts w:ascii="宋体" w:hAnsi="宋体"/>
          <w:color w:val="auto"/>
          <w:szCs w:val="21"/>
          <w:highlight w:val="none"/>
          <w:u w:val="single"/>
        </w:rPr>
        <w:t xml:space="preserve">  </w:t>
      </w:r>
      <w:r>
        <w:rPr>
          <w:rFonts w:hint="eastAsia" w:ascii="宋体" w:hAnsi="宋体"/>
          <w:color w:val="auto"/>
          <w:szCs w:val="21"/>
          <w:highlight w:val="none"/>
          <w:u w:val="single"/>
        </w:rPr>
        <w:t>21天以上，如投标文件承诺时间超过21天的，按投标文件执行</w:t>
      </w:r>
      <w:r>
        <w:rPr>
          <w:rFonts w:ascii="宋体" w:hAnsi="宋体"/>
          <w:color w:val="auto"/>
          <w:szCs w:val="21"/>
          <w:highlight w:val="none"/>
          <w:u w:val="single"/>
        </w:rPr>
        <w:t xml:space="preserve"> </w:t>
      </w:r>
      <w:r>
        <w:rPr>
          <w:rFonts w:ascii="宋体" w:hAnsi="宋体"/>
          <w:color w:val="auto"/>
          <w:szCs w:val="21"/>
          <w:highlight w:val="none"/>
        </w:rPr>
        <w:t>。</w:t>
      </w:r>
    </w:p>
    <w:p w14:paraId="1CFD5087">
      <w:pPr>
        <w:spacing w:line="360" w:lineRule="auto"/>
        <w:ind w:firstLine="420" w:firstLineChars="200"/>
        <w:outlineLvl w:val="9"/>
        <w:rPr>
          <w:rFonts w:ascii="宋体" w:hAnsi="宋体"/>
          <w:color w:val="auto"/>
          <w:szCs w:val="21"/>
          <w:highlight w:val="none"/>
          <w:u w:val="single"/>
        </w:rPr>
      </w:pPr>
      <w:r>
        <w:rPr>
          <w:rFonts w:ascii="宋体" w:hAnsi="宋体"/>
          <w:color w:val="auto"/>
          <w:kern w:val="0"/>
          <w:szCs w:val="21"/>
          <w:highlight w:val="none"/>
        </w:rPr>
        <w:t>承包人未提交劳动合同，以及没有为项目经理缴纳社会保险证明的违约责任：</w:t>
      </w:r>
      <w:r>
        <w:rPr>
          <w:rFonts w:hint="eastAsia" w:ascii="宋体" w:hAnsi="宋体"/>
          <w:color w:val="auto"/>
          <w:szCs w:val="21"/>
          <w:highlight w:val="none"/>
          <w:u w:val="single"/>
        </w:rPr>
        <w:t xml:space="preserve">处以3万元罚款（该罚款在履约保证金中扣除），责令限期提交劳动合同并补缴社会保险 </w:t>
      </w:r>
      <w:r>
        <w:rPr>
          <w:rFonts w:ascii="宋体" w:hAnsi="宋体"/>
          <w:color w:val="auto"/>
          <w:szCs w:val="21"/>
          <w:highlight w:val="none"/>
        </w:rPr>
        <w:t>。</w:t>
      </w:r>
    </w:p>
    <w:p w14:paraId="76681F1A">
      <w:pPr>
        <w:spacing w:line="360" w:lineRule="auto"/>
        <w:ind w:firstLine="420" w:firstLineChars="200"/>
        <w:outlineLvl w:val="9"/>
        <w:rPr>
          <w:rFonts w:ascii="宋体" w:hAnsi="宋体"/>
          <w:color w:val="auto"/>
          <w:szCs w:val="21"/>
          <w:highlight w:val="none"/>
          <w:u w:val="single"/>
        </w:rPr>
      </w:pPr>
      <w:r>
        <w:rPr>
          <w:rFonts w:ascii="宋体" w:hAnsi="宋体"/>
          <w:color w:val="auto"/>
          <w:kern w:val="0"/>
          <w:szCs w:val="21"/>
          <w:highlight w:val="none"/>
        </w:rPr>
        <w:t>项目经理未经批准，擅自离开施工现场的违约责任：</w:t>
      </w:r>
      <w:r>
        <w:rPr>
          <w:rFonts w:hint="eastAsia" w:ascii="宋体" w:hAnsi="宋体"/>
          <w:color w:val="auto"/>
          <w:szCs w:val="21"/>
          <w:highlight w:val="none"/>
          <w:u w:val="single"/>
        </w:rPr>
        <w:t>项目经理每月在岗带班时间不得少于当月施工时间的80%。</w:t>
      </w:r>
      <w:r>
        <w:rPr>
          <w:rFonts w:ascii="宋体" w:hAnsi="宋体"/>
          <w:color w:val="auto"/>
          <w:szCs w:val="21"/>
          <w:highlight w:val="none"/>
          <w:u w:val="single"/>
        </w:rPr>
        <w:t>未经发包人同意或正当理由，项目经理</w:t>
      </w:r>
      <w:r>
        <w:rPr>
          <w:rFonts w:hint="eastAsia" w:ascii="宋体" w:hAnsi="宋体"/>
          <w:color w:val="auto"/>
          <w:szCs w:val="21"/>
          <w:highlight w:val="none"/>
          <w:u w:val="single"/>
        </w:rPr>
        <w:t>每月在岗带班时间少于当月施工时间80%的，少在岗带班一天</w:t>
      </w:r>
      <w:r>
        <w:rPr>
          <w:rFonts w:ascii="宋体" w:hAnsi="宋体"/>
          <w:color w:val="auto"/>
          <w:szCs w:val="21"/>
          <w:highlight w:val="none"/>
          <w:u w:val="single"/>
        </w:rPr>
        <w:t xml:space="preserve">，发包人有权处违约金 </w:t>
      </w:r>
      <w:r>
        <w:rPr>
          <w:rFonts w:hint="eastAsia" w:ascii="宋体" w:hAnsi="宋体"/>
          <w:b/>
          <w:bCs/>
          <w:color w:val="auto"/>
          <w:szCs w:val="21"/>
          <w:highlight w:val="none"/>
          <w:u w:val="single"/>
        </w:rPr>
        <w:t>5000.00</w:t>
      </w:r>
      <w:r>
        <w:rPr>
          <w:rFonts w:hint="eastAsia" w:ascii="宋体" w:hAnsi="宋体"/>
          <w:color w:val="auto"/>
          <w:szCs w:val="21"/>
          <w:highlight w:val="none"/>
          <w:u w:val="single"/>
        </w:rPr>
        <w:t xml:space="preserve"> </w:t>
      </w:r>
      <w:r>
        <w:rPr>
          <w:rFonts w:ascii="宋体" w:hAnsi="宋体"/>
          <w:color w:val="auto"/>
          <w:szCs w:val="21"/>
          <w:highlight w:val="none"/>
          <w:u w:val="single"/>
        </w:rPr>
        <w:t>元/</w:t>
      </w:r>
      <w:r>
        <w:rPr>
          <w:rFonts w:hint="eastAsia" w:ascii="宋体" w:hAnsi="宋体"/>
          <w:color w:val="auto"/>
          <w:szCs w:val="21"/>
          <w:highlight w:val="none"/>
          <w:u w:val="single"/>
        </w:rPr>
        <w:t>日（</w:t>
      </w:r>
      <w:r>
        <w:rPr>
          <w:rFonts w:ascii="宋体" w:hAnsi="宋体"/>
          <w:color w:val="auto"/>
          <w:szCs w:val="21"/>
          <w:highlight w:val="none"/>
          <w:u w:val="single"/>
        </w:rPr>
        <w:t>人民币</w:t>
      </w:r>
      <w:r>
        <w:rPr>
          <w:rFonts w:hint="eastAsia" w:ascii="宋体" w:hAnsi="宋体"/>
          <w:color w:val="auto"/>
          <w:szCs w:val="21"/>
          <w:highlight w:val="none"/>
          <w:u w:val="single"/>
        </w:rPr>
        <w:t xml:space="preserve">）  </w:t>
      </w:r>
      <w:r>
        <w:rPr>
          <w:rFonts w:ascii="宋体" w:hAnsi="宋体"/>
          <w:color w:val="auto"/>
          <w:szCs w:val="21"/>
          <w:highlight w:val="none"/>
        </w:rPr>
        <w:t>。</w:t>
      </w:r>
    </w:p>
    <w:p w14:paraId="0A36E03C">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3.2.3 承包人擅自更换项目经理的违约责任：</w:t>
      </w:r>
      <w:r>
        <w:rPr>
          <w:rFonts w:ascii="宋体" w:hAnsi="宋体"/>
          <w:color w:val="auto"/>
          <w:szCs w:val="21"/>
          <w:highlight w:val="none"/>
          <w:u w:val="single"/>
        </w:rPr>
        <w:t>承包人项目经理必须与承包人投标时所承诺的人员一致，并在</w:t>
      </w:r>
      <w:r>
        <w:rPr>
          <w:rFonts w:hint="eastAsia" w:ascii="宋体" w:hAnsi="宋体"/>
          <w:color w:val="auto"/>
          <w:szCs w:val="21"/>
          <w:highlight w:val="none"/>
          <w:u w:val="single"/>
        </w:rPr>
        <w:t>本工程开工</w:t>
      </w:r>
      <w:r>
        <w:rPr>
          <w:rFonts w:ascii="宋体" w:hAnsi="宋体"/>
          <w:color w:val="auto"/>
          <w:szCs w:val="21"/>
          <w:highlight w:val="none"/>
          <w:u w:val="single"/>
        </w:rPr>
        <w:t>前到任。在监理人向承包人颁发</w:t>
      </w:r>
      <w:r>
        <w:rPr>
          <w:rFonts w:hint="eastAsia" w:ascii="宋体" w:hAnsi="宋体"/>
          <w:b/>
          <w:color w:val="auto"/>
          <w:szCs w:val="21"/>
          <w:highlight w:val="none"/>
          <w:u w:val="single"/>
        </w:rPr>
        <w:t>完</w:t>
      </w:r>
      <w:r>
        <w:rPr>
          <w:rFonts w:hint="eastAsia" w:ascii="宋体" w:hAnsi="宋体"/>
          <w:color w:val="auto"/>
          <w:szCs w:val="21"/>
          <w:highlight w:val="none"/>
          <w:u w:val="single"/>
        </w:rPr>
        <w:t>工证书</w:t>
      </w:r>
      <w:r>
        <w:rPr>
          <w:rFonts w:ascii="宋体" w:hAnsi="宋体"/>
          <w:color w:val="auto"/>
          <w:szCs w:val="21"/>
          <w:highlight w:val="none"/>
          <w:u w:val="single"/>
        </w:rPr>
        <w:t>前，项目经理不得同时兼任其他任何项目的项目经理</w:t>
      </w:r>
      <w:r>
        <w:rPr>
          <w:rFonts w:ascii="宋体" w:hAnsi="宋体"/>
          <w:color w:val="auto"/>
          <w:kern w:val="0"/>
          <w:szCs w:val="21"/>
          <w:highlight w:val="none"/>
          <w:u w:val="single"/>
        </w:rPr>
        <w:t>（符合桂建管</w:t>
      </w:r>
      <w:r>
        <w:rPr>
          <w:rFonts w:ascii="宋体" w:hAnsi="宋体"/>
          <w:color w:val="auto"/>
          <w:szCs w:val="21"/>
          <w:highlight w:val="none"/>
          <w:u w:val="single"/>
        </w:rPr>
        <w:t>﹝2013﹞</w:t>
      </w:r>
      <w:r>
        <w:rPr>
          <w:rFonts w:ascii="宋体" w:hAnsi="宋体"/>
          <w:color w:val="auto"/>
          <w:kern w:val="0"/>
          <w:szCs w:val="21"/>
          <w:highlight w:val="none"/>
          <w:u w:val="single"/>
        </w:rPr>
        <w:t>17号和</w:t>
      </w:r>
      <w:r>
        <w:rPr>
          <w:rFonts w:ascii="宋体" w:hAnsi="宋体"/>
          <w:color w:val="auto"/>
          <w:szCs w:val="21"/>
          <w:highlight w:val="none"/>
          <w:u w:val="single"/>
        </w:rPr>
        <w:t>桂建管﹝2014﹞25号</w:t>
      </w:r>
      <w:r>
        <w:rPr>
          <w:rFonts w:ascii="宋体" w:hAnsi="宋体"/>
          <w:color w:val="auto"/>
          <w:kern w:val="0"/>
          <w:szCs w:val="21"/>
          <w:highlight w:val="none"/>
          <w:u w:val="single"/>
        </w:rPr>
        <w:t>文除外）</w:t>
      </w:r>
      <w:r>
        <w:rPr>
          <w:rFonts w:ascii="宋体" w:hAnsi="宋体"/>
          <w:color w:val="auto"/>
          <w:szCs w:val="21"/>
          <w:highlight w:val="none"/>
          <w:u w:val="single"/>
        </w:rPr>
        <w:t>。未经发包人书面同意，承包人擅自更换项目经理的视为违约</w:t>
      </w:r>
      <w:r>
        <w:rPr>
          <w:rFonts w:hint="eastAsia" w:ascii="宋体" w:hAnsi="宋体"/>
          <w:color w:val="auto"/>
          <w:szCs w:val="21"/>
          <w:highlight w:val="none"/>
          <w:u w:val="single"/>
        </w:rPr>
        <w:t>，</w:t>
      </w:r>
      <w:r>
        <w:rPr>
          <w:rFonts w:ascii="宋体" w:hAnsi="宋体"/>
          <w:color w:val="auto"/>
          <w:szCs w:val="21"/>
          <w:highlight w:val="none"/>
          <w:u w:val="single"/>
        </w:rPr>
        <w:t>违约金处</w:t>
      </w:r>
      <w:r>
        <w:rPr>
          <w:rFonts w:hint="eastAsia" w:ascii="宋体" w:hAnsi="宋体"/>
          <w:b/>
          <w:bCs/>
          <w:color w:val="auto"/>
          <w:szCs w:val="21"/>
          <w:highlight w:val="none"/>
          <w:u w:val="single"/>
        </w:rPr>
        <w:t>20000.00</w:t>
      </w:r>
      <w:r>
        <w:rPr>
          <w:rFonts w:ascii="宋体" w:hAnsi="宋体"/>
          <w:color w:val="auto"/>
          <w:szCs w:val="21"/>
          <w:highlight w:val="none"/>
          <w:u w:val="single"/>
        </w:rPr>
        <w:t xml:space="preserve">  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5721E81A">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3.2.4 承包人无正当理由拒绝更换项目经理的违约责任：</w:t>
      </w:r>
      <w:r>
        <w:rPr>
          <w:rFonts w:ascii="宋体" w:hAnsi="宋体"/>
          <w:color w:val="auto"/>
          <w:szCs w:val="21"/>
          <w:highlight w:val="none"/>
          <w:u w:val="single"/>
        </w:rPr>
        <w:t xml:space="preserve">因承包人项目经理不称职，发包人要求调换而未及时调换的，视为承包人违约，必须向发包人交纳处罚金 </w:t>
      </w:r>
      <w:r>
        <w:rPr>
          <w:rFonts w:hint="eastAsia" w:ascii="宋体" w:hAnsi="宋体"/>
          <w:b/>
          <w:bCs/>
          <w:color w:val="auto"/>
          <w:szCs w:val="21"/>
          <w:highlight w:val="none"/>
          <w:u w:val="single"/>
        </w:rPr>
        <w:t>20000.00</w:t>
      </w:r>
      <w:r>
        <w:rPr>
          <w:rFonts w:ascii="宋体" w:hAnsi="宋体"/>
          <w:color w:val="auto"/>
          <w:szCs w:val="21"/>
          <w:highlight w:val="none"/>
          <w:u w:val="single"/>
        </w:rPr>
        <w:t xml:space="preserve"> 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7F1F18A1">
      <w:pPr>
        <w:keepNext/>
        <w:keepLines/>
        <w:spacing w:before="260" w:after="260" w:line="416" w:lineRule="auto"/>
        <w:ind w:firstLine="200"/>
        <w:outlineLvl w:val="9"/>
        <w:rPr>
          <w:rFonts w:ascii="宋体" w:hAnsi="宋体"/>
          <w:b/>
          <w:bCs/>
          <w:color w:val="auto"/>
          <w:sz w:val="32"/>
          <w:szCs w:val="32"/>
          <w:highlight w:val="none"/>
        </w:rPr>
      </w:pPr>
      <w:bookmarkStart w:id="453" w:name="_Toc530144477"/>
      <w:bookmarkStart w:id="454" w:name="_Toc373227709"/>
      <w:bookmarkStart w:id="455" w:name="_Toc470247810"/>
      <w:bookmarkStart w:id="456" w:name="_Toc531186612"/>
      <w:bookmarkStart w:id="457" w:name="_Toc411345190"/>
      <w:bookmarkStart w:id="458" w:name="_Toc472931616"/>
      <w:bookmarkStart w:id="459" w:name="_Toc461179251"/>
      <w:bookmarkStart w:id="460" w:name="_Toc529547335"/>
      <w:bookmarkStart w:id="461" w:name="_Toc529526983"/>
      <w:bookmarkStart w:id="462" w:name="_Toc432343897"/>
      <w:bookmarkStart w:id="463" w:name="_Toc454211121"/>
      <w:bookmarkStart w:id="464" w:name="_Toc389065275"/>
      <w:bookmarkStart w:id="465" w:name="_Toc373478356"/>
      <w:r>
        <w:rPr>
          <w:rFonts w:ascii="宋体" w:hAnsi="宋体"/>
          <w:b/>
          <w:bCs/>
          <w:color w:val="auto"/>
          <w:sz w:val="32"/>
          <w:szCs w:val="32"/>
          <w:highlight w:val="none"/>
        </w:rPr>
        <w:t>3.3 承包人人员</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0B71F61F">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3.3.1 承包人提交项目管理机构及施工现场管理人员安排报告</w:t>
      </w:r>
      <w:r>
        <w:rPr>
          <w:rFonts w:hint="eastAsia" w:ascii="宋体" w:hAnsi="宋体"/>
          <w:color w:val="auto"/>
          <w:szCs w:val="21"/>
          <w:highlight w:val="none"/>
        </w:rPr>
        <w:t>（格式见合同附件3）</w:t>
      </w:r>
      <w:r>
        <w:rPr>
          <w:rFonts w:ascii="宋体" w:hAnsi="宋体"/>
          <w:color w:val="auto"/>
          <w:szCs w:val="21"/>
          <w:highlight w:val="none"/>
        </w:rPr>
        <w:t>的期限：</w:t>
      </w:r>
      <w:r>
        <w:rPr>
          <w:rFonts w:hint="eastAsia" w:ascii="宋体" w:hAnsi="宋体"/>
          <w:bCs/>
          <w:color w:val="auto"/>
          <w:szCs w:val="21"/>
          <w:highlight w:val="none"/>
          <w:u w:val="single"/>
        </w:rPr>
        <w:t>工程开工前5天</w:t>
      </w:r>
      <w:r>
        <w:rPr>
          <w:rFonts w:hint="eastAsia" w:ascii="宋体" w:hAnsi="宋体"/>
          <w:b/>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718C6FA">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3.3.3 承包人无正当理由拒绝撤换主要施工管理人员的违约责任：</w:t>
      </w:r>
      <w:r>
        <w:rPr>
          <w:rFonts w:ascii="宋体" w:hAnsi="宋体"/>
          <w:color w:val="auto"/>
          <w:szCs w:val="21"/>
          <w:highlight w:val="none"/>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b/>
          <w:bCs/>
          <w:color w:val="auto"/>
          <w:szCs w:val="21"/>
          <w:highlight w:val="none"/>
          <w:u w:val="single"/>
        </w:rPr>
        <w:t>20000.00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；专业工程师</w:t>
      </w:r>
      <w:r>
        <w:rPr>
          <w:rFonts w:hint="eastAsia" w:ascii="宋体" w:hAnsi="宋体"/>
          <w:b/>
          <w:bCs/>
          <w:color w:val="auto"/>
          <w:szCs w:val="21"/>
          <w:highlight w:val="none"/>
          <w:u w:val="single"/>
        </w:rPr>
        <w:t>10000.00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75D18910">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3.3.4 承包人主要施工管理人员离开施工现场的批准要求：</w:t>
      </w:r>
      <w:r>
        <w:rPr>
          <w:rFonts w:ascii="宋体" w:hAnsi="宋体"/>
          <w:color w:val="auto"/>
          <w:szCs w:val="21"/>
          <w:highlight w:val="none"/>
          <w:u w:val="single"/>
        </w:rPr>
        <w:t xml:space="preserve">  </w:t>
      </w:r>
      <w:r>
        <w:rPr>
          <w:rFonts w:hint="eastAsia" w:ascii="宋体" w:hAnsi="宋体"/>
          <w:bCs/>
          <w:color w:val="auto"/>
          <w:szCs w:val="21"/>
          <w:highlight w:val="none"/>
          <w:u w:val="single"/>
        </w:rPr>
        <w:t xml:space="preserve">提前2天报发包人审批 </w:t>
      </w:r>
      <w:r>
        <w:rPr>
          <w:rFonts w:ascii="宋体" w:hAnsi="宋体"/>
          <w:color w:val="auto"/>
          <w:szCs w:val="21"/>
          <w:highlight w:val="none"/>
          <w:u w:val="single"/>
        </w:rPr>
        <w:t xml:space="preserve"> </w:t>
      </w:r>
      <w:r>
        <w:rPr>
          <w:rFonts w:ascii="宋体" w:hAnsi="宋体"/>
          <w:color w:val="auto"/>
          <w:szCs w:val="21"/>
          <w:highlight w:val="none"/>
        </w:rPr>
        <w:t>。</w:t>
      </w:r>
    </w:p>
    <w:p w14:paraId="3FB1315F">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3.3.5</w:t>
      </w:r>
      <w:r>
        <w:rPr>
          <w:rFonts w:hint="eastAsia" w:ascii="宋体" w:hAnsi="宋体"/>
          <w:color w:val="auto"/>
          <w:szCs w:val="21"/>
          <w:highlight w:val="none"/>
        </w:rPr>
        <w:t xml:space="preserve"> </w:t>
      </w:r>
      <w:r>
        <w:rPr>
          <w:rFonts w:ascii="宋体" w:hAnsi="宋体"/>
          <w:color w:val="auto"/>
          <w:szCs w:val="21"/>
          <w:highlight w:val="none"/>
        </w:rPr>
        <w:t>承包人擅自更换主要施工管理人员的违约责任：</w:t>
      </w:r>
      <w:r>
        <w:rPr>
          <w:rFonts w:hint="eastAsia" w:ascii="宋体" w:hAnsi="宋体"/>
          <w:color w:val="auto"/>
          <w:szCs w:val="21"/>
          <w:highlight w:val="none"/>
          <w:u w:val="single"/>
        </w:rPr>
        <w:t>项目</w:t>
      </w:r>
      <w:r>
        <w:rPr>
          <w:rFonts w:ascii="宋体" w:hAnsi="宋体"/>
          <w:color w:val="auto"/>
          <w:szCs w:val="21"/>
          <w:highlight w:val="none"/>
          <w:u w:val="single"/>
        </w:rPr>
        <w:t>技术负责人、</w:t>
      </w:r>
      <w:r>
        <w:rPr>
          <w:rFonts w:hint="eastAsia" w:ascii="宋体" w:hAnsi="宋体"/>
          <w:color w:val="auto"/>
          <w:szCs w:val="21"/>
          <w:highlight w:val="none"/>
          <w:u w:val="single"/>
        </w:rPr>
        <w:t>专职安全员及其承诺的其它在场管理人员</w:t>
      </w:r>
      <w:r>
        <w:rPr>
          <w:rFonts w:ascii="宋体" w:hAnsi="宋体"/>
          <w:color w:val="auto"/>
          <w:szCs w:val="21"/>
          <w:highlight w:val="none"/>
          <w:u w:val="single"/>
        </w:rPr>
        <w:t>未经发包人书面同意不准擅自更换，擅自更换</w:t>
      </w:r>
      <w:r>
        <w:rPr>
          <w:rFonts w:hint="eastAsia" w:ascii="宋体" w:hAnsi="宋体"/>
          <w:color w:val="auto"/>
          <w:szCs w:val="21"/>
          <w:highlight w:val="none"/>
          <w:u w:val="single"/>
        </w:rPr>
        <w:t>项目</w:t>
      </w:r>
      <w:r>
        <w:rPr>
          <w:rFonts w:ascii="宋体" w:hAnsi="宋体"/>
          <w:color w:val="auto"/>
          <w:szCs w:val="21"/>
          <w:highlight w:val="none"/>
          <w:u w:val="single"/>
        </w:rPr>
        <w:t>技术负责人处</w:t>
      </w:r>
      <w:r>
        <w:rPr>
          <w:rFonts w:hint="eastAsia" w:ascii="宋体" w:hAnsi="宋体"/>
          <w:b/>
          <w:bCs/>
          <w:color w:val="auto"/>
          <w:szCs w:val="21"/>
          <w:highlight w:val="none"/>
          <w:u w:val="single"/>
        </w:rPr>
        <w:t>20000.00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违约金；擅自更换</w:t>
      </w:r>
      <w:r>
        <w:rPr>
          <w:rFonts w:hint="eastAsia" w:ascii="宋体" w:hAnsi="宋体"/>
          <w:color w:val="auto"/>
          <w:szCs w:val="21"/>
          <w:highlight w:val="none"/>
          <w:u w:val="single"/>
        </w:rPr>
        <w:t>专职安全员</w:t>
      </w:r>
      <w:r>
        <w:rPr>
          <w:rFonts w:ascii="宋体" w:hAnsi="宋体"/>
          <w:color w:val="auto"/>
          <w:szCs w:val="21"/>
          <w:highlight w:val="none"/>
          <w:u w:val="single"/>
        </w:rPr>
        <w:t>处</w:t>
      </w:r>
      <w:r>
        <w:rPr>
          <w:rFonts w:hint="eastAsia" w:ascii="宋体" w:hAnsi="宋体"/>
          <w:b/>
          <w:bCs/>
          <w:color w:val="auto"/>
          <w:szCs w:val="21"/>
          <w:highlight w:val="none"/>
          <w:u w:val="single"/>
        </w:rPr>
        <w:t>10000.00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违约金</w:t>
      </w:r>
      <w:r>
        <w:rPr>
          <w:rFonts w:hint="eastAsia" w:ascii="宋体" w:hAnsi="宋体"/>
          <w:color w:val="auto"/>
          <w:szCs w:val="21"/>
          <w:highlight w:val="none"/>
          <w:u w:val="single"/>
        </w:rPr>
        <w:t>；</w:t>
      </w:r>
      <w:r>
        <w:rPr>
          <w:rFonts w:ascii="宋体" w:hAnsi="宋体"/>
          <w:color w:val="auto"/>
          <w:szCs w:val="21"/>
          <w:highlight w:val="none"/>
          <w:u w:val="single"/>
        </w:rPr>
        <w:t>擅自更换</w:t>
      </w:r>
      <w:r>
        <w:rPr>
          <w:rFonts w:hint="eastAsia" w:ascii="宋体" w:hAnsi="宋体"/>
          <w:color w:val="auto"/>
          <w:szCs w:val="21"/>
          <w:highlight w:val="none"/>
          <w:u w:val="single"/>
        </w:rPr>
        <w:t>其它在场管理人员</w:t>
      </w:r>
      <w:r>
        <w:rPr>
          <w:rFonts w:ascii="宋体" w:hAnsi="宋体"/>
          <w:color w:val="auto"/>
          <w:szCs w:val="21"/>
          <w:highlight w:val="none"/>
          <w:u w:val="single"/>
        </w:rPr>
        <w:t>处</w:t>
      </w:r>
      <w:r>
        <w:rPr>
          <w:rFonts w:hint="eastAsia" w:ascii="宋体" w:hAnsi="宋体"/>
          <w:b/>
          <w:bCs/>
          <w:color w:val="auto"/>
          <w:szCs w:val="21"/>
          <w:highlight w:val="none"/>
          <w:u w:val="single"/>
        </w:rPr>
        <w:t>10000.00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违约金</w:t>
      </w:r>
      <w:r>
        <w:rPr>
          <w:rFonts w:ascii="宋体" w:hAnsi="宋体"/>
          <w:color w:val="auto"/>
          <w:szCs w:val="21"/>
          <w:highlight w:val="none"/>
        </w:rPr>
        <w:t>。</w:t>
      </w:r>
    </w:p>
    <w:p w14:paraId="43A7B275">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承包人主要施工管理人员擅自离开施工现场的违约责任：</w:t>
      </w:r>
      <w:r>
        <w:rPr>
          <w:rFonts w:ascii="宋体" w:hAnsi="宋体"/>
          <w:color w:val="auto"/>
          <w:szCs w:val="21"/>
          <w:highlight w:val="none"/>
          <w:u w:val="single"/>
        </w:rPr>
        <w:t>未经发包人同意，</w:t>
      </w:r>
      <w:r>
        <w:rPr>
          <w:rFonts w:hint="eastAsia" w:ascii="宋体" w:hAnsi="宋体"/>
          <w:color w:val="auto"/>
          <w:szCs w:val="21"/>
          <w:highlight w:val="none"/>
          <w:u w:val="single"/>
        </w:rPr>
        <w:t>项目</w:t>
      </w:r>
      <w:r>
        <w:rPr>
          <w:rFonts w:ascii="宋体" w:hAnsi="宋体"/>
          <w:color w:val="auto"/>
          <w:szCs w:val="21"/>
          <w:highlight w:val="none"/>
          <w:u w:val="single"/>
        </w:rPr>
        <w:t>技术负责人擅自离岗的，视为承包人违约，发包人有权处违约金</w:t>
      </w:r>
      <w:r>
        <w:rPr>
          <w:rFonts w:hint="eastAsia" w:ascii="宋体" w:hAnsi="宋体"/>
          <w:b/>
          <w:bCs/>
          <w:color w:val="auto"/>
          <w:szCs w:val="21"/>
          <w:highlight w:val="none"/>
          <w:u w:val="single"/>
        </w:rPr>
        <w:t>5000.00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；未经发包人同意，</w:t>
      </w:r>
      <w:r>
        <w:rPr>
          <w:rFonts w:hint="eastAsia" w:ascii="宋体" w:hAnsi="宋体"/>
          <w:color w:val="auto"/>
          <w:szCs w:val="21"/>
          <w:highlight w:val="none"/>
          <w:u w:val="single"/>
        </w:rPr>
        <w:t>专职安全员</w:t>
      </w:r>
      <w:r>
        <w:rPr>
          <w:rFonts w:ascii="宋体" w:hAnsi="宋体"/>
          <w:color w:val="auto"/>
          <w:szCs w:val="21"/>
          <w:highlight w:val="none"/>
          <w:u w:val="single"/>
        </w:rPr>
        <w:t>擅自离岗的，视为承包人违约，发包人有权处违约金</w:t>
      </w:r>
      <w:r>
        <w:rPr>
          <w:rFonts w:hint="eastAsia" w:ascii="宋体" w:hAnsi="宋体"/>
          <w:b/>
          <w:bCs/>
          <w:color w:val="auto"/>
          <w:szCs w:val="21"/>
          <w:highlight w:val="none"/>
          <w:u w:val="single"/>
        </w:rPr>
        <w:t>3000.00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w:t>
      </w:r>
      <w:r>
        <w:rPr>
          <w:rFonts w:hint="eastAsia" w:ascii="宋体" w:hAnsi="宋体"/>
          <w:color w:val="auto"/>
          <w:szCs w:val="21"/>
          <w:highlight w:val="none"/>
          <w:u w:val="single"/>
        </w:rPr>
        <w:t>其它在场管理人员</w:t>
      </w:r>
      <w:r>
        <w:rPr>
          <w:rFonts w:ascii="宋体" w:hAnsi="宋体"/>
          <w:color w:val="auto"/>
          <w:szCs w:val="21"/>
          <w:highlight w:val="none"/>
          <w:u w:val="single"/>
        </w:rPr>
        <w:t>擅自离岗的，视为承包人违约，发包人有权处违约金</w:t>
      </w:r>
      <w:r>
        <w:rPr>
          <w:rFonts w:hint="eastAsia" w:ascii="宋体" w:hAnsi="宋体"/>
          <w:b/>
          <w:bCs/>
          <w:color w:val="auto"/>
          <w:szCs w:val="21"/>
          <w:highlight w:val="none"/>
          <w:u w:val="single"/>
        </w:rPr>
        <w:t>3000.00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6E6613FF">
      <w:pPr>
        <w:keepNext/>
        <w:keepLines/>
        <w:spacing w:before="260" w:after="260" w:line="416" w:lineRule="auto"/>
        <w:outlineLvl w:val="9"/>
        <w:rPr>
          <w:rFonts w:ascii="宋体" w:hAnsi="宋体"/>
          <w:b/>
          <w:bCs/>
          <w:color w:val="auto"/>
          <w:sz w:val="32"/>
          <w:szCs w:val="21"/>
          <w:highlight w:val="none"/>
        </w:rPr>
      </w:pPr>
      <w:bookmarkStart w:id="466" w:name="_Toc470247811"/>
      <w:bookmarkStart w:id="467" w:name="_Toc411345191"/>
      <w:bookmarkStart w:id="468" w:name="_Toc461179252"/>
      <w:bookmarkStart w:id="469" w:name="_Toc389065276"/>
      <w:bookmarkStart w:id="470" w:name="_Toc454211122"/>
      <w:bookmarkStart w:id="471" w:name="_Toc373478357"/>
      <w:bookmarkStart w:id="472" w:name="_Toc530144478"/>
      <w:bookmarkStart w:id="473" w:name="_Toc529547336"/>
      <w:bookmarkStart w:id="474" w:name="_Toc531186613"/>
      <w:bookmarkStart w:id="475" w:name="_Toc529526984"/>
      <w:bookmarkStart w:id="476" w:name="_Toc373227710"/>
      <w:bookmarkStart w:id="477" w:name="_Toc432343898"/>
      <w:bookmarkStart w:id="478" w:name="_Toc472931617"/>
      <w:r>
        <w:rPr>
          <w:rFonts w:ascii="宋体" w:hAnsi="宋体"/>
          <w:b/>
          <w:bCs/>
          <w:color w:val="auto"/>
          <w:sz w:val="32"/>
          <w:szCs w:val="21"/>
          <w:highlight w:val="none"/>
        </w:rPr>
        <w:t>3</w:t>
      </w:r>
      <w:bookmarkStart w:id="479" w:name="_Toc292559869"/>
      <w:bookmarkStart w:id="480" w:name="_Toc296346660"/>
      <w:bookmarkStart w:id="481" w:name="_Toc292559364"/>
      <w:bookmarkStart w:id="482" w:name="_Toc312677988"/>
      <w:bookmarkStart w:id="483" w:name="_Toc296890987"/>
      <w:bookmarkStart w:id="484" w:name="_Toc297123492"/>
      <w:bookmarkStart w:id="485" w:name="_Toc296944498"/>
      <w:bookmarkStart w:id="486" w:name="_Toc303539102"/>
      <w:bookmarkStart w:id="487" w:name="_Toc297120459"/>
      <w:bookmarkStart w:id="488" w:name="_Toc296347158"/>
      <w:bookmarkStart w:id="489" w:name="_Toc296891199"/>
      <w:bookmarkStart w:id="490" w:name="_Toc296503159"/>
      <w:bookmarkStart w:id="491" w:name="_Toc297048345"/>
      <w:bookmarkStart w:id="492" w:name="_Toc304295523"/>
      <w:bookmarkStart w:id="493" w:name="_Toc300934945"/>
      <w:bookmarkStart w:id="494" w:name="_Toc297216151"/>
      <w:r>
        <w:rPr>
          <w:rFonts w:ascii="宋体" w:hAnsi="宋体"/>
          <w:b/>
          <w:bCs/>
          <w:color w:val="auto"/>
          <w:sz w:val="32"/>
          <w:szCs w:val="21"/>
          <w:highlight w:val="none"/>
        </w:rPr>
        <w:t>.5 分包</w:t>
      </w:r>
      <w:bookmarkEnd w:id="466"/>
      <w:bookmarkEnd w:id="467"/>
      <w:bookmarkEnd w:id="468"/>
      <w:bookmarkEnd w:id="469"/>
      <w:bookmarkEnd w:id="470"/>
      <w:bookmarkEnd w:id="471"/>
      <w:bookmarkEnd w:id="472"/>
      <w:bookmarkEnd w:id="473"/>
      <w:bookmarkEnd w:id="474"/>
      <w:bookmarkEnd w:id="475"/>
      <w:bookmarkEnd w:id="476"/>
      <w:bookmarkEnd w:id="477"/>
      <w:bookmarkEnd w:id="478"/>
    </w:p>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2A965632">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w:t>
      </w:r>
      <w:bookmarkStart w:id="495" w:name="_Toc296503160"/>
      <w:bookmarkStart w:id="496" w:name="_Toc296347159"/>
      <w:bookmarkStart w:id="497" w:name="_Toc318581158"/>
      <w:bookmarkStart w:id="498" w:name="_Toc296891200"/>
      <w:bookmarkStart w:id="499" w:name="_Toc297216152"/>
      <w:bookmarkStart w:id="500" w:name="_Toc296346661"/>
      <w:bookmarkStart w:id="501" w:name="_Toc312677989"/>
      <w:bookmarkStart w:id="502" w:name="_Toc297123493"/>
      <w:bookmarkStart w:id="503" w:name="_Toc303539103"/>
      <w:bookmarkStart w:id="504" w:name="_Toc296944499"/>
      <w:bookmarkStart w:id="505" w:name="_Toc297048346"/>
      <w:bookmarkStart w:id="506" w:name="_Toc292559870"/>
      <w:bookmarkStart w:id="507" w:name="_Toc304295524"/>
      <w:bookmarkStart w:id="508" w:name="_Toc300934946"/>
      <w:bookmarkStart w:id="509" w:name="_Toc296890988"/>
      <w:bookmarkStart w:id="510" w:name="_Toc297120460"/>
      <w:bookmarkStart w:id="511" w:name="_Toc292559365"/>
      <w:r>
        <w:rPr>
          <w:rFonts w:ascii="宋体" w:hAnsi="宋体"/>
          <w:color w:val="auto"/>
          <w:szCs w:val="21"/>
          <w:highlight w:val="none"/>
        </w:rPr>
        <w:t>.5.1 分包的一般约定</w:t>
      </w:r>
    </w:p>
    <w:p w14:paraId="091496BF">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禁止分包的工程包括：</w:t>
      </w:r>
      <w:r>
        <w:rPr>
          <w:rFonts w:ascii="宋体" w:hAnsi="宋体"/>
          <w:color w:val="auto"/>
          <w:szCs w:val="21"/>
          <w:highlight w:val="none"/>
          <w:u w:val="single"/>
        </w:rPr>
        <w:t></w:t>
      </w:r>
      <w:r>
        <w:rPr>
          <w:rFonts w:hint="eastAsia" w:ascii="宋体" w:hAnsi="宋体"/>
          <w:color w:val="auto"/>
          <w:szCs w:val="21"/>
          <w:highlight w:val="none"/>
          <w:u w:val="single"/>
        </w:rPr>
        <w:t>本项目禁止分包</w:t>
      </w:r>
      <w:r>
        <w:rPr>
          <w:rFonts w:ascii="宋体" w:hAnsi="宋体"/>
          <w:color w:val="auto"/>
          <w:szCs w:val="21"/>
          <w:highlight w:val="none"/>
          <w:u w:val="single"/>
        </w:rPr>
        <w:t xml:space="preserve">   </w:t>
      </w:r>
      <w:r>
        <w:rPr>
          <w:rFonts w:ascii="宋体" w:hAnsi="宋体"/>
          <w:color w:val="auto"/>
          <w:szCs w:val="21"/>
          <w:highlight w:val="none"/>
        </w:rPr>
        <w:t>。</w:t>
      </w:r>
    </w:p>
    <w:p w14:paraId="692A1237">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主体结构、关键性工作的范围：</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EF73EB1">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3</w:t>
      </w:r>
      <w:bookmarkStart w:id="512" w:name="_Toc312677990"/>
      <w:bookmarkStart w:id="513" w:name="_Toc318581159"/>
      <w:r>
        <w:rPr>
          <w:rFonts w:ascii="宋体" w:hAnsi="宋体"/>
          <w:color w:val="auto"/>
          <w:szCs w:val="21"/>
          <w:highlight w:val="none"/>
        </w:rPr>
        <w:t>.5.2</w:t>
      </w:r>
      <w:r>
        <w:rPr>
          <w:rFonts w:hint="eastAsia" w:ascii="宋体" w:hAnsi="宋体"/>
          <w:color w:val="auto"/>
          <w:szCs w:val="21"/>
          <w:highlight w:val="none"/>
        </w:rPr>
        <w:t xml:space="preserve"> </w:t>
      </w:r>
      <w:r>
        <w:rPr>
          <w:rFonts w:ascii="宋体" w:hAnsi="宋体"/>
          <w:color w:val="auto"/>
          <w:szCs w:val="21"/>
          <w:highlight w:val="none"/>
        </w:rPr>
        <w:t>分包的确定</w:t>
      </w:r>
    </w:p>
    <w:p w14:paraId="26466F9E">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允许分包的专业工程包括：</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61DC0A5B">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其他关于分包的约定：</w:t>
      </w:r>
    </w:p>
    <w:p w14:paraId="0D405429">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宋体" w:hAnsi="宋体"/>
          <w:color w:val="auto"/>
          <w:szCs w:val="21"/>
          <w:highlight w:val="none"/>
        </w:rPr>
        <w:t>本项目分包人主要施工管理人员名单详见合同附件4。</w:t>
      </w:r>
    </w:p>
    <w:p w14:paraId="6C22DF22">
      <w:pPr>
        <w:spacing w:line="360" w:lineRule="auto"/>
        <w:ind w:firstLine="420" w:firstLineChars="200"/>
        <w:outlineLvl w:val="9"/>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在相关分包合同签订并报送有关建设行政主管部门备案后7天内，承包人应当将一份副本提交给监理人，承包人应保障分包工作不得再次分包。</w:t>
      </w:r>
    </w:p>
    <w:p w14:paraId="5AF08E2A">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未经承包人和监理人审批同意的分包工程和分包人，承包人有权拒绝验收分包工程和支付相应款项，由此引起的发包人费用增加和(或)延误的工期由发包人承担。</w:t>
      </w:r>
    </w:p>
    <w:p w14:paraId="43499793">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承包人有以下情况之一者，发包人有权解除合同，并视情况扣除其履约保证金：</w:t>
      </w:r>
    </w:p>
    <w:p w14:paraId="37E41182">
      <w:pPr>
        <w:spacing w:line="360" w:lineRule="auto"/>
        <w:ind w:firstLine="441" w:firstLineChars="210"/>
        <w:outlineLvl w:val="9"/>
        <w:rPr>
          <w:rFonts w:ascii="宋体" w:hAnsi="宋体"/>
          <w:color w:val="auto"/>
          <w:szCs w:val="21"/>
          <w:highlight w:val="none"/>
        </w:rPr>
      </w:pPr>
      <w:r>
        <w:rPr>
          <w:rFonts w:ascii="宋体" w:hAnsi="宋体"/>
          <w:color w:val="auto"/>
          <w:szCs w:val="21"/>
          <w:highlight w:val="none"/>
        </w:rPr>
        <w:t>①个人承包工程，包括本人单位及外单位人员承包，发包人不承认其个人拥有任何资质等级及营业许可资格。没收全部履约保证金。</w:t>
      </w:r>
    </w:p>
    <w:p w14:paraId="2B097EE6">
      <w:pPr>
        <w:spacing w:line="360" w:lineRule="auto"/>
        <w:ind w:firstLine="441" w:firstLineChars="210"/>
        <w:outlineLvl w:val="9"/>
        <w:rPr>
          <w:rFonts w:ascii="宋体" w:hAnsi="宋体"/>
          <w:color w:val="auto"/>
          <w:szCs w:val="21"/>
          <w:highlight w:val="none"/>
        </w:rPr>
      </w:pPr>
      <w:r>
        <w:rPr>
          <w:rFonts w:ascii="宋体" w:hAnsi="宋体"/>
          <w:color w:val="auto"/>
          <w:szCs w:val="21"/>
          <w:highlight w:val="none"/>
        </w:rPr>
        <w:t>②几个人联合承包工程，就地组织暗分包队伍，不具备完成本工程的技术、机械能力，被发包人判定为没有能力履行的承包人。没收全部履约保证金。</w:t>
      </w:r>
    </w:p>
    <w:p w14:paraId="3CA3E64F">
      <w:pPr>
        <w:spacing w:line="360" w:lineRule="auto"/>
        <w:ind w:firstLine="441" w:firstLineChars="210"/>
        <w:outlineLvl w:val="9"/>
        <w:rPr>
          <w:rFonts w:ascii="宋体" w:hAnsi="宋体"/>
          <w:color w:val="auto"/>
          <w:szCs w:val="21"/>
          <w:highlight w:val="none"/>
        </w:rPr>
      </w:pPr>
      <w:r>
        <w:rPr>
          <w:rFonts w:ascii="宋体" w:hAnsi="宋体"/>
          <w:color w:val="auto"/>
          <w:szCs w:val="21"/>
          <w:highlight w:val="none"/>
        </w:rPr>
        <w:t>③就地转包全部的工程，以谋取高额转让费、管理费的承包人。没收全部履约保证金。</w:t>
      </w:r>
    </w:p>
    <w:p w14:paraId="33B76AC8">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2E14719F">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3.5.4 分包合同价款</w:t>
      </w:r>
    </w:p>
    <w:bookmarkEnd w:id="512"/>
    <w:bookmarkEnd w:id="513"/>
    <w:p w14:paraId="120350C6">
      <w:pPr>
        <w:spacing w:line="360" w:lineRule="auto"/>
        <w:ind w:firstLine="420" w:firstLineChars="200"/>
        <w:outlineLvl w:val="9"/>
        <w:rPr>
          <w:rFonts w:ascii="宋体" w:hAnsi="宋体"/>
          <w:color w:val="auto"/>
          <w:szCs w:val="21"/>
          <w:highlight w:val="none"/>
        </w:rPr>
      </w:pPr>
      <w:bookmarkStart w:id="514" w:name="_Toc373227711"/>
      <w:bookmarkStart w:id="515" w:name="_Toc373478358"/>
      <w:bookmarkStart w:id="516" w:name="_Toc389065277"/>
      <w:r>
        <w:rPr>
          <w:rFonts w:ascii="宋体" w:hAnsi="宋体"/>
          <w:color w:val="auto"/>
          <w:szCs w:val="21"/>
          <w:highlight w:val="none"/>
        </w:rPr>
        <w:t>关于分包合同价款支付的约定：</w:t>
      </w:r>
      <w:r>
        <w:rPr>
          <w:rFonts w:ascii="宋体" w:hAnsi="宋体"/>
          <w:color w:val="auto"/>
          <w:szCs w:val="21"/>
          <w:highlight w:val="none"/>
          <w:u w:val="single"/>
        </w:rPr>
        <w:t>分包工程价款由承包人与分包人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结算。发包人未经承包人同意不得以任何形式向分包人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支付相关分包合同项下的任何工程款项。因发包人未经承包人同意直接向分包人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支付相关分包合同项下的任何工程款项而影响承包人工作的，所造成的承包人费用增加和</w:t>
      </w:r>
      <w:r>
        <w:rPr>
          <w:rFonts w:hint="eastAsia" w:ascii="宋体" w:hAnsi="宋体"/>
          <w:color w:val="auto"/>
          <w:szCs w:val="21"/>
          <w:highlight w:val="none"/>
          <w:u w:val="single"/>
        </w:rPr>
        <w:t>（</w:t>
      </w:r>
      <w:r>
        <w:rPr>
          <w:rFonts w:ascii="宋体" w:hAnsi="宋体"/>
          <w:color w:val="auto"/>
          <w:szCs w:val="21"/>
          <w:highlight w:val="none"/>
          <w:u w:val="single"/>
        </w:rPr>
        <w:t>或</w:t>
      </w:r>
      <w:r>
        <w:rPr>
          <w:rFonts w:hint="eastAsia" w:ascii="宋体" w:hAnsi="宋体"/>
          <w:color w:val="auto"/>
          <w:szCs w:val="21"/>
          <w:highlight w:val="none"/>
          <w:u w:val="single"/>
        </w:rPr>
        <w:t>）</w:t>
      </w:r>
      <w:r>
        <w:rPr>
          <w:rFonts w:ascii="宋体" w:hAnsi="宋体"/>
          <w:color w:val="auto"/>
          <w:szCs w:val="21"/>
          <w:highlight w:val="none"/>
          <w:u w:val="single"/>
        </w:rPr>
        <w:t>延误的工期由发包人承担。</w:t>
      </w:r>
    </w:p>
    <w:p w14:paraId="5FEC66FB">
      <w:pPr>
        <w:keepNext/>
        <w:keepLines/>
        <w:spacing w:before="260" w:after="260" w:line="416" w:lineRule="auto"/>
        <w:outlineLvl w:val="9"/>
        <w:rPr>
          <w:rFonts w:ascii="宋体" w:hAnsi="宋体"/>
          <w:b/>
          <w:bCs/>
          <w:color w:val="auto"/>
          <w:sz w:val="32"/>
          <w:szCs w:val="21"/>
          <w:highlight w:val="none"/>
        </w:rPr>
      </w:pPr>
      <w:bookmarkStart w:id="517" w:name="_Toc530144479"/>
      <w:bookmarkStart w:id="518" w:name="_Toc432343899"/>
      <w:bookmarkStart w:id="519" w:name="_Toc529547337"/>
      <w:bookmarkStart w:id="520" w:name="_Toc454211123"/>
      <w:bookmarkStart w:id="521" w:name="_Toc411345192"/>
      <w:bookmarkStart w:id="522" w:name="_Toc472931618"/>
      <w:bookmarkStart w:id="523" w:name="_Toc529526985"/>
      <w:bookmarkStart w:id="524" w:name="_Toc461179253"/>
      <w:bookmarkStart w:id="525" w:name="_Toc470247812"/>
      <w:bookmarkStart w:id="526" w:name="_Toc531186614"/>
      <w:r>
        <w:rPr>
          <w:rFonts w:ascii="宋体" w:hAnsi="宋体"/>
          <w:b/>
          <w:bCs/>
          <w:color w:val="auto"/>
          <w:sz w:val="32"/>
          <w:szCs w:val="21"/>
          <w:highlight w:val="none"/>
        </w:rPr>
        <w:t>3.6 工程照管与成品、半成品保护</w:t>
      </w:r>
      <w:bookmarkEnd w:id="514"/>
      <w:bookmarkEnd w:id="515"/>
      <w:bookmarkEnd w:id="516"/>
      <w:bookmarkEnd w:id="517"/>
      <w:bookmarkEnd w:id="518"/>
      <w:bookmarkEnd w:id="519"/>
      <w:bookmarkEnd w:id="520"/>
      <w:bookmarkEnd w:id="521"/>
      <w:bookmarkEnd w:id="522"/>
      <w:bookmarkEnd w:id="523"/>
      <w:bookmarkEnd w:id="524"/>
      <w:bookmarkEnd w:id="525"/>
      <w:bookmarkEnd w:id="526"/>
    </w:p>
    <w:p w14:paraId="34A087ED">
      <w:pPr>
        <w:spacing w:line="360" w:lineRule="auto"/>
        <w:ind w:firstLine="420" w:firstLineChars="200"/>
        <w:outlineLvl w:val="9"/>
        <w:rPr>
          <w:rFonts w:ascii="宋体" w:hAnsi="宋体"/>
          <w:color w:val="auto"/>
          <w:kern w:val="0"/>
          <w:szCs w:val="21"/>
          <w:highlight w:val="none"/>
          <w:u w:val="single"/>
        </w:rPr>
      </w:pPr>
      <w:r>
        <w:rPr>
          <w:rFonts w:ascii="宋体" w:hAnsi="宋体"/>
          <w:color w:val="auto"/>
          <w:kern w:val="0"/>
          <w:szCs w:val="21"/>
          <w:highlight w:val="none"/>
        </w:rPr>
        <w:t>承包人负责照管工程及工程相关的材料、工程设备的起始时间：</w:t>
      </w:r>
      <w:r>
        <w:rPr>
          <w:rFonts w:ascii="宋体" w:hAnsi="宋体"/>
          <w:color w:val="auto"/>
          <w:kern w:val="0"/>
          <w:szCs w:val="21"/>
          <w:highlight w:val="none"/>
          <w:u w:val="single"/>
        </w:rPr>
        <w:t xml:space="preserve"> </w:t>
      </w:r>
      <w:r>
        <w:rPr>
          <w:rFonts w:hint="eastAsia" w:ascii="宋体" w:hAnsi="宋体"/>
          <w:bCs/>
          <w:color w:val="auto"/>
          <w:szCs w:val="21"/>
          <w:highlight w:val="none"/>
          <w:u w:val="single"/>
        </w:rPr>
        <w:t>设备、人员进场至验收交付使用前由承包人负责保修，无其他特殊要求的，费用由承包人承担。</w:t>
      </w:r>
    </w:p>
    <w:p w14:paraId="54DB1B34">
      <w:pPr>
        <w:keepNext/>
        <w:keepLines/>
        <w:spacing w:before="260" w:after="260" w:line="416" w:lineRule="auto"/>
        <w:outlineLvl w:val="9"/>
        <w:rPr>
          <w:rFonts w:ascii="宋体" w:hAnsi="宋体"/>
          <w:b/>
          <w:bCs/>
          <w:color w:val="auto"/>
          <w:sz w:val="32"/>
          <w:szCs w:val="32"/>
          <w:highlight w:val="none"/>
        </w:rPr>
      </w:pPr>
      <w:bookmarkStart w:id="527" w:name="_Toc373478359"/>
      <w:bookmarkStart w:id="528" w:name="_Toc389065278"/>
      <w:bookmarkStart w:id="529" w:name="_Toc373227712"/>
      <w:bookmarkStart w:id="530" w:name="_Toc531186615"/>
      <w:bookmarkStart w:id="531" w:name="_Toc530144480"/>
      <w:bookmarkStart w:id="532" w:name="_Toc529547338"/>
      <w:bookmarkStart w:id="533" w:name="_Toc454211124"/>
      <w:bookmarkStart w:id="534" w:name="_Toc411345193"/>
      <w:bookmarkStart w:id="535" w:name="_Toc470247813"/>
      <w:bookmarkStart w:id="536" w:name="_Toc472931619"/>
      <w:bookmarkStart w:id="537" w:name="_Toc461179254"/>
      <w:bookmarkStart w:id="538" w:name="_Toc529526986"/>
      <w:bookmarkStart w:id="539" w:name="_Toc432343900"/>
      <w:r>
        <w:rPr>
          <w:rFonts w:ascii="宋体" w:hAnsi="宋体"/>
          <w:b/>
          <w:bCs/>
          <w:color w:val="auto"/>
          <w:sz w:val="32"/>
          <w:szCs w:val="21"/>
          <w:highlight w:val="none"/>
        </w:rPr>
        <w:t>3</w:t>
      </w:r>
      <w:r>
        <w:rPr>
          <w:rFonts w:ascii="宋体" w:hAnsi="宋体"/>
          <w:b/>
          <w:bCs/>
          <w:color w:val="auto"/>
          <w:sz w:val="32"/>
          <w:szCs w:val="32"/>
          <w:highlight w:val="none"/>
        </w:rPr>
        <w:t>.7 履约</w:t>
      </w:r>
      <w:bookmarkEnd w:id="527"/>
      <w:bookmarkEnd w:id="528"/>
      <w:bookmarkEnd w:id="529"/>
      <w:r>
        <w:rPr>
          <w:rFonts w:hint="eastAsia" w:ascii="宋体" w:hAnsi="宋体"/>
          <w:b/>
          <w:bCs/>
          <w:color w:val="auto"/>
          <w:sz w:val="32"/>
          <w:szCs w:val="32"/>
          <w:highlight w:val="none"/>
        </w:rPr>
        <w:t>保证金</w:t>
      </w:r>
      <w:bookmarkEnd w:id="530"/>
      <w:bookmarkEnd w:id="531"/>
      <w:bookmarkEnd w:id="532"/>
      <w:bookmarkEnd w:id="533"/>
      <w:bookmarkEnd w:id="534"/>
      <w:bookmarkEnd w:id="535"/>
      <w:bookmarkEnd w:id="536"/>
      <w:bookmarkEnd w:id="537"/>
      <w:bookmarkEnd w:id="538"/>
      <w:bookmarkEnd w:id="539"/>
    </w:p>
    <w:p w14:paraId="48F97702">
      <w:pPr>
        <w:spacing w:line="360" w:lineRule="auto"/>
        <w:ind w:firstLine="420" w:firstLineChars="200"/>
        <w:jc w:val="left"/>
        <w:outlineLvl w:val="9"/>
        <w:rPr>
          <w:rFonts w:ascii="Calibri" w:hAnsi="Calibri"/>
          <w:color w:val="auto"/>
          <w:szCs w:val="21"/>
          <w:highlight w:val="none"/>
        </w:rPr>
      </w:pPr>
      <w:bookmarkStart w:id="540" w:name="_Toc373227713"/>
      <w:bookmarkStart w:id="541" w:name="_Toc351203636"/>
      <w:bookmarkStart w:id="542" w:name="_Toc389065279"/>
      <w:bookmarkStart w:id="543" w:name="_Toc373478360"/>
      <w:r>
        <w:rPr>
          <w:rFonts w:ascii="Calibri" w:hAnsi="宋体"/>
          <w:color w:val="auto"/>
          <w:szCs w:val="21"/>
          <w:highlight w:val="none"/>
        </w:rPr>
        <w:t>承包人提供履约担保的形式、金额及期限的：</w:t>
      </w:r>
      <w:r>
        <w:rPr>
          <w:rFonts w:ascii="Calibri" w:hAnsi="宋体"/>
          <w:color w:val="auto"/>
          <w:szCs w:val="21"/>
          <w:highlight w:val="none"/>
          <w:u w:val="single"/>
        </w:rPr>
        <w:t>承包人在收到中标通知书后，须在</w:t>
      </w:r>
      <w:r>
        <w:rPr>
          <w:rFonts w:hint="eastAsia" w:ascii="Calibri" w:hAnsi="Calibri"/>
          <w:color w:val="auto"/>
          <w:szCs w:val="21"/>
          <w:highlight w:val="none"/>
          <w:u w:val="single"/>
        </w:rPr>
        <w:t>15</w:t>
      </w:r>
      <w:r>
        <w:rPr>
          <w:rFonts w:ascii="Calibri" w:hAnsi="宋体"/>
          <w:color w:val="auto"/>
          <w:szCs w:val="21"/>
          <w:highlight w:val="none"/>
          <w:u w:val="single"/>
        </w:rPr>
        <w:t>日内向发包人提交合同价款扣除建安劳保费、发包人材料</w:t>
      </w:r>
      <w:r>
        <w:rPr>
          <w:rFonts w:hint="eastAsia" w:ascii="Calibri" w:hAnsi="宋体"/>
          <w:color w:val="auto"/>
          <w:szCs w:val="21"/>
          <w:highlight w:val="none"/>
          <w:u w:val="single"/>
        </w:rPr>
        <w:t>设备</w:t>
      </w:r>
      <w:r>
        <w:rPr>
          <w:rFonts w:ascii="Calibri" w:hAnsi="宋体"/>
          <w:color w:val="auto"/>
          <w:szCs w:val="21"/>
          <w:highlight w:val="none"/>
          <w:u w:val="single"/>
        </w:rPr>
        <w:t>价款、暂估专业工程、暂列金额后的</w:t>
      </w:r>
      <w:r>
        <w:rPr>
          <w:rFonts w:ascii="Calibri" w:hAnsi="Calibri"/>
          <w:color w:val="auto"/>
          <w:szCs w:val="21"/>
          <w:highlight w:val="none"/>
          <w:u w:val="single"/>
        </w:rPr>
        <w:t xml:space="preserve"> </w:t>
      </w:r>
      <w:r>
        <w:rPr>
          <w:rFonts w:hint="eastAsia" w:ascii="Calibri" w:hAnsi="Calibri"/>
          <w:color w:val="auto"/>
          <w:szCs w:val="21"/>
          <w:highlight w:val="none"/>
          <w:u w:val="single"/>
          <w:lang w:val="en-US" w:eastAsia="zh-CN"/>
        </w:rPr>
        <w:t>2</w:t>
      </w:r>
      <w:r>
        <w:rPr>
          <w:rFonts w:ascii="Calibri" w:hAnsi="Calibri"/>
          <w:color w:val="auto"/>
          <w:szCs w:val="21"/>
          <w:highlight w:val="none"/>
          <w:u w:val="single"/>
        </w:rPr>
        <w:t>%</w:t>
      </w:r>
      <w:r>
        <w:rPr>
          <w:rFonts w:ascii="Calibri" w:hAnsi="宋体"/>
          <w:color w:val="auto"/>
          <w:szCs w:val="21"/>
          <w:highlight w:val="none"/>
          <w:u w:val="single"/>
        </w:rPr>
        <w:t>的履约担保</w:t>
      </w:r>
      <w:r>
        <w:rPr>
          <w:rFonts w:hint="eastAsia" w:ascii="Calibri" w:hAnsi="宋体"/>
          <w:color w:val="auto"/>
          <w:szCs w:val="21"/>
          <w:highlight w:val="none"/>
          <w:u w:val="single"/>
        </w:rPr>
        <w:t>（格式见合同附件5）</w:t>
      </w:r>
      <w:r>
        <w:rPr>
          <w:rFonts w:ascii="Calibri" w:hAnsi="宋体"/>
          <w:color w:val="auto"/>
          <w:szCs w:val="21"/>
          <w:highlight w:val="none"/>
          <w:u w:val="single"/>
        </w:rPr>
        <w:t>。履约担保的有效期应当自本合同生效之日起至发包人签认并由监理人向承包人出具（竣工证明材料名称）之日止。如果承包人无法获得一份不带具体截止日期的担保，履约担保中应当有</w:t>
      </w:r>
      <w:r>
        <w:rPr>
          <w:rFonts w:ascii="Calibri" w:hAnsi="Calibri"/>
          <w:color w:val="auto"/>
          <w:szCs w:val="21"/>
          <w:highlight w:val="none"/>
          <w:u w:val="single"/>
        </w:rPr>
        <w:t>“</w:t>
      </w:r>
      <w:r>
        <w:rPr>
          <w:rFonts w:ascii="Calibri" w:hAnsi="宋体"/>
          <w:color w:val="auto"/>
          <w:szCs w:val="21"/>
          <w:highlight w:val="none"/>
          <w:u w:val="single"/>
        </w:rPr>
        <w:t>变更工程竣工日期的，保证期间按照变更后的竣工日期做相应调整</w:t>
      </w:r>
      <w:r>
        <w:rPr>
          <w:rFonts w:ascii="Calibri" w:hAnsi="Calibri"/>
          <w:color w:val="auto"/>
          <w:szCs w:val="21"/>
          <w:highlight w:val="none"/>
          <w:u w:val="single"/>
        </w:rPr>
        <w:t>”</w:t>
      </w:r>
      <w:r>
        <w:rPr>
          <w:rFonts w:ascii="Calibri" w:hAnsi="宋体"/>
          <w:color w:val="auto"/>
          <w:szCs w:val="21"/>
          <w:highlight w:val="none"/>
          <w:u w:val="single"/>
        </w:rPr>
        <w:t>或类似约定的条款。</w:t>
      </w:r>
    </w:p>
    <w:p w14:paraId="55B6D80F">
      <w:pPr>
        <w:spacing w:line="360" w:lineRule="auto"/>
        <w:ind w:firstLine="420" w:firstLineChars="200"/>
        <w:outlineLvl w:val="9"/>
        <w:rPr>
          <w:rFonts w:ascii="Calibri" w:hAnsi="Calibri"/>
          <w:color w:val="auto"/>
          <w:szCs w:val="21"/>
          <w:highlight w:val="none"/>
          <w:u w:val="single"/>
        </w:rPr>
      </w:pPr>
      <w:r>
        <w:rPr>
          <w:rFonts w:ascii="Calibri" w:hAnsi="宋体"/>
          <w:color w:val="auto"/>
          <w:szCs w:val="21"/>
          <w:highlight w:val="none"/>
          <w:u w:val="single"/>
        </w:rPr>
        <w:t>工程竣工验收合格并对验收发现的问题完成整改后的</w:t>
      </w:r>
      <w:r>
        <w:rPr>
          <w:rFonts w:ascii="Calibri" w:hAnsi="Calibri"/>
          <w:color w:val="auto"/>
          <w:szCs w:val="21"/>
          <w:highlight w:val="none"/>
          <w:u w:val="single"/>
        </w:rPr>
        <w:t>7</w:t>
      </w:r>
      <w:r>
        <w:rPr>
          <w:rFonts w:ascii="Calibri" w:hAnsi="宋体"/>
          <w:color w:val="auto"/>
          <w:szCs w:val="21"/>
          <w:highlight w:val="none"/>
          <w:u w:val="single"/>
        </w:rPr>
        <w:t>个日历天内，</w:t>
      </w:r>
      <w:r>
        <w:rPr>
          <w:rFonts w:hint="eastAsia" w:ascii="Calibri" w:hAnsi="宋体"/>
          <w:color w:val="auto"/>
          <w:szCs w:val="21"/>
          <w:highlight w:val="none"/>
          <w:u w:val="single"/>
        </w:rPr>
        <w:t>发包人</w:t>
      </w:r>
      <w:r>
        <w:rPr>
          <w:rFonts w:ascii="Calibri" w:hAnsi="宋体"/>
          <w:color w:val="auto"/>
          <w:szCs w:val="21"/>
          <w:highlight w:val="none"/>
          <w:u w:val="single"/>
        </w:rPr>
        <w:t>支付履约</w:t>
      </w:r>
      <w:r>
        <w:rPr>
          <w:rFonts w:hint="eastAsia" w:ascii="Calibri" w:hAnsi="宋体"/>
          <w:color w:val="auto"/>
          <w:szCs w:val="21"/>
          <w:highlight w:val="none"/>
          <w:u w:val="single"/>
        </w:rPr>
        <w:t>保证</w:t>
      </w:r>
      <w:r>
        <w:rPr>
          <w:rFonts w:ascii="Calibri" w:hAnsi="宋体"/>
          <w:color w:val="auto"/>
          <w:szCs w:val="21"/>
          <w:highlight w:val="none"/>
          <w:u w:val="single"/>
        </w:rPr>
        <w:t>金的</w:t>
      </w:r>
      <w:r>
        <w:rPr>
          <w:rFonts w:ascii="Calibri" w:hAnsi="Calibri"/>
          <w:color w:val="auto"/>
          <w:szCs w:val="21"/>
          <w:highlight w:val="none"/>
          <w:u w:val="single"/>
        </w:rPr>
        <w:t>50%</w:t>
      </w:r>
      <w:r>
        <w:rPr>
          <w:rFonts w:ascii="Calibri" w:hAnsi="宋体"/>
          <w:color w:val="auto"/>
          <w:szCs w:val="21"/>
          <w:highlight w:val="none"/>
          <w:u w:val="single"/>
        </w:rPr>
        <w:t>；承包人向发包人完成（施工）竣工资料移交手续后，可向发包人申请退还剩余履约保证金，发包人应在收到申请之日起</w:t>
      </w:r>
      <w:r>
        <w:rPr>
          <w:rFonts w:ascii="Calibri" w:hAnsi="Calibri"/>
          <w:color w:val="auto"/>
          <w:szCs w:val="21"/>
          <w:highlight w:val="none"/>
          <w:u w:val="single"/>
        </w:rPr>
        <w:t>28</w:t>
      </w:r>
      <w:r>
        <w:rPr>
          <w:rFonts w:ascii="Calibri" w:hAnsi="宋体"/>
          <w:color w:val="auto"/>
          <w:szCs w:val="21"/>
          <w:highlight w:val="none"/>
          <w:u w:val="single"/>
        </w:rPr>
        <w:t>个日历天内扣减承包人赔偿金和其他应从承包人扣回的款项后，将履约</w:t>
      </w:r>
      <w:r>
        <w:rPr>
          <w:rFonts w:hint="eastAsia" w:ascii="Calibri" w:hAnsi="宋体"/>
          <w:color w:val="auto"/>
          <w:szCs w:val="21"/>
          <w:highlight w:val="none"/>
          <w:u w:val="single"/>
        </w:rPr>
        <w:t>保证</w:t>
      </w:r>
      <w:r>
        <w:rPr>
          <w:rFonts w:ascii="Calibri" w:hAnsi="宋体"/>
          <w:color w:val="auto"/>
          <w:szCs w:val="21"/>
          <w:highlight w:val="none"/>
          <w:u w:val="single"/>
        </w:rPr>
        <w:t>金的余额退还给承包人。</w:t>
      </w:r>
    </w:p>
    <w:p w14:paraId="21DFA517">
      <w:pPr>
        <w:spacing w:line="360" w:lineRule="auto"/>
        <w:ind w:firstLine="420" w:firstLineChars="200"/>
        <w:outlineLvl w:val="9"/>
        <w:rPr>
          <w:rFonts w:ascii="Calibri" w:hAnsi="宋体"/>
          <w:color w:val="auto"/>
          <w:szCs w:val="21"/>
          <w:highlight w:val="none"/>
          <w:u w:val="single"/>
        </w:rPr>
      </w:pPr>
      <w:bookmarkStart w:id="544" w:name="_Toc411345194"/>
      <w:bookmarkStart w:id="545" w:name="_Toc454211125"/>
      <w:bookmarkStart w:id="546" w:name="_Toc461179255"/>
      <w:bookmarkStart w:id="547" w:name="_Toc432343901"/>
      <w:r>
        <w:rPr>
          <w:rFonts w:ascii="Calibri" w:hAnsi="宋体"/>
          <w:color w:val="auto"/>
          <w:szCs w:val="21"/>
          <w:highlight w:val="none"/>
          <w:u w:val="single"/>
        </w:rPr>
        <w:t>承包人在中标后</w:t>
      </w:r>
      <w:r>
        <w:rPr>
          <w:rFonts w:ascii="Calibri" w:hAnsi="Calibri"/>
          <w:color w:val="auto"/>
          <w:szCs w:val="21"/>
          <w:highlight w:val="none"/>
          <w:u w:val="single"/>
        </w:rPr>
        <w:t>7</w:t>
      </w:r>
      <w:r>
        <w:rPr>
          <w:rFonts w:ascii="Calibri" w:hAnsi="宋体"/>
          <w:color w:val="auto"/>
          <w:szCs w:val="21"/>
          <w:highlight w:val="none"/>
          <w:u w:val="single"/>
        </w:rPr>
        <w:t>个工作日内，按</w:t>
      </w:r>
      <w:r>
        <w:rPr>
          <w:rFonts w:ascii="Calibri" w:hAnsi="Calibri"/>
          <w:color w:val="auto"/>
          <w:szCs w:val="21"/>
          <w:highlight w:val="none"/>
          <w:u w:val="single"/>
        </w:rPr>
        <w:t xml:space="preserve"> </w:t>
      </w:r>
      <w:r>
        <w:rPr>
          <w:rFonts w:hint="eastAsia" w:ascii="Calibri" w:hAnsi="Calibri"/>
          <w:color w:val="auto"/>
          <w:szCs w:val="21"/>
          <w:highlight w:val="none"/>
          <w:u w:val="single"/>
        </w:rPr>
        <w:t>防城港市</w:t>
      </w:r>
      <w:r>
        <w:rPr>
          <w:rFonts w:ascii="Calibri" w:hAnsi="宋体"/>
          <w:color w:val="auto"/>
          <w:szCs w:val="21"/>
          <w:highlight w:val="none"/>
          <w:u w:val="single"/>
        </w:rPr>
        <w:t>（各市</w:t>
      </w:r>
      <w:r>
        <w:rPr>
          <w:rFonts w:hint="eastAsia" w:ascii="Calibri" w:hAnsi="宋体"/>
          <w:color w:val="auto"/>
          <w:szCs w:val="21"/>
          <w:highlight w:val="none"/>
          <w:u w:val="single"/>
        </w:rPr>
        <w:t>住房城乡</w:t>
      </w:r>
      <w:r>
        <w:rPr>
          <w:rFonts w:ascii="Calibri" w:hAnsi="宋体"/>
          <w:color w:val="auto"/>
          <w:szCs w:val="21"/>
          <w:highlight w:val="none"/>
          <w:u w:val="single"/>
        </w:rPr>
        <w:t>建设行政主管部门规定）规定将农民工工资保障金存入帐户。工程竣工验收结算经审定后，按照规定程序，将农民工工资保障金没有使用或剩余的金额退还给承包人。</w:t>
      </w:r>
    </w:p>
    <w:p w14:paraId="052DA246">
      <w:pPr>
        <w:keepNext/>
        <w:keepLines/>
        <w:spacing w:before="260" w:after="260" w:line="416" w:lineRule="auto"/>
        <w:outlineLvl w:val="9"/>
        <w:rPr>
          <w:rFonts w:ascii="宋体" w:hAnsi="宋体"/>
          <w:b/>
          <w:bCs/>
          <w:color w:val="auto"/>
          <w:sz w:val="32"/>
          <w:szCs w:val="32"/>
          <w:highlight w:val="none"/>
        </w:rPr>
      </w:pPr>
      <w:bookmarkStart w:id="548" w:name="_Toc472931620"/>
      <w:bookmarkStart w:id="549" w:name="_Toc529526987"/>
      <w:bookmarkStart w:id="550" w:name="_Toc529547339"/>
      <w:bookmarkStart w:id="551" w:name="_Toc470247814"/>
      <w:bookmarkStart w:id="552" w:name="_Toc531186616"/>
      <w:bookmarkStart w:id="553" w:name="_Toc530144481"/>
      <w:r>
        <w:rPr>
          <w:rFonts w:ascii="宋体" w:hAnsi="宋体"/>
          <w:b/>
          <w:bCs/>
          <w:color w:val="auto"/>
          <w:sz w:val="32"/>
          <w:szCs w:val="32"/>
          <w:highlight w:val="none"/>
        </w:rPr>
        <w:t>4</w:t>
      </w:r>
      <w:bookmarkStart w:id="554" w:name="_Toc267251413"/>
      <w:bookmarkStart w:id="555" w:name="_Toc292559366"/>
      <w:bookmarkStart w:id="556" w:name="_Toc296944501"/>
      <w:bookmarkStart w:id="557" w:name="_Toc296891202"/>
      <w:bookmarkStart w:id="558" w:name="_Toc296346663"/>
      <w:bookmarkStart w:id="559" w:name="_Toc296503162"/>
      <w:bookmarkStart w:id="560" w:name="_Toc297048348"/>
      <w:bookmarkStart w:id="561" w:name="_Toc296347161"/>
      <w:bookmarkStart w:id="562" w:name="_Toc297120462"/>
      <w:bookmarkStart w:id="563" w:name="_Toc292559871"/>
      <w:bookmarkStart w:id="564" w:name="_Toc296890990"/>
      <w:r>
        <w:rPr>
          <w:rFonts w:ascii="宋体" w:hAnsi="宋体"/>
          <w:b/>
          <w:bCs/>
          <w:color w:val="auto"/>
          <w:sz w:val="32"/>
          <w:szCs w:val="32"/>
          <w:highlight w:val="none"/>
        </w:rPr>
        <w:t>. 监</w:t>
      </w:r>
      <w:bookmarkEnd w:id="554"/>
      <w:bookmarkEnd w:id="555"/>
      <w:bookmarkEnd w:id="556"/>
      <w:bookmarkEnd w:id="557"/>
      <w:bookmarkEnd w:id="558"/>
      <w:bookmarkEnd w:id="559"/>
      <w:bookmarkEnd w:id="560"/>
      <w:bookmarkEnd w:id="561"/>
      <w:bookmarkEnd w:id="562"/>
      <w:bookmarkEnd w:id="563"/>
      <w:bookmarkEnd w:id="564"/>
      <w:r>
        <w:rPr>
          <w:rFonts w:ascii="宋体" w:hAnsi="宋体"/>
          <w:b/>
          <w:bCs/>
          <w:color w:val="auto"/>
          <w:sz w:val="32"/>
          <w:szCs w:val="32"/>
          <w:highlight w:val="none"/>
        </w:rPr>
        <w:t>理人</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7250A591">
      <w:pPr>
        <w:keepNext/>
        <w:keepLines/>
        <w:spacing w:before="260" w:after="260" w:line="416" w:lineRule="auto"/>
        <w:outlineLvl w:val="9"/>
        <w:rPr>
          <w:rFonts w:ascii="宋体" w:hAnsi="宋体"/>
          <w:b/>
          <w:bCs/>
          <w:color w:val="auto"/>
          <w:sz w:val="32"/>
          <w:szCs w:val="32"/>
          <w:highlight w:val="none"/>
        </w:rPr>
      </w:pPr>
      <w:bookmarkStart w:id="565" w:name="_Toc411345195"/>
      <w:bookmarkStart w:id="566" w:name="_Toc472931621"/>
      <w:bookmarkStart w:id="567" w:name="_Toc373478361"/>
      <w:bookmarkStart w:id="568" w:name="_Toc454211126"/>
      <w:bookmarkStart w:id="569" w:name="_Toc530144482"/>
      <w:bookmarkStart w:id="570" w:name="_Toc531186617"/>
      <w:bookmarkStart w:id="571" w:name="_Toc461179256"/>
      <w:bookmarkStart w:id="572" w:name="_Toc529526988"/>
      <w:bookmarkStart w:id="573" w:name="_Toc432343902"/>
      <w:bookmarkStart w:id="574" w:name="_Toc529547340"/>
      <w:bookmarkStart w:id="575" w:name="_Toc389065280"/>
      <w:bookmarkStart w:id="576" w:name="_Toc373227714"/>
      <w:bookmarkStart w:id="577" w:name="_Toc470247815"/>
      <w:r>
        <w:rPr>
          <w:rFonts w:ascii="宋体" w:hAnsi="宋体"/>
          <w:b/>
          <w:bCs/>
          <w:color w:val="auto"/>
          <w:sz w:val="32"/>
          <w:szCs w:val="32"/>
          <w:highlight w:val="none"/>
        </w:rPr>
        <w:t>4.1</w:t>
      </w:r>
      <w:r>
        <w:rPr>
          <w:rFonts w:hint="eastAsia" w:ascii="宋体" w:hAnsi="宋体"/>
          <w:b/>
          <w:bCs/>
          <w:color w:val="auto"/>
          <w:sz w:val="32"/>
          <w:szCs w:val="32"/>
          <w:highlight w:val="none"/>
        </w:rPr>
        <w:t xml:space="preserve"> </w:t>
      </w:r>
      <w:r>
        <w:rPr>
          <w:rFonts w:ascii="宋体" w:hAnsi="宋体"/>
          <w:b/>
          <w:bCs/>
          <w:color w:val="auto"/>
          <w:sz w:val="32"/>
          <w:szCs w:val="32"/>
          <w:highlight w:val="none"/>
        </w:rPr>
        <w:t>监理人的一般规定</w:t>
      </w:r>
      <w:bookmarkEnd w:id="565"/>
      <w:bookmarkEnd w:id="566"/>
      <w:bookmarkEnd w:id="567"/>
      <w:bookmarkEnd w:id="568"/>
      <w:bookmarkEnd w:id="569"/>
      <w:bookmarkEnd w:id="570"/>
      <w:bookmarkEnd w:id="571"/>
      <w:bookmarkEnd w:id="572"/>
      <w:bookmarkEnd w:id="573"/>
      <w:bookmarkEnd w:id="574"/>
      <w:bookmarkEnd w:id="575"/>
      <w:bookmarkEnd w:id="576"/>
      <w:bookmarkEnd w:id="577"/>
    </w:p>
    <w:p w14:paraId="7A9B4786">
      <w:pPr>
        <w:spacing w:line="300" w:lineRule="exact"/>
        <w:ind w:firstLine="420" w:firstLineChars="200"/>
        <w:jc w:val="left"/>
        <w:outlineLvl w:val="9"/>
        <w:rPr>
          <w:rFonts w:ascii="Calibri" w:hAnsi="Calibri"/>
          <w:color w:val="auto"/>
          <w:szCs w:val="21"/>
          <w:highlight w:val="none"/>
        </w:rPr>
      </w:pPr>
      <w:r>
        <w:rPr>
          <w:rFonts w:ascii="宋体" w:hAnsi="宋体"/>
          <w:color w:val="auto"/>
          <w:szCs w:val="21"/>
          <w:highlight w:val="none"/>
        </w:rPr>
        <w:t>关于监理人的监理内容：</w:t>
      </w:r>
      <w:r>
        <w:rPr>
          <w:rFonts w:ascii="宋体" w:hAnsi="宋体"/>
          <w:color w:val="auto"/>
          <w:szCs w:val="21"/>
          <w:highlight w:val="none"/>
          <w:u w:val="single"/>
        </w:rPr>
        <w:t xml:space="preserve"> </w:t>
      </w:r>
      <w:r>
        <w:rPr>
          <w:rFonts w:hint="eastAsia" w:ascii="Calibri" w:hAnsi="Calibri"/>
          <w:color w:val="auto"/>
          <w:szCs w:val="21"/>
          <w:highlight w:val="none"/>
          <w:u w:val="single"/>
        </w:rPr>
        <w:t>按本工程的监理合同中的有关条款</w:t>
      </w:r>
      <w:r>
        <w:rPr>
          <w:rFonts w:ascii="Calibri" w:hAnsi="宋体"/>
          <w:color w:val="auto"/>
          <w:szCs w:val="21"/>
          <w:highlight w:val="none"/>
        </w:rPr>
        <w:t>。</w:t>
      </w:r>
    </w:p>
    <w:p w14:paraId="5FD89695">
      <w:pPr>
        <w:spacing w:line="360" w:lineRule="auto"/>
        <w:ind w:firstLine="420" w:firstLineChars="200"/>
        <w:jc w:val="left"/>
        <w:outlineLvl w:val="9"/>
        <w:rPr>
          <w:rFonts w:ascii="宋体" w:hAnsi="宋体"/>
          <w:color w:val="auto"/>
          <w:szCs w:val="21"/>
          <w:highlight w:val="none"/>
        </w:rPr>
      </w:pPr>
      <w:r>
        <w:rPr>
          <w:rFonts w:ascii="Calibri" w:hAnsi="宋体"/>
          <w:color w:val="auto"/>
          <w:szCs w:val="21"/>
          <w:highlight w:val="none"/>
        </w:rPr>
        <w:t>关于监理人的监理权限：</w:t>
      </w:r>
      <w:r>
        <w:rPr>
          <w:rFonts w:hint="eastAsia" w:ascii="Calibri" w:hAnsi="Calibri"/>
          <w:color w:val="auto"/>
          <w:szCs w:val="21"/>
          <w:highlight w:val="none"/>
          <w:u w:val="single"/>
        </w:rPr>
        <w:t>按本工程的监理合同中的有关条款</w:t>
      </w:r>
      <w:r>
        <w:rPr>
          <w:rFonts w:hint="eastAsia" w:ascii="宋体" w:hAnsi="宋体"/>
          <w:bCs/>
          <w:color w:val="auto"/>
          <w:szCs w:val="21"/>
          <w:highlight w:val="none"/>
          <w:u w:val="single"/>
        </w:rPr>
        <w:t>。</w:t>
      </w:r>
    </w:p>
    <w:p w14:paraId="3CF942AA">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承包人免费提供。</w:t>
      </w:r>
    </w:p>
    <w:p w14:paraId="1E180013">
      <w:pPr>
        <w:keepNext/>
        <w:keepLines/>
        <w:spacing w:before="260" w:after="260" w:line="416" w:lineRule="auto"/>
        <w:outlineLvl w:val="9"/>
        <w:rPr>
          <w:rFonts w:ascii="宋体" w:hAnsi="宋体"/>
          <w:b/>
          <w:bCs/>
          <w:color w:val="auto"/>
          <w:sz w:val="32"/>
          <w:szCs w:val="21"/>
          <w:highlight w:val="none"/>
        </w:rPr>
      </w:pPr>
      <w:bookmarkStart w:id="578" w:name="_Toc529547341"/>
      <w:bookmarkStart w:id="579" w:name="_Toc472931622"/>
      <w:bookmarkStart w:id="580" w:name="_Toc373227715"/>
      <w:bookmarkStart w:id="581" w:name="_Toc373478362"/>
      <w:bookmarkStart w:id="582" w:name="_Toc529526989"/>
      <w:bookmarkStart w:id="583" w:name="_Toc470247816"/>
      <w:bookmarkStart w:id="584" w:name="_Toc530144483"/>
      <w:bookmarkStart w:id="585" w:name="_Toc531186618"/>
      <w:bookmarkStart w:id="586" w:name="_Toc454211127"/>
      <w:bookmarkStart w:id="587" w:name="_Toc461179257"/>
      <w:bookmarkStart w:id="588" w:name="_Toc411345196"/>
      <w:bookmarkStart w:id="589" w:name="_Toc432343903"/>
      <w:bookmarkStart w:id="590" w:name="_Toc389065281"/>
      <w:r>
        <w:rPr>
          <w:rFonts w:ascii="宋体" w:hAnsi="宋体"/>
          <w:b/>
          <w:bCs/>
          <w:color w:val="auto"/>
          <w:sz w:val="32"/>
          <w:szCs w:val="21"/>
          <w:highlight w:val="none"/>
        </w:rPr>
        <w:t>4.2 监理人员</w:t>
      </w:r>
      <w:bookmarkEnd w:id="578"/>
      <w:bookmarkEnd w:id="579"/>
      <w:bookmarkEnd w:id="580"/>
      <w:bookmarkEnd w:id="581"/>
      <w:bookmarkEnd w:id="582"/>
      <w:bookmarkEnd w:id="583"/>
      <w:bookmarkEnd w:id="584"/>
      <w:bookmarkEnd w:id="585"/>
      <w:bookmarkEnd w:id="586"/>
      <w:bookmarkEnd w:id="587"/>
      <w:bookmarkEnd w:id="588"/>
      <w:bookmarkEnd w:id="589"/>
      <w:bookmarkEnd w:id="590"/>
    </w:p>
    <w:p w14:paraId="0480EC96">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总监理工程师：</w:t>
      </w:r>
    </w:p>
    <w:p w14:paraId="294B4691">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w:t>
      </w:r>
      <w:r>
        <w:rPr>
          <w:rFonts w:hint="eastAsia" w:ascii="宋体" w:hAnsi="宋体"/>
          <w:color w:val="auto"/>
          <w:szCs w:val="21"/>
          <w:highlight w:val="none"/>
          <w:u w:val="single"/>
        </w:rPr>
        <w:t>待定</w:t>
      </w:r>
      <w:r>
        <w:rPr>
          <w:rFonts w:ascii="宋体" w:hAnsi="宋体"/>
          <w:color w:val="auto"/>
          <w:szCs w:val="21"/>
          <w:highlight w:val="none"/>
          <w:u w:val="single"/>
        </w:rPr>
        <w:t>   </w:t>
      </w:r>
      <w:r>
        <w:rPr>
          <w:rFonts w:ascii="宋体" w:hAnsi="宋体"/>
          <w:color w:val="auto"/>
          <w:szCs w:val="21"/>
          <w:highlight w:val="none"/>
        </w:rPr>
        <w:t>；</w:t>
      </w:r>
    </w:p>
    <w:p w14:paraId="50738175">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14:paraId="4E44F843">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监理工程师执业资格证书号：</w:t>
      </w:r>
      <w:r>
        <w:rPr>
          <w:rFonts w:ascii="宋体" w:hAnsi="宋体"/>
          <w:color w:val="auto"/>
          <w:szCs w:val="21"/>
          <w:highlight w:val="none"/>
          <w:u w:val="single"/>
        </w:rPr>
        <w:t> </w:t>
      </w:r>
      <w:r>
        <w:rPr>
          <w:rFonts w:ascii="宋体" w:hAnsi="宋体"/>
          <w:color w:val="auto"/>
          <w:szCs w:val="21"/>
          <w:highlight w:val="none"/>
        </w:rPr>
        <w:t>；</w:t>
      </w:r>
    </w:p>
    <w:p w14:paraId="522D88C8">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DDFEE8A">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ascii="宋体" w:hAnsi="宋体"/>
          <w:color w:val="auto"/>
          <w:szCs w:val="21"/>
          <w:highlight w:val="none"/>
        </w:rPr>
        <w:t>；</w:t>
      </w:r>
    </w:p>
    <w:p w14:paraId="1E55A129">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ascii="宋体" w:hAnsi="宋体"/>
          <w:color w:val="auto"/>
          <w:szCs w:val="21"/>
          <w:highlight w:val="none"/>
        </w:rPr>
        <w:t>；</w:t>
      </w:r>
    </w:p>
    <w:p w14:paraId="417B5A76">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14:paraId="07D9B2A3">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关于监理人的其他约定：</w:t>
      </w:r>
      <w:r>
        <w:rPr>
          <w:rFonts w:ascii="宋体" w:hAnsi="宋体"/>
          <w:color w:val="auto"/>
          <w:szCs w:val="21"/>
          <w:highlight w:val="none"/>
          <w:u w:val="single"/>
        </w:rPr>
        <w:t>   </w:t>
      </w:r>
      <w:r>
        <w:rPr>
          <w:rFonts w:ascii="宋体" w:hAnsi="宋体"/>
          <w:color w:val="auto"/>
          <w:szCs w:val="21"/>
          <w:highlight w:val="none"/>
        </w:rPr>
        <w:t>。</w:t>
      </w:r>
    </w:p>
    <w:p w14:paraId="1F7926D1">
      <w:pPr>
        <w:keepNext/>
        <w:keepLines/>
        <w:spacing w:before="260" w:after="260" w:line="416" w:lineRule="auto"/>
        <w:outlineLvl w:val="9"/>
        <w:rPr>
          <w:rFonts w:ascii="宋体" w:hAnsi="宋体"/>
          <w:b/>
          <w:bCs/>
          <w:color w:val="auto"/>
          <w:sz w:val="32"/>
          <w:szCs w:val="32"/>
          <w:highlight w:val="none"/>
        </w:rPr>
      </w:pPr>
      <w:bookmarkStart w:id="591" w:name="_Toc411345197"/>
      <w:bookmarkStart w:id="592" w:name="_Toc472931623"/>
      <w:bookmarkStart w:id="593" w:name="_Toc461179258"/>
      <w:bookmarkStart w:id="594" w:name="_Toc389065282"/>
      <w:bookmarkStart w:id="595" w:name="_Toc373227716"/>
      <w:bookmarkStart w:id="596" w:name="_Toc470247817"/>
      <w:bookmarkStart w:id="597" w:name="_Toc530144484"/>
      <w:bookmarkStart w:id="598" w:name="_Toc432343904"/>
      <w:bookmarkStart w:id="599" w:name="_Toc531186619"/>
      <w:bookmarkStart w:id="600" w:name="_Toc529526990"/>
      <w:bookmarkStart w:id="601" w:name="_Toc454211128"/>
      <w:bookmarkStart w:id="602" w:name="_Toc529547342"/>
      <w:bookmarkStart w:id="603" w:name="_Toc373478363"/>
      <w:r>
        <w:rPr>
          <w:rFonts w:ascii="宋体" w:hAnsi="宋体"/>
          <w:b/>
          <w:bCs/>
          <w:color w:val="auto"/>
          <w:sz w:val="32"/>
          <w:szCs w:val="32"/>
          <w:highlight w:val="none"/>
        </w:rPr>
        <w:t>4.4 商定或确定</w:t>
      </w:r>
      <w:bookmarkEnd w:id="591"/>
      <w:bookmarkEnd w:id="592"/>
      <w:bookmarkEnd w:id="593"/>
      <w:bookmarkEnd w:id="594"/>
      <w:bookmarkEnd w:id="595"/>
      <w:bookmarkEnd w:id="596"/>
      <w:bookmarkEnd w:id="597"/>
      <w:bookmarkEnd w:id="598"/>
      <w:bookmarkEnd w:id="599"/>
      <w:bookmarkEnd w:id="600"/>
      <w:bookmarkEnd w:id="601"/>
      <w:bookmarkEnd w:id="602"/>
      <w:bookmarkEnd w:id="603"/>
    </w:p>
    <w:p w14:paraId="45C33B8B">
      <w:pPr>
        <w:spacing w:line="360" w:lineRule="auto"/>
        <w:ind w:firstLine="420" w:firstLineChars="200"/>
        <w:outlineLvl w:val="9"/>
        <w:rPr>
          <w:rFonts w:ascii="宋体" w:hAnsi="宋体"/>
          <w:color w:val="auto"/>
          <w:szCs w:val="21"/>
          <w:highlight w:val="none"/>
        </w:rPr>
      </w:pPr>
      <w:bookmarkStart w:id="604" w:name="_Toc267251418"/>
      <w:r>
        <w:rPr>
          <w:rFonts w:ascii="宋体" w:hAnsi="宋体"/>
          <w:color w:val="auto"/>
          <w:szCs w:val="21"/>
          <w:highlight w:val="none"/>
        </w:rPr>
        <w:t>在发包人和承包人不能通过协商达成一致意见时，发包人授权监理人对以下事项进行确定：</w:t>
      </w:r>
    </w:p>
    <w:p w14:paraId="7ED82AFE">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6F75A171">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（2）</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5454388B">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6B145767">
      <w:pPr>
        <w:keepNext/>
        <w:keepLines/>
        <w:spacing w:before="260" w:after="260" w:line="416" w:lineRule="auto"/>
        <w:outlineLvl w:val="9"/>
        <w:rPr>
          <w:rFonts w:ascii="宋体" w:hAnsi="宋体"/>
          <w:b/>
          <w:bCs/>
          <w:color w:val="auto"/>
          <w:sz w:val="32"/>
          <w:szCs w:val="32"/>
          <w:highlight w:val="none"/>
        </w:rPr>
      </w:pPr>
      <w:bookmarkStart w:id="605" w:name="_Toc389065283"/>
      <w:bookmarkStart w:id="606" w:name="_Toc531186620"/>
      <w:bookmarkStart w:id="607" w:name="_Toc530144485"/>
      <w:bookmarkStart w:id="608" w:name="_Toc472931624"/>
      <w:bookmarkStart w:id="609" w:name="_Toc529526991"/>
      <w:bookmarkStart w:id="610" w:name="_Toc411345198"/>
      <w:bookmarkStart w:id="611" w:name="_Toc454211129"/>
      <w:bookmarkStart w:id="612" w:name="_Toc373478364"/>
      <w:bookmarkStart w:id="613" w:name="_Toc432343905"/>
      <w:bookmarkStart w:id="614" w:name="_Toc529547343"/>
      <w:bookmarkStart w:id="615" w:name="_Toc373227717"/>
      <w:bookmarkStart w:id="616" w:name="_Toc351203637"/>
      <w:bookmarkStart w:id="617" w:name="_Toc461179259"/>
      <w:bookmarkStart w:id="618" w:name="_Toc470247818"/>
      <w:r>
        <w:rPr>
          <w:rFonts w:ascii="宋体" w:hAnsi="宋体"/>
          <w:b/>
          <w:bCs/>
          <w:color w:val="auto"/>
          <w:sz w:val="32"/>
          <w:szCs w:val="32"/>
          <w:highlight w:val="none"/>
        </w:rPr>
        <w:t>5</w:t>
      </w:r>
      <w:bookmarkEnd w:id="604"/>
      <w:bookmarkStart w:id="619" w:name="_Toc296347162"/>
      <w:bookmarkStart w:id="620" w:name="_Toc296890991"/>
      <w:bookmarkStart w:id="621" w:name="_Toc292559872"/>
      <w:bookmarkStart w:id="622" w:name="_Toc292559367"/>
      <w:bookmarkStart w:id="623" w:name="_Toc296346664"/>
      <w:bookmarkStart w:id="624" w:name="_Toc296944502"/>
      <w:bookmarkStart w:id="625" w:name="_Toc297048349"/>
      <w:bookmarkStart w:id="626" w:name="_Toc297120463"/>
      <w:bookmarkStart w:id="627" w:name="_Toc296891203"/>
      <w:bookmarkStart w:id="628" w:name="_Toc296503163"/>
      <w:r>
        <w:rPr>
          <w:rFonts w:ascii="宋体" w:hAnsi="宋体"/>
          <w:b/>
          <w:bCs/>
          <w:color w:val="auto"/>
          <w:sz w:val="32"/>
          <w:szCs w:val="32"/>
          <w:highlight w:val="none"/>
        </w:rPr>
        <w:t>. 工程质量</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276990C1">
      <w:pPr>
        <w:keepNext/>
        <w:keepLines/>
        <w:spacing w:before="260" w:after="260" w:line="416" w:lineRule="auto"/>
        <w:outlineLvl w:val="9"/>
        <w:rPr>
          <w:rFonts w:ascii="宋体" w:hAnsi="宋体"/>
          <w:b/>
          <w:bCs/>
          <w:color w:val="auto"/>
          <w:sz w:val="32"/>
          <w:szCs w:val="32"/>
          <w:highlight w:val="none"/>
        </w:rPr>
      </w:pPr>
      <w:bookmarkStart w:id="629" w:name="_Toc530144486"/>
      <w:bookmarkStart w:id="630" w:name="_Toc472931625"/>
      <w:bookmarkStart w:id="631" w:name="_Toc411345199"/>
      <w:bookmarkStart w:id="632" w:name="_Toc373227718"/>
      <w:bookmarkStart w:id="633" w:name="_Toc529526992"/>
      <w:bookmarkStart w:id="634" w:name="_Toc470247819"/>
      <w:bookmarkStart w:id="635" w:name="_Toc389065284"/>
      <w:bookmarkStart w:id="636" w:name="_Toc531186621"/>
      <w:bookmarkStart w:id="637" w:name="_Toc529547344"/>
      <w:bookmarkStart w:id="638" w:name="_Toc432343906"/>
      <w:bookmarkStart w:id="639" w:name="_Toc461179260"/>
      <w:bookmarkStart w:id="640" w:name="_Toc454211130"/>
      <w:bookmarkStart w:id="641" w:name="_Toc373478365"/>
      <w:r>
        <w:rPr>
          <w:rFonts w:ascii="宋体" w:hAnsi="宋体"/>
          <w:b/>
          <w:bCs/>
          <w:color w:val="auto"/>
          <w:sz w:val="32"/>
          <w:szCs w:val="32"/>
          <w:highlight w:val="none"/>
        </w:rPr>
        <w:t>5.1 质量要求</w:t>
      </w:r>
      <w:bookmarkEnd w:id="629"/>
      <w:bookmarkEnd w:id="630"/>
      <w:bookmarkEnd w:id="631"/>
      <w:bookmarkEnd w:id="632"/>
      <w:bookmarkEnd w:id="633"/>
      <w:bookmarkEnd w:id="634"/>
      <w:bookmarkEnd w:id="635"/>
      <w:bookmarkEnd w:id="636"/>
      <w:bookmarkEnd w:id="637"/>
      <w:bookmarkEnd w:id="638"/>
      <w:bookmarkEnd w:id="639"/>
      <w:bookmarkEnd w:id="640"/>
      <w:bookmarkEnd w:id="641"/>
    </w:p>
    <w:p w14:paraId="3C677E4E">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5</w:t>
      </w:r>
      <w:bookmarkStart w:id="642" w:name="_Toc312677997"/>
      <w:bookmarkStart w:id="643" w:name="_Toc303539106"/>
      <w:bookmarkStart w:id="644" w:name="_Toc318581164"/>
      <w:bookmarkStart w:id="645" w:name="_Toc304295527"/>
      <w:bookmarkStart w:id="646" w:name="_Toc300934949"/>
      <w:bookmarkStart w:id="647" w:name="_Toc297123496"/>
      <w:bookmarkStart w:id="648" w:name="_Toc297216155"/>
      <w:r>
        <w:rPr>
          <w:rFonts w:ascii="宋体" w:hAnsi="宋体"/>
          <w:color w:val="auto"/>
          <w:szCs w:val="21"/>
          <w:highlight w:val="none"/>
        </w:rPr>
        <w:t>.1.1 特殊质量标准和要求：</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ascii="宋体" w:hAnsi="宋体"/>
          <w:color w:val="auto"/>
          <w:szCs w:val="21"/>
          <w:highlight w:val="none"/>
        </w:rPr>
        <w:t>。</w:t>
      </w:r>
    </w:p>
    <w:p w14:paraId="6B7656E6">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关于工程奖项的约定：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679FD7F">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5.3 隐蔽工程检查</w:t>
      </w:r>
    </w:p>
    <w:p w14:paraId="3FEF921C">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5.3.2承包人提前通知监理人隐蔽工程检查的期限的约定：</w:t>
      </w:r>
      <w:r>
        <w:rPr>
          <w:rFonts w:ascii="宋体" w:hAnsi="宋体"/>
          <w:bCs/>
          <w:color w:val="auto"/>
          <w:szCs w:val="21"/>
          <w:highlight w:val="non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3E20899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监理人不能按时进行检查时，应提前</w:t>
      </w:r>
      <w:r>
        <w:rPr>
          <w:rFonts w:ascii="宋体" w:hAnsi="宋体"/>
          <w:color w:val="auto"/>
          <w:szCs w:val="21"/>
          <w:highlight w:val="none"/>
          <w:u w:val="single"/>
        </w:rPr>
        <w:t xml:space="preserve"> </w:t>
      </w:r>
      <w:r>
        <w:rPr>
          <w:rFonts w:hint="eastAsia" w:ascii="宋体" w:hAnsi="宋体"/>
          <w:b/>
          <w:bCs/>
          <w:color w:val="auto"/>
          <w:szCs w:val="21"/>
          <w:highlight w:val="none"/>
          <w:u w:val="single"/>
        </w:rPr>
        <w:t>6</w:t>
      </w:r>
      <w:r>
        <w:rPr>
          <w:rFonts w:ascii="宋体" w:hAnsi="宋体"/>
          <w:color w:val="auto"/>
          <w:szCs w:val="21"/>
          <w:highlight w:val="none"/>
          <w:u w:val="single"/>
        </w:rPr>
        <w:t xml:space="preserve"> </w:t>
      </w:r>
      <w:r>
        <w:rPr>
          <w:rFonts w:ascii="宋体" w:hAnsi="宋体"/>
          <w:color w:val="auto"/>
          <w:szCs w:val="21"/>
          <w:highlight w:val="none"/>
        </w:rPr>
        <w:t>小时提交书面延期要求。</w:t>
      </w:r>
    </w:p>
    <w:p w14:paraId="5F58B81D">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关于延期最长不得超过：</w:t>
      </w:r>
      <w:r>
        <w:rPr>
          <w:rFonts w:ascii="宋体" w:hAnsi="宋体"/>
          <w:color w:val="auto"/>
          <w:szCs w:val="21"/>
          <w:highlight w:val="none"/>
          <w:u w:val="single"/>
        </w:rPr>
        <w:t xml:space="preserve"> </w:t>
      </w:r>
      <w:r>
        <w:rPr>
          <w:rFonts w:hint="eastAsia" w:ascii="宋体" w:hAnsi="宋体"/>
          <w:b/>
          <w:bCs/>
          <w:color w:val="auto"/>
          <w:szCs w:val="21"/>
          <w:highlight w:val="none"/>
          <w:u w:val="single"/>
        </w:rPr>
        <w:t>12</w:t>
      </w:r>
      <w:r>
        <w:rPr>
          <w:rFonts w:ascii="宋体" w:hAnsi="宋体"/>
          <w:color w:val="auto"/>
          <w:szCs w:val="21"/>
          <w:highlight w:val="none"/>
          <w:u w:val="single"/>
        </w:rPr>
        <w:t xml:space="preserve"> </w:t>
      </w:r>
      <w:r>
        <w:rPr>
          <w:rFonts w:ascii="宋体" w:hAnsi="宋体"/>
          <w:color w:val="auto"/>
          <w:szCs w:val="21"/>
          <w:highlight w:val="none"/>
        </w:rPr>
        <w:t>小时。</w:t>
      </w:r>
    </w:p>
    <w:p w14:paraId="7429FDE9">
      <w:pPr>
        <w:keepNext/>
        <w:keepLines/>
        <w:spacing w:before="260" w:after="260" w:line="416" w:lineRule="auto"/>
        <w:outlineLvl w:val="9"/>
        <w:rPr>
          <w:rFonts w:ascii="宋体" w:hAnsi="宋体"/>
          <w:b/>
          <w:bCs/>
          <w:color w:val="auto"/>
          <w:sz w:val="32"/>
          <w:szCs w:val="32"/>
          <w:highlight w:val="none"/>
        </w:rPr>
      </w:pPr>
      <w:bookmarkStart w:id="649" w:name="_Toc531186622"/>
      <w:bookmarkStart w:id="650" w:name="_Toc529547345"/>
      <w:bookmarkStart w:id="651" w:name="_Toc461179261"/>
      <w:bookmarkStart w:id="652" w:name="_Toc389065285"/>
      <w:bookmarkStart w:id="653" w:name="_Toc529526993"/>
      <w:bookmarkStart w:id="654" w:name="_Toc432343907"/>
      <w:bookmarkStart w:id="655" w:name="_Toc351203638"/>
      <w:bookmarkStart w:id="656" w:name="_Toc373227719"/>
      <w:bookmarkStart w:id="657" w:name="_Toc373478366"/>
      <w:bookmarkStart w:id="658" w:name="_Toc470247820"/>
      <w:bookmarkStart w:id="659" w:name="_Toc530144487"/>
      <w:bookmarkStart w:id="660" w:name="_Toc472931626"/>
      <w:bookmarkStart w:id="661" w:name="_Toc411345200"/>
      <w:bookmarkStart w:id="662" w:name="_Toc454211131"/>
      <w:r>
        <w:rPr>
          <w:rFonts w:ascii="宋体" w:hAnsi="宋体"/>
          <w:b/>
          <w:bCs/>
          <w:color w:val="auto"/>
          <w:sz w:val="32"/>
          <w:szCs w:val="32"/>
          <w:highlight w:val="none"/>
        </w:rPr>
        <w:t>6. 安全文明施工与环境保护</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17AE7D78">
      <w:pPr>
        <w:keepNext/>
        <w:keepLines/>
        <w:spacing w:before="260" w:after="260" w:line="416" w:lineRule="auto"/>
        <w:outlineLvl w:val="9"/>
        <w:rPr>
          <w:rFonts w:ascii="宋体" w:hAnsi="宋体"/>
          <w:b/>
          <w:bCs/>
          <w:color w:val="auto"/>
          <w:sz w:val="32"/>
          <w:szCs w:val="32"/>
          <w:highlight w:val="none"/>
        </w:rPr>
      </w:pPr>
      <w:bookmarkStart w:id="663" w:name="_Toc373227720"/>
      <w:bookmarkStart w:id="664" w:name="_Toc472931627"/>
      <w:bookmarkStart w:id="665" w:name="_Toc432343908"/>
      <w:bookmarkStart w:id="666" w:name="_Toc454211132"/>
      <w:bookmarkStart w:id="667" w:name="_Toc461179262"/>
      <w:bookmarkStart w:id="668" w:name="_Toc389065286"/>
      <w:bookmarkStart w:id="669" w:name="_Toc529547346"/>
      <w:bookmarkStart w:id="670" w:name="_Toc470247821"/>
      <w:bookmarkStart w:id="671" w:name="_Toc373478367"/>
      <w:bookmarkStart w:id="672" w:name="_Toc530144488"/>
      <w:bookmarkStart w:id="673" w:name="_Toc411345201"/>
      <w:bookmarkStart w:id="674" w:name="_Toc531186623"/>
      <w:bookmarkStart w:id="675" w:name="_Toc529526994"/>
      <w:r>
        <w:rPr>
          <w:rFonts w:ascii="宋体" w:hAnsi="宋体"/>
          <w:b/>
          <w:bCs/>
          <w:color w:val="auto"/>
          <w:sz w:val="32"/>
          <w:szCs w:val="32"/>
          <w:highlight w:val="none"/>
        </w:rPr>
        <w:t>6.1</w:t>
      </w:r>
      <w:r>
        <w:rPr>
          <w:rFonts w:hint="eastAsia" w:ascii="宋体" w:hAnsi="宋体"/>
          <w:b/>
          <w:bCs/>
          <w:color w:val="auto"/>
          <w:sz w:val="32"/>
          <w:szCs w:val="32"/>
          <w:highlight w:val="none"/>
        </w:rPr>
        <w:t xml:space="preserve"> </w:t>
      </w:r>
      <w:r>
        <w:rPr>
          <w:rFonts w:ascii="宋体" w:hAnsi="宋体"/>
          <w:b/>
          <w:bCs/>
          <w:color w:val="auto"/>
          <w:sz w:val="32"/>
          <w:szCs w:val="32"/>
          <w:highlight w:val="none"/>
        </w:rPr>
        <w:t>安全文明施工</w:t>
      </w:r>
      <w:bookmarkEnd w:id="663"/>
      <w:bookmarkEnd w:id="664"/>
      <w:bookmarkEnd w:id="665"/>
      <w:bookmarkEnd w:id="666"/>
      <w:bookmarkEnd w:id="667"/>
      <w:bookmarkEnd w:id="668"/>
      <w:bookmarkEnd w:id="669"/>
      <w:bookmarkEnd w:id="670"/>
      <w:bookmarkEnd w:id="671"/>
      <w:bookmarkEnd w:id="672"/>
      <w:bookmarkEnd w:id="673"/>
      <w:bookmarkEnd w:id="674"/>
      <w:bookmarkEnd w:id="675"/>
    </w:p>
    <w:p w14:paraId="775631D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6.1.1 项目安全生产的达标目标及相应事项的约定：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要求达到《建设施工安全检查标准》（JGJ59-2011）的标准和符合《广西壮族自治区建设工程安全防护、文明施工措施费及使用管理细则》（桂建质安【2015】16号文）的要求</w:t>
      </w:r>
      <w:r>
        <w:rPr>
          <w:rFonts w:ascii="宋体" w:hAnsi="宋体"/>
          <w:color w:val="auto"/>
          <w:szCs w:val="21"/>
          <w:highlight w:val="none"/>
          <w:u w:val="single"/>
        </w:rPr>
        <w:t xml:space="preserve"> </w:t>
      </w:r>
      <w:r>
        <w:rPr>
          <w:rFonts w:ascii="宋体" w:hAnsi="宋体"/>
          <w:color w:val="auto"/>
          <w:szCs w:val="21"/>
          <w:highlight w:val="none"/>
        </w:rPr>
        <w:t>。</w:t>
      </w:r>
    </w:p>
    <w:p w14:paraId="3F56660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w:t>
      </w:r>
      <w:r>
        <w:rPr>
          <w:rFonts w:hint="eastAsia" w:ascii="宋体" w:hAnsi="宋体"/>
          <w:color w:val="auto"/>
          <w:szCs w:val="21"/>
          <w:highlight w:val="none"/>
        </w:rPr>
        <w:t>安全文明施工</w:t>
      </w:r>
      <w:r>
        <w:rPr>
          <w:rFonts w:ascii="宋体" w:hAnsi="宋体"/>
          <w:color w:val="auto"/>
          <w:szCs w:val="21"/>
          <w:highlight w:val="none"/>
        </w:rPr>
        <w:t>奖项的约定：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64DB49CF">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6.1.4 关于治安保卫的特别约定：</w:t>
      </w:r>
      <w:r>
        <w:rPr>
          <w:rFonts w:ascii="宋体" w:hAnsi="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03BA0E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关于编制施工场地治安管理计划的约定：</w:t>
      </w:r>
      <w:r>
        <w:rPr>
          <w:rFonts w:ascii="宋体" w:hAnsi="宋体"/>
          <w:color w:val="auto"/>
          <w:szCs w:val="21"/>
          <w:highlight w:val="none"/>
          <w:u w:val="single"/>
        </w:rPr>
        <w:t xml:space="preserve">  </w:t>
      </w:r>
      <w:r>
        <w:rPr>
          <w:rFonts w:hint="eastAsia" w:ascii="宋体" w:hAnsi="宋体"/>
          <w:color w:val="auto"/>
          <w:szCs w:val="21"/>
          <w:highlight w:val="none"/>
          <w:u w:val="single"/>
        </w:rPr>
        <w:t>开工前</w:t>
      </w:r>
      <w:r>
        <w:rPr>
          <w:rFonts w:hint="eastAsia" w:ascii="宋体" w:hAnsi="宋体"/>
          <w:b/>
          <w:bCs/>
          <w:color w:val="auto"/>
          <w:szCs w:val="21"/>
          <w:highlight w:val="none"/>
          <w:u w:val="single"/>
        </w:rPr>
        <w:t>3</w:t>
      </w:r>
      <w:r>
        <w:rPr>
          <w:rFonts w:hint="eastAsia" w:ascii="宋体" w:hAnsi="宋体"/>
          <w:color w:val="auto"/>
          <w:szCs w:val="21"/>
          <w:highlight w:val="none"/>
          <w:u w:val="single"/>
        </w:rPr>
        <w:t>天提供</w:t>
      </w:r>
      <w:r>
        <w:rPr>
          <w:rFonts w:ascii="宋体" w:hAnsi="宋体"/>
          <w:color w:val="auto"/>
          <w:szCs w:val="21"/>
          <w:highlight w:val="none"/>
          <w:u w:val="single"/>
        </w:rPr>
        <w:t xml:space="preserve">  </w:t>
      </w:r>
      <w:r>
        <w:rPr>
          <w:rFonts w:ascii="宋体" w:hAnsi="宋体"/>
          <w:color w:val="auto"/>
          <w:szCs w:val="21"/>
          <w:highlight w:val="none"/>
        </w:rPr>
        <w:t>。</w:t>
      </w:r>
    </w:p>
    <w:p w14:paraId="054069FC">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6.1.5 文明施工</w:t>
      </w:r>
    </w:p>
    <w:p w14:paraId="77142F27">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合同当事人对文明施工的要求：</w:t>
      </w:r>
      <w:r>
        <w:rPr>
          <w:rFonts w:hint="eastAsia" w:ascii="Calibri" w:hAnsi="Calibri"/>
          <w:color w:val="auto"/>
          <w:szCs w:val="21"/>
          <w:highlight w:val="none"/>
          <w:u w:val="single"/>
        </w:rPr>
        <w:t>要求达到《建筑施工现场环境与卫生标准》（JGJ146-2004）的标准和符合《广西壮族自治区建筑工程安全文明施工措施费及使用管理细则》（桂建质安【2015】16号文）的要求</w:t>
      </w:r>
      <w:r>
        <w:rPr>
          <w:rFonts w:ascii="宋体" w:hAnsi="宋体"/>
          <w:color w:val="auto"/>
          <w:szCs w:val="21"/>
          <w:highlight w:val="none"/>
        </w:rPr>
        <w:t>。</w:t>
      </w:r>
    </w:p>
    <w:p w14:paraId="508F8D63">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6.1.6 关于安全文明施工费支付比例和支付期限的约定：</w:t>
      </w:r>
    </w:p>
    <w:p w14:paraId="30403458">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本合同价款已包含安全文明施工费</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元。</w:t>
      </w:r>
    </w:p>
    <w:p w14:paraId="64702EC6">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使用要求：专款专用。具体按《广西壮族自治区</w:t>
      </w:r>
      <w:r>
        <w:rPr>
          <w:rFonts w:hint="eastAsia" w:ascii="宋体" w:hAnsi="宋体"/>
          <w:color w:val="auto"/>
          <w:szCs w:val="21"/>
          <w:highlight w:val="none"/>
        </w:rPr>
        <w:t>建设</w:t>
      </w:r>
      <w:r>
        <w:rPr>
          <w:rFonts w:ascii="宋体" w:hAnsi="宋体"/>
          <w:color w:val="auto"/>
          <w:kern w:val="0"/>
          <w:szCs w:val="21"/>
          <w:highlight w:val="none"/>
        </w:rPr>
        <w:t>工程安全防护、文明施工措施费及管理细则》</w:t>
      </w:r>
      <w:r>
        <w:rPr>
          <w:rFonts w:hint="eastAsia" w:ascii="宋体" w:hAnsi="宋体"/>
          <w:color w:val="auto"/>
          <w:kern w:val="0"/>
          <w:szCs w:val="21"/>
          <w:highlight w:val="none"/>
        </w:rPr>
        <w:t>（</w:t>
      </w:r>
      <w:r>
        <w:rPr>
          <w:rFonts w:ascii="宋体" w:hAnsi="宋体"/>
          <w:color w:val="auto"/>
          <w:kern w:val="0"/>
          <w:szCs w:val="21"/>
          <w:highlight w:val="none"/>
        </w:rPr>
        <w:t>桂建质</w:t>
      </w:r>
      <w:r>
        <w:rPr>
          <w:rFonts w:hint="eastAsia" w:ascii="宋体" w:hAnsi="宋体"/>
          <w:color w:val="auto"/>
          <w:szCs w:val="21"/>
          <w:highlight w:val="none"/>
        </w:rPr>
        <w:t>【2015】16号</w:t>
      </w:r>
      <w:r>
        <w:rPr>
          <w:rFonts w:hint="eastAsia" w:ascii="宋体" w:hAnsi="宋体"/>
          <w:color w:val="auto"/>
          <w:szCs w:val="21"/>
          <w:highlight w:val="none"/>
          <w:u w:val="single"/>
        </w:rPr>
        <w:t>文</w:t>
      </w:r>
      <w:r>
        <w:rPr>
          <w:rFonts w:ascii="宋体" w:hAnsi="宋体"/>
          <w:color w:val="auto"/>
          <w:kern w:val="0"/>
          <w:szCs w:val="21"/>
          <w:highlight w:val="none"/>
        </w:rPr>
        <w:t>和</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防城港   </w:t>
      </w:r>
      <w:r>
        <w:rPr>
          <w:rFonts w:ascii="宋体" w:hAnsi="宋体"/>
          <w:color w:val="auto"/>
          <w:kern w:val="0"/>
          <w:szCs w:val="21"/>
          <w:highlight w:val="none"/>
          <w:u w:val="single"/>
        </w:rPr>
        <w:t xml:space="preserve"> </w:t>
      </w:r>
      <w:r>
        <w:rPr>
          <w:rFonts w:ascii="宋体" w:hAnsi="宋体"/>
          <w:color w:val="auto"/>
          <w:kern w:val="0"/>
          <w:szCs w:val="21"/>
          <w:highlight w:val="none"/>
        </w:rPr>
        <w:t>市相关规定执行</w:t>
      </w:r>
      <w:r>
        <w:rPr>
          <w:rFonts w:hint="eastAsia" w:ascii="宋体" w:hAnsi="宋体"/>
          <w:color w:val="auto"/>
          <w:kern w:val="0"/>
          <w:szCs w:val="21"/>
          <w:highlight w:val="none"/>
        </w:rPr>
        <w:t>。</w:t>
      </w:r>
    </w:p>
    <w:p w14:paraId="46255FEA">
      <w:pPr>
        <w:autoSpaceDE w:val="0"/>
        <w:autoSpaceDN w:val="0"/>
        <w:adjustRightInd w:val="0"/>
        <w:spacing w:line="360" w:lineRule="auto"/>
        <w:jc w:val="left"/>
        <w:outlineLvl w:val="9"/>
        <w:rPr>
          <w:rFonts w:ascii="Calibri" w:hAnsi="Calibri"/>
          <w:color w:val="auto"/>
          <w:kern w:val="0"/>
          <w:szCs w:val="22"/>
          <w:highlight w:val="none"/>
          <w:u w:val="single"/>
        </w:rPr>
      </w:pPr>
      <w:r>
        <w:rPr>
          <w:rFonts w:hint="eastAsia" w:ascii="Calibri" w:hAnsi="Calibri"/>
          <w:color w:val="auto"/>
          <w:kern w:val="0"/>
          <w:szCs w:val="22"/>
          <w:highlight w:val="none"/>
        </w:rPr>
        <w:t>（3）支付约定：</w:t>
      </w:r>
      <w:r>
        <w:rPr>
          <w:rFonts w:hint="eastAsia" w:ascii="Calibri" w:hAnsi="Calibri"/>
          <w:color w:val="auto"/>
          <w:kern w:val="0"/>
          <w:szCs w:val="22"/>
          <w:highlight w:val="none"/>
          <w:u w:val="single"/>
        </w:rPr>
        <w:t>在本合同签订后 7 个工作日内，预付安全文明施工费总额的  30%，其余部分与进度款同期支付。</w:t>
      </w:r>
    </w:p>
    <w:p w14:paraId="083A6281">
      <w:pPr>
        <w:keepNext/>
        <w:keepLines/>
        <w:spacing w:before="260" w:after="260" w:line="416" w:lineRule="auto"/>
        <w:outlineLvl w:val="9"/>
        <w:rPr>
          <w:rFonts w:ascii="宋体" w:hAnsi="宋体"/>
          <w:b/>
          <w:bCs/>
          <w:color w:val="auto"/>
          <w:sz w:val="32"/>
          <w:szCs w:val="32"/>
          <w:highlight w:val="none"/>
        </w:rPr>
      </w:pPr>
      <w:bookmarkStart w:id="676" w:name="_Toc470247822"/>
      <w:bookmarkStart w:id="677" w:name="_Toc432343909"/>
      <w:bookmarkStart w:id="678" w:name="_Toc373227721"/>
      <w:bookmarkStart w:id="679" w:name="_Toc531186624"/>
      <w:bookmarkStart w:id="680" w:name="_Toc529526995"/>
      <w:bookmarkStart w:id="681" w:name="_Toc389065287"/>
      <w:bookmarkStart w:id="682" w:name="_Toc461179263"/>
      <w:bookmarkStart w:id="683" w:name="_Toc530144489"/>
      <w:bookmarkStart w:id="684" w:name="_Toc411345202"/>
      <w:bookmarkStart w:id="685" w:name="_Toc454211133"/>
      <w:bookmarkStart w:id="686" w:name="_Toc529547347"/>
      <w:bookmarkStart w:id="687" w:name="_Toc373478368"/>
      <w:bookmarkStart w:id="688" w:name="_Toc472931628"/>
      <w:r>
        <w:rPr>
          <w:rFonts w:ascii="宋体" w:hAnsi="宋体"/>
          <w:b/>
          <w:bCs/>
          <w:color w:val="auto"/>
          <w:sz w:val="32"/>
          <w:szCs w:val="32"/>
          <w:highlight w:val="none"/>
        </w:rPr>
        <w:t>6.3</w:t>
      </w:r>
      <w:r>
        <w:rPr>
          <w:rFonts w:hint="eastAsia" w:ascii="宋体" w:hAnsi="宋体"/>
          <w:b/>
          <w:bCs/>
          <w:color w:val="auto"/>
          <w:sz w:val="32"/>
          <w:szCs w:val="32"/>
          <w:highlight w:val="none"/>
        </w:rPr>
        <w:t xml:space="preserve"> </w:t>
      </w:r>
      <w:r>
        <w:rPr>
          <w:rFonts w:ascii="宋体" w:hAnsi="宋体"/>
          <w:b/>
          <w:bCs/>
          <w:color w:val="auto"/>
          <w:sz w:val="32"/>
          <w:szCs w:val="32"/>
          <w:highlight w:val="none"/>
        </w:rPr>
        <w:t>环境保护</w:t>
      </w:r>
      <w:bookmarkEnd w:id="676"/>
      <w:bookmarkEnd w:id="677"/>
      <w:bookmarkEnd w:id="678"/>
      <w:bookmarkEnd w:id="679"/>
      <w:bookmarkEnd w:id="680"/>
      <w:bookmarkEnd w:id="681"/>
      <w:bookmarkEnd w:id="682"/>
      <w:bookmarkEnd w:id="683"/>
      <w:bookmarkEnd w:id="684"/>
      <w:bookmarkEnd w:id="685"/>
      <w:bookmarkEnd w:id="686"/>
      <w:bookmarkEnd w:id="687"/>
      <w:bookmarkEnd w:id="688"/>
    </w:p>
    <w:p w14:paraId="708DB857">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u w:val="single"/>
        </w:rPr>
        <w:t>因施工需要，经发包人批准，由承包人办理有关施工场地交通、环卫和施工噪音管理等手续，费用由承包人负责。</w:t>
      </w:r>
    </w:p>
    <w:p w14:paraId="7468D431">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u w:val="single"/>
        </w:rPr>
        <w:t>经过城市道路的施工车辆，必须按交警、城管、运输等部门相关规定执行。由于施工车辆造成的道路、环境等污染，其责任和费用均由承包人承担。</w:t>
      </w:r>
    </w:p>
    <w:bookmarkEnd w:id="642"/>
    <w:bookmarkEnd w:id="643"/>
    <w:bookmarkEnd w:id="644"/>
    <w:bookmarkEnd w:id="645"/>
    <w:bookmarkEnd w:id="646"/>
    <w:bookmarkEnd w:id="647"/>
    <w:bookmarkEnd w:id="648"/>
    <w:p w14:paraId="606F3228">
      <w:pPr>
        <w:keepNext/>
        <w:keepLines/>
        <w:spacing w:before="260" w:after="260" w:line="416" w:lineRule="auto"/>
        <w:outlineLvl w:val="9"/>
        <w:rPr>
          <w:rFonts w:ascii="宋体" w:hAnsi="宋体"/>
          <w:b/>
          <w:bCs/>
          <w:color w:val="auto"/>
          <w:sz w:val="32"/>
          <w:szCs w:val="32"/>
          <w:highlight w:val="none"/>
        </w:rPr>
      </w:pPr>
      <w:bookmarkStart w:id="689" w:name="_Toc454211134"/>
      <w:bookmarkStart w:id="690" w:name="_Toc389065288"/>
      <w:bookmarkStart w:id="691" w:name="_Toc461179264"/>
      <w:bookmarkStart w:id="692" w:name="_Toc373227722"/>
      <w:bookmarkStart w:id="693" w:name="_Toc351203639"/>
      <w:bookmarkStart w:id="694" w:name="_Toc529526996"/>
      <w:bookmarkStart w:id="695" w:name="_Toc432343910"/>
      <w:bookmarkStart w:id="696" w:name="_Toc530144490"/>
      <w:bookmarkStart w:id="697" w:name="_Toc411345203"/>
      <w:bookmarkStart w:id="698" w:name="_Toc472931629"/>
      <w:bookmarkStart w:id="699" w:name="_Toc529547348"/>
      <w:bookmarkStart w:id="700" w:name="_Toc470247823"/>
      <w:bookmarkStart w:id="701" w:name="_Toc531186625"/>
      <w:bookmarkStart w:id="702" w:name="_Toc373478369"/>
      <w:r>
        <w:rPr>
          <w:rFonts w:ascii="宋体" w:hAnsi="宋体"/>
          <w:b/>
          <w:bCs/>
          <w:color w:val="auto"/>
          <w:sz w:val="32"/>
          <w:szCs w:val="32"/>
          <w:highlight w:val="none"/>
        </w:rPr>
        <w:t>7. 工期和进度</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3EADC3">
      <w:pPr>
        <w:keepNext/>
        <w:keepLines/>
        <w:spacing w:before="260" w:after="260" w:line="416" w:lineRule="auto"/>
        <w:outlineLvl w:val="9"/>
        <w:rPr>
          <w:rFonts w:ascii="宋体" w:hAnsi="宋体"/>
          <w:b/>
          <w:bCs/>
          <w:color w:val="auto"/>
          <w:sz w:val="32"/>
          <w:szCs w:val="32"/>
          <w:highlight w:val="none"/>
        </w:rPr>
      </w:pPr>
      <w:bookmarkStart w:id="703" w:name="_Toc531186626"/>
      <w:bookmarkStart w:id="704" w:name="_Toc373227723"/>
      <w:bookmarkStart w:id="705" w:name="_Toc529526997"/>
      <w:bookmarkStart w:id="706" w:name="_Toc530144491"/>
      <w:bookmarkStart w:id="707" w:name="_Toc373478370"/>
      <w:bookmarkStart w:id="708" w:name="_Toc454211135"/>
      <w:bookmarkStart w:id="709" w:name="_Toc461179265"/>
      <w:bookmarkStart w:id="710" w:name="_Toc529547349"/>
      <w:bookmarkStart w:id="711" w:name="_Toc411345204"/>
      <w:bookmarkStart w:id="712" w:name="_Toc472931630"/>
      <w:bookmarkStart w:id="713" w:name="_Toc470247824"/>
      <w:bookmarkStart w:id="714" w:name="_Toc389065289"/>
      <w:bookmarkStart w:id="715" w:name="_Toc432343911"/>
      <w:r>
        <w:rPr>
          <w:rFonts w:ascii="宋体" w:hAnsi="宋体"/>
          <w:b/>
          <w:bCs/>
          <w:color w:val="auto"/>
          <w:sz w:val="32"/>
          <w:szCs w:val="32"/>
          <w:highlight w:val="none"/>
        </w:rPr>
        <w:t>7.1 施工组织设计</w:t>
      </w:r>
      <w:bookmarkEnd w:id="703"/>
      <w:bookmarkEnd w:id="704"/>
      <w:bookmarkEnd w:id="705"/>
      <w:bookmarkEnd w:id="706"/>
      <w:bookmarkEnd w:id="707"/>
      <w:bookmarkEnd w:id="708"/>
      <w:bookmarkEnd w:id="709"/>
      <w:bookmarkEnd w:id="710"/>
      <w:bookmarkEnd w:id="711"/>
      <w:bookmarkEnd w:id="712"/>
      <w:bookmarkEnd w:id="713"/>
      <w:bookmarkEnd w:id="714"/>
      <w:bookmarkEnd w:id="715"/>
    </w:p>
    <w:p w14:paraId="7CD69DB9">
      <w:pPr>
        <w:autoSpaceDE w:val="0"/>
        <w:autoSpaceDN w:val="0"/>
        <w:adjustRightInd w:val="0"/>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7.1.1 合</w:t>
      </w:r>
      <w:r>
        <w:rPr>
          <w:rFonts w:ascii="宋体" w:hAnsi="宋体"/>
          <w:color w:val="auto"/>
          <w:kern w:val="0"/>
          <w:szCs w:val="21"/>
          <w:highlight w:val="none"/>
        </w:rPr>
        <w:t>同当事人约定的施工组织设计应包括的其他内容：</w:t>
      </w:r>
      <w:r>
        <w:rPr>
          <w:rFonts w:ascii="宋体" w:hAnsi="宋体"/>
          <w:b/>
          <w:bCs/>
          <w:color w:val="auto"/>
          <w:szCs w:val="21"/>
          <w:highlight w:val="none"/>
          <w:u w:val="single"/>
        </w:rPr>
        <w:t xml:space="preserve">  </w:t>
      </w:r>
      <w:r>
        <w:rPr>
          <w:rFonts w:hint="eastAsia" w:ascii="宋体" w:hAnsi="宋体"/>
          <w:color w:val="auto"/>
          <w:szCs w:val="22"/>
          <w:highlight w:val="none"/>
          <w:u w:val="single"/>
        </w:rPr>
        <w:t>按招标文件约定，招标文件无约定的按通用合同条款或双方另行约定</w:t>
      </w:r>
      <w:r>
        <w:rPr>
          <w:rFonts w:ascii="宋体" w:hAnsi="宋体"/>
          <w:color w:val="auto"/>
          <w:szCs w:val="21"/>
          <w:highlight w:val="none"/>
          <w:u w:val="single"/>
        </w:rPr>
        <w:t>。</w:t>
      </w:r>
      <w:r>
        <w:rPr>
          <w:rFonts w:hint="eastAsia" w:ascii="宋体" w:hAnsi="宋体"/>
          <w:color w:val="auto"/>
          <w:szCs w:val="21"/>
          <w:highlight w:val="none"/>
          <w:u w:val="single"/>
        </w:rPr>
        <w:t>如实际施工时发现承包人提供的施工组织设计方案存在缺陷，发包人可要求其对方案进行完善、修改，承包人必须无条件执行，直到发包人、监理人批准通过，报价人不能以施工组织设计方案调整为由要求调整合同单价子目单价或总价子目合价，也不能以此为由提出任何变更或索赔。发包人、监理人认为有必要，承包人除完善施工组织设计以外，还需编制临时工程或永久性工程的专项方案。但发包人及监理人的任何同意并不减轻或免除承包人的任何责任。</w:t>
      </w:r>
    </w:p>
    <w:p w14:paraId="4FDA1940">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szCs w:val="21"/>
          <w:highlight w:val="none"/>
        </w:rPr>
        <w:t xml:space="preserve">7.1.2 </w:t>
      </w:r>
      <w:r>
        <w:rPr>
          <w:rFonts w:ascii="宋体" w:hAnsi="宋体"/>
          <w:color w:val="auto"/>
          <w:kern w:val="0"/>
          <w:szCs w:val="21"/>
          <w:highlight w:val="none"/>
        </w:rPr>
        <w:t>施工组织设计的提交和修改</w:t>
      </w:r>
    </w:p>
    <w:p w14:paraId="1E79DB97">
      <w:pPr>
        <w:autoSpaceDE w:val="0"/>
        <w:autoSpaceDN w:val="0"/>
        <w:adjustRightInd w:val="0"/>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承包人提交详细施工组织设计的期限的约定：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按通用合同条款条执行</w:t>
      </w:r>
      <w:r>
        <w:rPr>
          <w:rFonts w:ascii="宋体" w:hAnsi="宋体"/>
          <w:color w:val="auto"/>
          <w:szCs w:val="21"/>
          <w:highlight w:val="none"/>
          <w:u w:val="single"/>
        </w:rPr>
        <w:t xml:space="preserve"> </w:t>
      </w:r>
      <w:r>
        <w:rPr>
          <w:rFonts w:ascii="宋体" w:hAnsi="宋体"/>
          <w:color w:val="auto"/>
          <w:szCs w:val="21"/>
          <w:highlight w:val="none"/>
        </w:rPr>
        <w:t>。</w:t>
      </w:r>
    </w:p>
    <w:p w14:paraId="3C07392C">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发包人和监理人在收到详细的施工组织设计后确认或提出修改意见的期限：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按通用合同条款条执行</w:t>
      </w:r>
      <w:r>
        <w:rPr>
          <w:rFonts w:ascii="宋体" w:hAnsi="宋体"/>
          <w:color w:val="auto"/>
          <w:szCs w:val="21"/>
          <w:highlight w:val="none"/>
          <w:u w:val="single"/>
        </w:rPr>
        <w:t xml:space="preserve"> </w:t>
      </w:r>
      <w:r>
        <w:rPr>
          <w:rFonts w:ascii="宋体" w:hAnsi="宋体"/>
          <w:color w:val="auto"/>
          <w:szCs w:val="21"/>
          <w:highlight w:val="none"/>
        </w:rPr>
        <w:t>。</w:t>
      </w:r>
    </w:p>
    <w:p w14:paraId="55663D2E">
      <w:pPr>
        <w:keepNext/>
        <w:keepLines/>
        <w:spacing w:before="260" w:after="260" w:line="416" w:lineRule="auto"/>
        <w:outlineLvl w:val="9"/>
        <w:rPr>
          <w:rFonts w:ascii="宋体" w:hAnsi="宋体"/>
          <w:b/>
          <w:bCs/>
          <w:color w:val="auto"/>
          <w:sz w:val="32"/>
          <w:szCs w:val="32"/>
          <w:highlight w:val="none"/>
        </w:rPr>
      </w:pPr>
      <w:bookmarkStart w:id="716" w:name="_Toc472931631"/>
      <w:bookmarkStart w:id="717" w:name="_Toc432343912"/>
      <w:bookmarkStart w:id="718" w:name="_Toc470247825"/>
      <w:bookmarkStart w:id="719" w:name="_Toc531186627"/>
      <w:bookmarkStart w:id="720" w:name="_Toc411345205"/>
      <w:bookmarkStart w:id="721" w:name="_Toc454211136"/>
      <w:bookmarkStart w:id="722" w:name="_Toc529547350"/>
      <w:bookmarkStart w:id="723" w:name="_Toc373227724"/>
      <w:bookmarkStart w:id="724" w:name="_Toc389065290"/>
      <w:bookmarkStart w:id="725" w:name="_Toc373478371"/>
      <w:bookmarkStart w:id="726" w:name="_Toc530144492"/>
      <w:bookmarkStart w:id="727" w:name="_Toc529526998"/>
      <w:bookmarkStart w:id="728" w:name="_Toc461179266"/>
      <w:r>
        <w:rPr>
          <w:rFonts w:ascii="宋体" w:hAnsi="宋体"/>
          <w:b/>
          <w:bCs/>
          <w:color w:val="auto"/>
          <w:sz w:val="32"/>
          <w:szCs w:val="32"/>
          <w:highlight w:val="none"/>
        </w:rPr>
        <w:t>7</w:t>
      </w:r>
      <w:bookmarkStart w:id="729" w:name="_Toc312678005"/>
      <w:bookmarkStart w:id="730" w:name="_Toc297216173"/>
      <w:bookmarkStart w:id="731" w:name="_Toc303539123"/>
      <w:bookmarkStart w:id="732" w:name="_Toc300934966"/>
      <w:bookmarkStart w:id="733" w:name="_Toc312677479"/>
      <w:bookmarkStart w:id="734" w:name="_Toc304295541"/>
      <w:bookmarkStart w:id="735" w:name="_Toc297123514"/>
      <w:r>
        <w:rPr>
          <w:rFonts w:ascii="宋体" w:hAnsi="宋体"/>
          <w:b/>
          <w:bCs/>
          <w:color w:val="auto"/>
          <w:sz w:val="32"/>
          <w:szCs w:val="32"/>
          <w:highlight w:val="none"/>
        </w:rPr>
        <w:t>.2 施工进度计划</w:t>
      </w:r>
      <w:bookmarkEnd w:id="716"/>
      <w:bookmarkEnd w:id="717"/>
      <w:bookmarkEnd w:id="718"/>
      <w:bookmarkEnd w:id="719"/>
      <w:bookmarkEnd w:id="720"/>
      <w:bookmarkEnd w:id="721"/>
      <w:bookmarkEnd w:id="722"/>
      <w:bookmarkEnd w:id="723"/>
      <w:bookmarkEnd w:id="724"/>
      <w:bookmarkEnd w:id="725"/>
      <w:bookmarkEnd w:id="726"/>
      <w:bookmarkEnd w:id="727"/>
      <w:bookmarkEnd w:id="728"/>
    </w:p>
    <w:p w14:paraId="72DDF0A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7.2.2 施工进度计划的修订</w:t>
      </w:r>
    </w:p>
    <w:p w14:paraId="0CC2062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发包人和监理人在收到修订的施工进度计划后确认或提出修改意见的期限：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按通用合同条款条执行</w:t>
      </w:r>
      <w:r>
        <w:rPr>
          <w:rFonts w:ascii="宋体" w:hAnsi="宋体"/>
          <w:color w:val="auto"/>
          <w:szCs w:val="21"/>
          <w:highlight w:val="none"/>
          <w:u w:val="single"/>
        </w:rPr>
        <w:t xml:space="preserve"> </w:t>
      </w:r>
      <w:r>
        <w:rPr>
          <w:rFonts w:ascii="宋体" w:hAnsi="宋体"/>
          <w:color w:val="auto"/>
          <w:szCs w:val="21"/>
          <w:highlight w:val="none"/>
        </w:rPr>
        <w:t>。</w:t>
      </w:r>
    </w:p>
    <w:p w14:paraId="02416BC0">
      <w:pPr>
        <w:keepNext/>
        <w:keepLines/>
        <w:spacing w:before="260" w:after="260" w:line="416" w:lineRule="auto"/>
        <w:outlineLvl w:val="9"/>
        <w:rPr>
          <w:rFonts w:ascii="宋体" w:hAnsi="宋体"/>
          <w:b/>
          <w:bCs/>
          <w:color w:val="auto"/>
          <w:sz w:val="32"/>
          <w:szCs w:val="32"/>
          <w:highlight w:val="none"/>
        </w:rPr>
      </w:pPr>
      <w:bookmarkStart w:id="736" w:name="_Toc529526999"/>
      <w:bookmarkStart w:id="737" w:name="_Toc389065291"/>
      <w:bookmarkStart w:id="738" w:name="_Toc472931632"/>
      <w:bookmarkStart w:id="739" w:name="_Toc373478372"/>
      <w:bookmarkStart w:id="740" w:name="_Toc461179267"/>
      <w:bookmarkStart w:id="741" w:name="_Toc531186628"/>
      <w:bookmarkStart w:id="742" w:name="_Toc432343913"/>
      <w:bookmarkStart w:id="743" w:name="_Toc411345206"/>
      <w:bookmarkStart w:id="744" w:name="_Toc530144493"/>
      <w:bookmarkStart w:id="745" w:name="_Toc454211137"/>
      <w:bookmarkStart w:id="746" w:name="_Toc529547351"/>
      <w:bookmarkStart w:id="747" w:name="_Toc470247826"/>
      <w:bookmarkStart w:id="748" w:name="_Toc373227725"/>
      <w:r>
        <w:rPr>
          <w:rFonts w:ascii="宋体" w:hAnsi="宋体"/>
          <w:b/>
          <w:bCs/>
          <w:color w:val="auto"/>
          <w:sz w:val="32"/>
          <w:szCs w:val="32"/>
          <w:highlight w:val="none"/>
        </w:rPr>
        <w:t>7.3 开工</w:t>
      </w:r>
      <w:bookmarkEnd w:id="736"/>
      <w:bookmarkEnd w:id="737"/>
      <w:bookmarkEnd w:id="738"/>
      <w:bookmarkEnd w:id="739"/>
      <w:bookmarkEnd w:id="740"/>
      <w:bookmarkEnd w:id="741"/>
      <w:bookmarkEnd w:id="742"/>
      <w:bookmarkEnd w:id="743"/>
      <w:bookmarkEnd w:id="744"/>
      <w:bookmarkEnd w:id="745"/>
      <w:bookmarkEnd w:id="746"/>
      <w:bookmarkEnd w:id="747"/>
      <w:bookmarkEnd w:id="748"/>
    </w:p>
    <w:p w14:paraId="6092E1FA">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7.3.1 开工准备</w:t>
      </w:r>
    </w:p>
    <w:p w14:paraId="15B220A6">
      <w:pPr>
        <w:spacing w:line="360" w:lineRule="auto"/>
        <w:ind w:firstLine="426"/>
        <w:jc w:val="left"/>
        <w:outlineLvl w:val="9"/>
        <w:rPr>
          <w:rFonts w:ascii="宋体" w:hAnsi="宋体"/>
          <w:color w:val="auto"/>
          <w:szCs w:val="21"/>
          <w:highlight w:val="none"/>
          <w:u w:val="single"/>
        </w:rPr>
      </w:pPr>
      <w:r>
        <w:rPr>
          <w:rFonts w:ascii="宋体" w:hAnsi="宋体"/>
          <w:color w:val="auto"/>
          <w:szCs w:val="21"/>
          <w:highlight w:val="none"/>
        </w:rPr>
        <w:t>关于承包人提交</w:t>
      </w:r>
      <w:r>
        <w:rPr>
          <w:rFonts w:ascii="宋体" w:hAnsi="宋体"/>
          <w:color w:val="auto"/>
          <w:kern w:val="0"/>
          <w:szCs w:val="21"/>
          <w:highlight w:val="none"/>
        </w:rPr>
        <w:t>工程开工报审表的期限：</w:t>
      </w:r>
      <w:r>
        <w:rPr>
          <w:rFonts w:ascii="宋体" w:hAnsi="宋体"/>
          <w:color w:val="auto"/>
          <w:szCs w:val="21"/>
          <w:highlight w:val="none"/>
          <w:u w:val="single"/>
        </w:rPr>
        <w:t xml:space="preserve"> </w:t>
      </w:r>
      <w:r>
        <w:rPr>
          <w:rFonts w:ascii="宋体" w:hAnsi="宋体"/>
          <w:bCs/>
          <w:color w:val="auto"/>
          <w:szCs w:val="21"/>
          <w:highlight w:val="none"/>
          <w:u w:val="single"/>
        </w:rPr>
        <w:t>开工</w:t>
      </w:r>
      <w:r>
        <w:rPr>
          <w:rFonts w:hint="eastAsia" w:ascii="宋体" w:hAnsi="宋体"/>
          <w:bCs/>
          <w:color w:val="auto"/>
          <w:szCs w:val="21"/>
          <w:highlight w:val="none"/>
          <w:u w:val="single"/>
        </w:rPr>
        <w:t>前7天</w:t>
      </w:r>
      <w:r>
        <w:rPr>
          <w:rFonts w:ascii="宋体" w:hAnsi="宋体"/>
          <w:color w:val="auto"/>
          <w:szCs w:val="21"/>
          <w:highlight w:val="none"/>
          <w:u w:val="single"/>
        </w:rPr>
        <w:t xml:space="preserve"> </w:t>
      </w:r>
      <w:r>
        <w:rPr>
          <w:rFonts w:ascii="宋体" w:hAnsi="宋体"/>
          <w:color w:val="auto"/>
          <w:szCs w:val="21"/>
          <w:highlight w:val="none"/>
        </w:rPr>
        <w:t>。</w:t>
      </w:r>
    </w:p>
    <w:p w14:paraId="47CFB286">
      <w:pPr>
        <w:spacing w:line="360" w:lineRule="auto"/>
        <w:ind w:firstLine="426"/>
        <w:jc w:val="left"/>
        <w:outlineLvl w:val="9"/>
        <w:rPr>
          <w:rFonts w:ascii="宋体" w:hAnsi="宋体"/>
          <w:color w:val="auto"/>
          <w:szCs w:val="21"/>
          <w:highlight w:val="none"/>
          <w:u w:val="single"/>
        </w:rPr>
      </w:pPr>
      <w:r>
        <w:rPr>
          <w:rFonts w:ascii="宋体" w:hAnsi="宋体"/>
          <w:color w:val="auto"/>
          <w:szCs w:val="21"/>
          <w:highlight w:val="none"/>
        </w:rPr>
        <w:t>关于发包人应完成的其他开工准备工作及期限：</w:t>
      </w:r>
      <w:r>
        <w:rPr>
          <w:rFonts w:ascii="宋体" w:hAnsi="宋体"/>
          <w:color w:val="auto"/>
          <w:szCs w:val="21"/>
          <w:highlight w:val="none"/>
          <w:u w:val="single"/>
        </w:rPr>
        <w:t xml:space="preserve">  </w:t>
      </w:r>
      <w:r>
        <w:rPr>
          <w:rFonts w:ascii="宋体" w:hAnsi="宋体"/>
          <w:bCs/>
          <w:color w:val="auto"/>
          <w:szCs w:val="21"/>
          <w:highlight w:val="none"/>
          <w:u w:val="single"/>
        </w:rPr>
        <w:t>开工</w:t>
      </w:r>
      <w:r>
        <w:rPr>
          <w:rFonts w:hint="eastAsia" w:ascii="宋体" w:hAnsi="宋体"/>
          <w:bCs/>
          <w:color w:val="auto"/>
          <w:szCs w:val="21"/>
          <w:highlight w:val="none"/>
          <w:u w:val="single"/>
        </w:rPr>
        <w:t>前7天</w:t>
      </w:r>
      <w:r>
        <w:rPr>
          <w:rFonts w:ascii="宋体" w:hAnsi="宋体"/>
          <w:color w:val="auto"/>
          <w:szCs w:val="21"/>
          <w:highlight w:val="none"/>
          <w:u w:val="single"/>
        </w:rPr>
        <w:t xml:space="preserve"> </w:t>
      </w:r>
      <w:r>
        <w:rPr>
          <w:rFonts w:ascii="宋体" w:hAnsi="宋体"/>
          <w:color w:val="auto"/>
          <w:szCs w:val="21"/>
          <w:highlight w:val="none"/>
        </w:rPr>
        <w:t>。</w:t>
      </w:r>
    </w:p>
    <w:p w14:paraId="3BA1C0C9">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关于承包人应完成的其他开工准备工作及期限：</w:t>
      </w:r>
      <w:r>
        <w:rPr>
          <w:rFonts w:ascii="宋体" w:hAnsi="宋体"/>
          <w:color w:val="auto"/>
          <w:szCs w:val="21"/>
          <w:highlight w:val="none"/>
          <w:u w:val="single"/>
        </w:rPr>
        <w:t xml:space="preserve"> </w:t>
      </w:r>
      <w:r>
        <w:rPr>
          <w:rFonts w:hint="eastAsia" w:ascii="宋体" w:hAnsi="宋体"/>
          <w:color w:val="auto"/>
          <w:szCs w:val="21"/>
          <w:highlight w:val="none"/>
          <w:u w:val="single"/>
        </w:rPr>
        <w:t>开工前3天</w:t>
      </w:r>
      <w:r>
        <w:rPr>
          <w:rFonts w:ascii="宋体" w:hAnsi="宋体"/>
          <w:color w:val="auto"/>
          <w:szCs w:val="21"/>
          <w:highlight w:val="none"/>
          <w:u w:val="single"/>
        </w:rPr>
        <w:t xml:space="preserve"> </w:t>
      </w:r>
      <w:r>
        <w:rPr>
          <w:rFonts w:ascii="宋体" w:hAnsi="宋体"/>
          <w:color w:val="auto"/>
          <w:szCs w:val="21"/>
          <w:highlight w:val="none"/>
        </w:rPr>
        <w:t>。</w:t>
      </w:r>
    </w:p>
    <w:p w14:paraId="5C45D940">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7.3.2</w:t>
      </w:r>
      <w:r>
        <w:rPr>
          <w:rFonts w:hint="eastAsia" w:ascii="宋体" w:hAnsi="宋体"/>
          <w:color w:val="auto"/>
          <w:szCs w:val="21"/>
          <w:highlight w:val="none"/>
        </w:rPr>
        <w:t xml:space="preserve"> </w:t>
      </w:r>
      <w:r>
        <w:rPr>
          <w:rFonts w:ascii="宋体" w:hAnsi="宋体"/>
          <w:color w:val="auto"/>
          <w:szCs w:val="21"/>
          <w:highlight w:val="none"/>
        </w:rPr>
        <w:t>开工通知</w:t>
      </w:r>
    </w:p>
    <w:p w14:paraId="6D83505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因发包人原因造成监理人未能在计划开工日期之日起</w:t>
      </w:r>
      <w:r>
        <w:rPr>
          <w:rFonts w:ascii="宋体" w:hAnsi="宋体"/>
          <w:color w:val="auto"/>
          <w:szCs w:val="21"/>
          <w:highlight w:val="none"/>
          <w:u w:val="single"/>
        </w:rPr>
        <w:t xml:space="preserve"> </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60</w:t>
      </w:r>
      <w:r>
        <w:rPr>
          <w:rFonts w:ascii="宋体" w:hAnsi="宋体"/>
          <w:color w:val="auto"/>
          <w:szCs w:val="21"/>
          <w:highlight w:val="none"/>
          <w:u w:val="single"/>
        </w:rPr>
        <w:t xml:space="preserve">   </w:t>
      </w:r>
      <w:r>
        <w:rPr>
          <w:rFonts w:ascii="宋体" w:hAnsi="宋体"/>
          <w:color w:val="auto"/>
          <w:szCs w:val="21"/>
          <w:highlight w:val="none"/>
        </w:rPr>
        <w:t>天内发出开工通知的，承包人有权提出价格调整要求，或者解除合同。</w:t>
      </w:r>
    </w:p>
    <w:bookmarkEnd w:id="729"/>
    <w:bookmarkEnd w:id="730"/>
    <w:bookmarkEnd w:id="731"/>
    <w:bookmarkEnd w:id="732"/>
    <w:bookmarkEnd w:id="733"/>
    <w:bookmarkEnd w:id="734"/>
    <w:bookmarkEnd w:id="735"/>
    <w:p w14:paraId="13BC6CDE">
      <w:pPr>
        <w:keepNext/>
        <w:keepLines/>
        <w:spacing w:before="260" w:after="260" w:line="416" w:lineRule="auto"/>
        <w:outlineLvl w:val="9"/>
        <w:rPr>
          <w:rFonts w:ascii="宋体" w:hAnsi="宋体"/>
          <w:b/>
          <w:bCs/>
          <w:color w:val="auto"/>
          <w:sz w:val="32"/>
          <w:szCs w:val="21"/>
          <w:highlight w:val="none"/>
        </w:rPr>
      </w:pPr>
      <w:bookmarkStart w:id="749" w:name="_Toc411345207"/>
      <w:bookmarkStart w:id="750" w:name="_Toc432343914"/>
      <w:bookmarkStart w:id="751" w:name="_Toc373478373"/>
      <w:bookmarkStart w:id="752" w:name="_Toc530144494"/>
      <w:bookmarkStart w:id="753" w:name="_Toc470247827"/>
      <w:bookmarkStart w:id="754" w:name="_Toc454211138"/>
      <w:bookmarkStart w:id="755" w:name="_Toc472931633"/>
      <w:bookmarkStart w:id="756" w:name="_Toc529547352"/>
      <w:bookmarkStart w:id="757" w:name="_Toc461179268"/>
      <w:bookmarkStart w:id="758" w:name="_Toc529527000"/>
      <w:bookmarkStart w:id="759" w:name="_Toc389065292"/>
      <w:bookmarkStart w:id="760" w:name="_Toc531186629"/>
      <w:bookmarkStart w:id="761" w:name="_Toc373227726"/>
      <w:r>
        <w:rPr>
          <w:rFonts w:ascii="宋体" w:hAnsi="宋体"/>
          <w:b/>
          <w:bCs/>
          <w:color w:val="auto"/>
          <w:sz w:val="32"/>
          <w:szCs w:val="21"/>
          <w:highlight w:val="none"/>
        </w:rPr>
        <w:t>7.4 测量放线</w:t>
      </w:r>
      <w:bookmarkEnd w:id="749"/>
      <w:bookmarkEnd w:id="750"/>
      <w:bookmarkEnd w:id="751"/>
      <w:bookmarkEnd w:id="752"/>
      <w:bookmarkEnd w:id="753"/>
      <w:bookmarkEnd w:id="754"/>
      <w:bookmarkEnd w:id="755"/>
      <w:bookmarkEnd w:id="756"/>
      <w:bookmarkEnd w:id="757"/>
      <w:bookmarkEnd w:id="758"/>
      <w:bookmarkEnd w:id="759"/>
      <w:bookmarkEnd w:id="760"/>
      <w:bookmarkEnd w:id="761"/>
    </w:p>
    <w:p w14:paraId="50CD9EB9">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7.4.1发包人通过监理人向承包人提供测量基准点、基准线和水准点及其书面资料的期限：</w:t>
      </w:r>
      <w:r>
        <w:rPr>
          <w:rFonts w:ascii="宋体" w:hAnsi="宋体"/>
          <w:color w:val="auto"/>
          <w:szCs w:val="21"/>
          <w:highlight w:val="none"/>
          <w:u w:val="single"/>
        </w:rPr>
        <w:t xml:space="preserve"> </w:t>
      </w:r>
      <w:r>
        <w:rPr>
          <w:rFonts w:hint="eastAsia" w:ascii="宋体" w:hAnsi="宋体"/>
          <w:bCs/>
          <w:color w:val="auto"/>
          <w:szCs w:val="21"/>
          <w:highlight w:val="none"/>
          <w:u w:val="single"/>
        </w:rPr>
        <w:t>按通用合同条款执行</w:t>
      </w:r>
      <w:r>
        <w:rPr>
          <w:rFonts w:hint="eastAsia" w:ascii="宋体" w:hAnsi="宋体"/>
          <w:color w:val="auto"/>
          <w:szCs w:val="21"/>
          <w:highlight w:val="none"/>
          <w:u w:val="single"/>
        </w:rPr>
        <w:t xml:space="preserve"> </w:t>
      </w:r>
      <w:r>
        <w:rPr>
          <w:rFonts w:ascii="宋体" w:hAnsi="宋体"/>
          <w:color w:val="auto"/>
          <w:szCs w:val="21"/>
          <w:highlight w:val="none"/>
        </w:rPr>
        <w:t>。</w:t>
      </w:r>
    </w:p>
    <w:p w14:paraId="58FD6453">
      <w:pPr>
        <w:keepNext/>
        <w:keepLines/>
        <w:spacing w:before="260" w:after="260" w:line="416" w:lineRule="auto"/>
        <w:outlineLvl w:val="9"/>
        <w:rPr>
          <w:rFonts w:ascii="宋体" w:hAnsi="宋体"/>
          <w:b/>
          <w:bCs/>
          <w:color w:val="auto"/>
          <w:sz w:val="32"/>
          <w:szCs w:val="21"/>
          <w:highlight w:val="none"/>
        </w:rPr>
      </w:pPr>
      <w:bookmarkStart w:id="762" w:name="_Toc529527001"/>
      <w:bookmarkStart w:id="763" w:name="_Toc389065293"/>
      <w:bookmarkStart w:id="764" w:name="_Toc432343915"/>
      <w:bookmarkStart w:id="765" w:name="_Toc373478374"/>
      <w:bookmarkStart w:id="766" w:name="_Toc461179269"/>
      <w:bookmarkStart w:id="767" w:name="_Toc530144495"/>
      <w:bookmarkStart w:id="768" w:name="_Toc472931634"/>
      <w:bookmarkStart w:id="769" w:name="_Toc373227727"/>
      <w:bookmarkStart w:id="770" w:name="_Toc531186630"/>
      <w:bookmarkStart w:id="771" w:name="_Toc529547353"/>
      <w:bookmarkStart w:id="772" w:name="_Toc454211139"/>
      <w:bookmarkStart w:id="773" w:name="_Toc470247828"/>
      <w:bookmarkStart w:id="774" w:name="_Toc411345208"/>
      <w:r>
        <w:rPr>
          <w:rFonts w:ascii="宋体" w:hAnsi="宋体"/>
          <w:b/>
          <w:bCs/>
          <w:color w:val="auto"/>
          <w:sz w:val="32"/>
          <w:szCs w:val="21"/>
          <w:highlight w:val="none"/>
        </w:rPr>
        <w:t>7</w:t>
      </w:r>
      <w:bookmarkStart w:id="775" w:name="_Toc297123516"/>
      <w:bookmarkStart w:id="776" w:name="_Toc300934968"/>
      <w:bookmarkStart w:id="777" w:name="_Toc304295546"/>
      <w:bookmarkStart w:id="778" w:name="_Toc312678010"/>
      <w:bookmarkStart w:id="779" w:name="_Toc312677484"/>
      <w:bookmarkStart w:id="780" w:name="_Toc297216175"/>
      <w:bookmarkStart w:id="781" w:name="_Toc303539125"/>
      <w:r>
        <w:rPr>
          <w:rFonts w:ascii="宋体" w:hAnsi="宋体"/>
          <w:b/>
          <w:bCs/>
          <w:color w:val="auto"/>
          <w:sz w:val="32"/>
          <w:szCs w:val="21"/>
          <w:highlight w:val="none"/>
        </w:rPr>
        <w:t>.5 工期延误</w:t>
      </w:r>
      <w:bookmarkEnd w:id="762"/>
      <w:bookmarkEnd w:id="763"/>
      <w:bookmarkEnd w:id="764"/>
      <w:bookmarkEnd w:id="765"/>
      <w:bookmarkEnd w:id="766"/>
      <w:bookmarkEnd w:id="767"/>
      <w:bookmarkEnd w:id="768"/>
      <w:bookmarkEnd w:id="769"/>
      <w:bookmarkEnd w:id="770"/>
      <w:bookmarkEnd w:id="771"/>
      <w:bookmarkEnd w:id="772"/>
      <w:bookmarkEnd w:id="773"/>
      <w:bookmarkEnd w:id="774"/>
    </w:p>
    <w:bookmarkEnd w:id="775"/>
    <w:bookmarkEnd w:id="776"/>
    <w:bookmarkEnd w:id="777"/>
    <w:bookmarkEnd w:id="778"/>
    <w:bookmarkEnd w:id="779"/>
    <w:bookmarkEnd w:id="780"/>
    <w:bookmarkEnd w:id="781"/>
    <w:p w14:paraId="0AC4AD8E">
      <w:pPr>
        <w:keepNext/>
        <w:keepLines/>
        <w:spacing w:before="260" w:after="260" w:line="416" w:lineRule="auto"/>
        <w:outlineLvl w:val="9"/>
        <w:rPr>
          <w:b/>
          <w:bCs/>
          <w:color w:val="auto"/>
          <w:sz w:val="32"/>
          <w:szCs w:val="32"/>
          <w:highlight w:val="none"/>
        </w:rPr>
      </w:pPr>
      <w:bookmarkStart w:id="782" w:name="_Toc530144496"/>
      <w:bookmarkStart w:id="783" w:name="_Toc529547354"/>
      <w:bookmarkStart w:id="784" w:name="_Toc529527002"/>
      <w:bookmarkStart w:id="785" w:name="_Toc470247829"/>
      <w:bookmarkStart w:id="786" w:name="_Toc465114887"/>
      <w:bookmarkStart w:id="787" w:name="_Toc531186631"/>
      <w:bookmarkStart w:id="788" w:name="_Toc472931635"/>
      <w:r>
        <w:rPr>
          <w:b/>
          <w:bCs/>
          <w:color w:val="auto"/>
          <w:sz w:val="32"/>
          <w:szCs w:val="32"/>
          <w:highlight w:val="none"/>
        </w:rPr>
        <w:t xml:space="preserve">7.5 </w:t>
      </w:r>
      <w:r>
        <w:rPr>
          <w:rFonts w:hAnsi="宋体"/>
          <w:b/>
          <w:bCs/>
          <w:color w:val="auto"/>
          <w:sz w:val="32"/>
          <w:szCs w:val="32"/>
          <w:highlight w:val="none"/>
        </w:rPr>
        <w:t>工期延误</w:t>
      </w:r>
      <w:bookmarkEnd w:id="782"/>
      <w:bookmarkEnd w:id="783"/>
      <w:bookmarkEnd w:id="784"/>
      <w:bookmarkEnd w:id="785"/>
      <w:bookmarkEnd w:id="786"/>
      <w:bookmarkEnd w:id="787"/>
      <w:bookmarkEnd w:id="788"/>
    </w:p>
    <w:p w14:paraId="5BE0F129">
      <w:pPr>
        <w:spacing w:line="360" w:lineRule="auto"/>
        <w:ind w:firstLine="420" w:firstLineChars="200"/>
        <w:jc w:val="left"/>
        <w:outlineLvl w:val="9"/>
        <w:rPr>
          <w:rFonts w:ascii="Calibri" w:hAnsi="Calibri"/>
          <w:color w:val="auto"/>
          <w:szCs w:val="21"/>
          <w:highlight w:val="none"/>
        </w:rPr>
      </w:pPr>
      <w:r>
        <w:rPr>
          <w:rFonts w:ascii="Calibri" w:hAnsi="Calibri"/>
          <w:color w:val="auto"/>
          <w:szCs w:val="21"/>
          <w:highlight w:val="none"/>
        </w:rPr>
        <w:t xml:space="preserve">7.5.1 </w:t>
      </w:r>
      <w:r>
        <w:rPr>
          <w:rFonts w:ascii="Calibri" w:hAnsi="宋体"/>
          <w:color w:val="auto"/>
          <w:szCs w:val="21"/>
          <w:highlight w:val="none"/>
        </w:rPr>
        <w:t>因发包人原因导致工期延误</w:t>
      </w:r>
    </w:p>
    <w:p w14:paraId="6539AFA9">
      <w:pPr>
        <w:spacing w:line="360" w:lineRule="auto"/>
        <w:ind w:firstLine="420" w:firstLineChars="200"/>
        <w:jc w:val="left"/>
        <w:outlineLvl w:val="9"/>
        <w:rPr>
          <w:rFonts w:ascii="Calibri" w:hAnsi="Calibri"/>
          <w:color w:val="auto"/>
          <w:szCs w:val="21"/>
          <w:highlight w:val="none"/>
          <w:u w:val="single"/>
        </w:rPr>
      </w:pPr>
      <w:r>
        <w:rPr>
          <w:rFonts w:ascii="Calibri" w:hAnsi="宋体"/>
          <w:color w:val="auto"/>
          <w:szCs w:val="21"/>
          <w:highlight w:val="none"/>
        </w:rPr>
        <w:t>（</w:t>
      </w:r>
      <w:r>
        <w:rPr>
          <w:rFonts w:ascii="Calibri" w:hAnsi="Calibri"/>
          <w:color w:val="auto"/>
          <w:szCs w:val="21"/>
          <w:highlight w:val="none"/>
        </w:rPr>
        <w:t>7</w:t>
      </w:r>
      <w:r>
        <w:rPr>
          <w:rFonts w:ascii="Calibri" w:hAnsi="宋体"/>
          <w:color w:val="auto"/>
          <w:szCs w:val="21"/>
          <w:highlight w:val="none"/>
        </w:rPr>
        <w:t>）因发包人原因导致工期延误的其他情形：</w:t>
      </w:r>
      <w:r>
        <w:rPr>
          <w:rFonts w:ascii="Calibri" w:hAnsi="Calibri"/>
          <w:color w:val="auto"/>
          <w:szCs w:val="21"/>
          <w:highlight w:val="none"/>
          <w:u w:val="single"/>
        </w:rPr>
        <w:t xml:space="preserve">  </w:t>
      </w:r>
      <w:r>
        <w:rPr>
          <w:rFonts w:hint="eastAsia" w:ascii="宋体" w:hAnsi="宋体"/>
          <w:color w:val="auto"/>
          <w:szCs w:val="21"/>
          <w:highlight w:val="none"/>
          <w:u w:val="single"/>
        </w:rPr>
        <w:t>①重大图纸变更影响关健线路工序施工；②施工期间如因停电、停水连续</w:t>
      </w:r>
      <w:r>
        <w:rPr>
          <w:rFonts w:ascii="宋体" w:hAnsi="宋体"/>
          <w:color w:val="auto"/>
          <w:szCs w:val="21"/>
          <w:highlight w:val="none"/>
          <w:u w:val="single"/>
        </w:rPr>
        <w:t>8</w:t>
      </w:r>
      <w:r>
        <w:rPr>
          <w:rFonts w:hint="eastAsia" w:ascii="宋体" w:hAnsi="宋体"/>
          <w:color w:val="auto"/>
          <w:szCs w:val="21"/>
          <w:highlight w:val="none"/>
          <w:u w:val="single"/>
        </w:rPr>
        <w:t>小时以上或一周内间歇性停水、停电累计</w:t>
      </w:r>
      <w:r>
        <w:rPr>
          <w:rFonts w:ascii="宋体" w:hAnsi="宋体"/>
          <w:color w:val="auto"/>
          <w:szCs w:val="21"/>
          <w:highlight w:val="none"/>
          <w:u w:val="single"/>
        </w:rPr>
        <w:t>8</w:t>
      </w:r>
      <w:r>
        <w:rPr>
          <w:rFonts w:hint="eastAsia" w:ascii="宋体" w:hAnsi="宋体"/>
          <w:color w:val="auto"/>
          <w:szCs w:val="21"/>
          <w:highlight w:val="none"/>
          <w:u w:val="single"/>
        </w:rPr>
        <w:t>小时（含</w:t>
      </w:r>
      <w:r>
        <w:rPr>
          <w:rFonts w:ascii="宋体" w:hAnsi="宋体"/>
          <w:color w:val="auto"/>
          <w:szCs w:val="21"/>
          <w:highlight w:val="none"/>
          <w:u w:val="single"/>
        </w:rPr>
        <w:t>8</w:t>
      </w:r>
      <w:r>
        <w:rPr>
          <w:rFonts w:hint="eastAsia" w:ascii="宋体" w:hAnsi="宋体"/>
          <w:color w:val="auto"/>
          <w:szCs w:val="21"/>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Calibri" w:hAnsi="宋体"/>
          <w:color w:val="auto"/>
          <w:szCs w:val="21"/>
          <w:highlight w:val="none"/>
        </w:rPr>
        <w:t xml:space="preserve">                                           </w:t>
      </w:r>
    </w:p>
    <w:p w14:paraId="3D86ED51">
      <w:pPr>
        <w:spacing w:line="360" w:lineRule="auto"/>
        <w:ind w:firstLine="420" w:firstLineChars="200"/>
        <w:jc w:val="left"/>
        <w:outlineLvl w:val="9"/>
        <w:rPr>
          <w:rFonts w:ascii="Calibri" w:hAnsi="Calibri"/>
          <w:color w:val="auto"/>
          <w:szCs w:val="21"/>
          <w:highlight w:val="none"/>
        </w:rPr>
      </w:pPr>
      <w:r>
        <w:rPr>
          <w:rFonts w:ascii="Calibri" w:hAnsi="Calibri"/>
          <w:color w:val="auto"/>
          <w:szCs w:val="21"/>
          <w:highlight w:val="none"/>
        </w:rPr>
        <w:t>7</w:t>
      </w:r>
      <w:bookmarkStart w:id="789" w:name="_Toc312677486"/>
      <w:bookmarkStart w:id="790" w:name="_Toc312678012"/>
      <w:bookmarkStart w:id="791" w:name="_Toc318581169"/>
      <w:bookmarkStart w:id="792" w:name="_Toc297216177"/>
      <w:bookmarkStart w:id="793" w:name="_Toc297123518"/>
      <w:bookmarkStart w:id="794" w:name="_Toc303539127"/>
      <w:bookmarkStart w:id="795" w:name="_Toc304295548"/>
      <w:bookmarkStart w:id="796" w:name="_Toc300934970"/>
      <w:r>
        <w:rPr>
          <w:rFonts w:ascii="Calibri" w:hAnsi="Calibri"/>
          <w:color w:val="auto"/>
          <w:szCs w:val="21"/>
          <w:highlight w:val="none"/>
        </w:rPr>
        <w:t xml:space="preserve">.5.2 </w:t>
      </w:r>
      <w:r>
        <w:rPr>
          <w:rFonts w:ascii="Calibri" w:hAnsi="宋体"/>
          <w:color w:val="auto"/>
          <w:szCs w:val="21"/>
          <w:highlight w:val="none"/>
        </w:rPr>
        <w:t>因承包人原因导致工期延误</w:t>
      </w:r>
    </w:p>
    <w:bookmarkEnd w:id="789"/>
    <w:bookmarkEnd w:id="790"/>
    <w:bookmarkEnd w:id="791"/>
    <w:p w14:paraId="177F4D41">
      <w:pPr>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双方约定经监理工程师确认，工期相应顺延的情况：</w:t>
      </w:r>
      <w:r>
        <w:rPr>
          <w:rFonts w:ascii="Calibri" w:hAnsi="Calibri"/>
          <w:color w:val="auto"/>
          <w:szCs w:val="21"/>
          <w:highlight w:val="none"/>
          <w:u w:val="single"/>
        </w:rPr>
        <w:t xml:space="preserve">          </w:t>
      </w:r>
      <w:r>
        <w:rPr>
          <w:rFonts w:hint="eastAsia" w:ascii="Calibri" w:hAnsi="Calibri"/>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rPr>
        <w:t>。</w:t>
      </w:r>
    </w:p>
    <w:p w14:paraId="60D9DA4E">
      <w:pPr>
        <w:spacing w:line="360" w:lineRule="auto"/>
        <w:ind w:firstLine="420" w:firstLineChars="200"/>
        <w:jc w:val="left"/>
        <w:outlineLvl w:val="9"/>
        <w:rPr>
          <w:rFonts w:ascii="Calibri" w:hAnsi="Calibri"/>
          <w:color w:val="auto"/>
          <w:szCs w:val="21"/>
          <w:highlight w:val="none"/>
          <w:u w:val="single"/>
        </w:rPr>
      </w:pPr>
      <w:r>
        <w:rPr>
          <w:rFonts w:ascii="Calibri" w:hAnsi="宋体"/>
          <w:color w:val="auto"/>
          <w:szCs w:val="21"/>
          <w:highlight w:val="none"/>
        </w:rPr>
        <w:t>因</w:t>
      </w:r>
      <w:bookmarkStart w:id="797" w:name="_Toc312677487"/>
      <w:bookmarkStart w:id="798" w:name="_Toc312678013"/>
      <w:bookmarkStart w:id="799" w:name="_Toc318581170"/>
      <w:r>
        <w:rPr>
          <w:rFonts w:ascii="Calibri" w:hAnsi="宋体"/>
          <w:color w:val="auto"/>
          <w:szCs w:val="21"/>
          <w:highlight w:val="none"/>
        </w:rPr>
        <w:t>承包人原因造成工期延误，逾期竣工违约金的计算方法为：</w:t>
      </w:r>
      <w:r>
        <w:rPr>
          <w:rFonts w:ascii="Calibri" w:hAnsi="宋体"/>
          <w:color w:val="auto"/>
          <w:szCs w:val="21"/>
          <w:highlight w:val="none"/>
          <w:u w:val="single"/>
        </w:rPr>
        <w:t>非上述原因，承包人不能按合同约定的时间竣工，承包人应承担违约责任。应向发包人支付误期赔偿费（赔偿费</w:t>
      </w:r>
      <w:r>
        <w:rPr>
          <w:rFonts w:hint="eastAsia" w:ascii="宋体" w:hAnsi="宋体"/>
          <w:color w:val="auto"/>
          <w:szCs w:val="21"/>
          <w:highlight w:val="none"/>
          <w:u w:val="single"/>
        </w:rPr>
        <w:t>按逾期竣工的单栋工程罚款，每延误一天,按该栋工程结算造价</w:t>
      </w:r>
      <w:r>
        <w:rPr>
          <w:rFonts w:ascii="宋体" w:hAnsi="宋体"/>
          <w:color w:val="auto"/>
          <w:szCs w:val="21"/>
          <w:highlight w:val="none"/>
          <w:u w:val="single"/>
        </w:rPr>
        <w:t>扣除建安劳保费、发包人材料</w:t>
      </w:r>
      <w:r>
        <w:rPr>
          <w:rFonts w:hint="eastAsia" w:ascii="宋体" w:hAnsi="宋体"/>
          <w:color w:val="auto"/>
          <w:szCs w:val="21"/>
          <w:highlight w:val="none"/>
          <w:u w:val="single"/>
        </w:rPr>
        <w:t>设备</w:t>
      </w:r>
      <w:r>
        <w:rPr>
          <w:rFonts w:ascii="宋体" w:hAnsi="宋体"/>
          <w:color w:val="auto"/>
          <w:szCs w:val="21"/>
          <w:highlight w:val="none"/>
          <w:u w:val="single"/>
        </w:rPr>
        <w:t>价款、暂估专业工程、暂列金额后</w:t>
      </w:r>
      <w:r>
        <w:rPr>
          <w:rFonts w:hint="eastAsia" w:ascii="宋体" w:hAnsi="宋体"/>
          <w:color w:val="auto"/>
          <w:szCs w:val="21"/>
          <w:highlight w:val="none"/>
          <w:u w:val="single"/>
        </w:rPr>
        <w:t>的万分之四处罚,罚款直接从结算款中扣除。</w:t>
      </w:r>
      <w:r>
        <w:rPr>
          <w:rFonts w:ascii="Calibri" w:hAnsi="宋体"/>
          <w:color w:val="auto"/>
          <w:szCs w:val="21"/>
          <w:highlight w:val="none"/>
          <w:u w:val="single"/>
        </w:rPr>
        <w:t>），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ascii="Calibri" w:hAnsi="Calibri"/>
          <w:color w:val="auto"/>
          <w:szCs w:val="21"/>
          <w:highlight w:val="none"/>
          <w:u w:val="single"/>
        </w:rPr>
        <w:t xml:space="preserve"> </w:t>
      </w:r>
    </w:p>
    <w:bookmarkEnd w:id="792"/>
    <w:bookmarkEnd w:id="793"/>
    <w:bookmarkEnd w:id="794"/>
    <w:bookmarkEnd w:id="795"/>
    <w:bookmarkEnd w:id="796"/>
    <w:bookmarkEnd w:id="797"/>
    <w:bookmarkEnd w:id="798"/>
    <w:bookmarkEnd w:id="799"/>
    <w:p w14:paraId="6590525C">
      <w:pPr>
        <w:spacing w:line="360" w:lineRule="auto"/>
        <w:ind w:firstLine="420" w:firstLineChars="200"/>
        <w:jc w:val="left"/>
        <w:outlineLvl w:val="9"/>
        <w:rPr>
          <w:rFonts w:ascii="Calibri" w:hAnsi="宋体"/>
          <w:color w:val="auto"/>
          <w:szCs w:val="21"/>
          <w:highlight w:val="none"/>
        </w:rPr>
      </w:pPr>
      <w:r>
        <w:rPr>
          <w:rFonts w:ascii="Calibri" w:hAnsi="宋体"/>
          <w:color w:val="auto"/>
          <w:szCs w:val="21"/>
          <w:highlight w:val="none"/>
        </w:rPr>
        <w:t>因承包人原因造成工期延误，逾期竣工违约金的上限：</w:t>
      </w:r>
      <w:r>
        <w:rPr>
          <w:rFonts w:hint="eastAsia" w:ascii="宋体" w:hAnsi="宋体"/>
          <w:color w:val="auto"/>
          <w:szCs w:val="21"/>
          <w:highlight w:val="none"/>
          <w:u w:val="single"/>
        </w:rPr>
        <w:t>逾期竣工的单位工程结算造价</w:t>
      </w:r>
      <w:r>
        <w:rPr>
          <w:rFonts w:ascii="宋体" w:hAnsi="宋体"/>
          <w:color w:val="auto"/>
          <w:szCs w:val="21"/>
          <w:highlight w:val="none"/>
          <w:u w:val="single"/>
        </w:rPr>
        <w:t>扣</w:t>
      </w:r>
      <w:r>
        <w:rPr>
          <w:rFonts w:ascii="Calibri" w:hAnsi="宋体"/>
          <w:color w:val="auto"/>
          <w:szCs w:val="21"/>
          <w:highlight w:val="none"/>
          <w:u w:val="single"/>
        </w:rPr>
        <w:t>除建安劳保费、发包人材料</w:t>
      </w:r>
      <w:r>
        <w:rPr>
          <w:rFonts w:hint="eastAsia" w:ascii="Calibri" w:hAnsi="宋体"/>
          <w:color w:val="auto"/>
          <w:szCs w:val="21"/>
          <w:highlight w:val="none"/>
          <w:u w:val="single"/>
        </w:rPr>
        <w:t>设备</w:t>
      </w:r>
      <w:r>
        <w:rPr>
          <w:rFonts w:ascii="Calibri" w:hAnsi="宋体"/>
          <w:color w:val="auto"/>
          <w:szCs w:val="21"/>
          <w:highlight w:val="none"/>
          <w:u w:val="single"/>
        </w:rPr>
        <w:t>价款、暂估专业工程、暂列金额后的</w:t>
      </w:r>
      <w:r>
        <w:rPr>
          <w:rFonts w:hint="eastAsia" w:ascii="Calibri" w:hAnsi="Calibri"/>
          <w:color w:val="auto"/>
          <w:szCs w:val="21"/>
          <w:highlight w:val="none"/>
          <w:u w:val="single"/>
        </w:rPr>
        <w:t>4</w:t>
      </w:r>
      <w:r>
        <w:rPr>
          <w:rFonts w:ascii="Calibri" w:hAnsi="Calibri"/>
          <w:color w:val="auto"/>
          <w:szCs w:val="21"/>
          <w:highlight w:val="none"/>
          <w:u w:val="single"/>
        </w:rPr>
        <w:t>%</w:t>
      </w:r>
      <w:r>
        <w:rPr>
          <w:rFonts w:ascii="Calibri" w:hAnsi="宋体"/>
          <w:color w:val="auto"/>
          <w:szCs w:val="21"/>
          <w:highlight w:val="none"/>
        </w:rPr>
        <w:t>。</w:t>
      </w:r>
    </w:p>
    <w:p w14:paraId="2FED4DB0">
      <w:pPr>
        <w:keepNext/>
        <w:keepLines/>
        <w:spacing w:before="260" w:after="260" w:line="416" w:lineRule="auto"/>
        <w:outlineLvl w:val="9"/>
        <w:rPr>
          <w:rFonts w:ascii="宋体" w:hAnsi="宋体"/>
          <w:b/>
          <w:bCs/>
          <w:color w:val="auto"/>
          <w:sz w:val="32"/>
          <w:szCs w:val="21"/>
          <w:highlight w:val="none"/>
        </w:rPr>
      </w:pPr>
      <w:bookmarkStart w:id="800" w:name="_Toc373227728"/>
      <w:bookmarkStart w:id="801" w:name="_Toc432343916"/>
      <w:bookmarkStart w:id="802" w:name="_Toc470247830"/>
      <w:bookmarkStart w:id="803" w:name="_Toc373478375"/>
      <w:bookmarkStart w:id="804" w:name="_Toc530144497"/>
      <w:bookmarkStart w:id="805" w:name="_Toc529527003"/>
      <w:bookmarkStart w:id="806" w:name="_Toc411345209"/>
      <w:bookmarkStart w:id="807" w:name="_Toc389065294"/>
      <w:bookmarkStart w:id="808" w:name="_Toc531186632"/>
      <w:bookmarkStart w:id="809" w:name="_Toc472931636"/>
      <w:bookmarkStart w:id="810" w:name="_Toc529547355"/>
      <w:bookmarkStart w:id="811" w:name="_Toc461179270"/>
      <w:bookmarkStart w:id="812" w:name="_Toc454211140"/>
      <w:r>
        <w:rPr>
          <w:rFonts w:ascii="宋体" w:hAnsi="宋体"/>
          <w:b/>
          <w:bCs/>
          <w:color w:val="auto"/>
          <w:sz w:val="32"/>
          <w:szCs w:val="21"/>
          <w:highlight w:val="none"/>
        </w:rPr>
        <w:t>7</w:t>
      </w:r>
      <w:bookmarkStart w:id="813" w:name="_Toc297123519"/>
      <w:bookmarkStart w:id="814" w:name="_Toc304295549"/>
      <w:bookmarkStart w:id="815" w:name="_Toc312678015"/>
      <w:bookmarkStart w:id="816" w:name="_Toc303539128"/>
      <w:bookmarkStart w:id="817" w:name="_Toc297216178"/>
      <w:bookmarkStart w:id="818" w:name="_Toc300934971"/>
      <w:r>
        <w:rPr>
          <w:rFonts w:ascii="宋体" w:hAnsi="宋体"/>
          <w:b/>
          <w:bCs/>
          <w:color w:val="auto"/>
          <w:sz w:val="32"/>
          <w:szCs w:val="21"/>
          <w:highlight w:val="none"/>
        </w:rPr>
        <w:t>.6 不</w:t>
      </w:r>
      <w:bookmarkEnd w:id="813"/>
      <w:bookmarkEnd w:id="814"/>
      <w:bookmarkEnd w:id="815"/>
      <w:bookmarkEnd w:id="816"/>
      <w:bookmarkEnd w:id="817"/>
      <w:bookmarkEnd w:id="818"/>
      <w:r>
        <w:rPr>
          <w:rFonts w:ascii="宋体" w:hAnsi="宋体"/>
          <w:b/>
          <w:bCs/>
          <w:color w:val="auto"/>
          <w:sz w:val="32"/>
          <w:szCs w:val="21"/>
          <w:highlight w:val="none"/>
        </w:rPr>
        <w:t>利物质条件</w:t>
      </w:r>
      <w:bookmarkEnd w:id="800"/>
      <w:bookmarkEnd w:id="801"/>
      <w:bookmarkEnd w:id="802"/>
      <w:bookmarkEnd w:id="803"/>
      <w:bookmarkEnd w:id="804"/>
      <w:bookmarkEnd w:id="805"/>
      <w:bookmarkEnd w:id="806"/>
      <w:bookmarkEnd w:id="807"/>
      <w:bookmarkEnd w:id="808"/>
      <w:bookmarkEnd w:id="809"/>
      <w:bookmarkEnd w:id="810"/>
      <w:bookmarkEnd w:id="811"/>
      <w:bookmarkEnd w:id="812"/>
    </w:p>
    <w:p w14:paraId="49EAAB93">
      <w:pPr>
        <w:spacing w:line="360" w:lineRule="auto"/>
        <w:ind w:firstLine="420" w:firstLineChars="200"/>
        <w:jc w:val="left"/>
        <w:outlineLvl w:val="9"/>
        <w:rPr>
          <w:rFonts w:ascii="宋体" w:hAnsi="宋体"/>
          <w:color w:val="auto"/>
          <w:szCs w:val="21"/>
          <w:highlight w:val="none"/>
          <w:u w:val="single"/>
        </w:rPr>
      </w:pPr>
      <w:bookmarkStart w:id="819" w:name="_Toc300934972"/>
      <w:bookmarkStart w:id="820" w:name="_Toc297123520"/>
      <w:bookmarkStart w:id="821" w:name="_Toc297216179"/>
      <w:bookmarkStart w:id="822" w:name="_Toc304295550"/>
      <w:bookmarkStart w:id="823" w:name="_Toc303539129"/>
      <w:bookmarkStart w:id="824" w:name="_Toc318581172"/>
      <w:bookmarkStart w:id="825" w:name="_Toc312678016"/>
      <w:r>
        <w:rPr>
          <w:rFonts w:ascii="宋体" w:hAnsi="宋体"/>
          <w:color w:val="auto"/>
          <w:szCs w:val="21"/>
          <w:highlight w:val="none"/>
        </w:rPr>
        <w:t>不利物质条件的其他情形和有关约定：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819"/>
    <w:bookmarkEnd w:id="820"/>
    <w:bookmarkEnd w:id="821"/>
    <w:bookmarkEnd w:id="822"/>
    <w:bookmarkEnd w:id="823"/>
    <w:bookmarkEnd w:id="824"/>
    <w:bookmarkEnd w:id="825"/>
    <w:p w14:paraId="2615D766">
      <w:pPr>
        <w:keepNext/>
        <w:keepLines/>
        <w:spacing w:before="260" w:after="260" w:line="416" w:lineRule="auto"/>
        <w:outlineLvl w:val="9"/>
        <w:rPr>
          <w:rFonts w:ascii="宋体" w:hAnsi="宋体"/>
          <w:b/>
          <w:bCs/>
          <w:color w:val="auto"/>
          <w:sz w:val="32"/>
          <w:szCs w:val="32"/>
          <w:highlight w:val="none"/>
        </w:rPr>
      </w:pPr>
      <w:bookmarkStart w:id="826" w:name="_Toc470247831"/>
      <w:bookmarkStart w:id="827" w:name="_Toc389065295"/>
      <w:bookmarkStart w:id="828" w:name="_Toc530144498"/>
      <w:bookmarkStart w:id="829" w:name="_Toc411345210"/>
      <w:bookmarkStart w:id="830" w:name="_Toc531186633"/>
      <w:bookmarkStart w:id="831" w:name="_Toc472931637"/>
      <w:bookmarkStart w:id="832" w:name="_Toc373478376"/>
      <w:bookmarkStart w:id="833" w:name="_Toc529547356"/>
      <w:bookmarkStart w:id="834" w:name="_Toc461179271"/>
      <w:bookmarkStart w:id="835" w:name="_Toc529527004"/>
      <w:bookmarkStart w:id="836" w:name="_Toc432343917"/>
      <w:bookmarkStart w:id="837" w:name="_Toc373227729"/>
      <w:bookmarkStart w:id="838" w:name="_Toc454211141"/>
      <w:r>
        <w:rPr>
          <w:rFonts w:ascii="宋体" w:hAnsi="宋体"/>
          <w:b/>
          <w:bCs/>
          <w:color w:val="auto"/>
          <w:sz w:val="32"/>
          <w:szCs w:val="32"/>
          <w:highlight w:val="none"/>
        </w:rPr>
        <w:t>7</w:t>
      </w:r>
      <w:bookmarkStart w:id="839" w:name="_Toc303539130"/>
      <w:bookmarkStart w:id="840" w:name="_Toc297123521"/>
      <w:bookmarkStart w:id="841" w:name="_Toc304295551"/>
      <w:bookmarkStart w:id="842" w:name="_Toc297216180"/>
      <w:bookmarkStart w:id="843" w:name="_Toc300934973"/>
      <w:bookmarkStart w:id="844" w:name="_Toc312678017"/>
      <w:r>
        <w:rPr>
          <w:rFonts w:ascii="宋体" w:hAnsi="宋体"/>
          <w:b/>
          <w:bCs/>
          <w:color w:val="auto"/>
          <w:sz w:val="32"/>
          <w:szCs w:val="32"/>
          <w:highlight w:val="none"/>
        </w:rPr>
        <w:t>.7</w:t>
      </w:r>
      <w:r>
        <w:rPr>
          <w:rFonts w:hint="eastAsia" w:ascii="宋体" w:hAnsi="宋体"/>
          <w:b/>
          <w:bCs/>
          <w:color w:val="auto"/>
          <w:sz w:val="32"/>
          <w:szCs w:val="32"/>
          <w:highlight w:val="none"/>
        </w:rPr>
        <w:t xml:space="preserve"> </w:t>
      </w:r>
      <w:r>
        <w:rPr>
          <w:rFonts w:ascii="宋体" w:hAnsi="宋体"/>
          <w:b/>
          <w:bCs/>
          <w:color w:val="auto"/>
          <w:sz w:val="32"/>
          <w:szCs w:val="32"/>
          <w:highlight w:val="none"/>
        </w:rPr>
        <w:t>异常恶劣的气候条件</w:t>
      </w:r>
      <w:bookmarkEnd w:id="826"/>
      <w:bookmarkEnd w:id="827"/>
      <w:bookmarkEnd w:id="828"/>
      <w:bookmarkEnd w:id="829"/>
      <w:bookmarkEnd w:id="830"/>
      <w:bookmarkEnd w:id="831"/>
      <w:bookmarkEnd w:id="832"/>
      <w:bookmarkEnd w:id="833"/>
      <w:bookmarkEnd w:id="834"/>
      <w:bookmarkEnd w:id="835"/>
      <w:bookmarkEnd w:id="836"/>
      <w:bookmarkEnd w:id="837"/>
      <w:bookmarkEnd w:id="838"/>
    </w:p>
    <w:bookmarkEnd w:id="839"/>
    <w:bookmarkEnd w:id="840"/>
    <w:bookmarkEnd w:id="841"/>
    <w:bookmarkEnd w:id="842"/>
    <w:bookmarkEnd w:id="843"/>
    <w:bookmarkEnd w:id="844"/>
    <w:p w14:paraId="1479387F">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发包人和承包人同意以下情形视为异常恶劣的气候条件：</w:t>
      </w:r>
    </w:p>
    <w:p w14:paraId="2EFDEBF3">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r>
        <w:rPr>
          <w:rFonts w:hint="eastAsia" w:ascii="宋体" w:hAnsi="宋体"/>
          <w:color w:val="auto"/>
          <w:szCs w:val="21"/>
          <w:highlight w:val="none"/>
          <w:u w:val="single"/>
        </w:rPr>
        <w:t>指本工程所在地30年以上一遇的罕见气候现象</w:t>
      </w:r>
      <w:r>
        <w:rPr>
          <w:rFonts w:ascii="宋体" w:hAnsi="宋体"/>
          <w:color w:val="auto"/>
          <w:szCs w:val="21"/>
          <w:highlight w:val="none"/>
        </w:rPr>
        <w:t>；</w:t>
      </w:r>
    </w:p>
    <w:p w14:paraId="3879F62B">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06D5A1C9">
      <w:pPr>
        <w:keepNext/>
        <w:keepLines/>
        <w:spacing w:before="260" w:after="260" w:line="416" w:lineRule="auto"/>
        <w:outlineLvl w:val="9"/>
        <w:rPr>
          <w:rFonts w:ascii="宋体" w:hAnsi="宋体"/>
          <w:b/>
          <w:bCs/>
          <w:color w:val="auto"/>
          <w:sz w:val="32"/>
          <w:szCs w:val="32"/>
          <w:highlight w:val="none"/>
        </w:rPr>
      </w:pPr>
      <w:bookmarkStart w:id="845" w:name="_Toc531186634"/>
      <w:bookmarkStart w:id="846" w:name="_Toc529527005"/>
      <w:bookmarkStart w:id="847" w:name="_Toc461179273"/>
      <w:bookmarkStart w:id="848" w:name="_Toc472931638"/>
      <w:bookmarkStart w:id="849" w:name="_Toc470247832"/>
      <w:bookmarkStart w:id="850" w:name="_Toc529547357"/>
      <w:bookmarkStart w:id="851" w:name="_Toc530144499"/>
      <w:bookmarkStart w:id="852" w:name="_Toc373478377"/>
      <w:bookmarkStart w:id="853" w:name="_Toc411345212"/>
      <w:bookmarkStart w:id="854" w:name="_Toc373227730"/>
      <w:bookmarkStart w:id="855" w:name="_Toc432343919"/>
      <w:bookmarkStart w:id="856" w:name="_Toc454211143"/>
      <w:bookmarkStart w:id="857" w:name="_Toc389065296"/>
      <w:r>
        <w:rPr>
          <w:rFonts w:ascii="宋体" w:hAnsi="宋体"/>
          <w:b/>
          <w:bCs/>
          <w:color w:val="auto"/>
          <w:sz w:val="32"/>
          <w:szCs w:val="32"/>
          <w:highlight w:val="none"/>
        </w:rPr>
        <w:t>7.9 提前竣工</w:t>
      </w:r>
      <w:bookmarkEnd w:id="845"/>
      <w:bookmarkEnd w:id="846"/>
      <w:bookmarkEnd w:id="847"/>
      <w:bookmarkEnd w:id="848"/>
      <w:bookmarkEnd w:id="849"/>
      <w:bookmarkEnd w:id="850"/>
      <w:bookmarkEnd w:id="851"/>
      <w:bookmarkEnd w:id="852"/>
      <w:bookmarkEnd w:id="853"/>
      <w:bookmarkEnd w:id="854"/>
      <w:bookmarkEnd w:id="855"/>
      <w:bookmarkEnd w:id="856"/>
      <w:bookmarkEnd w:id="857"/>
    </w:p>
    <w:p w14:paraId="5DF0C97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7.9.2提前竣工</w:t>
      </w:r>
      <w:r>
        <w:rPr>
          <w:rFonts w:hint="eastAsia" w:ascii="宋体" w:hAnsi="宋体"/>
          <w:color w:val="auto"/>
          <w:szCs w:val="21"/>
          <w:highlight w:val="none"/>
        </w:rPr>
        <w:t>（赶工）增加费</w:t>
      </w:r>
      <w:r>
        <w:rPr>
          <w:rFonts w:ascii="宋体" w:hAnsi="宋体"/>
          <w:color w:val="auto"/>
          <w:szCs w:val="21"/>
          <w:highlight w:val="none"/>
        </w:rPr>
        <w:t>的</w:t>
      </w:r>
      <w:r>
        <w:rPr>
          <w:rFonts w:hint="eastAsia" w:ascii="宋体" w:hAnsi="宋体"/>
          <w:color w:val="auto"/>
          <w:szCs w:val="21"/>
          <w:highlight w:val="none"/>
        </w:rPr>
        <w:t>计算方法</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3F2BB79B">
      <w:pPr>
        <w:keepNext/>
        <w:keepLines/>
        <w:spacing w:before="260" w:after="260" w:line="416" w:lineRule="auto"/>
        <w:outlineLvl w:val="9"/>
        <w:rPr>
          <w:rFonts w:ascii="宋体" w:hAnsi="宋体"/>
          <w:b/>
          <w:bCs/>
          <w:color w:val="auto"/>
          <w:sz w:val="32"/>
          <w:szCs w:val="32"/>
          <w:highlight w:val="none"/>
        </w:rPr>
      </w:pPr>
      <w:bookmarkStart w:id="858" w:name="_Toc373227731"/>
      <w:bookmarkStart w:id="859" w:name="_Toc432343920"/>
      <w:bookmarkStart w:id="860" w:name="_Toc373478378"/>
      <w:bookmarkStart w:id="861" w:name="_Toc531186635"/>
      <w:bookmarkStart w:id="862" w:name="_Toc351203640"/>
      <w:bookmarkStart w:id="863" w:name="_Toc472931639"/>
      <w:bookmarkStart w:id="864" w:name="_Toc529547358"/>
      <w:bookmarkStart w:id="865" w:name="_Toc470247833"/>
      <w:bookmarkStart w:id="866" w:name="_Toc454211144"/>
      <w:bookmarkStart w:id="867" w:name="_Toc411345213"/>
      <w:bookmarkStart w:id="868" w:name="_Toc529527006"/>
      <w:bookmarkStart w:id="869" w:name="_Toc530144500"/>
      <w:bookmarkStart w:id="870" w:name="_Toc389065297"/>
      <w:bookmarkStart w:id="871" w:name="_Toc461179274"/>
      <w:r>
        <w:rPr>
          <w:rFonts w:ascii="宋体" w:hAnsi="宋体"/>
          <w:b/>
          <w:bCs/>
          <w:color w:val="auto"/>
          <w:sz w:val="32"/>
          <w:szCs w:val="32"/>
          <w:highlight w:val="none"/>
        </w:rPr>
        <w:t>8. 材料与设备</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bookmarkEnd w:id="619"/>
    <w:bookmarkEnd w:id="620"/>
    <w:bookmarkEnd w:id="621"/>
    <w:bookmarkEnd w:id="622"/>
    <w:bookmarkEnd w:id="623"/>
    <w:bookmarkEnd w:id="624"/>
    <w:bookmarkEnd w:id="625"/>
    <w:bookmarkEnd w:id="626"/>
    <w:bookmarkEnd w:id="627"/>
    <w:bookmarkEnd w:id="628"/>
    <w:p w14:paraId="194DDD57">
      <w:pPr>
        <w:keepNext/>
        <w:keepLines/>
        <w:spacing w:before="260" w:after="260" w:line="416" w:lineRule="auto"/>
        <w:outlineLvl w:val="9"/>
        <w:rPr>
          <w:b/>
          <w:bCs/>
          <w:color w:val="auto"/>
          <w:sz w:val="32"/>
          <w:szCs w:val="32"/>
          <w:highlight w:val="none"/>
        </w:rPr>
      </w:pPr>
      <w:bookmarkStart w:id="872" w:name="_Toc373478379"/>
      <w:bookmarkStart w:id="873" w:name="_Toc470247834"/>
      <w:bookmarkStart w:id="874" w:name="_Toc530144501"/>
      <w:bookmarkStart w:id="875" w:name="_Toc373227732"/>
      <w:bookmarkStart w:id="876" w:name="_Toc529527007"/>
      <w:bookmarkStart w:id="877" w:name="_Toc389065298"/>
      <w:bookmarkStart w:id="878" w:name="_Toc472931640"/>
      <w:bookmarkStart w:id="879" w:name="_Toc465114891"/>
      <w:bookmarkStart w:id="880" w:name="_Toc531186636"/>
      <w:bookmarkStart w:id="881" w:name="_Toc529547359"/>
      <w:bookmarkStart w:id="882" w:name="_Toc411345215"/>
      <w:bookmarkStart w:id="883" w:name="_Toc389065299"/>
      <w:bookmarkStart w:id="884" w:name="_Toc432343922"/>
      <w:bookmarkStart w:id="885" w:name="_Toc373227733"/>
      <w:bookmarkStart w:id="886" w:name="_Toc454211146"/>
      <w:bookmarkStart w:id="887" w:name="_Toc373478380"/>
      <w:bookmarkStart w:id="888" w:name="_Toc461179276"/>
      <w:r>
        <w:rPr>
          <w:b/>
          <w:bCs/>
          <w:color w:val="auto"/>
          <w:sz w:val="32"/>
          <w:szCs w:val="32"/>
          <w:highlight w:val="none"/>
        </w:rPr>
        <w:t>8.2</w:t>
      </w:r>
      <w:r>
        <w:rPr>
          <w:rFonts w:hint="eastAsia"/>
          <w:b/>
          <w:bCs/>
          <w:color w:val="auto"/>
          <w:sz w:val="32"/>
          <w:szCs w:val="32"/>
          <w:highlight w:val="none"/>
        </w:rPr>
        <w:t xml:space="preserve"> </w:t>
      </w:r>
      <w:r>
        <w:rPr>
          <w:b/>
          <w:bCs/>
          <w:color w:val="auto"/>
          <w:sz w:val="32"/>
          <w:szCs w:val="32"/>
          <w:highlight w:val="none"/>
        </w:rPr>
        <w:t>承包人采购材料与工程设备</w:t>
      </w:r>
      <w:bookmarkEnd w:id="872"/>
      <w:bookmarkEnd w:id="873"/>
      <w:bookmarkEnd w:id="874"/>
      <w:bookmarkEnd w:id="875"/>
      <w:bookmarkEnd w:id="876"/>
      <w:bookmarkEnd w:id="877"/>
      <w:bookmarkEnd w:id="878"/>
      <w:bookmarkEnd w:id="879"/>
      <w:bookmarkEnd w:id="880"/>
      <w:bookmarkEnd w:id="881"/>
    </w:p>
    <w:p w14:paraId="3971A2C4">
      <w:pPr>
        <w:autoSpaceDE w:val="0"/>
        <w:autoSpaceDN w:val="0"/>
        <w:adjustRightInd w:val="0"/>
        <w:spacing w:line="360" w:lineRule="auto"/>
        <w:ind w:firstLine="420" w:firstLineChars="200"/>
        <w:jc w:val="left"/>
        <w:outlineLvl w:val="9"/>
        <w:rPr>
          <w:rFonts w:ascii="Calibri" w:hAnsi="Calibri"/>
          <w:color w:val="auto"/>
          <w:kern w:val="0"/>
          <w:szCs w:val="22"/>
          <w:highlight w:val="none"/>
        </w:rPr>
      </w:pPr>
      <w:r>
        <w:rPr>
          <w:rFonts w:ascii="Calibri" w:hAnsi="Calibri"/>
          <w:color w:val="auto"/>
          <w:kern w:val="0"/>
          <w:szCs w:val="22"/>
          <w:highlight w:val="none"/>
        </w:rPr>
        <w:t>除</w:t>
      </w:r>
      <w:r>
        <w:rPr>
          <w:rFonts w:hint="eastAsia" w:ascii="Calibri" w:hAnsi="Calibri"/>
          <w:color w:val="auto"/>
          <w:kern w:val="0"/>
          <w:szCs w:val="22"/>
          <w:highlight w:val="none"/>
        </w:rPr>
        <w:t>已标价工程量清单</w:t>
      </w:r>
      <w:r>
        <w:rPr>
          <w:rFonts w:ascii="Calibri" w:hAnsi="Calibri"/>
          <w:color w:val="auto"/>
          <w:kern w:val="0"/>
          <w:szCs w:val="22"/>
          <w:highlight w:val="none"/>
        </w:rPr>
        <w:t>《发包人</w:t>
      </w:r>
      <w:r>
        <w:rPr>
          <w:rFonts w:hint="eastAsia" w:ascii="Calibri" w:hAnsi="Calibri"/>
          <w:color w:val="auto"/>
          <w:kern w:val="0"/>
          <w:szCs w:val="22"/>
          <w:highlight w:val="none"/>
        </w:rPr>
        <w:t>提供主要</w:t>
      </w:r>
      <w:r>
        <w:rPr>
          <w:rFonts w:ascii="Calibri" w:hAnsi="Calibri"/>
          <w:color w:val="auto"/>
          <w:kern w:val="0"/>
          <w:szCs w:val="22"/>
          <w:highlight w:val="none"/>
        </w:rPr>
        <w:t>材料</w:t>
      </w:r>
      <w:r>
        <w:rPr>
          <w:rFonts w:hint="eastAsia" w:ascii="Calibri" w:hAnsi="Calibri"/>
          <w:color w:val="auto"/>
          <w:kern w:val="0"/>
          <w:szCs w:val="22"/>
          <w:highlight w:val="none"/>
        </w:rPr>
        <w:t>和工程</w:t>
      </w:r>
      <w:r>
        <w:rPr>
          <w:rFonts w:ascii="Calibri" w:hAnsi="Calibri"/>
          <w:color w:val="auto"/>
          <w:kern w:val="0"/>
          <w:szCs w:val="22"/>
          <w:highlight w:val="none"/>
        </w:rPr>
        <w:t>设备一览表》</w:t>
      </w:r>
      <w:r>
        <w:rPr>
          <w:rFonts w:hint="eastAsia" w:ascii="Calibri" w:hAnsi="Calibri"/>
          <w:color w:val="auto"/>
          <w:kern w:val="0"/>
          <w:szCs w:val="22"/>
          <w:highlight w:val="none"/>
        </w:rPr>
        <w:t>（表-21）</w:t>
      </w:r>
      <w:r>
        <w:rPr>
          <w:rFonts w:ascii="Calibri" w:hAnsi="Calibri"/>
          <w:color w:val="auto"/>
          <w:kern w:val="0"/>
          <w:szCs w:val="22"/>
          <w:highlight w:val="none"/>
        </w:rPr>
        <w:t>中明确的材料、工程设备外，由承包人负责材料和工程设备的采购、运输和保管。</w:t>
      </w:r>
      <w:r>
        <w:rPr>
          <w:rFonts w:hint="eastAsia" w:ascii="Calibri" w:hAnsi="Calibri"/>
          <w:color w:val="auto"/>
          <w:kern w:val="0"/>
          <w:szCs w:val="22"/>
          <w:highlight w:val="none"/>
        </w:rPr>
        <w:t>《</w:t>
      </w:r>
      <w:r>
        <w:rPr>
          <w:rFonts w:ascii="Calibri" w:hAnsi="Calibri"/>
          <w:color w:val="auto"/>
          <w:szCs w:val="22"/>
          <w:highlight w:val="none"/>
        </w:rPr>
        <w:t>承包人提供主要材料和工程设备一览表</w:t>
      </w:r>
      <w:r>
        <w:rPr>
          <w:rFonts w:hint="eastAsia" w:ascii="Calibri" w:hAnsi="Calibri"/>
          <w:color w:val="auto"/>
          <w:szCs w:val="22"/>
          <w:highlight w:val="none"/>
        </w:rPr>
        <w:t>》</w:t>
      </w:r>
      <w:r>
        <w:rPr>
          <w:rFonts w:hint="eastAsia" w:ascii="Calibri" w:hAnsi="Calibri"/>
          <w:color w:val="auto"/>
          <w:kern w:val="0"/>
          <w:szCs w:val="22"/>
          <w:highlight w:val="none"/>
        </w:rPr>
        <w:t>（表-22）见已标价工程量清单。</w:t>
      </w:r>
    </w:p>
    <w:p w14:paraId="669681F3">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hint="eastAsia" w:ascii="Calibri" w:hAnsi="Calibri"/>
          <w:color w:val="auto"/>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2C53C7BB">
      <w:pPr>
        <w:keepNext/>
        <w:keepLines/>
        <w:spacing w:before="260" w:after="260" w:line="416" w:lineRule="auto"/>
        <w:outlineLvl w:val="9"/>
        <w:rPr>
          <w:rFonts w:ascii="宋体" w:hAnsi="宋体"/>
          <w:b/>
          <w:bCs/>
          <w:color w:val="auto"/>
          <w:sz w:val="32"/>
          <w:szCs w:val="32"/>
          <w:highlight w:val="none"/>
        </w:rPr>
      </w:pPr>
      <w:bookmarkStart w:id="889" w:name="_Toc529527008"/>
      <w:bookmarkStart w:id="890" w:name="_Toc472931641"/>
      <w:bookmarkStart w:id="891" w:name="_Toc470247835"/>
      <w:bookmarkStart w:id="892" w:name="_Toc530144502"/>
      <w:bookmarkStart w:id="893" w:name="_Toc531186637"/>
      <w:bookmarkStart w:id="894" w:name="_Toc529547360"/>
      <w:r>
        <w:rPr>
          <w:rFonts w:ascii="宋体" w:hAnsi="宋体"/>
          <w:b/>
          <w:bCs/>
          <w:color w:val="auto"/>
          <w:sz w:val="32"/>
          <w:szCs w:val="32"/>
          <w:highlight w:val="none"/>
        </w:rPr>
        <w:t>8</w:t>
      </w:r>
      <w:bookmarkStart w:id="895" w:name="_Toc297120467"/>
      <w:bookmarkStart w:id="896" w:name="_Toc297048353"/>
      <w:bookmarkStart w:id="897" w:name="_Toc303539136"/>
      <w:bookmarkStart w:id="898" w:name="_Toc312678019"/>
      <w:bookmarkStart w:id="899" w:name="_Toc312677493"/>
      <w:bookmarkStart w:id="900" w:name="_Toc297123527"/>
      <w:bookmarkStart w:id="901" w:name="_Toc304295556"/>
      <w:bookmarkStart w:id="902" w:name="_Toc292559372"/>
      <w:bookmarkStart w:id="903" w:name="_Toc296944506"/>
      <w:bookmarkStart w:id="904" w:name="_Toc296347166"/>
      <w:bookmarkStart w:id="905" w:name="_Toc296891207"/>
      <w:bookmarkStart w:id="906" w:name="_Toc296503167"/>
      <w:bookmarkStart w:id="907" w:name="_Toc300934979"/>
      <w:bookmarkStart w:id="908" w:name="_Toc292559877"/>
      <w:bookmarkStart w:id="909" w:name="_Toc280868654"/>
      <w:bookmarkStart w:id="910" w:name="_Toc297216186"/>
      <w:bookmarkStart w:id="911" w:name="_Toc296890995"/>
      <w:bookmarkStart w:id="912" w:name="_Toc296346668"/>
      <w:bookmarkStart w:id="913" w:name="_Toc280868655"/>
      <w:bookmarkStart w:id="914" w:name="_Toc267251424"/>
      <w:bookmarkStart w:id="915" w:name="_Toc280868656"/>
      <w:r>
        <w:rPr>
          <w:rFonts w:ascii="宋体" w:hAnsi="宋体"/>
          <w:b/>
          <w:bCs/>
          <w:color w:val="auto"/>
          <w:sz w:val="32"/>
          <w:szCs w:val="32"/>
          <w:highlight w:val="none"/>
        </w:rPr>
        <w:t>.4</w:t>
      </w:r>
      <w:r>
        <w:rPr>
          <w:rFonts w:hint="eastAsia" w:ascii="宋体" w:hAnsi="宋体"/>
          <w:b/>
          <w:bCs/>
          <w:color w:val="auto"/>
          <w:sz w:val="32"/>
          <w:szCs w:val="32"/>
          <w:highlight w:val="none"/>
        </w:rPr>
        <w:t xml:space="preserve"> </w:t>
      </w:r>
      <w:r>
        <w:rPr>
          <w:rFonts w:ascii="宋体" w:hAnsi="宋体"/>
          <w:b/>
          <w:bCs/>
          <w:color w:val="auto"/>
          <w:sz w:val="32"/>
          <w:szCs w:val="32"/>
          <w:highlight w:val="none"/>
        </w:rPr>
        <w:t>材料与工程设备的保管与使用</w:t>
      </w:r>
      <w:bookmarkEnd w:id="882"/>
      <w:bookmarkEnd w:id="883"/>
      <w:bookmarkEnd w:id="884"/>
      <w:bookmarkEnd w:id="885"/>
      <w:bookmarkEnd w:id="886"/>
      <w:bookmarkEnd w:id="887"/>
      <w:bookmarkEnd w:id="888"/>
      <w:bookmarkEnd w:id="889"/>
      <w:bookmarkEnd w:id="890"/>
      <w:bookmarkEnd w:id="891"/>
      <w:bookmarkEnd w:id="892"/>
      <w:bookmarkEnd w:id="893"/>
      <w:bookmarkEnd w:id="894"/>
    </w:p>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14:paraId="5606173D">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8</w:t>
      </w:r>
      <w:bookmarkStart w:id="916" w:name="_Toc292559373"/>
      <w:bookmarkStart w:id="917" w:name="_Toc292559878"/>
      <w:bookmarkStart w:id="918" w:name="_Toc312678020"/>
      <w:bookmarkStart w:id="919" w:name="_Toc300934980"/>
      <w:bookmarkStart w:id="920" w:name="_Toc296503168"/>
      <w:bookmarkStart w:id="921" w:name="_Toc296347167"/>
      <w:bookmarkStart w:id="922" w:name="_Toc297216187"/>
      <w:bookmarkStart w:id="923" w:name="_Toc297048354"/>
      <w:bookmarkStart w:id="924" w:name="_Toc296891208"/>
      <w:bookmarkStart w:id="925" w:name="_Toc296890996"/>
      <w:bookmarkStart w:id="926" w:name="_Toc297123528"/>
      <w:bookmarkStart w:id="927" w:name="_Toc296944507"/>
      <w:bookmarkStart w:id="928" w:name="_Toc297120468"/>
      <w:bookmarkStart w:id="929" w:name="_Toc318581173"/>
      <w:bookmarkStart w:id="930" w:name="_Toc304295557"/>
      <w:bookmarkStart w:id="931" w:name="_Toc312677494"/>
      <w:bookmarkStart w:id="932" w:name="_Toc296346669"/>
      <w:bookmarkStart w:id="933" w:name="_Toc303539137"/>
      <w:r>
        <w:rPr>
          <w:rFonts w:ascii="宋体" w:hAnsi="宋体"/>
          <w:color w:val="auto"/>
          <w:szCs w:val="21"/>
          <w:highlight w:val="none"/>
        </w:rPr>
        <w:t>.4.1发包人供应的材料设备的保管费用的承担：</w:t>
      </w:r>
      <w:r>
        <w:rPr>
          <w:rFonts w:ascii="宋体" w:hAnsi="宋体"/>
          <w:b/>
          <w:color w:val="auto"/>
          <w:szCs w:val="21"/>
          <w:highlight w:val="none"/>
          <w:u w:val="single"/>
        </w:rPr>
        <w:t xml:space="preserve"> </w:t>
      </w:r>
      <w:r>
        <w:rPr>
          <w:rFonts w:hint="eastAsia" w:ascii="宋体" w:hAnsi="宋体"/>
          <w:b/>
          <w:color w:val="auto"/>
          <w:szCs w:val="21"/>
          <w:highlight w:val="none"/>
          <w:u w:val="single"/>
        </w:rPr>
        <w:t>由承包人承担</w:t>
      </w:r>
      <w:r>
        <w:rPr>
          <w:rFonts w:ascii="宋体" w:hAnsi="宋体"/>
          <w:color w:val="auto"/>
          <w:szCs w:val="21"/>
          <w:highlight w:val="none"/>
          <w:u w:val="single"/>
        </w:rPr>
        <w:t xml:space="preserve"> </w:t>
      </w:r>
      <w:r>
        <w:rPr>
          <w:rFonts w:ascii="宋体" w:hAnsi="宋体"/>
          <w:color w:val="auto"/>
          <w:szCs w:val="21"/>
          <w:highlight w:val="none"/>
        </w:rPr>
        <w:t>。</w:t>
      </w:r>
    </w:p>
    <w:bookmarkEnd w:id="916"/>
    <w:bookmarkEnd w:id="917"/>
    <w:p w14:paraId="6E185C62">
      <w:pPr>
        <w:keepNext/>
        <w:keepLines/>
        <w:spacing w:before="260" w:after="260" w:line="416" w:lineRule="auto"/>
        <w:outlineLvl w:val="9"/>
        <w:rPr>
          <w:rFonts w:ascii="宋体" w:hAnsi="宋体"/>
          <w:b/>
          <w:bCs/>
          <w:color w:val="auto"/>
          <w:sz w:val="32"/>
          <w:szCs w:val="32"/>
          <w:highlight w:val="none"/>
        </w:rPr>
      </w:pPr>
      <w:bookmarkStart w:id="934" w:name="_Toc531186638"/>
      <w:bookmarkStart w:id="935" w:name="_Toc373227734"/>
      <w:bookmarkStart w:id="936" w:name="_Toc461179277"/>
      <w:bookmarkStart w:id="937" w:name="_Toc454211147"/>
      <w:bookmarkStart w:id="938" w:name="_Toc470247836"/>
      <w:bookmarkStart w:id="939" w:name="_Toc529547361"/>
      <w:bookmarkStart w:id="940" w:name="_Toc530144503"/>
      <w:bookmarkStart w:id="941" w:name="_Toc389065300"/>
      <w:bookmarkStart w:id="942" w:name="_Toc373478381"/>
      <w:bookmarkStart w:id="943" w:name="_Toc472931642"/>
      <w:bookmarkStart w:id="944" w:name="_Toc529527009"/>
      <w:bookmarkStart w:id="945" w:name="_Toc411345216"/>
      <w:bookmarkStart w:id="946" w:name="_Toc432343923"/>
      <w:r>
        <w:rPr>
          <w:rFonts w:ascii="宋体" w:hAnsi="宋体"/>
          <w:b/>
          <w:bCs/>
          <w:color w:val="auto"/>
          <w:sz w:val="32"/>
          <w:szCs w:val="32"/>
          <w:highlight w:val="none"/>
        </w:rPr>
        <w:t>8.6 样品</w:t>
      </w:r>
      <w:bookmarkEnd w:id="934"/>
      <w:bookmarkEnd w:id="935"/>
      <w:bookmarkEnd w:id="936"/>
      <w:bookmarkEnd w:id="937"/>
      <w:bookmarkEnd w:id="938"/>
      <w:bookmarkEnd w:id="939"/>
      <w:bookmarkEnd w:id="940"/>
      <w:bookmarkEnd w:id="941"/>
      <w:bookmarkEnd w:id="942"/>
      <w:bookmarkEnd w:id="943"/>
      <w:bookmarkEnd w:id="944"/>
      <w:bookmarkEnd w:id="945"/>
      <w:bookmarkEnd w:id="946"/>
    </w:p>
    <w:p w14:paraId="59E6B538">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8.6.1</w:t>
      </w:r>
      <w:r>
        <w:rPr>
          <w:rFonts w:hint="eastAsia" w:ascii="宋体" w:hAnsi="宋体"/>
          <w:color w:val="auto"/>
          <w:kern w:val="0"/>
          <w:szCs w:val="21"/>
          <w:highlight w:val="none"/>
        </w:rPr>
        <w:t xml:space="preserve"> </w:t>
      </w:r>
      <w:r>
        <w:rPr>
          <w:rFonts w:ascii="宋体" w:hAnsi="宋体"/>
          <w:color w:val="auto"/>
          <w:kern w:val="0"/>
          <w:szCs w:val="21"/>
          <w:highlight w:val="none"/>
        </w:rPr>
        <w:t>样品的报送与封存</w:t>
      </w:r>
    </w:p>
    <w:p w14:paraId="2C271A55">
      <w:pPr>
        <w:autoSpaceDE w:val="0"/>
        <w:autoSpaceDN w:val="0"/>
        <w:adjustRightInd w:val="0"/>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需要承包人报送样品的材料或工程设备，样品的种类、名称、规格、数量要求：</w:t>
      </w:r>
      <w:r>
        <w:rPr>
          <w:rFonts w:ascii="宋体" w:hAnsi="宋体"/>
          <w:b/>
          <w:color w:val="auto"/>
          <w:szCs w:val="21"/>
          <w:highlight w:val="none"/>
          <w:u w:val="single"/>
        </w:rPr>
        <w:t>主要材料涉及品种、款式、颜色等方面内容的，承包人应提交准备合格的材料样品送发包人选定。</w:t>
      </w:r>
    </w:p>
    <w:p w14:paraId="255FBE89">
      <w:pPr>
        <w:keepNext/>
        <w:keepLines/>
        <w:spacing w:before="260" w:after="260" w:line="416" w:lineRule="auto"/>
        <w:outlineLvl w:val="9"/>
        <w:rPr>
          <w:rFonts w:ascii="宋体" w:hAnsi="宋体"/>
          <w:b/>
          <w:bCs/>
          <w:color w:val="auto"/>
          <w:sz w:val="32"/>
          <w:szCs w:val="32"/>
          <w:highlight w:val="none"/>
        </w:rPr>
      </w:pPr>
      <w:bookmarkStart w:id="947" w:name="_Toc454211148"/>
      <w:bookmarkStart w:id="948" w:name="_Toc389065301"/>
      <w:bookmarkStart w:id="949" w:name="_Toc472931643"/>
      <w:bookmarkStart w:id="950" w:name="_Toc529547362"/>
      <w:bookmarkStart w:id="951" w:name="_Toc461179278"/>
      <w:bookmarkStart w:id="952" w:name="_Toc432343924"/>
      <w:bookmarkStart w:id="953" w:name="_Toc470247837"/>
      <w:bookmarkStart w:id="954" w:name="_Toc529527010"/>
      <w:bookmarkStart w:id="955" w:name="_Toc530144504"/>
      <w:bookmarkStart w:id="956" w:name="_Toc373227735"/>
      <w:bookmarkStart w:id="957" w:name="_Toc411345217"/>
      <w:bookmarkStart w:id="958" w:name="_Toc531186639"/>
      <w:bookmarkStart w:id="959" w:name="_Toc373478382"/>
      <w:r>
        <w:rPr>
          <w:rFonts w:ascii="宋体" w:hAnsi="宋体"/>
          <w:b/>
          <w:bCs/>
          <w:color w:val="auto"/>
          <w:sz w:val="32"/>
          <w:szCs w:val="32"/>
          <w:highlight w:val="none"/>
        </w:rPr>
        <w:t>8.8 施工设备和临时设施</w:t>
      </w:r>
      <w:bookmarkEnd w:id="947"/>
      <w:bookmarkEnd w:id="948"/>
      <w:bookmarkEnd w:id="949"/>
      <w:bookmarkEnd w:id="950"/>
      <w:bookmarkEnd w:id="951"/>
      <w:bookmarkEnd w:id="952"/>
      <w:bookmarkEnd w:id="953"/>
      <w:bookmarkEnd w:id="954"/>
      <w:bookmarkEnd w:id="955"/>
      <w:bookmarkEnd w:id="956"/>
      <w:bookmarkEnd w:id="957"/>
      <w:bookmarkEnd w:id="958"/>
      <w:bookmarkEnd w:id="959"/>
    </w:p>
    <w:p w14:paraId="2330FCA3">
      <w:pPr>
        <w:autoSpaceDE w:val="0"/>
        <w:autoSpaceDN w:val="0"/>
        <w:adjustRightInd w:val="0"/>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8.8.1 承包人提供的施工设备和临时设施</w:t>
      </w:r>
    </w:p>
    <w:p w14:paraId="1E0B56ED">
      <w:pPr>
        <w:autoSpaceDE w:val="0"/>
        <w:autoSpaceDN w:val="0"/>
        <w:adjustRightInd w:val="0"/>
        <w:spacing w:line="360" w:lineRule="auto"/>
        <w:ind w:firstLine="420" w:firstLineChars="200"/>
        <w:jc w:val="left"/>
        <w:outlineLvl w:val="9"/>
        <w:rPr>
          <w:rFonts w:ascii="宋体" w:hAnsi="宋体"/>
          <w:b/>
          <w:color w:val="auto"/>
          <w:szCs w:val="21"/>
          <w:highlight w:val="none"/>
        </w:rPr>
      </w:pPr>
      <w:r>
        <w:rPr>
          <w:rFonts w:ascii="宋体" w:hAnsi="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b/>
          <w:color w:val="auto"/>
          <w:szCs w:val="21"/>
          <w:highlight w:val="none"/>
        </w:rPr>
        <w:t>承包人用于本工程的主要机械设备清单见合同附件6。</w:t>
      </w:r>
    </w:p>
    <w:p w14:paraId="01838753">
      <w:pPr>
        <w:autoSpaceDE w:val="0"/>
        <w:autoSpaceDN w:val="0"/>
        <w:adjustRightInd w:val="0"/>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关于修建临时设施费用承担的约定：</w:t>
      </w:r>
    </w:p>
    <w:p w14:paraId="2E4F95F6">
      <w:pPr>
        <w:autoSpaceDE w:val="0"/>
        <w:autoSpaceDN w:val="0"/>
        <w:adjustRightInd w:val="0"/>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r>
        <w:rPr>
          <w:rFonts w:hint="eastAsia" w:ascii="宋体" w:hAnsi="宋体"/>
          <w:color w:val="auto"/>
          <w:szCs w:val="21"/>
          <w:highlight w:val="none"/>
          <w:u w:val="single"/>
        </w:rPr>
        <w:t>，</w:t>
      </w:r>
      <w:r>
        <w:rPr>
          <w:rFonts w:hint="eastAsia" w:ascii="宋体" w:hAnsi="宋体"/>
          <w:color w:val="auto"/>
          <w:kern w:val="0"/>
          <w:szCs w:val="21"/>
          <w:highlight w:val="none"/>
          <w:u w:val="single"/>
        </w:rPr>
        <w:t>费用总价包干，由于承包人预估费用低于实际费用，不足部分由承包人补齐。承包人不得以预估费用低于实际费用或实际情况发生变化为由向发包人提出费用补偿。</w:t>
      </w:r>
    </w:p>
    <w:p w14:paraId="5AD885E4">
      <w:pPr>
        <w:autoSpaceDE w:val="0"/>
        <w:autoSpaceDN w:val="0"/>
        <w:adjustRightInd w:val="0"/>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u w:val="single"/>
        </w:rPr>
        <w:t>②承包人负责合同实施期间其合同段内临时交通道路（含场内外连接公共交通道路）和交通设施的修建、维修、养护和交通管理工作，并承担一切费用。以上费用在投标报价中综合考虑</w:t>
      </w:r>
      <w:r>
        <w:rPr>
          <w:rFonts w:hint="eastAsia" w:ascii="宋体" w:hAnsi="宋体"/>
          <w:color w:val="auto"/>
          <w:szCs w:val="21"/>
          <w:highlight w:val="none"/>
          <w:u w:val="single"/>
        </w:rPr>
        <w:t>，</w:t>
      </w:r>
      <w:r>
        <w:rPr>
          <w:rFonts w:hint="eastAsia" w:ascii="宋体" w:hAnsi="宋体"/>
          <w:color w:val="auto"/>
          <w:kern w:val="0"/>
          <w:szCs w:val="21"/>
          <w:highlight w:val="none"/>
          <w:u w:val="single"/>
        </w:rPr>
        <w:t>费用总价包干，不足部分由承包人补齐。承包人不得以预估费用低于实际费用或实际情况发生变化为由向发包人提出费用补偿。</w:t>
      </w:r>
    </w:p>
    <w:p w14:paraId="661CA28E">
      <w:pPr>
        <w:autoSpaceDE w:val="0"/>
        <w:autoSpaceDN w:val="0"/>
        <w:adjustRightInd w:val="0"/>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3B399683">
      <w:pPr>
        <w:autoSpaceDE w:val="0"/>
        <w:autoSpaceDN w:val="0"/>
        <w:adjustRightInd w:val="0"/>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8.8.2 发包人提供的施工设备和临时设施</w:t>
      </w:r>
    </w:p>
    <w:p w14:paraId="63C69057">
      <w:pPr>
        <w:autoSpaceDE w:val="0"/>
        <w:autoSpaceDN w:val="0"/>
        <w:adjustRightInd w:val="0"/>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发包人提供的施工设备和临时设施：</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2FA551E6">
      <w:pPr>
        <w:autoSpaceDE w:val="0"/>
        <w:autoSpaceDN w:val="0"/>
        <w:adjustRightInd w:val="0"/>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发包人提供的施工设备和临时设施的运行、维护、拆除、清运费用的承担人：</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14:paraId="4B9558F1">
      <w:pPr>
        <w:keepNext/>
        <w:keepLines/>
        <w:spacing w:before="260" w:after="260" w:line="416" w:lineRule="auto"/>
        <w:outlineLvl w:val="9"/>
        <w:rPr>
          <w:rFonts w:ascii="宋体" w:hAnsi="宋体"/>
          <w:b/>
          <w:bCs/>
          <w:color w:val="auto"/>
          <w:sz w:val="32"/>
          <w:szCs w:val="32"/>
          <w:highlight w:val="none"/>
        </w:rPr>
      </w:pPr>
      <w:bookmarkStart w:id="960" w:name="_Toc351203641"/>
      <w:bookmarkStart w:id="961" w:name="_Toc461179279"/>
      <w:bookmarkStart w:id="962" w:name="_Toc529527011"/>
      <w:bookmarkStart w:id="963" w:name="_Toc530144505"/>
      <w:bookmarkStart w:id="964" w:name="_Toc373478383"/>
      <w:bookmarkStart w:id="965" w:name="_Toc454211149"/>
      <w:bookmarkStart w:id="966" w:name="_Toc432343925"/>
      <w:bookmarkStart w:id="967" w:name="_Toc389065302"/>
      <w:bookmarkStart w:id="968" w:name="_Toc529547363"/>
      <w:bookmarkStart w:id="969" w:name="_Toc411345218"/>
      <w:bookmarkStart w:id="970" w:name="_Toc373227736"/>
      <w:bookmarkStart w:id="971" w:name="_Toc472931644"/>
      <w:bookmarkStart w:id="972" w:name="_Toc531186640"/>
      <w:bookmarkStart w:id="973" w:name="_Toc470247838"/>
      <w:r>
        <w:rPr>
          <w:rFonts w:ascii="宋体" w:hAnsi="宋体"/>
          <w:b/>
          <w:bCs/>
          <w:color w:val="auto"/>
          <w:sz w:val="32"/>
          <w:szCs w:val="32"/>
          <w:highlight w:val="none"/>
        </w:rPr>
        <w:t>9</w:t>
      </w:r>
      <w:bookmarkEnd w:id="913"/>
      <w:bookmarkEnd w:id="914"/>
      <w:bookmarkEnd w:id="915"/>
      <w:bookmarkStart w:id="974" w:name="_Toc297216192"/>
      <w:bookmarkStart w:id="975" w:name="_Toc312678021"/>
      <w:bookmarkStart w:id="976" w:name="_Toc300934982"/>
      <w:bookmarkStart w:id="977" w:name="_Toc297123533"/>
      <w:bookmarkStart w:id="978" w:name="_Toc303539139"/>
      <w:bookmarkStart w:id="979" w:name="_Toc312677495"/>
      <w:bookmarkStart w:id="980" w:name="_Toc304295559"/>
      <w:bookmarkStart w:id="981" w:name="_Toc296503173"/>
      <w:bookmarkStart w:id="982" w:name="_Toc296891001"/>
      <w:bookmarkStart w:id="983" w:name="_Toc267251428"/>
      <w:bookmarkStart w:id="984" w:name="_Toc297048359"/>
      <w:bookmarkStart w:id="985" w:name="_Toc296944512"/>
      <w:bookmarkStart w:id="986" w:name="_Toc296891213"/>
      <w:bookmarkStart w:id="987" w:name="_Toc296346674"/>
      <w:bookmarkStart w:id="988" w:name="_Toc292559883"/>
      <w:bookmarkStart w:id="989" w:name="_Toc296347172"/>
      <w:bookmarkStart w:id="990" w:name="_Toc267251427"/>
      <w:bookmarkStart w:id="991" w:name="_Toc297120473"/>
      <w:bookmarkStart w:id="992" w:name="_Toc292559378"/>
      <w:r>
        <w:rPr>
          <w:rFonts w:ascii="宋体" w:hAnsi="宋体"/>
          <w:b/>
          <w:bCs/>
          <w:color w:val="auto"/>
          <w:sz w:val="32"/>
          <w:szCs w:val="32"/>
          <w:highlight w:val="none"/>
        </w:rPr>
        <w:t>. 试验与检验</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bookmarkEnd w:id="974"/>
    <w:bookmarkEnd w:id="975"/>
    <w:bookmarkEnd w:id="976"/>
    <w:bookmarkEnd w:id="977"/>
    <w:bookmarkEnd w:id="978"/>
    <w:bookmarkEnd w:id="979"/>
    <w:bookmarkEnd w:id="980"/>
    <w:p w14:paraId="754513C8">
      <w:pPr>
        <w:keepNext/>
        <w:keepLines/>
        <w:spacing w:before="260" w:after="260" w:line="416" w:lineRule="auto"/>
        <w:outlineLvl w:val="9"/>
        <w:rPr>
          <w:rFonts w:ascii="宋体" w:hAnsi="宋体"/>
          <w:b/>
          <w:bCs/>
          <w:color w:val="auto"/>
          <w:sz w:val="32"/>
          <w:szCs w:val="32"/>
          <w:highlight w:val="none"/>
        </w:rPr>
      </w:pPr>
      <w:bookmarkStart w:id="993" w:name="_Toc411345219"/>
      <w:bookmarkStart w:id="994" w:name="_Toc529547364"/>
      <w:bookmarkStart w:id="995" w:name="_Toc470247839"/>
      <w:bookmarkStart w:id="996" w:name="_Toc373227737"/>
      <w:bookmarkStart w:id="997" w:name="_Toc472931645"/>
      <w:bookmarkStart w:id="998" w:name="_Toc529527012"/>
      <w:bookmarkStart w:id="999" w:name="_Toc432343926"/>
      <w:bookmarkStart w:id="1000" w:name="_Toc454211150"/>
      <w:bookmarkStart w:id="1001" w:name="_Toc461179280"/>
      <w:bookmarkStart w:id="1002" w:name="_Toc530144506"/>
      <w:bookmarkStart w:id="1003" w:name="_Toc389065303"/>
      <w:bookmarkStart w:id="1004" w:name="_Toc373478384"/>
      <w:bookmarkStart w:id="1005" w:name="_Toc531186641"/>
      <w:r>
        <w:rPr>
          <w:rFonts w:ascii="宋体" w:hAnsi="宋体"/>
          <w:b/>
          <w:bCs/>
          <w:color w:val="auto"/>
          <w:sz w:val="32"/>
          <w:szCs w:val="32"/>
          <w:highlight w:val="none"/>
        </w:rPr>
        <w:t>9</w:t>
      </w:r>
      <w:bookmarkStart w:id="1006" w:name="_Toc312677496"/>
      <w:bookmarkStart w:id="1007" w:name="_Toc312678022"/>
      <w:bookmarkStart w:id="1008" w:name="_Toc300934983"/>
      <w:bookmarkStart w:id="1009" w:name="_Toc297123534"/>
      <w:bookmarkStart w:id="1010" w:name="_Toc303539140"/>
      <w:bookmarkStart w:id="1011" w:name="_Toc297216193"/>
      <w:bookmarkStart w:id="1012" w:name="_Toc304295560"/>
      <w:r>
        <w:rPr>
          <w:rFonts w:ascii="宋体" w:hAnsi="宋体"/>
          <w:b/>
          <w:bCs/>
          <w:color w:val="auto"/>
          <w:sz w:val="32"/>
          <w:szCs w:val="32"/>
          <w:highlight w:val="none"/>
        </w:rPr>
        <w:t>.1</w:t>
      </w:r>
      <w:r>
        <w:rPr>
          <w:rFonts w:hint="eastAsia" w:ascii="宋体" w:hAnsi="宋体"/>
          <w:b/>
          <w:bCs/>
          <w:color w:val="auto"/>
          <w:sz w:val="32"/>
          <w:szCs w:val="32"/>
          <w:highlight w:val="none"/>
        </w:rPr>
        <w:t xml:space="preserve"> </w:t>
      </w:r>
      <w:r>
        <w:rPr>
          <w:rFonts w:ascii="宋体" w:hAnsi="宋体"/>
          <w:b/>
          <w:bCs/>
          <w:color w:val="auto"/>
          <w:sz w:val="32"/>
          <w:szCs w:val="32"/>
          <w:highlight w:val="none"/>
        </w:rPr>
        <w:t>试验设备与试验人员</w:t>
      </w:r>
      <w:bookmarkEnd w:id="993"/>
      <w:bookmarkEnd w:id="994"/>
      <w:bookmarkEnd w:id="995"/>
      <w:bookmarkEnd w:id="996"/>
      <w:bookmarkEnd w:id="997"/>
      <w:bookmarkEnd w:id="998"/>
      <w:bookmarkEnd w:id="999"/>
      <w:bookmarkEnd w:id="1000"/>
      <w:bookmarkEnd w:id="1001"/>
      <w:bookmarkEnd w:id="1002"/>
      <w:bookmarkEnd w:id="1003"/>
      <w:bookmarkEnd w:id="1004"/>
      <w:bookmarkEnd w:id="1005"/>
    </w:p>
    <w:bookmarkEnd w:id="1006"/>
    <w:bookmarkEnd w:id="1007"/>
    <w:bookmarkEnd w:id="1008"/>
    <w:bookmarkEnd w:id="1009"/>
    <w:bookmarkEnd w:id="1010"/>
    <w:bookmarkEnd w:id="1011"/>
    <w:bookmarkEnd w:id="1012"/>
    <w:p w14:paraId="7595AE23">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9</w:t>
      </w:r>
      <w:bookmarkStart w:id="1013" w:name="_Toc312678023"/>
      <w:bookmarkStart w:id="1014" w:name="_Toc300934984"/>
      <w:bookmarkStart w:id="1015" w:name="_Toc303539141"/>
      <w:bookmarkStart w:id="1016" w:name="_Toc297216194"/>
      <w:bookmarkStart w:id="1017" w:name="_Toc312677497"/>
      <w:bookmarkStart w:id="1018" w:name="_Toc297123535"/>
      <w:bookmarkStart w:id="1019" w:name="_Toc304295561"/>
      <w:bookmarkStart w:id="1020" w:name="_Toc318581174"/>
      <w:r>
        <w:rPr>
          <w:rFonts w:ascii="宋体" w:hAnsi="宋体"/>
          <w:color w:val="auto"/>
          <w:szCs w:val="21"/>
          <w:highlight w:val="none"/>
        </w:rPr>
        <w:t>.1.2 试验设备</w:t>
      </w:r>
    </w:p>
    <w:p w14:paraId="1D8D12D1">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施工现场需要配置的试验场所：</w:t>
      </w:r>
      <w:bookmarkEnd w:id="1013"/>
      <w:bookmarkEnd w:id="1014"/>
      <w:bookmarkEnd w:id="1015"/>
      <w:bookmarkEnd w:id="1016"/>
      <w:bookmarkEnd w:id="1017"/>
      <w:bookmarkEnd w:id="1018"/>
      <w:bookmarkEnd w:id="1019"/>
      <w:bookmarkStart w:id="1021" w:name="_Toc300934985"/>
      <w:bookmarkStart w:id="1022" w:name="_Toc297123536"/>
      <w:bookmarkStart w:id="1023" w:name="_Toc312677498"/>
      <w:bookmarkStart w:id="1024" w:name="_Toc312678024"/>
      <w:bookmarkStart w:id="1025" w:name="_Toc297216195"/>
      <w:bookmarkStart w:id="1026" w:name="_Toc304295562"/>
      <w:bookmarkStart w:id="1027" w:name="_Toc303539142"/>
      <w:r>
        <w:rPr>
          <w:rFonts w:ascii="宋体" w:hAnsi="宋体"/>
          <w:color w:val="auto"/>
          <w:szCs w:val="21"/>
          <w:highlight w:val="none"/>
          <w:u w:val="single"/>
        </w:rPr>
        <w:t xml:space="preserve">  </w:t>
      </w:r>
      <w:r>
        <w:rPr>
          <w:rFonts w:hint="eastAsia" w:ascii="宋体" w:hAnsi="宋体"/>
          <w:color w:val="auto"/>
          <w:szCs w:val="21"/>
          <w:highlight w:val="none"/>
          <w:u w:val="single"/>
        </w:rPr>
        <w:t>按有关规定执行</w:t>
      </w:r>
      <w:r>
        <w:rPr>
          <w:rFonts w:ascii="宋体" w:hAnsi="宋体"/>
          <w:color w:val="auto"/>
          <w:szCs w:val="21"/>
          <w:highlight w:val="none"/>
          <w:u w:val="single"/>
        </w:rPr>
        <w:t xml:space="preserve"> </w:t>
      </w:r>
      <w:r>
        <w:rPr>
          <w:rFonts w:ascii="宋体" w:hAnsi="宋体"/>
          <w:color w:val="auto"/>
          <w:szCs w:val="21"/>
          <w:highlight w:val="none"/>
        </w:rPr>
        <w:t>。</w:t>
      </w:r>
    </w:p>
    <w:p w14:paraId="7B0B27F2">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施工现场需要配备的试验设备：</w:t>
      </w:r>
      <w:r>
        <w:rPr>
          <w:rFonts w:ascii="宋体" w:hAnsi="宋体"/>
          <w:color w:val="auto"/>
          <w:szCs w:val="21"/>
          <w:highlight w:val="none"/>
          <w:u w:val="single"/>
        </w:rPr>
        <w:t xml:space="preserve">  </w:t>
      </w:r>
      <w:r>
        <w:rPr>
          <w:rFonts w:hint="eastAsia" w:ascii="宋体" w:hAnsi="宋体"/>
          <w:color w:val="auto"/>
          <w:szCs w:val="21"/>
          <w:highlight w:val="none"/>
          <w:u w:val="single"/>
        </w:rPr>
        <w:t>按有关规定执行</w:t>
      </w:r>
      <w:r>
        <w:rPr>
          <w:rFonts w:ascii="宋体" w:hAnsi="宋体"/>
          <w:color w:val="auto"/>
          <w:szCs w:val="21"/>
          <w:highlight w:val="none"/>
          <w:u w:val="single"/>
        </w:rPr>
        <w:t xml:space="preserve"> </w:t>
      </w:r>
      <w:r>
        <w:rPr>
          <w:rFonts w:ascii="宋体" w:hAnsi="宋体"/>
          <w:color w:val="auto"/>
          <w:szCs w:val="21"/>
          <w:highlight w:val="none"/>
        </w:rPr>
        <w:t>。</w:t>
      </w:r>
    </w:p>
    <w:p w14:paraId="62EDDF0D">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施工现场需要具备的其他试验条件：</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5C7DB2B5">
      <w:pPr>
        <w:keepNext/>
        <w:keepLines/>
        <w:spacing w:before="260" w:after="260" w:line="416" w:lineRule="auto"/>
        <w:outlineLvl w:val="9"/>
        <w:rPr>
          <w:rFonts w:ascii="宋体" w:hAnsi="宋体"/>
          <w:b/>
          <w:bCs/>
          <w:color w:val="auto"/>
          <w:sz w:val="32"/>
          <w:szCs w:val="32"/>
          <w:highlight w:val="none"/>
        </w:rPr>
      </w:pPr>
      <w:bookmarkStart w:id="1028" w:name="_Toc529547365"/>
      <w:bookmarkStart w:id="1029" w:name="_Toc470247840"/>
      <w:bookmarkStart w:id="1030" w:name="_Toc432343927"/>
      <w:bookmarkStart w:id="1031" w:name="_Toc389065304"/>
      <w:bookmarkStart w:id="1032" w:name="_Toc373478385"/>
      <w:bookmarkStart w:id="1033" w:name="_Toc530144507"/>
      <w:bookmarkStart w:id="1034" w:name="_Toc454211151"/>
      <w:bookmarkStart w:id="1035" w:name="_Toc373227738"/>
      <w:bookmarkStart w:id="1036" w:name="_Toc531186642"/>
      <w:bookmarkStart w:id="1037" w:name="_Toc461179281"/>
      <w:bookmarkStart w:id="1038" w:name="_Toc529527013"/>
      <w:bookmarkStart w:id="1039" w:name="_Toc411345220"/>
      <w:bookmarkStart w:id="1040" w:name="_Toc472931646"/>
      <w:r>
        <w:rPr>
          <w:rFonts w:ascii="宋体" w:hAnsi="宋体"/>
          <w:b/>
          <w:bCs/>
          <w:color w:val="auto"/>
          <w:sz w:val="32"/>
          <w:szCs w:val="32"/>
          <w:highlight w:val="none"/>
        </w:rPr>
        <w:t>9.4 现场工艺试验</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r>
        <w:rPr>
          <w:rFonts w:ascii="宋体" w:hAnsi="宋体"/>
          <w:b/>
          <w:bCs/>
          <w:color w:val="auto"/>
          <w:sz w:val="32"/>
          <w:szCs w:val="32"/>
          <w:highlight w:val="none"/>
        </w:rPr>
        <w:t xml:space="preserve"> </w:t>
      </w:r>
    </w:p>
    <w:p w14:paraId="38F2AC1A">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现场工艺试验的有关约定：</w:t>
      </w:r>
      <w:r>
        <w:rPr>
          <w:rFonts w:ascii="宋体" w:hAnsi="宋体"/>
          <w:color w:val="auto"/>
          <w:szCs w:val="21"/>
          <w:highlight w:val="none"/>
          <w:u w:val="single"/>
        </w:rPr>
        <w:t xml:space="preserve"> </w:t>
      </w:r>
      <w:r>
        <w:rPr>
          <w:rFonts w:hint="eastAsia" w:ascii="宋体" w:hAnsi="宋体"/>
          <w:color w:val="auto"/>
          <w:szCs w:val="21"/>
          <w:highlight w:val="none"/>
          <w:u w:val="single"/>
        </w:rPr>
        <w:t>按有关规定执行</w:t>
      </w:r>
      <w:r>
        <w:rPr>
          <w:rFonts w:ascii="宋体" w:hAnsi="宋体"/>
          <w:color w:val="auto"/>
          <w:szCs w:val="21"/>
          <w:highlight w:val="none"/>
          <w:u w:val="single"/>
        </w:rPr>
        <w:t xml:space="preserve"> </w:t>
      </w:r>
      <w:r>
        <w:rPr>
          <w:rFonts w:ascii="宋体" w:hAnsi="宋体"/>
          <w:color w:val="auto"/>
          <w:szCs w:val="21"/>
          <w:highlight w:val="none"/>
        </w:rPr>
        <w:t>。</w:t>
      </w:r>
    </w:p>
    <w:p w14:paraId="7E06D661">
      <w:pPr>
        <w:keepNext/>
        <w:keepLines/>
        <w:spacing w:before="260" w:after="260" w:line="416" w:lineRule="auto"/>
        <w:outlineLvl w:val="9"/>
        <w:rPr>
          <w:rFonts w:ascii="宋体" w:hAnsi="宋体"/>
          <w:b/>
          <w:bCs/>
          <w:color w:val="auto"/>
          <w:sz w:val="32"/>
          <w:szCs w:val="32"/>
          <w:highlight w:val="none"/>
        </w:rPr>
      </w:pPr>
      <w:bookmarkStart w:id="1041" w:name="_Toc529547366"/>
      <w:bookmarkStart w:id="1042" w:name="_Toc411345221"/>
      <w:bookmarkStart w:id="1043" w:name="_Toc432343928"/>
      <w:bookmarkStart w:id="1044" w:name="_Toc461179282"/>
      <w:bookmarkStart w:id="1045" w:name="_Toc454211152"/>
      <w:bookmarkStart w:id="1046" w:name="_Toc529527014"/>
      <w:bookmarkStart w:id="1047" w:name="_Toc530144508"/>
      <w:bookmarkStart w:id="1048" w:name="_Toc470247841"/>
      <w:bookmarkStart w:id="1049" w:name="_Toc531186643"/>
      <w:bookmarkStart w:id="1050" w:name="_Toc472931647"/>
      <w:r>
        <w:rPr>
          <w:rFonts w:ascii="宋体" w:hAnsi="宋体"/>
          <w:b/>
          <w:bCs/>
          <w:color w:val="auto"/>
          <w:sz w:val="32"/>
          <w:szCs w:val="32"/>
          <w:highlight w:val="none"/>
        </w:rPr>
        <w:t>9.5 检验费用</w:t>
      </w:r>
      <w:bookmarkEnd w:id="1041"/>
      <w:bookmarkEnd w:id="1042"/>
      <w:bookmarkEnd w:id="1043"/>
      <w:bookmarkEnd w:id="1044"/>
      <w:bookmarkEnd w:id="1045"/>
      <w:bookmarkEnd w:id="1046"/>
      <w:bookmarkEnd w:id="1047"/>
      <w:bookmarkEnd w:id="1048"/>
      <w:bookmarkEnd w:id="1049"/>
      <w:bookmarkEnd w:id="1050"/>
    </w:p>
    <w:p w14:paraId="6406D33F">
      <w:pPr>
        <w:spacing w:line="360" w:lineRule="auto"/>
        <w:ind w:firstLine="411" w:firstLineChars="196"/>
        <w:outlineLvl w:val="9"/>
        <w:rPr>
          <w:rFonts w:ascii="宋体" w:hAnsi="宋体"/>
          <w:color w:val="auto"/>
          <w:szCs w:val="21"/>
          <w:highlight w:val="none"/>
        </w:rPr>
      </w:pPr>
      <w:r>
        <w:rPr>
          <w:rFonts w:ascii="宋体" w:hAnsi="宋体"/>
          <w:color w:val="auto"/>
          <w:szCs w:val="21"/>
          <w:highlight w:val="none"/>
        </w:rPr>
        <w:t>根据《建设工程质量检测管理办法》（建设部令第141号）以及</w:t>
      </w:r>
      <w:r>
        <w:rPr>
          <w:rFonts w:ascii="宋体" w:hAnsi="宋体"/>
          <w:bCs/>
          <w:color w:val="auto"/>
          <w:szCs w:val="21"/>
          <w:highlight w:val="none"/>
        </w:rPr>
        <w:t>《广西壮族自治区建设工程质量检测管理规定》</w:t>
      </w:r>
      <w:r>
        <w:rPr>
          <w:rFonts w:hint="eastAsia" w:ascii="宋体" w:hAnsi="宋体"/>
          <w:bCs/>
          <w:color w:val="auto"/>
          <w:szCs w:val="21"/>
          <w:highlight w:val="none"/>
        </w:rPr>
        <w:t>（</w:t>
      </w:r>
      <w:r>
        <w:rPr>
          <w:rFonts w:ascii="宋体" w:hAnsi="宋体"/>
          <w:bCs/>
          <w:color w:val="auto"/>
          <w:szCs w:val="21"/>
          <w:highlight w:val="none"/>
        </w:rPr>
        <w:t>桂建管</w:t>
      </w:r>
      <w:r>
        <w:rPr>
          <w:rFonts w:hint="eastAsia" w:ascii="宋体" w:hAnsi="宋体"/>
          <w:bCs/>
          <w:color w:val="auto"/>
          <w:szCs w:val="21"/>
          <w:highlight w:val="none"/>
        </w:rPr>
        <w:t>〔</w:t>
      </w:r>
      <w:r>
        <w:rPr>
          <w:rFonts w:ascii="宋体" w:hAnsi="宋体"/>
          <w:bCs/>
          <w:color w:val="auto"/>
          <w:szCs w:val="21"/>
          <w:highlight w:val="none"/>
        </w:rPr>
        <w:t>2013</w:t>
      </w:r>
      <w:r>
        <w:rPr>
          <w:rFonts w:hint="eastAsia" w:ascii="宋体" w:hAnsi="宋体"/>
          <w:bCs/>
          <w:color w:val="auto"/>
          <w:szCs w:val="21"/>
          <w:highlight w:val="none"/>
        </w:rPr>
        <w:t>〕</w:t>
      </w:r>
      <w:r>
        <w:rPr>
          <w:rFonts w:ascii="宋体" w:hAnsi="宋体"/>
          <w:bCs/>
          <w:color w:val="auto"/>
          <w:szCs w:val="21"/>
          <w:highlight w:val="none"/>
        </w:rPr>
        <w:t>11号</w:t>
      </w:r>
      <w:r>
        <w:rPr>
          <w:rFonts w:hint="eastAsia" w:ascii="宋体" w:hAnsi="宋体"/>
          <w:bCs/>
          <w:color w:val="auto"/>
          <w:szCs w:val="21"/>
          <w:highlight w:val="none"/>
        </w:rPr>
        <w:t>）</w:t>
      </w:r>
      <w:r>
        <w:rPr>
          <w:rFonts w:ascii="宋体" w:hAnsi="宋体"/>
          <w:color w:val="auto"/>
          <w:szCs w:val="21"/>
          <w:highlight w:val="none"/>
        </w:rPr>
        <w:t>规定，工程质量检测业务由招标人委托有相应资质的检测机构检测。费用从招标人的项目建设经费中支出并直接支付给检测机构，不计入合同价款内。</w:t>
      </w:r>
    </w:p>
    <w:bookmarkEnd w:id="1020"/>
    <w:bookmarkEnd w:id="1021"/>
    <w:bookmarkEnd w:id="1022"/>
    <w:bookmarkEnd w:id="1023"/>
    <w:bookmarkEnd w:id="1024"/>
    <w:bookmarkEnd w:id="1025"/>
    <w:bookmarkEnd w:id="1026"/>
    <w:bookmarkEnd w:id="1027"/>
    <w:p w14:paraId="224FD50D">
      <w:pPr>
        <w:keepNext/>
        <w:keepLines/>
        <w:spacing w:before="260" w:after="260" w:line="416" w:lineRule="auto"/>
        <w:outlineLvl w:val="9"/>
        <w:rPr>
          <w:rFonts w:ascii="宋体" w:hAnsi="宋体"/>
          <w:b/>
          <w:bCs/>
          <w:color w:val="auto"/>
          <w:sz w:val="32"/>
          <w:szCs w:val="32"/>
          <w:highlight w:val="none"/>
        </w:rPr>
      </w:pPr>
      <w:bookmarkStart w:id="1051" w:name="_Toc529527015"/>
      <w:bookmarkStart w:id="1052" w:name="_Toc389065305"/>
      <w:bookmarkStart w:id="1053" w:name="_Toc470247842"/>
      <w:bookmarkStart w:id="1054" w:name="_Toc432343929"/>
      <w:bookmarkStart w:id="1055" w:name="_Toc531186644"/>
      <w:bookmarkStart w:id="1056" w:name="_Toc530144509"/>
      <w:bookmarkStart w:id="1057" w:name="_Toc529547367"/>
      <w:bookmarkStart w:id="1058" w:name="_Toc351203642"/>
      <w:bookmarkStart w:id="1059" w:name="_Toc411345222"/>
      <w:bookmarkStart w:id="1060" w:name="_Toc454211153"/>
      <w:bookmarkStart w:id="1061" w:name="_Toc373227739"/>
      <w:bookmarkStart w:id="1062" w:name="_Toc461179283"/>
      <w:bookmarkStart w:id="1063" w:name="_Toc472931648"/>
      <w:bookmarkStart w:id="1064" w:name="_Toc373478386"/>
      <w:r>
        <w:rPr>
          <w:rFonts w:ascii="宋体" w:hAnsi="宋体"/>
          <w:b/>
          <w:bCs/>
          <w:color w:val="auto"/>
          <w:sz w:val="32"/>
          <w:szCs w:val="32"/>
          <w:highlight w:val="none"/>
        </w:rPr>
        <w:t>1</w:t>
      </w:r>
      <w:bookmarkEnd w:id="981"/>
      <w:bookmarkEnd w:id="982"/>
      <w:bookmarkEnd w:id="983"/>
      <w:bookmarkEnd w:id="984"/>
      <w:bookmarkEnd w:id="985"/>
      <w:bookmarkEnd w:id="986"/>
      <w:bookmarkEnd w:id="987"/>
      <w:bookmarkEnd w:id="988"/>
      <w:bookmarkEnd w:id="989"/>
      <w:bookmarkEnd w:id="990"/>
      <w:bookmarkEnd w:id="991"/>
      <w:bookmarkEnd w:id="992"/>
      <w:bookmarkStart w:id="1065" w:name="_Toc296891021"/>
      <w:bookmarkStart w:id="1066" w:name="_Toc296944532"/>
      <w:bookmarkStart w:id="1067" w:name="_Toc300934989"/>
      <w:bookmarkStart w:id="1068" w:name="_Toc292559903"/>
      <w:bookmarkStart w:id="1069" w:name="_Toc296891233"/>
      <w:bookmarkStart w:id="1070" w:name="_Toc296346694"/>
      <w:bookmarkStart w:id="1071" w:name="_Toc297120493"/>
      <w:bookmarkStart w:id="1072" w:name="_Toc292559398"/>
      <w:bookmarkStart w:id="1073" w:name="_Toc303539146"/>
      <w:bookmarkStart w:id="1074" w:name="_Toc296347192"/>
      <w:bookmarkStart w:id="1075" w:name="_Toc297216199"/>
      <w:bookmarkStart w:id="1076" w:name="_Toc297123540"/>
      <w:bookmarkStart w:id="1077" w:name="_Toc296503193"/>
      <w:bookmarkStart w:id="1078" w:name="_Toc304295566"/>
      <w:bookmarkStart w:id="1079" w:name="_Toc297048379"/>
      <w:bookmarkStart w:id="1080" w:name="_Toc312677499"/>
      <w:bookmarkStart w:id="1081" w:name="_Toc312678025"/>
      <w:bookmarkStart w:id="1082" w:name="_Toc267251440"/>
      <w:bookmarkStart w:id="1083" w:name="_Toc267251435"/>
      <w:bookmarkStart w:id="1084" w:name="_Toc267251437"/>
      <w:bookmarkStart w:id="1085" w:name="_Toc267251439"/>
      <w:bookmarkStart w:id="1086" w:name="_Toc267251433"/>
      <w:bookmarkStart w:id="1087" w:name="_Toc267251441"/>
      <w:bookmarkStart w:id="1088" w:name="_Toc267251442"/>
      <w:r>
        <w:rPr>
          <w:rFonts w:ascii="宋体" w:hAnsi="宋体"/>
          <w:b/>
          <w:bCs/>
          <w:color w:val="auto"/>
          <w:sz w:val="32"/>
          <w:szCs w:val="32"/>
          <w:highlight w:val="none"/>
        </w:rPr>
        <w:t>0. 变更</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bookmarkEnd w:id="1080"/>
    <w:bookmarkEnd w:id="1081"/>
    <w:p w14:paraId="58638586">
      <w:pPr>
        <w:keepNext/>
        <w:keepLines/>
        <w:spacing w:before="260" w:after="260" w:line="416" w:lineRule="auto"/>
        <w:outlineLvl w:val="9"/>
        <w:rPr>
          <w:rFonts w:ascii="宋体" w:hAnsi="宋体"/>
          <w:b/>
          <w:bCs/>
          <w:color w:val="auto"/>
          <w:sz w:val="32"/>
          <w:szCs w:val="32"/>
          <w:highlight w:val="none"/>
        </w:rPr>
      </w:pPr>
      <w:bookmarkStart w:id="1089" w:name="_Toc529547368"/>
      <w:bookmarkStart w:id="1090" w:name="_Toc432343930"/>
      <w:bookmarkStart w:id="1091" w:name="_Toc461179284"/>
      <w:bookmarkStart w:id="1092" w:name="_Toc531186645"/>
      <w:bookmarkStart w:id="1093" w:name="_Toc529527016"/>
      <w:bookmarkStart w:id="1094" w:name="_Toc530144510"/>
      <w:bookmarkStart w:id="1095" w:name="_Toc470247843"/>
      <w:bookmarkStart w:id="1096" w:name="_Toc472931649"/>
      <w:bookmarkStart w:id="1097" w:name="_Toc389065306"/>
      <w:bookmarkStart w:id="1098" w:name="_Toc411345223"/>
      <w:bookmarkStart w:id="1099" w:name="_Toc454211154"/>
      <w:bookmarkStart w:id="1100" w:name="_Toc373478387"/>
      <w:bookmarkStart w:id="1101" w:name="_Toc373227740"/>
      <w:r>
        <w:rPr>
          <w:rFonts w:ascii="宋体" w:hAnsi="宋体"/>
          <w:b/>
          <w:bCs/>
          <w:color w:val="auto"/>
          <w:sz w:val="32"/>
          <w:szCs w:val="32"/>
          <w:highlight w:val="none"/>
        </w:rPr>
        <w:t>1</w:t>
      </w:r>
      <w:bookmarkStart w:id="1102" w:name="_Toc296347193"/>
      <w:bookmarkStart w:id="1103" w:name="_Toc297216200"/>
      <w:bookmarkStart w:id="1104" w:name="_Toc296944533"/>
      <w:bookmarkStart w:id="1105" w:name="_Toc297048380"/>
      <w:bookmarkStart w:id="1106" w:name="_Toc304295567"/>
      <w:bookmarkStart w:id="1107" w:name="_Toc300934990"/>
      <w:bookmarkStart w:id="1108" w:name="_Toc297123541"/>
      <w:bookmarkStart w:id="1109" w:name="_Toc292559399"/>
      <w:bookmarkStart w:id="1110" w:name="_Toc296891022"/>
      <w:bookmarkStart w:id="1111" w:name="_Toc303539147"/>
      <w:bookmarkStart w:id="1112" w:name="_Toc312677500"/>
      <w:bookmarkStart w:id="1113" w:name="_Toc296891234"/>
      <w:bookmarkStart w:id="1114" w:name="_Toc312678026"/>
      <w:bookmarkStart w:id="1115" w:name="_Toc292559904"/>
      <w:bookmarkStart w:id="1116" w:name="_Toc297120494"/>
      <w:bookmarkStart w:id="1117" w:name="_Toc296346695"/>
      <w:bookmarkStart w:id="1118" w:name="_Toc296503194"/>
      <w:r>
        <w:rPr>
          <w:rFonts w:ascii="宋体" w:hAnsi="宋体"/>
          <w:b/>
          <w:bCs/>
          <w:color w:val="auto"/>
          <w:sz w:val="32"/>
          <w:szCs w:val="32"/>
          <w:highlight w:val="none"/>
        </w:rPr>
        <w:t>0.1</w:t>
      </w:r>
      <w:r>
        <w:rPr>
          <w:rFonts w:hint="eastAsia" w:ascii="宋体" w:hAnsi="宋体"/>
          <w:b/>
          <w:bCs/>
          <w:color w:val="auto"/>
          <w:sz w:val="32"/>
          <w:szCs w:val="32"/>
          <w:highlight w:val="none"/>
        </w:rPr>
        <w:t xml:space="preserve"> </w:t>
      </w:r>
      <w:r>
        <w:rPr>
          <w:rFonts w:ascii="宋体" w:hAnsi="宋体"/>
          <w:b/>
          <w:bCs/>
          <w:color w:val="auto"/>
          <w:sz w:val="32"/>
          <w:szCs w:val="32"/>
          <w:highlight w:val="none"/>
        </w:rPr>
        <w:t>变更的范围</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261D9AEA">
      <w:pPr>
        <w:spacing w:line="360" w:lineRule="auto"/>
        <w:ind w:firstLine="426"/>
        <w:jc w:val="left"/>
        <w:outlineLvl w:val="9"/>
        <w:rPr>
          <w:rFonts w:ascii="宋体" w:hAnsi="宋体"/>
          <w:color w:val="auto"/>
          <w:szCs w:val="21"/>
          <w:highlight w:val="none"/>
        </w:rPr>
      </w:pPr>
      <w:r>
        <w:rPr>
          <w:rFonts w:ascii="宋体" w:hAnsi="宋体"/>
          <w:color w:val="auto"/>
          <w:szCs w:val="21"/>
          <w:highlight w:val="none"/>
        </w:rPr>
        <w:t>关于变更的范围的约定：</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w:t>
      </w:r>
      <w:r>
        <w:rPr>
          <w:rFonts w:hint="eastAsia" w:ascii="宋体" w:hAnsi="宋体"/>
          <w:b/>
          <w:bCs/>
          <w:color w:val="auto"/>
          <w:szCs w:val="21"/>
          <w:highlight w:val="none"/>
          <w:u w:val="single"/>
        </w:rPr>
        <w:t>10.1</w:t>
      </w:r>
      <w:r>
        <w:rPr>
          <w:rFonts w:hint="eastAsia" w:ascii="宋体" w:hAnsi="宋体"/>
          <w:color w:val="auto"/>
          <w:szCs w:val="21"/>
          <w:highlight w:val="none"/>
          <w:u w:val="single"/>
        </w:rPr>
        <w:t>条执行</w:t>
      </w:r>
      <w:r>
        <w:rPr>
          <w:rFonts w:ascii="宋体" w:hAnsi="宋体"/>
          <w:color w:val="auto"/>
          <w:szCs w:val="21"/>
          <w:highlight w:val="none"/>
          <w:u w:val="single"/>
        </w:rPr>
        <w:t xml:space="preserve">  </w:t>
      </w:r>
      <w:r>
        <w:rPr>
          <w:rFonts w:ascii="宋体" w:hAnsi="宋体"/>
          <w:color w:val="auto"/>
          <w:szCs w:val="21"/>
          <w:highlight w:val="none"/>
        </w:rPr>
        <w:t>。</w:t>
      </w:r>
    </w:p>
    <w:p w14:paraId="3A427B4E">
      <w:pPr>
        <w:keepNext/>
        <w:keepLines/>
        <w:spacing w:before="260" w:after="260" w:line="416" w:lineRule="auto"/>
        <w:outlineLvl w:val="9"/>
        <w:rPr>
          <w:rFonts w:ascii="宋体" w:hAnsi="宋体"/>
          <w:b/>
          <w:bCs/>
          <w:color w:val="auto"/>
          <w:sz w:val="32"/>
          <w:szCs w:val="32"/>
          <w:highlight w:val="none"/>
        </w:rPr>
      </w:pPr>
      <w:bookmarkStart w:id="1119" w:name="_Toc470247844"/>
      <w:bookmarkStart w:id="1120" w:name="_Toc373478388"/>
      <w:bookmarkStart w:id="1121" w:name="_Toc389065307"/>
      <w:bookmarkStart w:id="1122" w:name="_Toc472931650"/>
      <w:bookmarkStart w:id="1123" w:name="_Toc373227741"/>
      <w:bookmarkStart w:id="1124" w:name="_Toc529527017"/>
      <w:bookmarkStart w:id="1125" w:name="_Toc531186646"/>
      <w:bookmarkStart w:id="1126" w:name="_Toc530144511"/>
      <w:bookmarkStart w:id="1127" w:name="_Toc411345225"/>
      <w:bookmarkStart w:id="1128" w:name="_Toc461179286"/>
      <w:bookmarkStart w:id="1129" w:name="_Toc432343932"/>
      <w:bookmarkStart w:id="1130" w:name="_Toc454211156"/>
      <w:bookmarkStart w:id="1131" w:name="_Toc529547369"/>
      <w:r>
        <w:rPr>
          <w:rFonts w:ascii="宋体" w:hAnsi="宋体"/>
          <w:b/>
          <w:bCs/>
          <w:color w:val="auto"/>
          <w:sz w:val="32"/>
          <w:szCs w:val="32"/>
          <w:highlight w:val="none"/>
        </w:rPr>
        <w:t>10.3 变更程序</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5FE29385">
      <w:pPr>
        <w:spacing w:line="360" w:lineRule="auto"/>
        <w:ind w:firstLine="441" w:firstLineChars="210"/>
        <w:outlineLvl w:val="9"/>
        <w:rPr>
          <w:rFonts w:ascii="宋体" w:hAnsi="宋体"/>
          <w:bCs/>
          <w:color w:val="auto"/>
          <w:szCs w:val="21"/>
          <w:highlight w:val="none"/>
        </w:rPr>
      </w:pPr>
      <w:r>
        <w:rPr>
          <w:rFonts w:ascii="宋体" w:hAnsi="宋体"/>
          <w:bCs/>
          <w:color w:val="auto"/>
          <w:szCs w:val="21"/>
          <w:highlight w:val="none"/>
        </w:rPr>
        <w:t>10.3.1</w:t>
      </w:r>
      <w:r>
        <w:rPr>
          <w:rFonts w:hint="eastAsia" w:ascii="宋体" w:hAnsi="宋体"/>
          <w:bCs/>
          <w:color w:val="auto"/>
          <w:szCs w:val="21"/>
          <w:highlight w:val="none"/>
        </w:rPr>
        <w:t xml:space="preserve"> </w:t>
      </w:r>
      <w:r>
        <w:rPr>
          <w:rFonts w:ascii="宋体" w:hAnsi="宋体"/>
          <w:bCs/>
          <w:color w:val="auto"/>
          <w:szCs w:val="21"/>
          <w:highlight w:val="none"/>
        </w:rPr>
        <w:t>国有投资项目：</w:t>
      </w:r>
    </w:p>
    <w:p w14:paraId="495CF545">
      <w:pPr>
        <w:spacing w:line="360" w:lineRule="auto"/>
        <w:ind w:firstLine="441" w:firstLineChars="210"/>
        <w:outlineLvl w:val="9"/>
        <w:rPr>
          <w:rFonts w:ascii="宋体" w:hAnsi="宋体"/>
          <w:bCs/>
          <w:color w:val="auto"/>
          <w:szCs w:val="21"/>
          <w:highlight w:val="none"/>
        </w:rPr>
      </w:pPr>
      <w:r>
        <w:rPr>
          <w:rFonts w:ascii="宋体" w:hAnsi="宋体"/>
          <w:bCs/>
          <w:color w:val="auto"/>
          <w:szCs w:val="21"/>
          <w:highlight w:val="none"/>
        </w:rPr>
        <w:t>⑴设计变更和工程签证，按各市政府或相关部门的规定办理。属不可抗力（自然灾害、突发事件等）造成变更的，按特事特办原则予以办理。</w:t>
      </w:r>
    </w:p>
    <w:p w14:paraId="24F6EA12">
      <w:pPr>
        <w:spacing w:line="360" w:lineRule="auto"/>
        <w:ind w:firstLine="441" w:firstLineChars="210"/>
        <w:outlineLvl w:val="9"/>
        <w:rPr>
          <w:rFonts w:ascii="宋体" w:hAnsi="宋体"/>
          <w:bCs/>
          <w:color w:val="auto"/>
          <w:szCs w:val="21"/>
          <w:highlight w:val="none"/>
        </w:rPr>
      </w:pPr>
      <w:r>
        <w:rPr>
          <w:rFonts w:ascii="宋体" w:hAnsi="宋体"/>
          <w:bCs/>
          <w:color w:val="auto"/>
          <w:szCs w:val="21"/>
          <w:highlight w:val="none"/>
        </w:rPr>
        <w:t>⑵建设单位在实施项目过程中，若发生单价变动，由建设单位、监理单位、施工单位及其他相关单位共同商定并签字确认。</w:t>
      </w:r>
    </w:p>
    <w:p w14:paraId="71AE4FC1">
      <w:pPr>
        <w:spacing w:line="360" w:lineRule="auto"/>
        <w:ind w:firstLine="420" w:firstLineChars="200"/>
        <w:jc w:val="left"/>
        <w:outlineLvl w:val="9"/>
        <w:rPr>
          <w:rFonts w:ascii="宋体" w:hAnsi="宋体"/>
          <w:bCs/>
          <w:color w:val="auto"/>
          <w:szCs w:val="21"/>
          <w:highlight w:val="none"/>
        </w:rPr>
      </w:pPr>
      <w:r>
        <w:rPr>
          <w:rFonts w:ascii="宋体" w:hAnsi="宋体"/>
          <w:bCs/>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7DDFE664">
      <w:pPr>
        <w:spacing w:line="360" w:lineRule="auto"/>
        <w:ind w:firstLine="420" w:firstLineChars="200"/>
        <w:jc w:val="left"/>
        <w:outlineLvl w:val="9"/>
        <w:rPr>
          <w:rFonts w:ascii="宋体" w:hAnsi="宋体"/>
          <w:bCs/>
          <w:color w:val="auto"/>
          <w:szCs w:val="21"/>
          <w:highlight w:val="none"/>
        </w:rPr>
      </w:pPr>
      <w:r>
        <w:rPr>
          <w:rFonts w:ascii="宋体" w:hAnsi="宋体"/>
          <w:bCs/>
          <w:color w:val="auto"/>
          <w:szCs w:val="21"/>
          <w:highlight w:val="none"/>
        </w:rPr>
        <w:t>10.3.2</w:t>
      </w:r>
      <w:r>
        <w:rPr>
          <w:rFonts w:hint="eastAsia" w:ascii="宋体" w:hAnsi="宋体"/>
          <w:bCs/>
          <w:color w:val="auto"/>
          <w:szCs w:val="21"/>
          <w:highlight w:val="none"/>
        </w:rPr>
        <w:t xml:space="preserve"> </w:t>
      </w:r>
      <w:r>
        <w:rPr>
          <w:rFonts w:ascii="宋体" w:hAnsi="宋体"/>
          <w:bCs/>
          <w:color w:val="auto"/>
          <w:szCs w:val="21"/>
          <w:highlight w:val="none"/>
        </w:rPr>
        <w:t xml:space="preserve">非国有投资项目： </w:t>
      </w:r>
      <w:r>
        <w:rPr>
          <w:rFonts w:ascii="宋体" w:hAnsi="宋体"/>
          <w:bCs/>
          <w:color w:val="auto"/>
          <w:szCs w:val="21"/>
          <w:highlight w:val="none"/>
          <w:u w:val="single"/>
        </w:rPr>
        <w:t xml:space="preserve"> </w:t>
      </w:r>
      <w:r>
        <w:rPr>
          <w:rFonts w:hint="eastAsia" w:ascii="宋体" w:hAnsi="宋体"/>
          <w:bCs/>
          <w:color w:val="auto"/>
          <w:szCs w:val="21"/>
          <w:highlight w:val="none"/>
          <w:u w:val="single"/>
        </w:rPr>
        <w:t>/</w:t>
      </w:r>
      <w:r>
        <w:rPr>
          <w:rFonts w:ascii="宋体" w:hAnsi="宋体"/>
          <w:bCs/>
          <w:color w:val="auto"/>
          <w:szCs w:val="21"/>
          <w:highlight w:val="none"/>
          <w:u w:val="single"/>
        </w:rPr>
        <w:t xml:space="preserve">     </w:t>
      </w:r>
      <w:r>
        <w:rPr>
          <w:rFonts w:ascii="宋体" w:hAnsi="宋体"/>
          <w:bCs/>
          <w:color w:val="auto"/>
          <w:szCs w:val="21"/>
          <w:highlight w:val="none"/>
        </w:rPr>
        <w:t>。</w:t>
      </w:r>
    </w:p>
    <w:p w14:paraId="1A96FDB4">
      <w:pPr>
        <w:keepNext/>
        <w:keepLines/>
        <w:spacing w:before="260" w:after="260" w:line="416" w:lineRule="auto"/>
        <w:outlineLvl w:val="9"/>
        <w:rPr>
          <w:rFonts w:ascii="宋体" w:hAnsi="宋体"/>
          <w:b/>
          <w:bCs/>
          <w:color w:val="auto"/>
          <w:sz w:val="32"/>
          <w:szCs w:val="32"/>
          <w:highlight w:val="none"/>
        </w:rPr>
      </w:pPr>
      <w:bookmarkStart w:id="1132" w:name="_Toc373227742"/>
      <w:bookmarkStart w:id="1133" w:name="_Toc529547370"/>
      <w:bookmarkStart w:id="1134" w:name="_Toc531186647"/>
      <w:bookmarkStart w:id="1135" w:name="_Toc470247845"/>
      <w:bookmarkStart w:id="1136" w:name="_Toc472931651"/>
      <w:bookmarkStart w:id="1137" w:name="_Toc373478389"/>
      <w:bookmarkStart w:id="1138" w:name="_Toc432343933"/>
      <w:bookmarkStart w:id="1139" w:name="_Toc461179287"/>
      <w:bookmarkStart w:id="1140" w:name="_Toc411345226"/>
      <w:bookmarkStart w:id="1141" w:name="_Toc454211157"/>
      <w:bookmarkStart w:id="1142" w:name="_Toc529527018"/>
      <w:bookmarkStart w:id="1143" w:name="_Toc530144512"/>
      <w:bookmarkStart w:id="1144" w:name="_Toc389065308"/>
      <w:r>
        <w:rPr>
          <w:rFonts w:ascii="宋体" w:hAnsi="宋体"/>
          <w:b/>
          <w:bCs/>
          <w:color w:val="auto"/>
          <w:sz w:val="32"/>
          <w:szCs w:val="32"/>
          <w:highlight w:val="none"/>
        </w:rPr>
        <w:t>10.4 变更估价</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14:paraId="4469C33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10.4.1 变更估价原则</w:t>
      </w:r>
    </w:p>
    <w:p w14:paraId="7A74B354">
      <w:pPr>
        <w:spacing w:line="360" w:lineRule="auto"/>
        <w:ind w:firstLine="420" w:firstLineChars="200"/>
        <w:jc w:val="left"/>
        <w:outlineLvl w:val="9"/>
        <w:rPr>
          <w:rFonts w:ascii="Calibri" w:hAnsi="Calibri"/>
          <w:color w:val="auto"/>
          <w:szCs w:val="21"/>
          <w:highlight w:val="none"/>
        </w:rPr>
      </w:pPr>
      <w:bookmarkStart w:id="1145" w:name="_Toc454211158"/>
      <w:bookmarkStart w:id="1146" w:name="_Toc373478390"/>
      <w:bookmarkStart w:id="1147" w:name="_Toc411345227"/>
      <w:bookmarkStart w:id="1148" w:name="_Toc389065309"/>
      <w:bookmarkStart w:id="1149" w:name="_Toc373227743"/>
      <w:bookmarkStart w:id="1150" w:name="_Toc461179288"/>
      <w:bookmarkStart w:id="1151" w:name="_Toc432343934"/>
      <w:r>
        <w:rPr>
          <w:rFonts w:ascii="Calibri" w:hAnsi="Calibri"/>
          <w:color w:val="auto"/>
          <w:szCs w:val="21"/>
          <w:highlight w:val="none"/>
        </w:rPr>
        <w:t xml:space="preserve">10.4.1 </w:t>
      </w:r>
      <w:r>
        <w:rPr>
          <w:rFonts w:ascii="Calibri" w:hAnsi="宋体"/>
          <w:color w:val="auto"/>
          <w:szCs w:val="21"/>
          <w:highlight w:val="none"/>
        </w:rPr>
        <w:t>变更估价原则</w:t>
      </w:r>
    </w:p>
    <w:p w14:paraId="261A3B14">
      <w:pPr>
        <w:spacing w:line="360" w:lineRule="auto"/>
        <w:ind w:firstLine="420" w:firstLineChars="200"/>
        <w:jc w:val="left"/>
        <w:outlineLvl w:val="9"/>
        <w:rPr>
          <w:rFonts w:ascii="Calibri" w:hAnsi="宋体"/>
          <w:color w:val="auto"/>
          <w:szCs w:val="21"/>
          <w:highlight w:val="none"/>
        </w:rPr>
      </w:pPr>
      <w:r>
        <w:rPr>
          <w:rFonts w:ascii="Calibri" w:hAnsi="宋体"/>
          <w:color w:val="auto"/>
          <w:szCs w:val="21"/>
          <w:highlight w:val="none"/>
        </w:rPr>
        <w:t>关于变更估价的约定</w:t>
      </w:r>
      <w:r>
        <w:rPr>
          <w:rFonts w:ascii="Calibri" w:hAnsi="Calibri"/>
          <w:color w:val="auto"/>
          <w:szCs w:val="21"/>
          <w:highlight w:val="none"/>
        </w:rPr>
        <w:t xml:space="preserve">: </w:t>
      </w:r>
      <w:bookmarkStart w:id="1152" w:name="_Toc251051742"/>
      <w:r>
        <w:rPr>
          <w:rFonts w:hint="eastAsia" w:ascii="Calibri" w:hAnsi="宋体"/>
          <w:bCs/>
          <w:color w:val="auto"/>
          <w:szCs w:val="21"/>
          <w:highlight w:val="none"/>
          <w:u w:val="single"/>
        </w:rPr>
        <w:t>工程</w:t>
      </w:r>
      <w:r>
        <w:rPr>
          <w:rFonts w:ascii="Calibri" w:hAnsi="宋体"/>
          <w:bCs/>
          <w:color w:val="auto"/>
          <w:szCs w:val="21"/>
          <w:highlight w:val="none"/>
          <w:u w:val="single"/>
        </w:rPr>
        <w:t>变更合同价款按下列方法进行：（</w:t>
      </w:r>
      <w:r>
        <w:rPr>
          <w:rFonts w:ascii="Calibri" w:hAnsi="Calibri"/>
          <w:bCs/>
          <w:color w:val="auto"/>
          <w:szCs w:val="21"/>
          <w:highlight w:val="none"/>
          <w:u w:val="single"/>
        </w:rPr>
        <w:t>1</w:t>
      </w:r>
      <w:r>
        <w:rPr>
          <w:rFonts w:ascii="Calibri" w:hAnsi="宋体"/>
          <w:bCs/>
          <w:color w:val="auto"/>
          <w:szCs w:val="21"/>
          <w:highlight w:val="none"/>
          <w:u w:val="single"/>
        </w:rPr>
        <w:t>）合同中已有相同清单项目的，按合同该清单项目价格进行计算；（</w:t>
      </w:r>
      <w:r>
        <w:rPr>
          <w:rFonts w:ascii="Calibri" w:hAnsi="Calibri"/>
          <w:bCs/>
          <w:color w:val="auto"/>
          <w:szCs w:val="21"/>
          <w:highlight w:val="none"/>
          <w:u w:val="single"/>
        </w:rPr>
        <w:t>2</w:t>
      </w:r>
      <w:r>
        <w:rPr>
          <w:rFonts w:ascii="Calibri" w:hAnsi="宋体"/>
          <w:bCs/>
          <w:color w:val="auto"/>
          <w:szCs w:val="21"/>
          <w:highlight w:val="none"/>
          <w:u w:val="single"/>
        </w:rPr>
        <w:t>）合同中只有类似清单项目的，参照该类似清单项目价格进行计算；（</w:t>
      </w:r>
      <w:r>
        <w:rPr>
          <w:rFonts w:ascii="Calibri" w:hAnsi="Calibri"/>
          <w:bCs/>
          <w:color w:val="auto"/>
          <w:szCs w:val="21"/>
          <w:highlight w:val="none"/>
          <w:u w:val="single"/>
        </w:rPr>
        <w:t>3</w:t>
      </w:r>
      <w:r>
        <w:rPr>
          <w:rFonts w:ascii="Calibri" w:hAnsi="宋体"/>
          <w:bCs/>
          <w:color w:val="auto"/>
          <w:szCs w:val="21"/>
          <w:highlight w:val="none"/>
          <w:u w:val="single"/>
        </w:rPr>
        <w:t>）合同中没有适用或类似清单项目的价格计算方法：有定额的套定额，并</w:t>
      </w:r>
      <w:r>
        <w:rPr>
          <w:rFonts w:hint="eastAsia" w:ascii="Calibri" w:hAnsi="宋体"/>
          <w:bCs/>
          <w:color w:val="auto"/>
          <w:szCs w:val="21"/>
          <w:highlight w:val="none"/>
          <w:u w:val="single"/>
        </w:rPr>
        <w:t>（</w:t>
      </w:r>
      <w:r>
        <w:rPr>
          <w:rFonts w:hint="eastAsia" w:ascii="Calibri" w:hAnsi="Calibri"/>
          <w:b/>
          <w:color w:val="auto"/>
          <w:szCs w:val="22"/>
          <w:highlight w:val="none"/>
        </w:rPr>
        <w:t>□</w:t>
      </w:r>
      <w:r>
        <w:rPr>
          <w:rFonts w:ascii="Calibri" w:hAnsi="宋体"/>
          <w:bCs/>
          <w:color w:val="auto"/>
          <w:szCs w:val="21"/>
          <w:highlight w:val="none"/>
          <w:u w:val="single"/>
        </w:rPr>
        <w:t>乘以下浮系数</w:t>
      </w:r>
      <w:r>
        <w:rPr>
          <w:rFonts w:ascii="Calibri" w:hAnsi="Calibri"/>
          <w:bCs/>
          <w:color w:val="auto"/>
          <w:szCs w:val="21"/>
          <w:highlight w:val="none"/>
          <w:u w:val="single"/>
        </w:rPr>
        <w:t xml:space="preserve">    </w:t>
      </w:r>
      <w:r>
        <w:rPr>
          <w:rFonts w:hint="eastAsia" w:ascii="Calibri" w:hAnsi="Calibri"/>
          <w:bCs/>
          <w:color w:val="auto"/>
          <w:szCs w:val="21"/>
          <w:highlight w:val="none"/>
          <w:u w:val="single"/>
        </w:rPr>
        <w:t xml:space="preserve">  %，</w:t>
      </w:r>
      <w:r>
        <w:rPr>
          <w:rFonts w:hint="eastAsia" w:ascii="Calibri" w:hAnsi="宋体"/>
          <w:bCs/>
          <w:color w:val="auto"/>
          <w:szCs w:val="21"/>
          <w:highlight w:val="none"/>
          <w:u w:val="single"/>
        </w:rPr>
        <w:t>）</w:t>
      </w:r>
      <w:r>
        <w:rPr>
          <w:rFonts w:ascii="Calibri" w:hAnsi="宋体"/>
          <w:bCs/>
          <w:color w:val="auto"/>
          <w:szCs w:val="21"/>
          <w:highlight w:val="none"/>
          <w:u w:val="single"/>
        </w:rPr>
        <w:t>计算，其中材料价格按施工期间的《</w:t>
      </w:r>
      <w:r>
        <w:rPr>
          <w:rFonts w:hint="eastAsia" w:ascii="Calibri" w:hAnsi="Calibri"/>
          <w:bCs/>
          <w:color w:val="auto"/>
          <w:szCs w:val="21"/>
          <w:highlight w:val="none"/>
          <w:u w:val="single"/>
        </w:rPr>
        <w:t>防城港</w:t>
      </w:r>
      <w:r>
        <w:rPr>
          <w:rFonts w:ascii="Calibri" w:hAnsi="宋体"/>
          <w:bCs/>
          <w:color w:val="auto"/>
          <w:szCs w:val="21"/>
          <w:highlight w:val="none"/>
          <w:u w:val="single"/>
        </w:rPr>
        <w:t>市建设工程造价信息》相应价格信息进行计算；《</w:t>
      </w:r>
      <w:r>
        <w:rPr>
          <w:rFonts w:hint="eastAsia" w:ascii="Calibri" w:hAnsi="Calibri"/>
          <w:bCs/>
          <w:color w:val="auto"/>
          <w:szCs w:val="21"/>
          <w:highlight w:val="none"/>
          <w:u w:val="single"/>
        </w:rPr>
        <w:t>防城港</w:t>
      </w:r>
      <w:r>
        <w:rPr>
          <w:rFonts w:ascii="Calibri" w:hAnsi="宋体"/>
          <w:bCs/>
          <w:color w:val="auto"/>
          <w:szCs w:val="21"/>
          <w:highlight w:val="none"/>
          <w:u w:val="single"/>
        </w:rPr>
        <w:t>市建设工程造价信息》没有相应价格信息的按市场价计算；无定额可套的，根据市场价格协商确定综合价格；对于国有资产投资的项目，新增项目的单价必须经</w:t>
      </w:r>
      <w:r>
        <w:rPr>
          <w:rFonts w:ascii="Calibri" w:hAnsi="Calibri"/>
          <w:bCs/>
          <w:color w:val="auto"/>
          <w:szCs w:val="21"/>
          <w:highlight w:val="none"/>
          <w:u w:val="single"/>
        </w:rPr>
        <w:t xml:space="preserve"> </w:t>
      </w:r>
      <w:r>
        <w:rPr>
          <w:rFonts w:hint="eastAsia" w:ascii="Calibri" w:hAnsi="Calibri"/>
          <w:bCs/>
          <w:color w:val="auto"/>
          <w:szCs w:val="21"/>
          <w:highlight w:val="none"/>
          <w:u w:val="single"/>
        </w:rPr>
        <w:t xml:space="preserve">财政局投资评审中心  </w:t>
      </w:r>
      <w:r>
        <w:rPr>
          <w:rFonts w:ascii="Calibri" w:hAnsi="宋体"/>
          <w:bCs/>
          <w:color w:val="auto"/>
          <w:szCs w:val="21"/>
          <w:highlight w:val="none"/>
          <w:u w:val="single"/>
        </w:rPr>
        <w:t>审定</w:t>
      </w:r>
      <w:bookmarkEnd w:id="1152"/>
      <w:r>
        <w:rPr>
          <w:rFonts w:ascii="Calibri" w:hAnsi="宋体"/>
          <w:color w:val="auto"/>
          <w:szCs w:val="21"/>
          <w:highlight w:val="none"/>
        </w:rPr>
        <w:t>。</w:t>
      </w:r>
    </w:p>
    <w:p w14:paraId="388D9D9D">
      <w:pPr>
        <w:spacing w:line="360" w:lineRule="auto"/>
        <w:ind w:firstLine="420" w:firstLineChars="200"/>
        <w:jc w:val="left"/>
        <w:outlineLvl w:val="9"/>
        <w:rPr>
          <w:rFonts w:ascii="Calibri" w:hAnsi="Calibri"/>
          <w:color w:val="auto"/>
          <w:szCs w:val="21"/>
          <w:highlight w:val="none"/>
          <w:u w:val="single"/>
        </w:rPr>
      </w:pPr>
      <w:r>
        <w:rPr>
          <w:rFonts w:hint="eastAsia" w:ascii="Calibri" w:hAnsi="Calibri"/>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14:paraId="1130299B">
      <w:pPr>
        <w:spacing w:line="360" w:lineRule="auto"/>
        <w:ind w:firstLine="420" w:firstLineChars="200"/>
        <w:jc w:val="left"/>
        <w:outlineLvl w:val="9"/>
        <w:rPr>
          <w:rFonts w:ascii="Calibri" w:hAnsi="宋体"/>
          <w:color w:val="auto"/>
          <w:szCs w:val="21"/>
          <w:highlight w:val="none"/>
        </w:rPr>
      </w:pPr>
    </w:p>
    <w:p w14:paraId="58821419">
      <w:pPr>
        <w:keepNext/>
        <w:keepLines/>
        <w:spacing w:before="260" w:after="260" w:line="416" w:lineRule="auto"/>
        <w:outlineLvl w:val="9"/>
        <w:rPr>
          <w:rFonts w:ascii="宋体" w:hAnsi="宋体"/>
          <w:b/>
          <w:bCs/>
          <w:color w:val="auto"/>
          <w:sz w:val="32"/>
          <w:szCs w:val="32"/>
          <w:highlight w:val="none"/>
        </w:rPr>
      </w:pPr>
      <w:bookmarkStart w:id="1153" w:name="_Toc531186648"/>
      <w:bookmarkStart w:id="1154" w:name="_Toc529527019"/>
      <w:bookmarkStart w:id="1155" w:name="_Toc470247846"/>
      <w:bookmarkStart w:id="1156" w:name="_Toc529547371"/>
      <w:bookmarkStart w:id="1157" w:name="_Toc472931652"/>
      <w:bookmarkStart w:id="1158" w:name="_Toc530144513"/>
      <w:r>
        <w:rPr>
          <w:rFonts w:ascii="宋体" w:hAnsi="宋体"/>
          <w:b/>
          <w:bCs/>
          <w:color w:val="auto"/>
          <w:sz w:val="32"/>
          <w:szCs w:val="32"/>
          <w:highlight w:val="none"/>
        </w:rPr>
        <w:t>1</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Start w:id="1159" w:name="_Toc297123544"/>
      <w:bookmarkStart w:id="1160" w:name="_Toc296891025"/>
      <w:bookmarkStart w:id="1161" w:name="_Toc296346698"/>
      <w:bookmarkStart w:id="1162" w:name="_Toc303539150"/>
      <w:bookmarkStart w:id="1163" w:name="_Toc292559402"/>
      <w:bookmarkStart w:id="1164" w:name="_Toc296891237"/>
      <w:bookmarkStart w:id="1165" w:name="_Toc292559907"/>
      <w:bookmarkStart w:id="1166" w:name="_Toc296347196"/>
      <w:bookmarkStart w:id="1167" w:name="_Toc297216203"/>
      <w:bookmarkStart w:id="1168" w:name="_Toc296944536"/>
      <w:bookmarkStart w:id="1169" w:name="_Toc297048383"/>
      <w:bookmarkStart w:id="1170" w:name="_Toc297120497"/>
      <w:bookmarkStart w:id="1171" w:name="_Toc296503197"/>
      <w:bookmarkStart w:id="1172" w:name="_Toc300934993"/>
      <w:bookmarkStart w:id="1173" w:name="_Toc304295570"/>
      <w:bookmarkStart w:id="1174" w:name="_Toc312678029"/>
      <w:bookmarkStart w:id="1175" w:name="_Toc312677503"/>
      <w:r>
        <w:rPr>
          <w:rFonts w:ascii="宋体" w:hAnsi="宋体"/>
          <w:b/>
          <w:bCs/>
          <w:color w:val="auto"/>
          <w:sz w:val="32"/>
          <w:szCs w:val="32"/>
          <w:highlight w:val="none"/>
        </w:rPr>
        <w:t>0.5</w:t>
      </w:r>
      <w:r>
        <w:rPr>
          <w:rFonts w:hint="eastAsia" w:ascii="宋体" w:hAnsi="宋体"/>
          <w:b/>
          <w:bCs/>
          <w:color w:val="auto"/>
          <w:sz w:val="32"/>
          <w:szCs w:val="32"/>
          <w:highlight w:val="none"/>
        </w:rPr>
        <w:t xml:space="preserve"> </w:t>
      </w:r>
      <w:r>
        <w:rPr>
          <w:rFonts w:ascii="宋体" w:hAnsi="宋体"/>
          <w:b/>
          <w:bCs/>
          <w:color w:val="auto"/>
          <w:sz w:val="32"/>
          <w:szCs w:val="32"/>
          <w:highlight w:val="none"/>
        </w:rPr>
        <w:t>承</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Start w:id="1176" w:name="_Toc292559913"/>
      <w:bookmarkStart w:id="1177" w:name="_Toc296891031"/>
      <w:bookmarkStart w:id="1178" w:name="_Toc297123545"/>
      <w:bookmarkStart w:id="1179" w:name="_Toc303539151"/>
      <w:bookmarkStart w:id="1180" w:name="_Toc296944542"/>
      <w:bookmarkStart w:id="1181" w:name="_Toc300934994"/>
      <w:bookmarkStart w:id="1182" w:name="_Toc297120503"/>
      <w:bookmarkStart w:id="1183" w:name="_Toc296346704"/>
      <w:bookmarkStart w:id="1184" w:name="_Toc296347202"/>
      <w:bookmarkStart w:id="1185" w:name="_Toc296503203"/>
      <w:bookmarkStart w:id="1186" w:name="_Toc297048389"/>
      <w:bookmarkStart w:id="1187" w:name="_Toc292559408"/>
      <w:bookmarkStart w:id="1188" w:name="_Toc296891243"/>
      <w:bookmarkStart w:id="1189" w:name="_Toc297216204"/>
      <w:r>
        <w:rPr>
          <w:rFonts w:ascii="宋体" w:hAnsi="宋体"/>
          <w:b/>
          <w:bCs/>
          <w:color w:val="auto"/>
          <w:sz w:val="32"/>
          <w:szCs w:val="32"/>
          <w:highlight w:val="none"/>
        </w:rPr>
        <w:t>包人的合理化建议</w:t>
      </w:r>
      <w:bookmarkEnd w:id="1145"/>
      <w:bookmarkEnd w:id="1146"/>
      <w:bookmarkEnd w:id="1147"/>
      <w:bookmarkEnd w:id="1148"/>
      <w:bookmarkEnd w:id="1149"/>
      <w:bookmarkEnd w:id="1150"/>
      <w:bookmarkEnd w:id="1151"/>
      <w:bookmarkEnd w:id="1153"/>
      <w:bookmarkEnd w:id="1154"/>
      <w:bookmarkEnd w:id="1155"/>
      <w:bookmarkEnd w:id="1156"/>
      <w:bookmarkEnd w:id="1157"/>
      <w:bookmarkEnd w:id="1158"/>
    </w:p>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14:paraId="6F1D324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监理人审查承包人合理化建议的期限：</w:t>
      </w:r>
      <w:r>
        <w:rPr>
          <w:rFonts w:ascii="宋体" w:hAnsi="宋体"/>
          <w:color w:val="auto"/>
          <w:szCs w:val="21"/>
          <w:highlight w:val="none"/>
          <w:u w:val="single"/>
        </w:rPr>
        <w:t xml:space="preserve">    </w:t>
      </w:r>
      <w:r>
        <w:rPr>
          <w:rFonts w:hint="eastAsia" w:ascii="宋体" w:hAnsi="宋体"/>
          <w:b/>
          <w:bCs/>
          <w:color w:val="auto"/>
          <w:szCs w:val="21"/>
          <w:highlight w:val="none"/>
          <w:u w:val="single"/>
        </w:rPr>
        <w:t>7</w:t>
      </w:r>
      <w:r>
        <w:rPr>
          <w:rFonts w:hint="eastAsia" w:ascii="宋体" w:hAnsi="宋体"/>
          <w:color w:val="auto"/>
          <w:szCs w:val="21"/>
          <w:highlight w:val="none"/>
          <w:u w:val="single"/>
        </w:rPr>
        <w:t>天内</w:t>
      </w:r>
      <w:r>
        <w:rPr>
          <w:rFonts w:ascii="宋体" w:hAnsi="宋体"/>
          <w:color w:val="auto"/>
          <w:szCs w:val="21"/>
          <w:highlight w:val="none"/>
          <w:u w:val="single"/>
        </w:rPr>
        <w:t xml:space="preserve">     </w:t>
      </w:r>
      <w:r>
        <w:rPr>
          <w:rFonts w:ascii="宋体" w:hAnsi="宋体"/>
          <w:color w:val="auto"/>
          <w:szCs w:val="21"/>
          <w:highlight w:val="none"/>
        </w:rPr>
        <w:t>。</w:t>
      </w:r>
    </w:p>
    <w:p w14:paraId="6298D28B">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发包人审批承包人合理化建议的期限：</w:t>
      </w:r>
      <w:r>
        <w:rPr>
          <w:rFonts w:ascii="宋体" w:hAnsi="宋体"/>
          <w:color w:val="auto"/>
          <w:szCs w:val="21"/>
          <w:highlight w:val="none"/>
          <w:u w:val="single"/>
        </w:rPr>
        <w:t xml:space="preserve">    </w:t>
      </w:r>
      <w:r>
        <w:rPr>
          <w:rFonts w:hint="eastAsia" w:ascii="宋体" w:hAnsi="宋体"/>
          <w:b/>
          <w:bCs/>
          <w:color w:val="auto"/>
          <w:szCs w:val="21"/>
          <w:highlight w:val="none"/>
          <w:u w:val="single"/>
        </w:rPr>
        <w:t>7</w:t>
      </w:r>
      <w:r>
        <w:rPr>
          <w:rFonts w:hint="eastAsia" w:ascii="宋体" w:hAnsi="宋体"/>
          <w:color w:val="auto"/>
          <w:szCs w:val="21"/>
          <w:highlight w:val="none"/>
          <w:u w:val="single"/>
        </w:rPr>
        <w:t>天内</w:t>
      </w:r>
      <w:r>
        <w:rPr>
          <w:rFonts w:ascii="宋体" w:hAnsi="宋体"/>
          <w:color w:val="auto"/>
          <w:szCs w:val="21"/>
          <w:highlight w:val="none"/>
          <w:u w:val="single"/>
        </w:rPr>
        <w:t xml:space="preserve">     </w:t>
      </w:r>
      <w:r>
        <w:rPr>
          <w:rFonts w:ascii="宋体" w:hAnsi="宋体"/>
          <w:color w:val="auto"/>
          <w:szCs w:val="21"/>
          <w:highlight w:val="none"/>
        </w:rPr>
        <w:t>。</w:t>
      </w:r>
    </w:p>
    <w:p w14:paraId="75239944">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承</w:t>
      </w:r>
      <w:bookmarkStart w:id="1190" w:name="_Toc296944543"/>
      <w:bookmarkStart w:id="1191" w:name="_Toc304295571"/>
      <w:bookmarkStart w:id="1192" w:name="_Toc312677504"/>
      <w:bookmarkStart w:id="1193" w:name="_Toc297216205"/>
      <w:bookmarkStart w:id="1194" w:name="_Toc296891244"/>
      <w:bookmarkStart w:id="1195" w:name="_Toc296891032"/>
      <w:bookmarkStart w:id="1196" w:name="_Toc297048390"/>
      <w:bookmarkStart w:id="1197" w:name="_Toc292559409"/>
      <w:bookmarkStart w:id="1198" w:name="_Toc296347203"/>
      <w:bookmarkStart w:id="1199" w:name="_Toc303539152"/>
      <w:bookmarkStart w:id="1200" w:name="_Toc297123546"/>
      <w:bookmarkStart w:id="1201" w:name="_Toc292559914"/>
      <w:bookmarkStart w:id="1202" w:name="_Toc296503204"/>
      <w:bookmarkStart w:id="1203" w:name="_Toc318581175"/>
      <w:bookmarkStart w:id="1204" w:name="_Toc312678030"/>
      <w:bookmarkStart w:id="1205" w:name="_Toc297120504"/>
      <w:bookmarkStart w:id="1206" w:name="_Toc300934995"/>
      <w:bookmarkStart w:id="1207" w:name="_Toc296346705"/>
      <w:r>
        <w:rPr>
          <w:rFonts w:ascii="宋体" w:hAnsi="宋体"/>
          <w:color w:val="auto"/>
          <w:szCs w:val="21"/>
          <w:highlight w:val="none"/>
        </w:rPr>
        <w:t>包人提出的合理化建议降低了合同价格或者提高了工程经济效益的奖励的方法和金额为：</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14:paraId="7C0DA2A8">
      <w:pPr>
        <w:keepNext/>
        <w:keepLines/>
        <w:spacing w:before="260" w:after="260" w:line="416" w:lineRule="auto"/>
        <w:outlineLvl w:val="9"/>
        <w:rPr>
          <w:rFonts w:ascii="宋体" w:hAnsi="宋体"/>
          <w:b/>
          <w:bCs/>
          <w:color w:val="auto"/>
          <w:sz w:val="32"/>
          <w:szCs w:val="32"/>
          <w:highlight w:val="none"/>
        </w:rPr>
      </w:pPr>
      <w:bookmarkStart w:id="1208" w:name="_Toc373478391"/>
      <w:bookmarkStart w:id="1209" w:name="_Toc470247847"/>
      <w:bookmarkStart w:id="1210" w:name="_Toc389065310"/>
      <w:bookmarkStart w:id="1211" w:name="_Toc432343935"/>
      <w:bookmarkStart w:id="1212" w:name="_Toc529547372"/>
      <w:bookmarkStart w:id="1213" w:name="_Toc373227744"/>
      <w:bookmarkStart w:id="1214" w:name="_Toc454211159"/>
      <w:bookmarkStart w:id="1215" w:name="_Toc472931653"/>
      <w:bookmarkStart w:id="1216" w:name="_Toc530144514"/>
      <w:bookmarkStart w:id="1217" w:name="_Toc461179289"/>
      <w:bookmarkStart w:id="1218" w:name="_Toc529527020"/>
      <w:bookmarkStart w:id="1219" w:name="_Toc411345228"/>
      <w:bookmarkStart w:id="1220" w:name="_Toc531186649"/>
      <w:r>
        <w:rPr>
          <w:rFonts w:ascii="宋体" w:hAnsi="宋体"/>
          <w:b/>
          <w:bCs/>
          <w:color w:val="auto"/>
          <w:sz w:val="32"/>
          <w:szCs w:val="32"/>
          <w:highlight w:val="none"/>
        </w:rPr>
        <w:t>1</w:t>
      </w:r>
      <w:bookmarkStart w:id="1221" w:name="_Toc296346700"/>
      <w:bookmarkStart w:id="1222" w:name="_Toc296944538"/>
      <w:bookmarkStart w:id="1223" w:name="_Toc297048385"/>
      <w:bookmarkStart w:id="1224" w:name="_Toc292559404"/>
      <w:bookmarkStart w:id="1225" w:name="_Toc297120499"/>
      <w:bookmarkStart w:id="1226" w:name="_Toc303539154"/>
      <w:bookmarkStart w:id="1227" w:name="_Toc296891239"/>
      <w:bookmarkStart w:id="1228" w:name="_Toc312677507"/>
      <w:bookmarkStart w:id="1229" w:name="_Toc296347198"/>
      <w:bookmarkStart w:id="1230" w:name="_Toc297216207"/>
      <w:bookmarkStart w:id="1231" w:name="_Toc292559909"/>
      <w:bookmarkStart w:id="1232" w:name="_Toc296891027"/>
      <w:bookmarkStart w:id="1233" w:name="_Toc312678033"/>
      <w:bookmarkStart w:id="1234" w:name="_Toc300934997"/>
      <w:bookmarkStart w:id="1235" w:name="_Toc297123548"/>
      <w:bookmarkStart w:id="1236" w:name="_Toc304295574"/>
      <w:bookmarkStart w:id="1237" w:name="_Toc296503199"/>
      <w:r>
        <w:rPr>
          <w:rFonts w:ascii="宋体" w:hAnsi="宋体"/>
          <w:b/>
          <w:bCs/>
          <w:color w:val="auto"/>
          <w:sz w:val="32"/>
          <w:szCs w:val="32"/>
          <w:highlight w:val="none"/>
        </w:rPr>
        <w:t>0.7 暂估价</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p>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14:paraId="069A71B5">
      <w:pPr>
        <w:spacing w:line="360" w:lineRule="auto"/>
        <w:ind w:firstLine="420" w:firstLineChars="200"/>
        <w:jc w:val="left"/>
        <w:outlineLvl w:val="9"/>
        <w:rPr>
          <w:rFonts w:ascii="宋体" w:hAnsi="宋体"/>
          <w:color w:val="auto"/>
          <w:szCs w:val="21"/>
          <w:highlight w:val="none"/>
        </w:rPr>
      </w:pPr>
      <w:r>
        <w:rPr>
          <w:rFonts w:ascii="宋体" w:hAnsi="宋体"/>
          <w:color w:val="auto"/>
          <w:kern w:val="0"/>
          <w:szCs w:val="21"/>
          <w:highlight w:val="none"/>
        </w:rPr>
        <w:t>暂</w:t>
      </w:r>
      <w:bookmarkStart w:id="1238" w:name="_Toc318581176"/>
      <w:bookmarkStart w:id="1239" w:name="_Toc312678034"/>
      <w:bookmarkStart w:id="1240" w:name="_Toc312677508"/>
      <w:r>
        <w:rPr>
          <w:rFonts w:ascii="宋体" w:hAnsi="宋体"/>
          <w:color w:val="auto"/>
          <w:kern w:val="0"/>
          <w:szCs w:val="21"/>
          <w:highlight w:val="none"/>
        </w:rPr>
        <w:t>估价材料和工程设备的明细详见</w:t>
      </w:r>
      <w:r>
        <w:rPr>
          <w:rFonts w:hint="eastAsia" w:ascii="宋体" w:hAnsi="宋体"/>
          <w:color w:val="auto"/>
          <w:kern w:val="0"/>
          <w:szCs w:val="21"/>
          <w:highlight w:val="none"/>
        </w:rPr>
        <w:t>已标价工程量清单《</w:t>
      </w:r>
      <w:r>
        <w:rPr>
          <w:rFonts w:ascii="宋体" w:hAnsi="宋体"/>
          <w:color w:val="auto"/>
          <w:szCs w:val="21"/>
          <w:highlight w:val="none"/>
        </w:rPr>
        <w:t>材料（工程设备）暂估价格及调整表</w:t>
      </w:r>
      <w:r>
        <w:rPr>
          <w:rFonts w:hint="eastAsia" w:ascii="宋体" w:hAnsi="宋体"/>
          <w:color w:val="auto"/>
          <w:szCs w:val="21"/>
          <w:highlight w:val="none"/>
        </w:rPr>
        <w:t>》</w:t>
      </w:r>
      <w:r>
        <w:rPr>
          <w:rFonts w:hint="eastAsia" w:ascii="宋体" w:hAnsi="宋体"/>
          <w:color w:val="auto"/>
          <w:kern w:val="0"/>
          <w:szCs w:val="21"/>
          <w:highlight w:val="none"/>
        </w:rPr>
        <w:t>（表12-2）和《</w:t>
      </w:r>
      <w:r>
        <w:rPr>
          <w:rFonts w:ascii="宋体" w:hAnsi="宋体"/>
          <w:color w:val="auto"/>
          <w:szCs w:val="21"/>
          <w:highlight w:val="none"/>
        </w:rPr>
        <w:t>专业工程暂估价表</w:t>
      </w:r>
      <w:r>
        <w:rPr>
          <w:rFonts w:hint="eastAsia" w:ascii="宋体" w:hAnsi="宋体"/>
          <w:color w:val="auto"/>
          <w:szCs w:val="21"/>
          <w:highlight w:val="none"/>
        </w:rPr>
        <w:t>》（</w:t>
      </w:r>
      <w:r>
        <w:rPr>
          <w:rFonts w:hint="eastAsia" w:ascii="宋体" w:hAnsi="宋体"/>
          <w:color w:val="auto"/>
          <w:kern w:val="0"/>
          <w:szCs w:val="21"/>
          <w:highlight w:val="none"/>
        </w:rPr>
        <w:t>表12-3）</w:t>
      </w:r>
      <w:r>
        <w:rPr>
          <w:rFonts w:ascii="宋体" w:hAnsi="宋体"/>
          <w:color w:val="auto"/>
          <w:kern w:val="0"/>
          <w:szCs w:val="21"/>
          <w:highlight w:val="none"/>
        </w:rPr>
        <w:t>。</w:t>
      </w:r>
    </w:p>
    <w:bookmarkEnd w:id="1238"/>
    <w:bookmarkEnd w:id="1239"/>
    <w:bookmarkEnd w:id="1240"/>
    <w:p w14:paraId="10CB127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w:t>
      </w:r>
      <w:bookmarkStart w:id="1241" w:name="_Toc318581177"/>
      <w:bookmarkStart w:id="1242" w:name="_Toc312677509"/>
      <w:bookmarkStart w:id="1243" w:name="_Toc312678035"/>
      <w:r>
        <w:rPr>
          <w:rFonts w:ascii="宋体" w:hAnsi="宋体"/>
          <w:color w:val="auto"/>
          <w:szCs w:val="21"/>
          <w:highlight w:val="none"/>
        </w:rPr>
        <w:t>0.7.1 依法必须招标的暂估价项目</w:t>
      </w:r>
    </w:p>
    <w:bookmarkEnd w:id="1241"/>
    <w:bookmarkEnd w:id="1242"/>
    <w:bookmarkEnd w:id="1243"/>
    <w:p w14:paraId="079796A0">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对于依法必须招标的暂估价项目的确认和批准采取第</w:t>
      </w:r>
      <w:r>
        <w:rPr>
          <w:rFonts w:ascii="宋体" w:hAnsi="宋体"/>
          <w:color w:val="auto"/>
          <w:szCs w:val="21"/>
          <w:highlight w:val="none"/>
          <w:u w:val="single"/>
        </w:rPr>
        <w:t xml:space="preserve">  </w:t>
      </w:r>
      <w:r>
        <w:rPr>
          <w:rFonts w:hint="eastAsia" w:ascii="宋体" w:hAnsi="宋体"/>
          <w:b/>
          <w:bCs/>
          <w:color w:val="auto"/>
          <w:szCs w:val="21"/>
          <w:highlight w:val="none"/>
          <w:u w:val="single"/>
        </w:rPr>
        <w:t>1</w:t>
      </w:r>
      <w:r>
        <w:rPr>
          <w:rFonts w:ascii="宋体" w:hAnsi="宋体"/>
          <w:color w:val="auto"/>
          <w:szCs w:val="21"/>
          <w:highlight w:val="none"/>
          <w:u w:val="single"/>
        </w:rPr>
        <w:t xml:space="preserve">  </w:t>
      </w:r>
      <w:r>
        <w:rPr>
          <w:rFonts w:ascii="宋体" w:hAnsi="宋体"/>
          <w:color w:val="auto"/>
          <w:szCs w:val="21"/>
          <w:highlight w:val="none"/>
        </w:rPr>
        <w:t>种方式确定。</w:t>
      </w:r>
    </w:p>
    <w:p w14:paraId="7B170E6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10.7.2 不属于依法必须招标的暂估价项目</w:t>
      </w:r>
    </w:p>
    <w:p w14:paraId="7697384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对于不属于依法必须招标的暂估价项目的确认和批准采取第</w:t>
      </w:r>
      <w:r>
        <w:rPr>
          <w:rFonts w:ascii="宋体" w:hAnsi="宋体"/>
          <w:color w:val="auto"/>
          <w:szCs w:val="21"/>
          <w:highlight w:val="none"/>
          <w:u w:val="single"/>
        </w:rPr>
        <w:t xml:space="preserve">  </w:t>
      </w:r>
      <w:r>
        <w:rPr>
          <w:rFonts w:hint="eastAsia" w:ascii="宋体" w:hAnsi="宋体"/>
          <w:b/>
          <w:bCs/>
          <w:color w:val="auto"/>
          <w:szCs w:val="21"/>
          <w:highlight w:val="none"/>
          <w:u w:val="single"/>
        </w:rPr>
        <w:t>2</w:t>
      </w:r>
      <w:r>
        <w:rPr>
          <w:rFonts w:ascii="宋体" w:hAnsi="宋体"/>
          <w:color w:val="auto"/>
          <w:szCs w:val="21"/>
          <w:highlight w:val="none"/>
          <w:u w:val="single"/>
        </w:rPr>
        <w:t xml:space="preserve"> </w:t>
      </w:r>
      <w:r>
        <w:rPr>
          <w:rFonts w:ascii="宋体" w:hAnsi="宋体"/>
          <w:color w:val="auto"/>
          <w:szCs w:val="21"/>
          <w:highlight w:val="none"/>
        </w:rPr>
        <w:t xml:space="preserve"> 种方式确定。</w:t>
      </w:r>
    </w:p>
    <w:p w14:paraId="04071986">
      <w:pPr>
        <w:spacing w:line="360" w:lineRule="auto"/>
        <w:ind w:firstLine="420" w:firstLineChars="200"/>
        <w:jc w:val="left"/>
        <w:outlineLvl w:val="9"/>
        <w:rPr>
          <w:rFonts w:ascii="宋体" w:hAnsi="宋体"/>
          <w:color w:val="auto"/>
          <w:kern w:val="0"/>
          <w:szCs w:val="21"/>
          <w:highlight w:val="none"/>
        </w:rPr>
      </w:pPr>
      <w:r>
        <w:rPr>
          <w:rFonts w:ascii="宋体" w:hAnsi="宋体"/>
          <w:color w:val="auto"/>
          <w:szCs w:val="21"/>
          <w:highlight w:val="none"/>
        </w:rPr>
        <w:t>第3种方式：</w:t>
      </w:r>
      <w:r>
        <w:rPr>
          <w:rFonts w:ascii="宋体" w:hAnsi="宋体"/>
          <w:color w:val="auto"/>
          <w:kern w:val="0"/>
          <w:szCs w:val="21"/>
          <w:highlight w:val="none"/>
        </w:rPr>
        <w:t>承包人直接实施的暂估价项目</w:t>
      </w:r>
    </w:p>
    <w:p w14:paraId="4C241A20">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承包人直接实施的暂估价项目的约定：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5DE65190">
      <w:pPr>
        <w:keepNext/>
        <w:keepLines/>
        <w:spacing w:before="260" w:after="260" w:line="416" w:lineRule="auto"/>
        <w:outlineLvl w:val="9"/>
        <w:rPr>
          <w:rFonts w:ascii="宋体" w:hAnsi="宋体"/>
          <w:b/>
          <w:bCs/>
          <w:color w:val="auto"/>
          <w:sz w:val="32"/>
          <w:szCs w:val="32"/>
          <w:highlight w:val="none"/>
        </w:rPr>
      </w:pPr>
      <w:bookmarkStart w:id="1244" w:name="_Toc454211160"/>
      <w:bookmarkStart w:id="1245" w:name="_Toc529547373"/>
      <w:bookmarkStart w:id="1246" w:name="_Toc470247848"/>
      <w:bookmarkStart w:id="1247" w:name="_Toc389065311"/>
      <w:bookmarkStart w:id="1248" w:name="_Toc411345229"/>
      <w:bookmarkStart w:id="1249" w:name="_Toc529527021"/>
      <w:bookmarkStart w:id="1250" w:name="_Toc461179290"/>
      <w:bookmarkStart w:id="1251" w:name="_Toc531186650"/>
      <w:bookmarkStart w:id="1252" w:name="_Toc373478392"/>
      <w:bookmarkStart w:id="1253" w:name="_Toc373227745"/>
      <w:bookmarkStart w:id="1254" w:name="_Toc472931654"/>
      <w:bookmarkStart w:id="1255" w:name="_Toc432343936"/>
      <w:bookmarkStart w:id="1256" w:name="_Toc530144515"/>
      <w:r>
        <w:rPr>
          <w:rFonts w:ascii="宋体" w:hAnsi="宋体"/>
          <w:b/>
          <w:bCs/>
          <w:color w:val="auto"/>
          <w:sz w:val="32"/>
          <w:szCs w:val="32"/>
          <w:highlight w:val="none"/>
        </w:rPr>
        <w:t>10.8 暂列金额</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0D47C0B9">
      <w:pPr>
        <w:autoSpaceDE w:val="0"/>
        <w:autoSpaceDN w:val="0"/>
        <w:adjustRightInd w:val="0"/>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合同当事人关于暂列金额使用的约定：</w:t>
      </w:r>
      <w:r>
        <w:rPr>
          <w:rFonts w:hint="eastAsia" w:ascii="宋体" w:hAnsi="宋体"/>
          <w:bCs/>
          <w:color w:val="auto"/>
          <w:szCs w:val="28"/>
          <w:highlight w:val="none"/>
          <w:u w:val="single"/>
        </w:rPr>
        <w:t>暂列金额是发包人为可能发生的工程变更，或用于提供不可预见的货物、材料和工程设备等因素发生的工程价款调增，以及经确认的索赔、现场签证，或用于提供相关服务或意外事件等而预留的金额，并非支付给承包人的实际费用。暂列金额只能按照发包人的指示使用。结算时，暂列金额应按实际发生的情况进行结算，剩余部分仍归发包人所有，不支付给承包人。</w:t>
      </w:r>
    </w:p>
    <w:p w14:paraId="76EEB844">
      <w:pPr>
        <w:keepNext/>
        <w:keepLines/>
        <w:spacing w:before="260" w:after="260" w:line="416" w:lineRule="auto"/>
        <w:outlineLvl w:val="9"/>
        <w:rPr>
          <w:rFonts w:ascii="宋体" w:hAnsi="宋体"/>
          <w:b/>
          <w:bCs/>
          <w:color w:val="auto"/>
          <w:sz w:val="32"/>
          <w:szCs w:val="32"/>
          <w:highlight w:val="none"/>
        </w:rPr>
      </w:pPr>
      <w:bookmarkStart w:id="1257" w:name="_Toc351203643"/>
      <w:bookmarkStart w:id="1258" w:name="_Toc373478393"/>
      <w:bookmarkStart w:id="1259" w:name="_Toc531186651"/>
      <w:bookmarkStart w:id="1260" w:name="_Toc454211161"/>
      <w:bookmarkStart w:id="1261" w:name="_Toc472931655"/>
      <w:bookmarkStart w:id="1262" w:name="_Toc461179291"/>
      <w:bookmarkStart w:id="1263" w:name="_Toc373227746"/>
      <w:bookmarkStart w:id="1264" w:name="_Toc529527022"/>
      <w:bookmarkStart w:id="1265" w:name="_Toc530144516"/>
      <w:bookmarkStart w:id="1266" w:name="_Toc411345230"/>
      <w:bookmarkStart w:id="1267" w:name="_Toc389065312"/>
      <w:bookmarkStart w:id="1268" w:name="_Toc432343937"/>
      <w:bookmarkStart w:id="1269" w:name="_Toc529547374"/>
      <w:bookmarkStart w:id="1270" w:name="_Toc470247849"/>
      <w:r>
        <w:rPr>
          <w:rFonts w:ascii="宋体" w:hAnsi="宋体"/>
          <w:b/>
          <w:bCs/>
          <w:color w:val="auto"/>
          <w:sz w:val="32"/>
          <w:szCs w:val="32"/>
          <w:highlight w:val="none"/>
        </w:rPr>
        <w:t>11. 价格调整</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3B9EE43B">
      <w:pPr>
        <w:keepNext/>
        <w:keepLines/>
        <w:spacing w:before="260" w:after="260" w:line="416" w:lineRule="auto"/>
        <w:outlineLvl w:val="9"/>
        <w:rPr>
          <w:rFonts w:ascii="宋体" w:hAnsi="宋体"/>
          <w:b/>
          <w:bCs/>
          <w:color w:val="auto"/>
          <w:sz w:val="32"/>
          <w:szCs w:val="32"/>
          <w:highlight w:val="none"/>
        </w:rPr>
      </w:pPr>
      <w:bookmarkStart w:id="1271" w:name="_Toc373227747"/>
      <w:bookmarkStart w:id="1272" w:name="_Toc530144517"/>
      <w:bookmarkStart w:id="1273" w:name="_Toc373478394"/>
      <w:bookmarkStart w:id="1274" w:name="_Toc531186652"/>
      <w:bookmarkStart w:id="1275" w:name="_Toc461179292"/>
      <w:bookmarkStart w:id="1276" w:name="_Toc411345231"/>
      <w:bookmarkStart w:id="1277" w:name="_Toc470247850"/>
      <w:bookmarkStart w:id="1278" w:name="_Toc432343938"/>
      <w:bookmarkStart w:id="1279" w:name="_Toc472931656"/>
      <w:bookmarkStart w:id="1280" w:name="_Toc454211162"/>
      <w:bookmarkStart w:id="1281" w:name="_Toc529547375"/>
      <w:bookmarkStart w:id="1282" w:name="_Toc529527023"/>
      <w:bookmarkStart w:id="1283" w:name="_Toc389065313"/>
      <w:bookmarkStart w:id="1284" w:name="_Toc296891241"/>
      <w:bookmarkStart w:id="1285" w:name="_Toc303539157"/>
      <w:bookmarkStart w:id="1286" w:name="_Toc312678039"/>
      <w:bookmarkStart w:id="1287" w:name="_Toc304295577"/>
      <w:bookmarkStart w:id="1288" w:name="_Toc296503201"/>
      <w:bookmarkStart w:id="1289" w:name="_Toc296346702"/>
      <w:bookmarkStart w:id="1290" w:name="_Toc297216209"/>
      <w:bookmarkStart w:id="1291" w:name="_Toc296891029"/>
      <w:bookmarkStart w:id="1292" w:name="_Toc297120501"/>
      <w:bookmarkStart w:id="1293" w:name="_Toc296347200"/>
      <w:bookmarkStart w:id="1294" w:name="_Toc296944540"/>
      <w:bookmarkStart w:id="1295" w:name="_Toc297048387"/>
      <w:bookmarkStart w:id="1296" w:name="_Toc292559406"/>
      <w:bookmarkStart w:id="1297" w:name="_Toc292559911"/>
      <w:bookmarkStart w:id="1298" w:name="_Toc300935000"/>
      <w:bookmarkStart w:id="1299" w:name="_Toc297123550"/>
      <w:r>
        <w:rPr>
          <w:rFonts w:ascii="宋体" w:hAnsi="宋体"/>
          <w:b/>
          <w:bCs/>
          <w:color w:val="auto"/>
          <w:sz w:val="32"/>
          <w:szCs w:val="32"/>
          <w:highlight w:val="none"/>
        </w:rPr>
        <w:t>11.1 市场价格波动引起的调整</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14:paraId="11CC0644">
      <w:pPr>
        <w:spacing w:line="360" w:lineRule="auto"/>
        <w:ind w:firstLine="396" w:firstLineChars="200"/>
        <w:outlineLvl w:val="9"/>
        <w:rPr>
          <w:rFonts w:ascii="宋体" w:hAnsi="宋体"/>
          <w:color w:val="auto"/>
          <w:szCs w:val="22"/>
          <w:highlight w:val="none"/>
        </w:rPr>
      </w:pPr>
      <w:r>
        <w:rPr>
          <w:rFonts w:hint="eastAsia" w:ascii="宋体" w:hAnsi="宋体" w:cs="宋体"/>
          <w:color w:val="auto"/>
          <w:spacing w:val="-6"/>
          <w:kern w:val="0"/>
          <w:szCs w:val="22"/>
          <w:highlight w:val="none"/>
        </w:rPr>
        <w:t>采用可调价格形式的工程项目价格调整的条件是：主要材料价格上涨或下调超过</w:t>
      </w:r>
      <w:r>
        <w:rPr>
          <w:rFonts w:hint="eastAsia" w:ascii="宋体" w:hAnsi="宋体"/>
          <w:color w:val="auto"/>
          <w:spacing w:val="-6"/>
          <w:kern w:val="0"/>
          <w:szCs w:val="22"/>
          <w:highlight w:val="none"/>
        </w:rPr>
        <w:t>5%</w:t>
      </w:r>
      <w:r>
        <w:rPr>
          <w:rFonts w:hint="eastAsia" w:ascii="宋体" w:hAnsi="宋体" w:cs="宋体"/>
          <w:color w:val="auto"/>
          <w:spacing w:val="-6"/>
          <w:kern w:val="0"/>
          <w:szCs w:val="22"/>
          <w:highlight w:val="none"/>
        </w:rPr>
        <w:t>时（价格以当期防城港市建设工程造价信息为准），可对超出</w:t>
      </w:r>
      <w:r>
        <w:rPr>
          <w:rFonts w:ascii="宋体" w:hAnsi="宋体"/>
          <w:color w:val="auto"/>
          <w:spacing w:val="-6"/>
          <w:kern w:val="0"/>
          <w:szCs w:val="22"/>
          <w:highlight w:val="none"/>
        </w:rPr>
        <w:t>5%</w:t>
      </w:r>
      <w:r>
        <w:rPr>
          <w:rFonts w:hint="eastAsia" w:ascii="宋体" w:hAnsi="宋体" w:cs="宋体"/>
          <w:color w:val="auto"/>
          <w:spacing w:val="-6"/>
          <w:kern w:val="0"/>
          <w:szCs w:val="22"/>
          <w:highlight w:val="none"/>
        </w:rPr>
        <w:t>的部分进行协商调价，</w:t>
      </w:r>
      <w:r>
        <w:rPr>
          <w:rFonts w:hint="eastAsia" w:ascii="宋体" w:hAnsi="宋体"/>
          <w:color w:val="auto"/>
          <w:spacing w:val="-6"/>
          <w:kern w:val="0"/>
          <w:szCs w:val="22"/>
          <w:highlight w:val="none"/>
        </w:rPr>
        <w:t>5%</w:t>
      </w:r>
      <w:r>
        <w:rPr>
          <w:rFonts w:hint="eastAsia" w:ascii="宋体" w:hAnsi="宋体" w:cs="宋体"/>
          <w:color w:val="auto"/>
          <w:spacing w:val="-6"/>
          <w:kern w:val="0"/>
          <w:szCs w:val="22"/>
          <w:highlight w:val="none"/>
        </w:rPr>
        <w:t>（含</w:t>
      </w:r>
      <w:r>
        <w:rPr>
          <w:rFonts w:hint="eastAsia" w:ascii="宋体" w:hAnsi="宋体"/>
          <w:color w:val="auto"/>
          <w:spacing w:val="-6"/>
          <w:kern w:val="0"/>
          <w:szCs w:val="22"/>
          <w:highlight w:val="none"/>
        </w:rPr>
        <w:t>5%</w:t>
      </w:r>
      <w:r>
        <w:rPr>
          <w:rFonts w:hint="eastAsia" w:ascii="宋体" w:hAnsi="宋体" w:cs="宋体"/>
          <w:color w:val="auto"/>
          <w:spacing w:val="-6"/>
          <w:kern w:val="0"/>
          <w:szCs w:val="22"/>
          <w:highlight w:val="none"/>
        </w:rPr>
        <w:t>）以内部分不做调整。</w:t>
      </w:r>
    </w:p>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14:paraId="6B354B9C">
      <w:pPr>
        <w:spacing w:line="360" w:lineRule="auto"/>
        <w:ind w:firstLine="420" w:firstLineChars="200"/>
        <w:outlineLvl w:val="9"/>
        <w:rPr>
          <w:rFonts w:ascii="宋体" w:hAnsi="宋体"/>
          <w:color w:val="auto"/>
          <w:szCs w:val="21"/>
          <w:highlight w:val="none"/>
          <w:u w:val="single"/>
        </w:rPr>
      </w:pPr>
      <w:r>
        <w:rPr>
          <w:rFonts w:ascii="宋体" w:hAnsi="宋体"/>
          <w:color w:val="auto"/>
          <w:kern w:val="0"/>
          <w:szCs w:val="21"/>
          <w:highlight w:val="none"/>
        </w:rPr>
        <w:t>市场价格波动是否调整合同价格的约定：</w:t>
      </w:r>
      <w:r>
        <w:rPr>
          <w:rFonts w:hint="eastAsia" w:ascii="宋体" w:hAnsi="宋体"/>
          <w:color w:val="auto"/>
          <w:szCs w:val="21"/>
          <w:highlight w:val="none"/>
          <w:u w:val="single"/>
        </w:rPr>
        <w:t>可调</w:t>
      </w:r>
      <w:r>
        <w:rPr>
          <w:rFonts w:ascii="宋体" w:hAnsi="宋体"/>
          <w:color w:val="auto"/>
          <w:szCs w:val="21"/>
          <w:highlight w:val="none"/>
          <w:u w:val="single"/>
        </w:rPr>
        <w:t>。</w:t>
      </w:r>
    </w:p>
    <w:p w14:paraId="5E786821">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因市场价格波动调整合同价格，采用以下第</w:t>
      </w:r>
      <w:r>
        <w:rPr>
          <w:rFonts w:ascii="宋体" w:hAnsi="宋体"/>
          <w:color w:val="auto"/>
          <w:szCs w:val="21"/>
          <w:highlight w:val="none"/>
          <w:u w:val="single"/>
        </w:rPr>
        <w:t xml:space="preserve">  </w:t>
      </w:r>
      <w:r>
        <w:rPr>
          <w:rFonts w:hint="eastAsia" w:ascii="宋体" w:hAnsi="宋体"/>
          <w:b/>
          <w:bCs/>
          <w:color w:val="auto"/>
          <w:szCs w:val="21"/>
          <w:highlight w:val="none"/>
          <w:u w:val="single"/>
        </w:rPr>
        <w:t>3</w:t>
      </w:r>
      <w:r>
        <w:rPr>
          <w:rFonts w:ascii="宋体" w:hAnsi="宋体"/>
          <w:color w:val="auto"/>
          <w:szCs w:val="21"/>
          <w:highlight w:val="none"/>
          <w:u w:val="single"/>
        </w:rPr>
        <w:t xml:space="preserve">  </w:t>
      </w:r>
      <w:r>
        <w:rPr>
          <w:rFonts w:ascii="宋体" w:hAnsi="宋体"/>
          <w:color w:val="auto"/>
          <w:szCs w:val="21"/>
          <w:highlight w:val="none"/>
        </w:rPr>
        <w:t>种方式对合同价格进行调整：</w:t>
      </w:r>
    </w:p>
    <w:p w14:paraId="25DA4948">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第1种方式：采用价格指数进行价格调整。</w:t>
      </w:r>
    </w:p>
    <w:p w14:paraId="2F2CEC08">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关于各可调因子、定值和变值权重，以及基本价格指数及其来源的约定：</w:t>
      </w:r>
      <w:r>
        <w:rPr>
          <w:rFonts w:ascii="宋体" w:hAnsi="宋体"/>
          <w:color w:val="auto"/>
          <w:szCs w:val="21"/>
          <w:highlight w:val="none"/>
          <w:u w:val="single"/>
        </w:rPr>
        <w:t xml:space="preserve">                </w:t>
      </w:r>
      <w:r>
        <w:rPr>
          <w:rFonts w:ascii="宋体" w:hAnsi="宋体"/>
          <w:color w:val="auto"/>
          <w:szCs w:val="21"/>
          <w:highlight w:val="none"/>
        </w:rPr>
        <w:t xml:space="preserve">；  </w:t>
      </w:r>
    </w:p>
    <w:p w14:paraId="1ADDE78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第2种方式：采用造价信息进行价格调整。</w:t>
      </w:r>
    </w:p>
    <w:p w14:paraId="5295D615">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（1）允许调整的主要材料（设备）、基期价格、风险系数、投标报价：详见《承包人提供主要材料和设备一览表》。</w:t>
      </w:r>
    </w:p>
    <w:p w14:paraId="59F5C5F0">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（2）主要材料确认价：</w:t>
      </w:r>
    </w:p>
    <w:p w14:paraId="40F0A756">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按施工期间《</w:t>
      </w:r>
      <w:r>
        <w:rPr>
          <w:rFonts w:ascii="宋体" w:hAnsi="宋体"/>
          <w:color w:val="auto"/>
          <w:szCs w:val="21"/>
          <w:highlight w:val="none"/>
          <w:u w:val="single"/>
        </w:rPr>
        <w:t xml:space="preserve"> </w:t>
      </w:r>
      <w:r>
        <w:rPr>
          <w:rFonts w:hint="eastAsia" w:ascii="宋体" w:hAnsi="宋体"/>
          <w:color w:val="auto"/>
          <w:szCs w:val="21"/>
          <w:highlight w:val="none"/>
          <w:u w:val="single"/>
        </w:rPr>
        <w:t>防城港</w:t>
      </w:r>
      <w:r>
        <w:rPr>
          <w:rFonts w:ascii="宋体" w:hAnsi="宋体"/>
          <w:color w:val="auto"/>
          <w:szCs w:val="21"/>
          <w:highlight w:val="none"/>
          <w:u w:val="single"/>
        </w:rPr>
        <w:t xml:space="preserve"> </w:t>
      </w:r>
      <w:r>
        <w:rPr>
          <w:rFonts w:ascii="宋体" w:hAnsi="宋体"/>
          <w:color w:val="auto"/>
          <w:szCs w:val="21"/>
          <w:highlight w:val="none"/>
        </w:rPr>
        <w:t>市建设工程造价信息》加权平均计算，信息价没有的按通用条款规定确定。</w:t>
      </w:r>
    </w:p>
    <w:p w14:paraId="48165D0A">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（3）价差计算方法：</w:t>
      </w:r>
    </w:p>
    <w:p w14:paraId="624FA342">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①《承包人提供主要材料和设备一览表》中载明的材料投标报价低于基准价格的：合同履行期间材料单价涨幅以基准价格为基础超过约定的风险范围时，或材料单价跌幅以投标报价为基础超过约定的风险范围时，其超过部分据实调整。</w:t>
      </w:r>
    </w:p>
    <w:p w14:paraId="60807D71">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②承包人在《承包人提供主要材料和设备一览表》中载明的材料投标报价高于基准价格的：专用合同条款合同履行期间材料单价跌幅以基准价格为基础超过约定的风险范围时，材料单价涨幅以投标报价为基础超过约定的风险范围时，其超过部分据实调整。</w:t>
      </w:r>
    </w:p>
    <w:p w14:paraId="6388A5B6">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③承包人在《承包人提供主要材料和设备一览表》中载明的材料单价等于基准单价的：合同履行期间材料单价涨跌幅以基准单价为基础超过约定的风险范围时，其超过部分据实调整。</w:t>
      </w:r>
    </w:p>
    <w:p w14:paraId="245F7727">
      <w:pPr>
        <w:spacing w:line="360" w:lineRule="auto"/>
        <w:ind w:firstLine="420" w:firstLineChars="200"/>
        <w:outlineLvl w:val="9"/>
        <w:rPr>
          <w:rFonts w:ascii="宋体" w:hAnsi="宋体"/>
          <w:color w:val="auto"/>
          <w:szCs w:val="22"/>
          <w:highlight w:val="none"/>
          <w:u w:val="single"/>
        </w:rPr>
      </w:pPr>
      <w:r>
        <w:rPr>
          <w:rFonts w:ascii="宋体" w:hAnsi="宋体"/>
          <w:color w:val="auto"/>
          <w:szCs w:val="21"/>
          <w:highlight w:val="none"/>
        </w:rPr>
        <w:t>第</w:t>
      </w:r>
      <w:r>
        <w:rPr>
          <w:rFonts w:hint="eastAsia" w:ascii="宋体" w:hAnsi="宋体"/>
          <w:color w:val="auto"/>
          <w:szCs w:val="21"/>
          <w:highlight w:val="none"/>
        </w:rPr>
        <w:t>3</w:t>
      </w:r>
      <w:r>
        <w:rPr>
          <w:rFonts w:ascii="宋体" w:hAnsi="宋体"/>
          <w:color w:val="auto"/>
          <w:szCs w:val="21"/>
          <w:highlight w:val="none"/>
        </w:rPr>
        <w:t>种方</w:t>
      </w:r>
      <w:r>
        <w:rPr>
          <w:rFonts w:hint="eastAsia" w:ascii="宋体" w:hAnsi="宋体"/>
          <w:color w:val="auto"/>
          <w:szCs w:val="21"/>
          <w:highlight w:val="none"/>
        </w:rPr>
        <w:t>式</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2"/>
          <w:highlight w:val="none"/>
          <w:u w:val="single"/>
        </w:rPr>
        <w:t> 在合同工期范围内，乙方须承担主要材料±5%以内（含±5%）的材料价格风险， 超出±5%的部分按实际施工时间当期的《防城港市建设工程造价信息》调价，当期信息价没有的，双方协商，市场询价。</w:t>
      </w:r>
    </w:p>
    <w:p w14:paraId="4C8D2560">
      <w:pPr>
        <w:spacing w:line="360" w:lineRule="auto"/>
        <w:jc w:val="left"/>
        <w:outlineLvl w:val="9"/>
        <w:rPr>
          <w:rFonts w:ascii="宋体" w:hAnsi="宋体"/>
          <w:b/>
          <w:color w:val="auto"/>
          <w:szCs w:val="21"/>
          <w:highlight w:val="none"/>
        </w:rPr>
      </w:pPr>
      <w:r>
        <w:rPr>
          <w:rFonts w:hint="eastAsia" w:ascii="宋体" w:hAnsi="宋体"/>
          <w:b/>
          <w:color w:val="auto"/>
          <w:szCs w:val="21"/>
          <w:highlight w:val="none"/>
        </w:rPr>
        <w:t>11.2不平衡报价调整方式</w:t>
      </w:r>
    </w:p>
    <w:p w14:paraId="160744A8">
      <w:pPr>
        <w:spacing w:line="360" w:lineRule="auto"/>
        <w:ind w:firstLine="413" w:firstLineChars="196"/>
        <w:jc w:val="left"/>
        <w:outlineLvl w:val="9"/>
        <w:rPr>
          <w:rFonts w:ascii="宋体" w:hAnsi="宋体"/>
          <w:b/>
          <w:color w:val="auto"/>
          <w:szCs w:val="21"/>
          <w:highlight w:val="none"/>
        </w:rPr>
      </w:pPr>
      <w:r>
        <w:rPr>
          <w:rFonts w:hint="eastAsia" w:ascii="宋体" w:hAnsi="宋体"/>
          <w:b/>
          <w:color w:val="auto"/>
          <w:szCs w:val="21"/>
          <w:highlight w:val="none"/>
        </w:rPr>
        <w:t>按防住建发[2016]31号文《防城港市政府投资项目房屋建筑和市政基础设施工程严重不平衡报价修正暂行办法》的规定进行修正。</w:t>
      </w:r>
    </w:p>
    <w:bookmarkEnd w:id="1082"/>
    <w:bookmarkEnd w:id="1083"/>
    <w:bookmarkEnd w:id="1084"/>
    <w:bookmarkEnd w:id="1085"/>
    <w:bookmarkEnd w:id="1086"/>
    <w:bookmarkEnd w:id="1087"/>
    <w:p w14:paraId="06E9B705">
      <w:pPr>
        <w:keepNext/>
        <w:keepLines/>
        <w:spacing w:before="260" w:after="260" w:line="416" w:lineRule="auto"/>
        <w:outlineLvl w:val="9"/>
        <w:rPr>
          <w:rFonts w:ascii="宋体" w:hAnsi="宋体"/>
          <w:b/>
          <w:bCs/>
          <w:color w:val="auto"/>
          <w:sz w:val="32"/>
          <w:szCs w:val="32"/>
          <w:highlight w:val="none"/>
        </w:rPr>
      </w:pPr>
      <w:bookmarkStart w:id="1300" w:name="_Toc296891245"/>
      <w:bookmarkStart w:id="1301" w:name="_Toc296503205"/>
      <w:bookmarkStart w:id="1302" w:name="_Toc296346706"/>
      <w:bookmarkStart w:id="1303" w:name="_Toc292559410"/>
      <w:bookmarkStart w:id="1304" w:name="_Toc297120505"/>
      <w:bookmarkStart w:id="1305" w:name="_Toc292559915"/>
      <w:bookmarkStart w:id="1306" w:name="_Toc296944544"/>
      <w:bookmarkStart w:id="1307" w:name="_Toc297048391"/>
      <w:bookmarkStart w:id="1308" w:name="_Toc296891033"/>
      <w:bookmarkStart w:id="1309" w:name="_Toc296347204"/>
      <w:bookmarkStart w:id="1310" w:name="_Toc531186653"/>
      <w:bookmarkStart w:id="1311" w:name="_Toc351203644"/>
      <w:bookmarkStart w:id="1312" w:name="_Toc529547376"/>
      <w:bookmarkStart w:id="1313" w:name="_Toc373227748"/>
      <w:bookmarkStart w:id="1314" w:name="_Toc530144518"/>
      <w:bookmarkStart w:id="1315" w:name="_Toc432343939"/>
      <w:bookmarkStart w:id="1316" w:name="_Toc454211163"/>
      <w:bookmarkStart w:id="1317" w:name="_Toc461179293"/>
      <w:bookmarkStart w:id="1318" w:name="_Toc373478395"/>
      <w:bookmarkStart w:id="1319" w:name="_Toc529527024"/>
      <w:bookmarkStart w:id="1320" w:name="_Toc472931657"/>
      <w:bookmarkStart w:id="1321" w:name="_Toc470247851"/>
      <w:bookmarkStart w:id="1322" w:name="_Toc411345232"/>
      <w:bookmarkStart w:id="1323" w:name="_Toc303539159"/>
      <w:bookmarkStart w:id="1324" w:name="_Toc300935002"/>
      <w:bookmarkStart w:id="1325" w:name="_Toc297216211"/>
      <w:bookmarkStart w:id="1326" w:name="_Toc312678040"/>
      <w:bookmarkStart w:id="1327" w:name="_Toc304295579"/>
      <w:bookmarkStart w:id="1328" w:name="_Toc297123552"/>
      <w:r>
        <w:rPr>
          <w:rFonts w:ascii="宋体" w:hAnsi="宋体"/>
          <w:b/>
          <w:bCs/>
          <w:color w:val="auto"/>
          <w:sz w:val="32"/>
          <w:szCs w:val="32"/>
          <w:highlight w:val="none"/>
        </w:rPr>
        <w:t xml:space="preserve">12. </w:t>
      </w:r>
      <w:bookmarkEnd w:id="1300"/>
      <w:bookmarkEnd w:id="1301"/>
      <w:bookmarkEnd w:id="1302"/>
      <w:bookmarkEnd w:id="1303"/>
      <w:bookmarkEnd w:id="1304"/>
      <w:bookmarkEnd w:id="1305"/>
      <w:bookmarkEnd w:id="1306"/>
      <w:bookmarkEnd w:id="1307"/>
      <w:bookmarkEnd w:id="1308"/>
      <w:bookmarkEnd w:id="1309"/>
      <w:r>
        <w:rPr>
          <w:rFonts w:ascii="宋体" w:hAnsi="宋体"/>
          <w:b/>
          <w:bCs/>
          <w:color w:val="auto"/>
          <w:sz w:val="32"/>
          <w:szCs w:val="32"/>
          <w:highlight w:val="none"/>
        </w:rPr>
        <w:t>合同价格、计量与支付</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p>
    <w:bookmarkEnd w:id="1323"/>
    <w:bookmarkEnd w:id="1324"/>
    <w:bookmarkEnd w:id="1325"/>
    <w:bookmarkEnd w:id="1326"/>
    <w:bookmarkEnd w:id="1327"/>
    <w:bookmarkEnd w:id="1328"/>
    <w:p w14:paraId="7C4421C5">
      <w:pPr>
        <w:keepNext/>
        <w:keepLines/>
        <w:spacing w:before="260" w:after="260" w:line="416" w:lineRule="auto"/>
        <w:outlineLvl w:val="9"/>
        <w:rPr>
          <w:b/>
          <w:bCs/>
          <w:color w:val="auto"/>
          <w:sz w:val="32"/>
          <w:szCs w:val="32"/>
          <w:highlight w:val="none"/>
        </w:rPr>
      </w:pPr>
      <w:bookmarkStart w:id="1329" w:name="_Toc292559411"/>
      <w:bookmarkStart w:id="1330" w:name="_Toc292559916"/>
      <w:bookmarkStart w:id="1331" w:name="_Toc267251461"/>
      <w:bookmarkStart w:id="1332" w:name="_Toc296346707"/>
      <w:bookmarkStart w:id="1333" w:name="_Toc297120506"/>
      <w:bookmarkStart w:id="1334" w:name="_Toc296503206"/>
      <w:bookmarkStart w:id="1335" w:name="_Toc296891246"/>
      <w:bookmarkStart w:id="1336" w:name="_Toc296891034"/>
      <w:bookmarkStart w:id="1337" w:name="_Toc296347205"/>
      <w:bookmarkStart w:id="1338" w:name="_Toc296944545"/>
      <w:bookmarkStart w:id="1339" w:name="_Toc297048392"/>
      <w:bookmarkStart w:id="1340" w:name="_Toc531186654"/>
      <w:bookmarkStart w:id="1341" w:name="_Toc470247852"/>
      <w:bookmarkStart w:id="1342" w:name="_Toc530144519"/>
      <w:bookmarkStart w:id="1343" w:name="_Toc465114909"/>
      <w:bookmarkStart w:id="1344" w:name="_Toc529547377"/>
      <w:bookmarkStart w:id="1345" w:name="_Toc472931658"/>
      <w:bookmarkStart w:id="1346" w:name="_Toc373227749"/>
      <w:bookmarkStart w:id="1347" w:name="_Toc389065314"/>
      <w:bookmarkStart w:id="1348" w:name="_Toc373478396"/>
      <w:bookmarkStart w:id="1349" w:name="_Toc529527025"/>
      <w:bookmarkStart w:id="1350" w:name="_Toc297123553"/>
      <w:bookmarkStart w:id="1351" w:name="_Toc303539160"/>
      <w:bookmarkStart w:id="1352" w:name="_Toc297216212"/>
      <w:bookmarkStart w:id="1353" w:name="_Toc300935003"/>
      <w:bookmarkStart w:id="1354" w:name="_Toc304295580"/>
      <w:bookmarkStart w:id="1355" w:name="_Toc312678041"/>
      <w:bookmarkStart w:id="1356" w:name="_Toc373227750"/>
      <w:bookmarkStart w:id="1357" w:name="_Toc373478397"/>
      <w:bookmarkStart w:id="1358" w:name="_Toc389065315"/>
      <w:bookmarkStart w:id="1359" w:name="_Toc312678042"/>
      <w:bookmarkStart w:id="1360" w:name="_Toc297123554"/>
      <w:bookmarkStart w:id="1361" w:name="_Toc297216213"/>
      <w:bookmarkStart w:id="1362" w:name="_Toc300935004"/>
      <w:bookmarkStart w:id="1363" w:name="_Toc303539161"/>
      <w:bookmarkStart w:id="1364" w:name="_Toc304295581"/>
      <w:bookmarkStart w:id="1365" w:name="_Toc296891247"/>
      <w:bookmarkStart w:id="1366" w:name="_Toc296891035"/>
      <w:bookmarkStart w:id="1367" w:name="_Toc296347206"/>
      <w:bookmarkStart w:id="1368" w:name="_Toc297048393"/>
      <w:bookmarkStart w:id="1369" w:name="_Toc296346708"/>
      <w:bookmarkStart w:id="1370" w:name="_Toc292559412"/>
      <w:bookmarkStart w:id="1371" w:name="_Toc296503207"/>
      <w:bookmarkStart w:id="1372" w:name="_Toc296944546"/>
      <w:bookmarkStart w:id="1373" w:name="_Toc292559917"/>
      <w:bookmarkStart w:id="1374" w:name="_Toc297120507"/>
      <w:r>
        <w:rPr>
          <w:b/>
          <w:bCs/>
          <w:color w:val="auto"/>
          <w:sz w:val="32"/>
          <w:szCs w:val="32"/>
          <w:highlight w:val="none"/>
        </w:rPr>
        <w:t xml:space="preserve">12.1 </w:t>
      </w:r>
      <w:r>
        <w:rPr>
          <w:rFonts w:hAnsi="宋体"/>
          <w:b/>
          <w:bCs/>
          <w:color w:val="auto"/>
          <w:sz w:val="32"/>
          <w:szCs w:val="32"/>
          <w:highlight w:val="none"/>
        </w:rPr>
        <w:t>合</w:t>
      </w:r>
      <w:bookmarkEnd w:id="1329"/>
      <w:bookmarkEnd w:id="1330"/>
      <w:bookmarkEnd w:id="1331"/>
      <w:r>
        <w:rPr>
          <w:rFonts w:hAnsi="宋体"/>
          <w:b/>
          <w:bCs/>
          <w:color w:val="auto"/>
          <w:sz w:val="32"/>
          <w:szCs w:val="32"/>
          <w:highlight w:val="none"/>
        </w:rPr>
        <w:t>同价</w:t>
      </w:r>
      <w:bookmarkEnd w:id="1332"/>
      <w:bookmarkEnd w:id="1333"/>
      <w:bookmarkEnd w:id="1334"/>
      <w:bookmarkEnd w:id="1335"/>
      <w:bookmarkEnd w:id="1336"/>
      <w:bookmarkEnd w:id="1337"/>
      <w:bookmarkEnd w:id="1338"/>
      <w:bookmarkEnd w:id="1339"/>
      <w:r>
        <w:rPr>
          <w:rFonts w:hAnsi="宋体"/>
          <w:b/>
          <w:bCs/>
          <w:color w:val="auto"/>
          <w:sz w:val="32"/>
          <w:szCs w:val="32"/>
          <w:highlight w:val="none"/>
        </w:rPr>
        <w:t>格形式</w:t>
      </w:r>
      <w:bookmarkEnd w:id="1340"/>
      <w:bookmarkEnd w:id="1341"/>
      <w:bookmarkEnd w:id="1342"/>
      <w:bookmarkEnd w:id="1343"/>
      <w:bookmarkEnd w:id="1344"/>
      <w:bookmarkEnd w:id="1345"/>
      <w:bookmarkEnd w:id="1346"/>
      <w:bookmarkEnd w:id="1347"/>
      <w:bookmarkEnd w:id="1348"/>
      <w:bookmarkEnd w:id="1349"/>
    </w:p>
    <w:bookmarkEnd w:id="1350"/>
    <w:bookmarkEnd w:id="1351"/>
    <w:bookmarkEnd w:id="1352"/>
    <w:bookmarkEnd w:id="1353"/>
    <w:bookmarkEnd w:id="1354"/>
    <w:bookmarkEnd w:id="1355"/>
    <w:p w14:paraId="3D361FD4">
      <w:pPr>
        <w:spacing w:line="360" w:lineRule="auto"/>
        <w:ind w:firstLine="420" w:firstLineChars="200"/>
        <w:jc w:val="left"/>
        <w:outlineLvl w:val="9"/>
        <w:rPr>
          <w:rFonts w:ascii="Calibri" w:hAnsi="宋体"/>
          <w:color w:val="auto"/>
          <w:szCs w:val="21"/>
          <w:highlight w:val="none"/>
        </w:rPr>
      </w:pPr>
      <w:r>
        <w:rPr>
          <w:rFonts w:hint="eastAsia" w:ascii="Calibri" w:hAnsi="宋体"/>
          <w:color w:val="auto"/>
          <w:szCs w:val="21"/>
          <w:highlight w:val="none"/>
        </w:rPr>
        <w:t>本工程采用</w:t>
      </w:r>
      <w:r>
        <w:rPr>
          <w:rFonts w:hint="eastAsia" w:ascii="Calibri" w:hAnsi="宋体"/>
          <w:color w:val="auto"/>
          <w:szCs w:val="21"/>
          <w:highlight w:val="none"/>
          <w:u w:val="single"/>
        </w:rPr>
        <w:t xml:space="preserve">    （1）    </w:t>
      </w:r>
      <w:r>
        <w:rPr>
          <w:rFonts w:hint="eastAsia" w:ascii="Calibri" w:hAnsi="宋体"/>
          <w:color w:val="auto"/>
          <w:szCs w:val="21"/>
          <w:highlight w:val="none"/>
        </w:rPr>
        <w:t>合同价格形式。</w:t>
      </w:r>
    </w:p>
    <w:p w14:paraId="12FB3B6E">
      <w:pPr>
        <w:spacing w:line="360" w:lineRule="auto"/>
        <w:ind w:firstLine="420" w:firstLineChars="200"/>
        <w:jc w:val="left"/>
        <w:outlineLvl w:val="9"/>
        <w:rPr>
          <w:rFonts w:ascii="Calibri" w:hAnsi="宋体"/>
          <w:color w:val="auto"/>
          <w:szCs w:val="21"/>
          <w:highlight w:val="none"/>
        </w:rPr>
      </w:pPr>
      <w:r>
        <w:rPr>
          <w:rFonts w:hint="eastAsia" w:ascii="Calibri" w:hAnsi="宋体"/>
          <w:color w:val="auto"/>
          <w:szCs w:val="21"/>
          <w:highlight w:val="none"/>
        </w:rPr>
        <w:t>（</w:t>
      </w:r>
      <w:r>
        <w:rPr>
          <w:rFonts w:ascii="Calibri" w:hAnsi="宋体"/>
          <w:color w:val="auto"/>
          <w:szCs w:val="21"/>
          <w:highlight w:val="none"/>
        </w:rPr>
        <w:t>1</w:t>
      </w:r>
      <w:r>
        <w:rPr>
          <w:rFonts w:hint="eastAsia" w:ascii="Calibri" w:hAnsi="宋体"/>
          <w:color w:val="auto"/>
          <w:szCs w:val="21"/>
          <w:highlight w:val="none"/>
        </w:rPr>
        <w:t>）</w:t>
      </w:r>
      <w:r>
        <w:rPr>
          <w:rFonts w:ascii="Calibri" w:hAnsi="宋体"/>
          <w:color w:val="auto"/>
          <w:szCs w:val="21"/>
          <w:highlight w:val="none"/>
        </w:rPr>
        <w:t>单价合同。</w:t>
      </w:r>
    </w:p>
    <w:p w14:paraId="572ACD20">
      <w:pPr>
        <w:spacing w:line="360" w:lineRule="auto"/>
        <w:ind w:firstLine="420" w:firstLineChars="200"/>
        <w:jc w:val="left"/>
        <w:outlineLvl w:val="9"/>
        <w:rPr>
          <w:rFonts w:ascii="Calibri" w:hAnsi="宋体"/>
          <w:color w:val="auto"/>
          <w:szCs w:val="21"/>
          <w:highlight w:val="none"/>
        </w:rPr>
      </w:pPr>
      <w:r>
        <w:rPr>
          <w:rFonts w:hint="eastAsia" w:ascii="Calibri" w:hAnsi="宋体"/>
          <w:color w:val="auto"/>
          <w:szCs w:val="21"/>
          <w:highlight w:val="none"/>
        </w:rPr>
        <w:t>单价合同</w:t>
      </w:r>
      <w:r>
        <w:rPr>
          <w:rFonts w:ascii="Calibri" w:hAnsi="宋体"/>
          <w:color w:val="auto"/>
          <w:szCs w:val="21"/>
          <w:highlight w:val="none"/>
        </w:rPr>
        <w:t>采用综合单价方式确定</w:t>
      </w:r>
      <w:r>
        <w:rPr>
          <w:rFonts w:hint="eastAsia" w:ascii="Calibri" w:hAnsi="宋体"/>
          <w:color w:val="auto"/>
          <w:szCs w:val="21"/>
          <w:highlight w:val="none"/>
        </w:rPr>
        <w:t>，工程量按实际结算</w:t>
      </w:r>
      <w:r>
        <w:rPr>
          <w:rFonts w:ascii="Calibri" w:hAnsi="宋体"/>
          <w:color w:val="auto"/>
          <w:szCs w:val="21"/>
          <w:highlight w:val="none"/>
        </w:rPr>
        <w:t>。</w:t>
      </w:r>
    </w:p>
    <w:p w14:paraId="082A5254">
      <w:pPr>
        <w:spacing w:line="360" w:lineRule="auto"/>
        <w:ind w:firstLine="420" w:firstLineChars="200"/>
        <w:jc w:val="left"/>
        <w:outlineLvl w:val="9"/>
        <w:rPr>
          <w:rFonts w:ascii="Calibri" w:hAnsi="宋体"/>
          <w:color w:val="auto"/>
          <w:szCs w:val="21"/>
          <w:highlight w:val="none"/>
        </w:rPr>
      </w:pPr>
      <w:r>
        <w:rPr>
          <w:rFonts w:ascii="Calibri" w:hAnsi="宋体"/>
          <w:color w:val="auto"/>
          <w:szCs w:val="21"/>
          <w:highlight w:val="none"/>
        </w:rPr>
        <w:t>综合单价包含的风险范围：</w:t>
      </w:r>
      <w:r>
        <w:rPr>
          <w:rFonts w:ascii="Calibri" w:hAnsi="宋体"/>
          <w:color w:val="auto"/>
          <w:szCs w:val="21"/>
          <w:highlight w:val="none"/>
          <w:u w:val="single"/>
        </w:rPr>
        <w:t>除工程变更、</w:t>
      </w:r>
      <w:r>
        <w:rPr>
          <w:rFonts w:hint="eastAsia" w:ascii="Calibri" w:hAnsi="宋体"/>
          <w:color w:val="auto"/>
          <w:szCs w:val="21"/>
          <w:highlight w:val="none"/>
          <w:u w:val="single"/>
        </w:rPr>
        <w:t>项目特征不符、</w:t>
      </w:r>
      <w:r>
        <w:rPr>
          <w:rFonts w:ascii="Calibri" w:hAnsi="宋体"/>
          <w:color w:val="auto"/>
          <w:szCs w:val="21"/>
          <w:highlight w:val="none"/>
          <w:u w:val="single"/>
        </w:rPr>
        <w:t>政策性调整、《承包人提供主要材料和设备一览表》约定的材料、设备价格变动风险以外因素。</w:t>
      </w:r>
    </w:p>
    <w:p w14:paraId="78A437C9">
      <w:pPr>
        <w:spacing w:line="360" w:lineRule="auto"/>
        <w:ind w:firstLine="441" w:firstLineChars="210"/>
        <w:outlineLvl w:val="9"/>
        <w:rPr>
          <w:rFonts w:hAnsi="宋体"/>
          <w:color w:val="auto"/>
          <w:szCs w:val="21"/>
          <w:highlight w:val="none"/>
        </w:rPr>
      </w:pPr>
      <w:r>
        <w:rPr>
          <w:rFonts w:hAnsi="宋体"/>
          <w:color w:val="auto"/>
          <w:szCs w:val="21"/>
          <w:highlight w:val="none"/>
        </w:rPr>
        <w:t>风险范围以外合同价格的调整方法：</w:t>
      </w:r>
    </w:p>
    <w:p w14:paraId="5BDED876">
      <w:pPr>
        <w:spacing w:line="360" w:lineRule="auto"/>
        <w:ind w:firstLine="441" w:firstLineChars="210"/>
        <w:outlineLvl w:val="9"/>
        <w:rPr>
          <w:rFonts w:hAnsi="宋体"/>
          <w:color w:val="auto"/>
          <w:szCs w:val="21"/>
          <w:highlight w:val="none"/>
        </w:rPr>
      </w:pPr>
      <w:r>
        <w:rPr>
          <w:rFonts w:hAnsi="宋体"/>
          <w:color w:val="auto"/>
          <w:szCs w:val="21"/>
          <w:highlight w:val="none"/>
        </w:rPr>
        <w:t>①工程变更：按10.4.1变更估价原则的约定调整。</w:t>
      </w:r>
    </w:p>
    <w:p w14:paraId="271AB49C">
      <w:pPr>
        <w:spacing w:line="360" w:lineRule="auto"/>
        <w:ind w:firstLine="441" w:firstLineChars="210"/>
        <w:outlineLvl w:val="9"/>
        <w:rPr>
          <w:rFonts w:hAnsi="宋体"/>
          <w:color w:val="auto"/>
          <w:szCs w:val="21"/>
          <w:highlight w:val="none"/>
        </w:rPr>
      </w:pPr>
      <w:r>
        <w:rPr>
          <w:rFonts w:hAnsi="宋体"/>
          <w:color w:val="auto"/>
          <w:szCs w:val="21"/>
          <w:highlight w:val="none"/>
        </w:rPr>
        <w:t>②政策性调整：按自治区建设行政主管部门颁布的文件执行。</w:t>
      </w:r>
    </w:p>
    <w:p w14:paraId="397F3B02">
      <w:pPr>
        <w:spacing w:line="360" w:lineRule="auto"/>
        <w:ind w:firstLine="441" w:firstLineChars="210"/>
        <w:outlineLvl w:val="9"/>
        <w:rPr>
          <w:rFonts w:hAnsi="宋体"/>
          <w:color w:val="auto"/>
          <w:szCs w:val="21"/>
          <w:highlight w:val="none"/>
        </w:rPr>
      </w:pPr>
      <w:r>
        <w:rPr>
          <w:rFonts w:hAnsi="宋体"/>
          <w:color w:val="auto"/>
          <w:szCs w:val="21"/>
          <w:highlight w:val="none"/>
        </w:rPr>
        <w:t>③材料价格风险：按11.1的约定调整。</w:t>
      </w:r>
    </w:p>
    <w:p w14:paraId="6DCD894B">
      <w:pPr>
        <w:spacing w:line="360" w:lineRule="auto"/>
        <w:ind w:firstLine="420" w:firstLineChars="200"/>
        <w:jc w:val="left"/>
        <w:outlineLvl w:val="9"/>
        <w:rPr>
          <w:rFonts w:ascii="Calibri" w:hAnsi="宋体"/>
          <w:color w:val="auto"/>
          <w:szCs w:val="21"/>
          <w:highlight w:val="none"/>
        </w:rPr>
      </w:pPr>
      <w:r>
        <w:rPr>
          <w:rFonts w:ascii="Calibri" w:hAnsi="宋体"/>
          <w:color w:val="auto"/>
          <w:szCs w:val="21"/>
          <w:highlight w:val="none"/>
        </w:rPr>
        <w:t>④其它：</w:t>
      </w:r>
      <w:r>
        <w:rPr>
          <w:rFonts w:ascii="Calibri"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Calibri" w:hAnsi="宋体"/>
          <w:color w:val="auto"/>
          <w:szCs w:val="21"/>
          <w:highlight w:val="none"/>
          <w:u w:val="single"/>
        </w:rPr>
        <w:t xml:space="preserve">            </w:t>
      </w:r>
      <w:r>
        <w:rPr>
          <w:rFonts w:ascii="Calibri" w:hAnsi="宋体"/>
          <w:color w:val="auto"/>
          <w:szCs w:val="21"/>
          <w:highlight w:val="none"/>
        </w:rPr>
        <w:t>。</w:t>
      </w:r>
    </w:p>
    <w:p w14:paraId="5B115322">
      <w:pPr>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总价合同。</w:t>
      </w:r>
    </w:p>
    <w:p w14:paraId="469B6BB1">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总价包含的风险范围：</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25B1FD1F">
      <w:pPr>
        <w:spacing w:line="360" w:lineRule="auto"/>
        <w:ind w:firstLine="420" w:firstLineChars="200"/>
        <w:jc w:val="left"/>
        <w:outlineLvl w:val="9"/>
        <w:rPr>
          <w:rFonts w:ascii="宋体" w:hAnsi="宋体"/>
          <w:color w:val="auto"/>
          <w:szCs w:val="22"/>
          <w:highlight w:val="none"/>
        </w:rPr>
      </w:pPr>
      <w:r>
        <w:rPr>
          <w:rFonts w:ascii="宋体" w:hAnsi="宋体"/>
          <w:color w:val="auto"/>
          <w:szCs w:val="22"/>
          <w:highlight w:val="none"/>
        </w:rPr>
        <w:t>风险范围以外合同价格的调整方法：</w:t>
      </w:r>
      <w:r>
        <w:rPr>
          <w:rFonts w:ascii="宋体" w:hAnsi="宋体"/>
          <w:color w:val="auto"/>
          <w:szCs w:val="22"/>
          <w:highlight w:val="none"/>
          <w:u w:val="single"/>
        </w:rPr>
        <w:t xml:space="preserve">   </w:t>
      </w:r>
      <w:r>
        <w:rPr>
          <w:rFonts w:hint="eastAsia" w:ascii="宋体" w:hAnsi="宋体"/>
          <w:color w:val="auto"/>
          <w:szCs w:val="22"/>
          <w:highlight w:val="none"/>
          <w:u w:val="single"/>
        </w:rPr>
        <w:t>/</w:t>
      </w:r>
      <w:r>
        <w:rPr>
          <w:rFonts w:ascii="宋体" w:hAnsi="宋体"/>
          <w:color w:val="auto"/>
          <w:szCs w:val="22"/>
          <w:highlight w:val="none"/>
          <w:u w:val="single"/>
        </w:rPr>
        <w:t xml:space="preserve">    </w:t>
      </w:r>
      <w:r>
        <w:rPr>
          <w:rFonts w:ascii="宋体" w:hAnsi="宋体"/>
          <w:color w:val="auto"/>
          <w:szCs w:val="22"/>
          <w:highlight w:val="none"/>
        </w:rPr>
        <w:t>。</w:t>
      </w:r>
    </w:p>
    <w:p w14:paraId="682BE0E7">
      <w:pPr>
        <w:spacing w:line="360" w:lineRule="auto"/>
        <w:ind w:firstLine="420" w:firstLineChars="200"/>
        <w:jc w:val="left"/>
        <w:outlineLvl w:val="9"/>
        <w:rPr>
          <w:rFonts w:ascii="宋体" w:hAnsi="宋体"/>
          <w:color w:val="auto"/>
          <w:szCs w:val="22"/>
          <w:highlight w:val="none"/>
        </w:rPr>
      </w:pPr>
      <w:r>
        <w:rPr>
          <w:rFonts w:hint="eastAsia" w:ascii="宋体" w:hAnsi="宋体"/>
          <w:color w:val="auto"/>
          <w:szCs w:val="22"/>
          <w:highlight w:val="none"/>
        </w:rPr>
        <w:t>（</w:t>
      </w:r>
      <w:r>
        <w:rPr>
          <w:rFonts w:ascii="宋体" w:hAnsi="宋体"/>
          <w:color w:val="auto"/>
          <w:szCs w:val="22"/>
          <w:highlight w:val="none"/>
        </w:rPr>
        <w:t>3</w:t>
      </w:r>
      <w:r>
        <w:rPr>
          <w:rFonts w:hint="eastAsia" w:ascii="宋体" w:hAnsi="宋体"/>
          <w:color w:val="auto"/>
          <w:szCs w:val="22"/>
          <w:highlight w:val="none"/>
        </w:rPr>
        <w:t>）</w:t>
      </w:r>
      <w:r>
        <w:rPr>
          <w:rFonts w:ascii="宋体" w:hAnsi="宋体"/>
          <w:color w:val="auto"/>
          <w:szCs w:val="22"/>
          <w:highlight w:val="none"/>
        </w:rPr>
        <w:t>其他价格方式：</w:t>
      </w:r>
      <w:r>
        <w:rPr>
          <w:rFonts w:ascii="宋体" w:hAnsi="宋体"/>
          <w:color w:val="auto"/>
          <w:szCs w:val="22"/>
          <w:highlight w:val="none"/>
          <w:u w:val="single"/>
        </w:rPr>
        <w:t xml:space="preserve">   </w:t>
      </w:r>
      <w:r>
        <w:rPr>
          <w:rFonts w:hint="eastAsia" w:ascii="宋体" w:hAnsi="宋体"/>
          <w:color w:val="auto"/>
          <w:szCs w:val="22"/>
          <w:highlight w:val="none"/>
          <w:u w:val="single"/>
        </w:rPr>
        <w:t>/</w:t>
      </w:r>
      <w:r>
        <w:rPr>
          <w:rFonts w:ascii="宋体" w:hAnsi="宋体"/>
          <w:color w:val="auto"/>
          <w:szCs w:val="22"/>
          <w:highlight w:val="none"/>
          <w:u w:val="single"/>
        </w:rPr>
        <w:t xml:space="preserve">    </w:t>
      </w:r>
      <w:r>
        <w:rPr>
          <w:rFonts w:ascii="宋体" w:hAnsi="宋体"/>
          <w:color w:val="auto"/>
          <w:szCs w:val="22"/>
          <w:highlight w:val="none"/>
        </w:rPr>
        <w:t>。</w:t>
      </w:r>
    </w:p>
    <w:p w14:paraId="49F5E492">
      <w:pPr>
        <w:keepNext/>
        <w:keepLines/>
        <w:spacing w:before="260" w:after="260" w:line="416" w:lineRule="auto"/>
        <w:outlineLvl w:val="9"/>
        <w:rPr>
          <w:rFonts w:ascii="宋体" w:hAnsi="宋体"/>
          <w:b/>
          <w:bCs/>
          <w:color w:val="auto"/>
          <w:sz w:val="32"/>
          <w:szCs w:val="32"/>
          <w:highlight w:val="none"/>
        </w:rPr>
      </w:pPr>
      <w:bookmarkStart w:id="1375" w:name="_Toc530144520"/>
      <w:bookmarkStart w:id="1376" w:name="_Toc531186655"/>
      <w:bookmarkStart w:id="1377" w:name="_Toc454211165"/>
      <w:bookmarkStart w:id="1378" w:name="_Toc529547378"/>
      <w:bookmarkStart w:id="1379" w:name="_Toc432343941"/>
      <w:bookmarkStart w:id="1380" w:name="_Toc470247853"/>
      <w:bookmarkStart w:id="1381" w:name="_Toc411345234"/>
      <w:bookmarkStart w:id="1382" w:name="_Toc529527026"/>
      <w:bookmarkStart w:id="1383" w:name="_Toc472931659"/>
      <w:bookmarkStart w:id="1384" w:name="_Toc461179295"/>
      <w:r>
        <w:rPr>
          <w:rFonts w:ascii="宋体" w:hAnsi="宋体"/>
          <w:b/>
          <w:bCs/>
          <w:color w:val="auto"/>
          <w:sz w:val="32"/>
          <w:szCs w:val="32"/>
          <w:highlight w:val="none"/>
        </w:rPr>
        <w:t>12.2 预付款</w:t>
      </w:r>
      <w:bookmarkEnd w:id="1356"/>
      <w:bookmarkEnd w:id="1357"/>
      <w:bookmarkEnd w:id="1358"/>
      <w:bookmarkEnd w:id="1375"/>
      <w:bookmarkEnd w:id="1376"/>
      <w:bookmarkEnd w:id="1377"/>
      <w:bookmarkEnd w:id="1378"/>
      <w:bookmarkEnd w:id="1379"/>
      <w:bookmarkEnd w:id="1380"/>
      <w:bookmarkEnd w:id="1381"/>
      <w:bookmarkEnd w:id="1382"/>
      <w:bookmarkEnd w:id="1383"/>
      <w:bookmarkEnd w:id="1384"/>
    </w:p>
    <w:bookmarkEnd w:id="1359"/>
    <w:bookmarkEnd w:id="1360"/>
    <w:bookmarkEnd w:id="1361"/>
    <w:bookmarkEnd w:id="1362"/>
    <w:bookmarkEnd w:id="1363"/>
    <w:bookmarkEnd w:id="1364"/>
    <w:p w14:paraId="6D3ACC6E">
      <w:pPr>
        <w:spacing w:line="260" w:lineRule="exact"/>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12.2.1 预付款的支付</w:t>
      </w:r>
      <w:r>
        <w:rPr>
          <w:rFonts w:hint="eastAsia" w:ascii="Calibri" w:hAnsi="Calibri"/>
          <w:color w:val="auto"/>
          <w:szCs w:val="21"/>
          <w:highlight w:val="none"/>
          <w:u w:val="single"/>
        </w:rPr>
        <w:t>：</w:t>
      </w:r>
      <w:r>
        <w:rPr>
          <w:rFonts w:hint="eastAsia" w:ascii="宋体" w:hAnsi="宋体"/>
          <w:color w:val="auto"/>
          <w:szCs w:val="21"/>
          <w:highlight w:val="none"/>
          <w:u w:val="single"/>
        </w:rPr>
        <w:t xml:space="preserve"> </w:t>
      </w:r>
      <w:r>
        <w:rPr>
          <w:rFonts w:hint="eastAsia" w:ascii="Calibri" w:hAnsi="宋体"/>
          <w:color w:val="auto"/>
          <w:szCs w:val="21"/>
          <w:highlight w:val="none"/>
          <w:u w:val="single"/>
        </w:rPr>
        <w:t>30%</w:t>
      </w:r>
      <w:r>
        <w:rPr>
          <w:rFonts w:hint="eastAsia" w:ascii="宋体" w:hAnsi="宋体"/>
          <w:color w:val="auto"/>
          <w:szCs w:val="21"/>
          <w:highlight w:val="none"/>
          <w:u w:val="single"/>
        </w:rPr>
        <w:t>（合同价款扣除建安劳保费、发包人材料设备价款、暂估专业工程、暂列金额、安全文明施工费后）</w:t>
      </w:r>
      <w:r>
        <w:rPr>
          <w:rFonts w:ascii="宋体" w:hAnsi="宋体"/>
          <w:color w:val="auto"/>
          <w:szCs w:val="21"/>
          <w:highlight w:val="none"/>
          <w:u w:val="single"/>
        </w:rPr>
        <w:t>。</w:t>
      </w:r>
    </w:p>
    <w:p w14:paraId="73C0872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预付款支付期限：</w:t>
      </w:r>
      <w:r>
        <w:rPr>
          <w:rFonts w:hint="eastAsia" w:ascii="宋体" w:hAnsi="宋体"/>
          <w:color w:val="auto"/>
          <w:szCs w:val="21"/>
          <w:highlight w:val="none"/>
          <w:u w:val="single"/>
        </w:rPr>
        <w:t>　进场后七天内支付</w:t>
      </w:r>
      <w:r>
        <w:rPr>
          <w:rFonts w:ascii="宋体" w:hAnsi="宋体"/>
          <w:color w:val="auto"/>
          <w:szCs w:val="21"/>
          <w:highlight w:val="none"/>
          <w:u w:val="single"/>
        </w:rPr>
        <w:t xml:space="preserve">   </w:t>
      </w:r>
      <w:r>
        <w:rPr>
          <w:rFonts w:ascii="宋体" w:hAnsi="宋体"/>
          <w:color w:val="auto"/>
          <w:szCs w:val="21"/>
          <w:highlight w:val="none"/>
        </w:rPr>
        <w:t>。</w:t>
      </w:r>
    </w:p>
    <w:p w14:paraId="516956C0">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预付款扣回的方式：</w:t>
      </w:r>
      <w:r>
        <w:rPr>
          <w:rFonts w:ascii="宋体" w:hAnsi="宋体"/>
          <w:color w:val="auto"/>
          <w:szCs w:val="21"/>
          <w:highlight w:val="none"/>
          <w:u w:val="single"/>
        </w:rPr>
        <w:t xml:space="preserve">     </w:t>
      </w:r>
      <w:r>
        <w:rPr>
          <w:rFonts w:hint="eastAsia" w:ascii="宋体" w:hAnsi="宋体"/>
          <w:color w:val="auto"/>
          <w:szCs w:val="22"/>
          <w:highlight w:val="none"/>
          <w:u w:val="single"/>
        </w:rPr>
        <w:t>/</w:t>
      </w:r>
      <w:r>
        <w:rPr>
          <w:rFonts w:ascii="宋体" w:hAnsi="宋体"/>
          <w:color w:val="auto"/>
          <w:szCs w:val="22"/>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108B5B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12.2.2 预付款担保</w:t>
      </w:r>
    </w:p>
    <w:p w14:paraId="150CF91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承包人提交预付款担保的期限：</w:t>
      </w:r>
      <w:r>
        <w:rPr>
          <w:rFonts w:ascii="宋体" w:hAnsi="宋体"/>
          <w:color w:val="auto"/>
          <w:szCs w:val="21"/>
          <w:highlight w:val="none"/>
          <w:u w:val="single"/>
        </w:rPr>
        <w:t xml:space="preserve">      </w:t>
      </w:r>
      <w:r>
        <w:rPr>
          <w:rFonts w:hint="eastAsia" w:ascii="宋体" w:hAnsi="宋体"/>
          <w:color w:val="auto"/>
          <w:szCs w:val="22"/>
          <w:highlight w:val="none"/>
          <w:u w:val="single"/>
        </w:rPr>
        <w:t>/</w:t>
      </w:r>
      <w:r>
        <w:rPr>
          <w:rFonts w:ascii="宋体" w:hAnsi="宋体"/>
          <w:color w:val="auto"/>
          <w:szCs w:val="22"/>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F47CDDA">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预付款担保的形式为：</w:t>
      </w:r>
      <w:r>
        <w:rPr>
          <w:rFonts w:ascii="宋体" w:hAnsi="宋体"/>
          <w:color w:val="auto"/>
          <w:szCs w:val="21"/>
          <w:highlight w:val="none"/>
          <w:u w:val="single"/>
        </w:rPr>
        <w:t xml:space="preserve">    </w:t>
      </w:r>
      <w:r>
        <w:rPr>
          <w:rFonts w:hint="eastAsia" w:ascii="宋体" w:hAnsi="宋体"/>
          <w:color w:val="auto"/>
          <w:szCs w:val="22"/>
          <w:highlight w:val="none"/>
          <w:u w:val="single"/>
        </w:rPr>
        <w:t>/</w:t>
      </w:r>
      <w:r>
        <w:rPr>
          <w:rFonts w:ascii="宋体" w:hAnsi="宋体"/>
          <w:color w:val="auto"/>
          <w:szCs w:val="22"/>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BA01D22">
      <w:pPr>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预付款担保格式见合同附件7。</w:t>
      </w:r>
    </w:p>
    <w:bookmarkEnd w:id="1365"/>
    <w:bookmarkEnd w:id="1366"/>
    <w:bookmarkEnd w:id="1367"/>
    <w:bookmarkEnd w:id="1368"/>
    <w:bookmarkEnd w:id="1369"/>
    <w:bookmarkEnd w:id="1370"/>
    <w:bookmarkEnd w:id="1371"/>
    <w:bookmarkEnd w:id="1372"/>
    <w:bookmarkEnd w:id="1373"/>
    <w:bookmarkEnd w:id="1374"/>
    <w:p w14:paraId="6235E23E">
      <w:pPr>
        <w:keepNext/>
        <w:keepLines/>
        <w:spacing w:before="260" w:after="260" w:line="416" w:lineRule="auto"/>
        <w:outlineLvl w:val="9"/>
        <w:rPr>
          <w:rFonts w:ascii="宋体" w:hAnsi="宋体"/>
          <w:b/>
          <w:bCs/>
          <w:color w:val="auto"/>
          <w:sz w:val="32"/>
          <w:szCs w:val="32"/>
          <w:highlight w:val="none"/>
        </w:rPr>
      </w:pPr>
      <w:bookmarkStart w:id="1385" w:name="_Toc461179296"/>
      <w:bookmarkStart w:id="1386" w:name="_Toc470247854"/>
      <w:bookmarkStart w:id="1387" w:name="_Toc529527027"/>
      <w:bookmarkStart w:id="1388" w:name="_Toc530144521"/>
      <w:bookmarkStart w:id="1389" w:name="_Toc454211166"/>
      <w:bookmarkStart w:id="1390" w:name="_Toc373227751"/>
      <w:bookmarkStart w:id="1391" w:name="_Toc432343942"/>
      <w:bookmarkStart w:id="1392" w:name="_Toc472931660"/>
      <w:bookmarkStart w:id="1393" w:name="_Toc389065316"/>
      <w:bookmarkStart w:id="1394" w:name="_Toc411345235"/>
      <w:bookmarkStart w:id="1395" w:name="_Toc373478398"/>
      <w:bookmarkStart w:id="1396" w:name="_Toc529547379"/>
      <w:bookmarkStart w:id="1397" w:name="_Toc531186656"/>
      <w:r>
        <w:rPr>
          <w:rFonts w:ascii="宋体" w:hAnsi="宋体"/>
          <w:b/>
          <w:bCs/>
          <w:color w:val="auto"/>
          <w:sz w:val="32"/>
          <w:szCs w:val="32"/>
          <w:highlight w:val="none"/>
        </w:rPr>
        <w:t>12.3 计量</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14:paraId="789351C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12.3.1 计量原则</w:t>
      </w:r>
    </w:p>
    <w:p w14:paraId="3E4BBB9F">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工程量计算规则：</w:t>
      </w:r>
      <w:r>
        <w:rPr>
          <w:rFonts w:ascii="宋体" w:hAnsi="宋体"/>
          <w:color w:val="auto"/>
          <w:szCs w:val="21"/>
          <w:highlight w:val="none"/>
          <w:u w:val="single"/>
        </w:rPr>
        <w:t>工程的计量均以</w:t>
      </w:r>
      <w:r>
        <w:rPr>
          <w:rFonts w:hint="eastAsia" w:ascii="宋体" w:hAnsi="宋体"/>
          <w:color w:val="auto"/>
          <w:szCs w:val="21"/>
          <w:highlight w:val="none"/>
          <w:u w:val="single"/>
        </w:rPr>
        <w:t>《建设工程工程量清单计价规范》（GB 50500-2013）、《市政工程工程量计算规范》（GB 50857-2013）、《通用安装工程工程量计算规范》(GB 50856-2013)、广西壮族自治区住房和城乡建设厅颁布的《&lt;建设工程工程量清单计价规范&gt;GB 50500-2013广西壮族自治区实施细则、《&lt;建设工程工程量清单计算规范&gt;GB 50854～50862-2013广西壮族自治区实施细则》修订本</w:t>
      </w:r>
      <w:r>
        <w:rPr>
          <w:rFonts w:ascii="宋体" w:hAnsi="宋体"/>
          <w:color w:val="auto"/>
          <w:szCs w:val="21"/>
          <w:highlight w:val="none"/>
          <w:u w:val="single"/>
        </w:rPr>
        <w:t>、本工程补充项目清单为准。</w:t>
      </w:r>
    </w:p>
    <w:p w14:paraId="3CC1AEC8">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12.3.2 计量周期</w:t>
      </w:r>
    </w:p>
    <w:p w14:paraId="120B766C">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关于计量周期的约定：</w:t>
      </w:r>
      <w:r>
        <w:rPr>
          <w:rFonts w:ascii="宋体" w:hAnsi="宋体"/>
          <w:color w:val="auto"/>
          <w:szCs w:val="21"/>
          <w:highlight w:val="none"/>
          <w:u w:val="single"/>
        </w:rPr>
        <w:t>每月25日前</w:t>
      </w:r>
      <w:r>
        <w:rPr>
          <w:rFonts w:ascii="宋体" w:hAnsi="宋体"/>
          <w:color w:val="auto"/>
          <w:szCs w:val="21"/>
          <w:highlight w:val="none"/>
        </w:rPr>
        <w:t>。</w:t>
      </w:r>
    </w:p>
    <w:p w14:paraId="7DADD987">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12.3.3 单价合同的计量</w:t>
      </w:r>
    </w:p>
    <w:p w14:paraId="69DB701B">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关于单价合同计量的约定：</w:t>
      </w:r>
    </w:p>
    <w:p w14:paraId="4D50498A">
      <w:pPr>
        <w:spacing w:line="360" w:lineRule="auto"/>
        <w:ind w:firstLine="441" w:firstLineChars="210"/>
        <w:outlineLvl w:val="9"/>
        <w:rPr>
          <w:rFonts w:ascii="宋体" w:hAnsi="宋体"/>
          <w:color w:val="auto"/>
          <w:szCs w:val="21"/>
          <w:highlight w:val="none"/>
        </w:rPr>
      </w:pPr>
      <w:r>
        <w:rPr>
          <w:rFonts w:ascii="宋体" w:hAnsi="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52E9FDD9">
      <w:pPr>
        <w:spacing w:line="360" w:lineRule="auto"/>
        <w:ind w:firstLine="441" w:firstLineChars="210"/>
        <w:outlineLvl w:val="9"/>
        <w:rPr>
          <w:rFonts w:ascii="宋体" w:hAnsi="宋体"/>
          <w:color w:val="auto"/>
          <w:szCs w:val="21"/>
          <w:highlight w:val="none"/>
        </w:rPr>
      </w:pPr>
      <w:r>
        <w:rPr>
          <w:rFonts w:ascii="宋体" w:hAnsi="宋体"/>
          <w:color w:val="auto"/>
          <w:szCs w:val="21"/>
          <w:highlight w:val="none"/>
        </w:rPr>
        <w:t>(2) 除另有规定外，工程师应按照合同通过计量来核实确定已完成的工程量和价款，承包人应得到该价款扣除保留金后的金额。</w:t>
      </w:r>
    </w:p>
    <w:p w14:paraId="5E8872E7">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12.3.4 总价合同的计量</w:t>
      </w:r>
    </w:p>
    <w:p w14:paraId="5B98A4E0">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关于总价合同计量的约定：</w:t>
      </w:r>
      <w:r>
        <w:rPr>
          <w:rFonts w:hint="eastAsia" w:ascii="宋体" w:hAnsi="宋体"/>
          <w:color w:val="auto"/>
          <w:szCs w:val="21"/>
          <w:highlight w:val="none"/>
        </w:rPr>
        <w:t>除工程变更外，原图纸范围内的工程量不得按实计量。进度款按支付分解表支付，按通用条款</w:t>
      </w:r>
      <w:r>
        <w:rPr>
          <w:rFonts w:ascii="宋体" w:hAnsi="宋体"/>
          <w:color w:val="auto"/>
          <w:szCs w:val="21"/>
          <w:highlight w:val="none"/>
        </w:rPr>
        <w:t>第</w:t>
      </w:r>
      <w:r>
        <w:rPr>
          <w:rFonts w:ascii="宋体" w:hAnsi="宋体"/>
          <w:color w:val="auto"/>
          <w:kern w:val="0"/>
          <w:szCs w:val="21"/>
          <w:highlight w:val="none"/>
        </w:rPr>
        <w:t>12.3.4</w:t>
      </w:r>
      <w:r>
        <w:rPr>
          <w:rFonts w:ascii="宋体" w:hAnsi="宋体"/>
          <w:color w:val="auto"/>
          <w:szCs w:val="21"/>
          <w:highlight w:val="none"/>
        </w:rPr>
        <w:t>项</w:t>
      </w:r>
      <w:r>
        <w:rPr>
          <w:rFonts w:ascii="宋体" w:hAnsi="宋体"/>
          <w:color w:val="auto"/>
          <w:kern w:val="0"/>
          <w:szCs w:val="21"/>
          <w:highlight w:val="none"/>
        </w:rPr>
        <w:t>〔总价合同的计量〕</w:t>
      </w:r>
      <w:r>
        <w:rPr>
          <w:rFonts w:ascii="宋体" w:hAnsi="宋体"/>
          <w:color w:val="auto"/>
          <w:szCs w:val="21"/>
          <w:highlight w:val="none"/>
        </w:rPr>
        <w:t>约定</w:t>
      </w:r>
      <w:r>
        <w:rPr>
          <w:rFonts w:hint="eastAsia" w:ascii="宋体" w:hAnsi="宋体"/>
          <w:color w:val="auto"/>
          <w:szCs w:val="21"/>
          <w:highlight w:val="none"/>
        </w:rPr>
        <w:t>进行计量，但</w:t>
      </w:r>
      <w:r>
        <w:rPr>
          <w:rFonts w:ascii="宋体" w:hAnsi="宋体"/>
          <w:color w:val="auto"/>
          <w:kern w:val="0"/>
          <w:szCs w:val="21"/>
          <w:highlight w:val="none"/>
        </w:rPr>
        <w:t>合同价款按照支付分解表进行支付。</w:t>
      </w:r>
    </w:p>
    <w:p w14:paraId="51827A12">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12.3.6 其他价格形式合同的计量</w:t>
      </w:r>
    </w:p>
    <w:p w14:paraId="467211B3">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其他价格形式的计量方式和程序：</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4EE3668A">
      <w:pPr>
        <w:keepNext/>
        <w:keepLines/>
        <w:spacing w:before="260" w:after="260" w:line="416" w:lineRule="auto"/>
        <w:outlineLvl w:val="9"/>
        <w:rPr>
          <w:rFonts w:ascii="宋体" w:hAnsi="宋体"/>
          <w:b/>
          <w:bCs/>
          <w:color w:val="auto"/>
          <w:sz w:val="32"/>
          <w:szCs w:val="32"/>
          <w:highlight w:val="none"/>
        </w:rPr>
      </w:pPr>
      <w:bookmarkStart w:id="1398" w:name="_Toc470247855"/>
      <w:bookmarkStart w:id="1399" w:name="_Toc529527028"/>
      <w:bookmarkStart w:id="1400" w:name="_Toc373227752"/>
      <w:bookmarkStart w:id="1401" w:name="_Toc531186657"/>
      <w:bookmarkStart w:id="1402" w:name="_Toc461179297"/>
      <w:bookmarkStart w:id="1403" w:name="_Toc432343943"/>
      <w:bookmarkStart w:id="1404" w:name="_Toc472931661"/>
      <w:bookmarkStart w:id="1405" w:name="_Toc530144522"/>
      <w:bookmarkStart w:id="1406" w:name="_Toc529547380"/>
      <w:bookmarkStart w:id="1407" w:name="_Toc454211167"/>
      <w:bookmarkStart w:id="1408" w:name="_Toc411345236"/>
      <w:bookmarkStart w:id="1409" w:name="_Toc389065317"/>
      <w:bookmarkStart w:id="1410" w:name="_Toc373478399"/>
      <w:r>
        <w:rPr>
          <w:rFonts w:ascii="宋体" w:hAnsi="宋体"/>
          <w:b/>
          <w:bCs/>
          <w:color w:val="auto"/>
          <w:sz w:val="32"/>
          <w:szCs w:val="32"/>
          <w:highlight w:val="none"/>
        </w:rPr>
        <w:t>12.4 工程进度款支付</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14:paraId="0584D558">
      <w:pPr>
        <w:spacing w:line="360" w:lineRule="auto"/>
        <w:ind w:firstLine="420" w:firstLineChars="200"/>
        <w:jc w:val="left"/>
        <w:outlineLvl w:val="9"/>
        <w:rPr>
          <w:rFonts w:ascii="宋体" w:hAnsi="宋体"/>
          <w:color w:val="auto"/>
          <w:szCs w:val="21"/>
          <w:highlight w:val="none"/>
        </w:rPr>
      </w:pPr>
      <w:bookmarkStart w:id="1411" w:name="_Toc296503211"/>
      <w:bookmarkStart w:id="1412" w:name="_Toc296347210"/>
      <w:bookmarkStart w:id="1413" w:name="_Toc297120511"/>
      <w:bookmarkStart w:id="1414" w:name="_Toc296944550"/>
      <w:bookmarkStart w:id="1415" w:name="_Toc300935006"/>
      <w:bookmarkStart w:id="1416" w:name="_Toc303539163"/>
      <w:bookmarkStart w:id="1417" w:name="_Toc297123556"/>
      <w:bookmarkStart w:id="1418" w:name="_Toc296891251"/>
      <w:bookmarkStart w:id="1419" w:name="_Toc296346712"/>
      <w:bookmarkStart w:id="1420" w:name="_Toc297048397"/>
      <w:bookmarkStart w:id="1421" w:name="_Toc292559416"/>
      <w:bookmarkStart w:id="1422" w:name="_Toc296891039"/>
      <w:bookmarkStart w:id="1423" w:name="_Toc297216215"/>
      <w:bookmarkStart w:id="1424" w:name="_Toc292559921"/>
      <w:r>
        <w:rPr>
          <w:rFonts w:ascii="宋体" w:hAnsi="宋体"/>
          <w:color w:val="auto"/>
          <w:szCs w:val="21"/>
          <w:highlight w:val="none"/>
        </w:rPr>
        <w:t>12.4.1 付款周期</w:t>
      </w:r>
    </w:p>
    <w:p w14:paraId="56B67C73">
      <w:pPr>
        <w:spacing w:line="360" w:lineRule="auto"/>
        <w:ind w:firstLine="420" w:firstLineChars="200"/>
        <w:jc w:val="left"/>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双方签订施工合同后，乙方接到开工令之日起一个星期内，</w:t>
      </w:r>
      <w:r>
        <w:rPr>
          <w:rFonts w:hint="eastAsia" w:ascii="宋体" w:hAnsi="宋体"/>
          <w:color w:val="auto"/>
          <w:szCs w:val="21"/>
          <w:highlight w:val="none"/>
          <w:lang w:eastAsia="zh-CN"/>
        </w:rPr>
        <w:t>乙方</w:t>
      </w:r>
      <w:r>
        <w:rPr>
          <w:rFonts w:hint="eastAsia" w:ascii="宋体" w:hAnsi="宋体"/>
          <w:color w:val="auto"/>
          <w:szCs w:val="21"/>
          <w:highlight w:val="none"/>
        </w:rPr>
        <w:t>向</w:t>
      </w:r>
      <w:r>
        <w:rPr>
          <w:rFonts w:hint="eastAsia" w:ascii="宋体" w:hAnsi="宋体"/>
          <w:color w:val="auto"/>
          <w:szCs w:val="21"/>
          <w:highlight w:val="none"/>
          <w:lang w:eastAsia="zh-CN"/>
        </w:rPr>
        <w:t>甲方</w:t>
      </w:r>
      <w:r>
        <w:rPr>
          <w:rFonts w:hint="eastAsia" w:ascii="宋体" w:hAnsi="宋体"/>
          <w:color w:val="auto"/>
          <w:szCs w:val="21"/>
          <w:highlight w:val="none"/>
        </w:rPr>
        <w:t>申请</w:t>
      </w:r>
      <w:r>
        <w:rPr>
          <w:rFonts w:hint="eastAsia" w:ascii="宋体" w:hAnsi="宋体"/>
          <w:color w:val="auto"/>
          <w:szCs w:val="21"/>
          <w:highlight w:val="none"/>
          <w:lang w:eastAsia="zh-CN"/>
        </w:rPr>
        <w:t>合同价的</w:t>
      </w:r>
      <w:r>
        <w:rPr>
          <w:rFonts w:hint="eastAsia" w:ascii="宋体" w:hAnsi="宋体"/>
          <w:color w:val="auto"/>
          <w:szCs w:val="21"/>
          <w:highlight w:val="none"/>
          <w:lang w:val="en-US" w:eastAsia="zh-CN"/>
        </w:rPr>
        <w:t>3</w:t>
      </w:r>
      <w:r>
        <w:rPr>
          <w:rFonts w:hint="eastAsia" w:ascii="宋体" w:hAnsi="宋体"/>
          <w:color w:val="auto"/>
          <w:szCs w:val="21"/>
          <w:highlight w:val="none"/>
        </w:rPr>
        <w:t>0%</w:t>
      </w:r>
      <w:r>
        <w:rPr>
          <w:rFonts w:hint="eastAsia" w:ascii="宋体" w:hAnsi="宋体"/>
          <w:color w:val="auto"/>
          <w:szCs w:val="21"/>
          <w:highlight w:val="none"/>
          <w:lang w:eastAsia="zh-CN"/>
        </w:rPr>
        <w:t>工程预付款，进度款按工程实际进度支付，</w:t>
      </w:r>
      <w:r>
        <w:rPr>
          <w:rFonts w:hint="eastAsia" w:ascii="宋体" w:hAnsi="宋体"/>
          <w:color w:val="auto"/>
          <w:szCs w:val="21"/>
          <w:highlight w:val="none"/>
        </w:rPr>
        <w:t>乙方向甲方申请工程进度款，甲方向乙方支付至工程合同总价的80%（含</w:t>
      </w:r>
      <w:r>
        <w:rPr>
          <w:rFonts w:hint="eastAsia" w:ascii="宋体" w:hAnsi="宋体"/>
          <w:color w:val="auto"/>
          <w:szCs w:val="21"/>
          <w:highlight w:val="none"/>
          <w:lang w:val="en-US" w:eastAsia="zh-CN"/>
        </w:rPr>
        <w:t>3</w:t>
      </w:r>
      <w:r>
        <w:rPr>
          <w:rFonts w:hint="eastAsia" w:ascii="宋体" w:hAnsi="宋体"/>
          <w:color w:val="auto"/>
          <w:szCs w:val="21"/>
          <w:highlight w:val="none"/>
        </w:rPr>
        <w:t>0%预付款）工程进度款给乙方</w:t>
      </w:r>
      <w:r>
        <w:rPr>
          <w:rFonts w:hint="eastAsia" w:ascii="宋体" w:hAnsi="宋体"/>
          <w:color w:val="auto"/>
          <w:szCs w:val="21"/>
          <w:highlight w:val="none"/>
          <w:lang w:eastAsia="zh-CN"/>
        </w:rPr>
        <w:t>。</w:t>
      </w:r>
    </w:p>
    <w:p w14:paraId="616A4AD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出具结算审核报告后</w:t>
      </w:r>
      <w:r>
        <w:rPr>
          <w:rFonts w:hint="eastAsia" w:ascii="宋体" w:hAnsi="宋体"/>
          <w:color w:val="auto"/>
          <w:szCs w:val="21"/>
          <w:highlight w:val="none"/>
        </w:rPr>
        <w:t>甲方向乙方支付至工程结算</w:t>
      </w:r>
      <w:r>
        <w:rPr>
          <w:rFonts w:hint="eastAsia" w:ascii="宋体" w:hAnsi="宋体"/>
          <w:color w:val="auto"/>
          <w:szCs w:val="21"/>
          <w:highlight w:val="none"/>
          <w:lang w:eastAsia="zh-CN"/>
        </w:rPr>
        <w:t>审核报告</w:t>
      </w:r>
      <w:r>
        <w:rPr>
          <w:rFonts w:hint="eastAsia" w:ascii="宋体" w:hAnsi="宋体"/>
          <w:color w:val="auto"/>
          <w:szCs w:val="21"/>
          <w:highlight w:val="none"/>
        </w:rPr>
        <w:t>总金额的97%（含80%进度款），剩3%作为工程质量保修金，工程质保期为一年（完工验收合格之日起计）。预留的质保金待保修期满、无工程质量缺陷后甲方向乙方无息退还预留的质保金。</w:t>
      </w:r>
    </w:p>
    <w:p w14:paraId="7DAA6F71">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12.4.2 进度付款申请单的编制</w:t>
      </w:r>
    </w:p>
    <w:p w14:paraId="0096884D">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关于进度付款申请单编制的约定：</w:t>
      </w:r>
      <w:r>
        <w:rPr>
          <w:rFonts w:ascii="宋体" w:hAnsi="宋体"/>
          <w:color w:val="auto"/>
          <w:szCs w:val="21"/>
          <w:highlight w:val="none"/>
          <w:u w:val="single"/>
        </w:rPr>
        <w:t xml:space="preserve"> </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236A784F">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r>
        <w:rPr>
          <w:rFonts w:ascii="宋体" w:hAnsi="宋体"/>
          <w:color w:val="auto"/>
          <w:szCs w:val="21"/>
          <w:highlight w:val="none"/>
        </w:rPr>
        <w:t>2.4.3 进度付款申请单的提交</w:t>
      </w:r>
    </w:p>
    <w:p w14:paraId="1103F4EA">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bCs/>
          <w:color w:val="auto"/>
          <w:szCs w:val="28"/>
          <w:highlight w:val="none"/>
          <w:u w:val="single"/>
        </w:rPr>
        <w:t>按通用条款执行</w:t>
      </w:r>
      <w:r>
        <w:rPr>
          <w:rFonts w:hint="eastAsia" w:ascii="宋体" w:hAnsi="宋体"/>
          <w:bCs/>
          <w:color w:val="auto"/>
          <w:szCs w:val="21"/>
          <w:highlight w:val="none"/>
          <w:u w:val="single"/>
        </w:rPr>
        <w:t>。</w:t>
      </w:r>
    </w:p>
    <w:p w14:paraId="38194A12">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（2）总价合同进度付款申请单提交的约定：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0B818A26">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（3）其他价格形式合同进度付款申请单提交的约定：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无 </w:t>
      </w:r>
      <w:r>
        <w:rPr>
          <w:rFonts w:ascii="宋体" w:hAnsi="宋体"/>
          <w:color w:val="auto"/>
          <w:szCs w:val="21"/>
          <w:highlight w:val="none"/>
          <w:u w:val="single"/>
        </w:rPr>
        <w:t xml:space="preserve"> </w:t>
      </w:r>
      <w:r>
        <w:rPr>
          <w:rFonts w:ascii="宋体" w:hAnsi="宋体"/>
          <w:color w:val="auto"/>
          <w:szCs w:val="21"/>
          <w:highlight w:val="none"/>
        </w:rPr>
        <w:t>。</w:t>
      </w:r>
    </w:p>
    <w:p w14:paraId="78030BB6">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12.4.4 进度款审核和支付</w:t>
      </w:r>
    </w:p>
    <w:p w14:paraId="49ACAE76">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（1）监理人审查并报送发包人的期限：</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540C0DA4">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发包人完成审批并签发进度款支付证书的期限：</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23C5581C">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（2）发包人支付进度款的期限：</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37DCA489">
      <w:pPr>
        <w:spacing w:line="360" w:lineRule="auto"/>
        <w:ind w:firstLine="525" w:firstLineChars="250"/>
        <w:jc w:val="left"/>
        <w:outlineLvl w:val="9"/>
        <w:rPr>
          <w:rFonts w:ascii="宋体" w:hAnsi="宋体"/>
          <w:color w:val="auto"/>
          <w:szCs w:val="21"/>
          <w:highlight w:val="none"/>
        </w:rPr>
      </w:pPr>
      <w:r>
        <w:rPr>
          <w:rFonts w:ascii="宋体" w:hAnsi="宋体"/>
          <w:color w:val="auto"/>
          <w:szCs w:val="21"/>
          <w:highlight w:val="none"/>
        </w:rPr>
        <w:t>发包人逾期支付进度款的违约金的计算方式：</w:t>
      </w:r>
      <w:r>
        <w:rPr>
          <w:rFonts w:hint="eastAsia" w:ascii="宋体" w:hAnsi="宋体"/>
          <w:bCs/>
          <w:color w:val="auto"/>
          <w:szCs w:val="28"/>
          <w:highlight w:val="none"/>
          <w:u w:val="single"/>
        </w:rPr>
        <w:t>无</w:t>
      </w:r>
      <w:r>
        <w:rPr>
          <w:rFonts w:ascii="宋体" w:hAnsi="宋体"/>
          <w:color w:val="auto"/>
          <w:szCs w:val="21"/>
          <w:highlight w:val="none"/>
        </w:rPr>
        <w:t>。</w:t>
      </w:r>
    </w:p>
    <w:p w14:paraId="456F5B42">
      <w:pPr>
        <w:spacing w:line="360" w:lineRule="auto"/>
        <w:ind w:firstLine="525" w:firstLineChars="250"/>
        <w:jc w:val="left"/>
        <w:outlineLvl w:val="9"/>
        <w:rPr>
          <w:rFonts w:ascii="宋体" w:hAnsi="宋体"/>
          <w:color w:val="auto"/>
          <w:szCs w:val="21"/>
          <w:highlight w:val="none"/>
        </w:rPr>
      </w:pPr>
      <w:r>
        <w:rPr>
          <w:rFonts w:ascii="宋体" w:hAnsi="宋体"/>
          <w:color w:val="auto"/>
          <w:szCs w:val="21"/>
          <w:highlight w:val="none"/>
        </w:rPr>
        <w:t>进度款支付方式：</w:t>
      </w:r>
      <w:r>
        <w:rPr>
          <w:rFonts w:ascii="宋体" w:hAnsi="宋体"/>
          <w:color w:val="auto"/>
          <w:szCs w:val="21"/>
          <w:highlight w:val="none"/>
          <w:u w:val="single"/>
        </w:rPr>
        <w:t>银行转账</w:t>
      </w:r>
      <w:r>
        <w:rPr>
          <w:rFonts w:ascii="宋体" w:hAnsi="宋体"/>
          <w:color w:val="auto"/>
          <w:szCs w:val="21"/>
          <w:highlight w:val="none"/>
        </w:rPr>
        <w:t>。</w:t>
      </w:r>
    </w:p>
    <w:p w14:paraId="7EC01F19">
      <w:pPr>
        <w:spacing w:line="360" w:lineRule="auto"/>
        <w:ind w:firstLine="525" w:firstLineChars="250"/>
        <w:jc w:val="left"/>
        <w:outlineLvl w:val="9"/>
        <w:rPr>
          <w:rFonts w:ascii="宋体" w:hAnsi="宋体"/>
          <w:color w:val="auto"/>
          <w:szCs w:val="21"/>
          <w:highlight w:val="none"/>
        </w:rPr>
      </w:pPr>
      <w:r>
        <w:rPr>
          <w:rFonts w:ascii="宋体" w:hAnsi="宋体"/>
          <w:color w:val="auto"/>
          <w:szCs w:val="21"/>
          <w:highlight w:val="none"/>
        </w:rPr>
        <w:t>12.4.6 支付分解表的编制</w:t>
      </w:r>
    </w:p>
    <w:p w14:paraId="6AB90BE2">
      <w:pPr>
        <w:spacing w:line="360" w:lineRule="auto"/>
        <w:ind w:firstLine="525" w:firstLineChars="250"/>
        <w:jc w:val="left"/>
        <w:outlineLvl w:val="9"/>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总价合同支付分解表的编制与审批：</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73DEFD41">
      <w:pPr>
        <w:spacing w:line="360" w:lineRule="auto"/>
        <w:ind w:firstLine="525" w:firstLineChars="250"/>
        <w:jc w:val="left"/>
        <w:outlineLvl w:val="9"/>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单价合同的总价项目支付分解表的编制与审批：</w:t>
      </w:r>
      <w:r>
        <w:rPr>
          <w:rFonts w:hint="eastAsia" w:ascii="宋体" w:hAnsi="宋体"/>
          <w:color w:val="auto"/>
          <w:szCs w:val="21"/>
          <w:highlight w:val="none"/>
        </w:rPr>
        <w:t>总价项目不采用支付分解表的方式计算，而按《建设工程工程量清单计价规范（GB50500-2013）广西壮族自治区实施细则》的规定执行</w:t>
      </w:r>
      <w:r>
        <w:rPr>
          <w:rFonts w:ascii="宋体" w:hAnsi="宋体"/>
          <w:color w:val="auto"/>
          <w:szCs w:val="21"/>
          <w:highlight w:val="none"/>
        </w:rPr>
        <w:t>。</w:t>
      </w:r>
    </w:p>
    <w:bookmarkEnd w:id="1088"/>
    <w:p w14:paraId="53488455">
      <w:pPr>
        <w:keepNext/>
        <w:keepLines/>
        <w:spacing w:before="260" w:after="260" w:line="416" w:lineRule="auto"/>
        <w:outlineLvl w:val="9"/>
        <w:rPr>
          <w:rFonts w:ascii="宋体" w:hAnsi="宋体"/>
          <w:b/>
          <w:bCs/>
          <w:color w:val="auto"/>
          <w:sz w:val="32"/>
          <w:szCs w:val="32"/>
          <w:highlight w:val="none"/>
        </w:rPr>
      </w:pPr>
      <w:bookmarkStart w:id="1425" w:name="_Toc432343945"/>
      <w:bookmarkStart w:id="1426" w:name="_Toc373227753"/>
      <w:bookmarkStart w:id="1427" w:name="_Toc454211169"/>
      <w:bookmarkStart w:id="1428" w:name="_Toc530144523"/>
      <w:bookmarkStart w:id="1429" w:name="_Toc529547381"/>
      <w:bookmarkStart w:id="1430" w:name="_Toc529527029"/>
      <w:bookmarkStart w:id="1431" w:name="_Toc461179299"/>
      <w:bookmarkStart w:id="1432" w:name="_Toc389065318"/>
      <w:bookmarkStart w:id="1433" w:name="_Toc531186658"/>
      <w:bookmarkStart w:id="1434" w:name="_Toc411345237"/>
      <w:bookmarkStart w:id="1435" w:name="_Toc373478400"/>
      <w:bookmarkStart w:id="1436" w:name="_Toc351203645"/>
      <w:bookmarkStart w:id="1437" w:name="_Toc470247856"/>
      <w:bookmarkStart w:id="1438" w:name="_Toc472931662"/>
      <w:bookmarkStart w:id="1439" w:name="_Toc292559424"/>
      <w:bookmarkStart w:id="1440" w:name="_Toc296347218"/>
      <w:bookmarkStart w:id="1441" w:name="_Toc296346720"/>
      <w:bookmarkStart w:id="1442" w:name="_Toc300935015"/>
      <w:bookmarkStart w:id="1443" w:name="_Toc304295593"/>
      <w:bookmarkStart w:id="1444" w:name="_Toc297048405"/>
      <w:bookmarkStart w:id="1445" w:name="_Toc296891259"/>
      <w:bookmarkStart w:id="1446" w:name="_Toc296503219"/>
      <w:bookmarkStart w:id="1447" w:name="_Toc297120519"/>
      <w:bookmarkStart w:id="1448" w:name="_Toc312678053"/>
      <w:bookmarkStart w:id="1449" w:name="_Toc297216223"/>
      <w:bookmarkStart w:id="1450" w:name="_Toc297123564"/>
      <w:bookmarkStart w:id="1451" w:name="_Toc296891047"/>
      <w:bookmarkStart w:id="1452" w:name="_Toc296944558"/>
      <w:bookmarkStart w:id="1453" w:name="_Toc303539172"/>
      <w:bookmarkStart w:id="1454" w:name="_Toc292559929"/>
      <w:r>
        <w:rPr>
          <w:rFonts w:ascii="宋体" w:hAnsi="宋体"/>
          <w:b/>
          <w:bCs/>
          <w:color w:val="auto"/>
          <w:sz w:val="32"/>
          <w:szCs w:val="32"/>
          <w:highlight w:val="none"/>
        </w:rPr>
        <w:t>13. 验收和工程试车</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14:paraId="5CCD166A">
      <w:pPr>
        <w:keepNext/>
        <w:keepLines/>
        <w:spacing w:before="260" w:after="260" w:line="416" w:lineRule="auto"/>
        <w:outlineLvl w:val="9"/>
        <w:rPr>
          <w:rFonts w:ascii="宋体" w:hAnsi="宋体"/>
          <w:b/>
          <w:bCs/>
          <w:color w:val="auto"/>
          <w:sz w:val="32"/>
          <w:szCs w:val="32"/>
          <w:highlight w:val="none"/>
        </w:rPr>
      </w:pPr>
      <w:bookmarkStart w:id="1455" w:name="_Toc531186659"/>
      <w:bookmarkStart w:id="1456" w:name="_Toc432343946"/>
      <w:bookmarkStart w:id="1457" w:name="_Toc530144524"/>
      <w:bookmarkStart w:id="1458" w:name="_Toc529547382"/>
      <w:bookmarkStart w:id="1459" w:name="_Toc373227754"/>
      <w:bookmarkStart w:id="1460" w:name="_Toc529527030"/>
      <w:bookmarkStart w:id="1461" w:name="_Toc470247857"/>
      <w:bookmarkStart w:id="1462" w:name="_Toc373478401"/>
      <w:bookmarkStart w:id="1463" w:name="_Toc472931663"/>
      <w:bookmarkStart w:id="1464" w:name="_Toc461179300"/>
      <w:bookmarkStart w:id="1465" w:name="_Toc454211170"/>
      <w:bookmarkStart w:id="1466" w:name="_Toc411345238"/>
      <w:bookmarkStart w:id="1467" w:name="_Toc389065319"/>
      <w:r>
        <w:rPr>
          <w:rFonts w:ascii="宋体" w:hAnsi="宋体"/>
          <w:b/>
          <w:bCs/>
          <w:color w:val="auto"/>
          <w:sz w:val="32"/>
          <w:szCs w:val="32"/>
          <w:highlight w:val="none"/>
        </w:rPr>
        <w:t>13.1 分部分项工程验收</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p>
    <w:p w14:paraId="4F29695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13.1.2监理人不能按时进行验收时，应提前</w:t>
      </w:r>
      <w:r>
        <w:rPr>
          <w:rFonts w:ascii="宋体" w:hAnsi="宋体"/>
          <w:color w:val="auto"/>
          <w:szCs w:val="21"/>
          <w:highlight w:val="none"/>
          <w:u w:val="single"/>
        </w:rPr>
        <w:t xml:space="preserve">  </w:t>
      </w:r>
      <w:r>
        <w:rPr>
          <w:rFonts w:hint="eastAsia" w:ascii="宋体" w:hAnsi="宋体"/>
          <w:b/>
          <w:bCs/>
          <w:color w:val="auto"/>
          <w:szCs w:val="21"/>
          <w:highlight w:val="none"/>
          <w:u w:val="single"/>
        </w:rPr>
        <w:t>24</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小时提交书面延期要求。</w:t>
      </w:r>
    </w:p>
    <w:p w14:paraId="46D690DF">
      <w:pPr>
        <w:spacing w:line="360" w:lineRule="auto"/>
        <w:ind w:firstLine="420" w:firstLineChars="200"/>
        <w:jc w:val="left"/>
        <w:outlineLvl w:val="9"/>
        <w:rPr>
          <w:rFonts w:ascii="宋体" w:hAnsi="宋体"/>
          <w:b/>
          <w:color w:val="auto"/>
          <w:szCs w:val="21"/>
          <w:highlight w:val="none"/>
        </w:rPr>
      </w:pPr>
      <w:r>
        <w:rPr>
          <w:rFonts w:ascii="宋体" w:hAnsi="宋体"/>
          <w:color w:val="auto"/>
          <w:szCs w:val="21"/>
          <w:highlight w:val="none"/>
        </w:rPr>
        <w:t>关于延期最长不得超过：</w:t>
      </w:r>
      <w:r>
        <w:rPr>
          <w:rFonts w:ascii="宋体" w:hAnsi="宋体"/>
          <w:color w:val="auto"/>
          <w:szCs w:val="21"/>
          <w:highlight w:val="none"/>
          <w:u w:val="single"/>
        </w:rPr>
        <w:t xml:space="preserve"> </w:t>
      </w:r>
      <w:r>
        <w:rPr>
          <w:rFonts w:hint="eastAsia" w:ascii="宋体" w:hAnsi="宋体"/>
          <w:b/>
          <w:bCs/>
          <w:color w:val="auto"/>
          <w:szCs w:val="21"/>
          <w:highlight w:val="none"/>
          <w:u w:val="single"/>
        </w:rPr>
        <w:t>48</w:t>
      </w:r>
      <w:r>
        <w:rPr>
          <w:rFonts w:ascii="宋体" w:hAnsi="宋体"/>
          <w:color w:val="auto"/>
          <w:szCs w:val="21"/>
          <w:highlight w:val="none"/>
          <w:u w:val="single"/>
        </w:rPr>
        <w:t xml:space="preserve"> </w:t>
      </w:r>
      <w:r>
        <w:rPr>
          <w:rFonts w:ascii="宋体" w:hAnsi="宋体"/>
          <w:color w:val="auto"/>
          <w:szCs w:val="21"/>
          <w:highlight w:val="none"/>
        </w:rPr>
        <w:t>小时。</w:t>
      </w:r>
    </w:p>
    <w:p w14:paraId="5389E95F">
      <w:pPr>
        <w:keepNext/>
        <w:keepLines/>
        <w:spacing w:before="260" w:after="260" w:line="416" w:lineRule="auto"/>
        <w:outlineLvl w:val="9"/>
        <w:rPr>
          <w:rFonts w:ascii="宋体" w:hAnsi="宋体"/>
          <w:b/>
          <w:bCs/>
          <w:color w:val="auto"/>
          <w:sz w:val="32"/>
          <w:szCs w:val="32"/>
          <w:highlight w:val="none"/>
        </w:rPr>
      </w:pPr>
      <w:bookmarkStart w:id="1468" w:name="_Toc454211171"/>
      <w:bookmarkStart w:id="1469" w:name="_Toc461179301"/>
      <w:bookmarkStart w:id="1470" w:name="_Toc472931664"/>
      <w:bookmarkStart w:id="1471" w:name="_Toc530144525"/>
      <w:bookmarkStart w:id="1472" w:name="_Toc411345239"/>
      <w:bookmarkStart w:id="1473" w:name="_Toc432343947"/>
      <w:bookmarkStart w:id="1474" w:name="_Toc373478402"/>
      <w:bookmarkStart w:id="1475" w:name="_Toc470247858"/>
      <w:bookmarkStart w:id="1476" w:name="_Toc529527031"/>
      <w:bookmarkStart w:id="1477" w:name="_Toc531186660"/>
      <w:bookmarkStart w:id="1478" w:name="_Toc529547383"/>
      <w:bookmarkStart w:id="1479" w:name="_Toc373227755"/>
      <w:bookmarkStart w:id="1480" w:name="_Toc389065320"/>
      <w:bookmarkStart w:id="1481" w:name="_Toc296944562"/>
      <w:bookmarkStart w:id="1482" w:name="_Toc296347222"/>
      <w:bookmarkStart w:id="1483" w:name="_Toc304295596"/>
      <w:bookmarkStart w:id="1484" w:name="_Toc292559933"/>
      <w:bookmarkStart w:id="1485" w:name="_Toc296503223"/>
      <w:bookmarkStart w:id="1486" w:name="_Toc303539173"/>
      <w:bookmarkStart w:id="1487" w:name="_Toc296891263"/>
      <w:bookmarkStart w:id="1488" w:name="_Toc297123565"/>
      <w:bookmarkStart w:id="1489" w:name="_Toc297120523"/>
      <w:bookmarkStart w:id="1490" w:name="_Toc292559428"/>
      <w:bookmarkStart w:id="1491" w:name="_Toc300935016"/>
      <w:bookmarkStart w:id="1492" w:name="_Toc297048409"/>
      <w:bookmarkStart w:id="1493" w:name="_Toc296346724"/>
      <w:bookmarkStart w:id="1494" w:name="_Toc312678056"/>
      <w:bookmarkStart w:id="1495" w:name="_Toc296891051"/>
      <w:bookmarkStart w:id="1496" w:name="_Toc297216224"/>
      <w:bookmarkStart w:id="1497" w:name="_Toc267251471"/>
      <w:bookmarkStart w:id="1498" w:name="_Toc267251473"/>
      <w:bookmarkStart w:id="1499" w:name="_Toc267251470"/>
      <w:bookmarkStart w:id="1500" w:name="_Toc267251476"/>
      <w:bookmarkStart w:id="1501" w:name="_Toc267251472"/>
      <w:bookmarkStart w:id="1502" w:name="_Toc267251475"/>
      <w:bookmarkStart w:id="1503" w:name="_Toc267251474"/>
      <w:r>
        <w:rPr>
          <w:rFonts w:ascii="宋体" w:hAnsi="宋体"/>
          <w:b/>
          <w:bCs/>
          <w:color w:val="auto"/>
          <w:sz w:val="32"/>
          <w:szCs w:val="32"/>
          <w:highlight w:val="none"/>
        </w:rPr>
        <w:t>13.2 竣工验收</w:t>
      </w:r>
      <w:bookmarkEnd w:id="1468"/>
      <w:bookmarkEnd w:id="1469"/>
      <w:bookmarkEnd w:id="1470"/>
      <w:bookmarkEnd w:id="1471"/>
      <w:bookmarkEnd w:id="1472"/>
      <w:bookmarkEnd w:id="1473"/>
      <w:bookmarkEnd w:id="1474"/>
      <w:bookmarkEnd w:id="1475"/>
      <w:bookmarkEnd w:id="1476"/>
      <w:bookmarkEnd w:id="1477"/>
      <w:bookmarkEnd w:id="1478"/>
      <w:bookmarkEnd w:id="1479"/>
      <w:bookmarkEnd w:id="1480"/>
    </w:p>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14:paraId="4FB5FA9A">
      <w:pPr>
        <w:spacing w:line="360" w:lineRule="auto"/>
        <w:ind w:firstLine="420" w:firstLineChars="200"/>
        <w:jc w:val="left"/>
        <w:outlineLvl w:val="9"/>
        <w:rPr>
          <w:rFonts w:ascii="宋体" w:hAnsi="宋体"/>
          <w:color w:val="auto"/>
          <w:szCs w:val="21"/>
          <w:highlight w:val="none"/>
        </w:rPr>
      </w:pPr>
      <w:bookmarkStart w:id="1504" w:name="_Toc280868704"/>
      <w:bookmarkStart w:id="1505" w:name="_Toc280868705"/>
      <w:bookmarkStart w:id="1506" w:name="_Toc280868706"/>
      <w:bookmarkStart w:id="1507" w:name="_Toc280868707"/>
      <w:bookmarkStart w:id="1508" w:name="_Toc280868708"/>
      <w:bookmarkStart w:id="1509" w:name="_Toc280868709"/>
      <w:r>
        <w:rPr>
          <w:rFonts w:ascii="宋体" w:hAnsi="宋体"/>
          <w:color w:val="auto"/>
          <w:szCs w:val="21"/>
          <w:highlight w:val="none"/>
        </w:rPr>
        <w:t>13.2.1竣工验收条件</w:t>
      </w:r>
    </w:p>
    <w:p w14:paraId="1F0FF1BA">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承包人负责整理和提交的竣工验收资料应当符合工程所在地建设行政主管部门和(或)城市建设档案管理机构有关施工资料的要求，具体内容包括：</w:t>
      </w:r>
      <w:r>
        <w:rPr>
          <w:rFonts w:ascii="宋体" w:hAnsi="宋体"/>
          <w:color w:val="auto"/>
          <w:szCs w:val="21"/>
          <w:highlight w:val="none"/>
          <w:u w:val="single"/>
        </w:rPr>
        <w:t xml:space="preserve"> </w:t>
      </w:r>
      <w:r>
        <w:rPr>
          <w:rFonts w:hint="eastAsia" w:ascii="宋体" w:hAnsi="宋体"/>
          <w:bCs/>
          <w:color w:val="auto"/>
          <w:szCs w:val="28"/>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7B556567">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竣工验收资料的份数：</w:t>
      </w:r>
      <w:r>
        <w:rPr>
          <w:rFonts w:ascii="宋体" w:hAnsi="宋体"/>
          <w:color w:val="auto"/>
          <w:szCs w:val="21"/>
          <w:highlight w:val="none"/>
          <w:u w:val="single"/>
        </w:rPr>
        <w:t xml:space="preserve"> </w:t>
      </w:r>
      <w:r>
        <w:rPr>
          <w:rFonts w:hint="eastAsia" w:ascii="宋体" w:hAnsi="宋体"/>
          <w:b/>
          <w:bCs/>
          <w:color w:val="auto"/>
          <w:szCs w:val="21"/>
          <w:highlight w:val="none"/>
          <w:u w:val="single"/>
        </w:rPr>
        <w:t xml:space="preserve">6套及满足相关要求 </w:t>
      </w:r>
      <w:r>
        <w:rPr>
          <w:rFonts w:ascii="宋体" w:hAnsi="宋体"/>
          <w:color w:val="auto"/>
          <w:szCs w:val="21"/>
          <w:highlight w:val="none"/>
        </w:rPr>
        <w:t>。</w:t>
      </w:r>
      <w:r>
        <w:rPr>
          <w:rFonts w:hint="eastAsia" w:ascii="宋体" w:hAnsi="宋体"/>
          <w:color w:val="auto"/>
          <w:szCs w:val="21"/>
          <w:highlight w:val="none"/>
        </w:rPr>
        <w:t xml:space="preserve"> </w:t>
      </w:r>
    </w:p>
    <w:p w14:paraId="457B5D3F">
      <w:pPr>
        <w:spacing w:line="360" w:lineRule="auto"/>
        <w:ind w:firstLine="420" w:firstLineChars="200"/>
        <w:jc w:val="left"/>
        <w:outlineLvl w:val="9"/>
        <w:rPr>
          <w:rFonts w:ascii="宋体" w:hAnsi="宋体"/>
          <w:color w:val="auto"/>
          <w:szCs w:val="21"/>
          <w:highlight w:val="none"/>
        </w:rPr>
      </w:pPr>
      <w:r>
        <w:rPr>
          <w:rFonts w:ascii="宋体" w:hAnsi="宋体"/>
          <w:bCs/>
          <w:color w:val="auto"/>
          <w:szCs w:val="21"/>
          <w:highlight w:val="none"/>
        </w:rPr>
        <w:t>承包人提供竣工图的约定：</w:t>
      </w:r>
      <w:r>
        <w:rPr>
          <w:rFonts w:ascii="宋体" w:hAnsi="宋体"/>
          <w:bCs/>
          <w:color w:val="auto"/>
          <w:szCs w:val="21"/>
          <w:highlight w:val="none"/>
          <w:u w:val="single"/>
        </w:rPr>
        <w:t>竣工验收正式通过后5天（工程造价在500万元以下含500万元）、10天（工程造价在500万元至1000万元之间含1000万元）、15天（工程造价在1000万元以上），提供竣工图的数量分别为2套、4套、6套。</w:t>
      </w:r>
    </w:p>
    <w:p w14:paraId="5B30F9CB">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13.2.2竣工验收程序</w:t>
      </w:r>
    </w:p>
    <w:bookmarkEnd w:id="1504"/>
    <w:p w14:paraId="651AC1B4">
      <w:pPr>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关于竣工验收程序的约定：</w:t>
      </w:r>
      <w:r>
        <w:rPr>
          <w:rFonts w:hint="eastAsia" w:ascii="宋体" w:hAnsi="宋体"/>
          <w:color w:val="auto"/>
          <w:szCs w:val="21"/>
          <w:highlight w:val="none"/>
          <w:u w:val="single"/>
        </w:rPr>
        <w:t>按通用合同条款执行</w:t>
      </w:r>
      <w:r>
        <w:rPr>
          <w:rFonts w:ascii="宋体" w:hAnsi="宋体"/>
          <w:color w:val="auto"/>
          <w:szCs w:val="21"/>
          <w:highlight w:val="none"/>
        </w:rPr>
        <w:t>。</w:t>
      </w:r>
    </w:p>
    <w:p w14:paraId="0E21A76C">
      <w:pPr>
        <w:spacing w:line="360" w:lineRule="auto"/>
        <w:ind w:firstLine="420" w:firstLineChars="200"/>
        <w:jc w:val="left"/>
        <w:outlineLvl w:val="9"/>
        <w:rPr>
          <w:rFonts w:ascii="宋体" w:hAnsi="宋体"/>
          <w:color w:val="auto"/>
          <w:szCs w:val="21"/>
          <w:highlight w:val="none"/>
        </w:rPr>
      </w:pPr>
      <w:r>
        <w:rPr>
          <w:rFonts w:ascii="宋体" w:hAnsi="宋体"/>
          <w:color w:val="auto"/>
          <w:kern w:val="0"/>
          <w:szCs w:val="21"/>
          <w:highlight w:val="none"/>
        </w:rPr>
        <w:t>发包人不按照本项约定组织竣工验收、颁发工程接收证书的违约金的计算方法：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bookmarkEnd w:id="1505"/>
    <w:p w14:paraId="30F44FD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13.2.5移交、接收全部与部分工程</w:t>
      </w:r>
    </w:p>
    <w:bookmarkEnd w:id="1506"/>
    <w:p w14:paraId="67F0FA38">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承包人向发包人移交工程的期限：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0541B7AD">
      <w:pPr>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发包人未按本合同约定接收全部或部分工程的，违约金的计算方法为：</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bookmarkEnd w:id="1507"/>
    <w:p w14:paraId="25FFA67F">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承包人未按时移交工程的，违约金的计算方法为：</w:t>
      </w:r>
      <w:r>
        <w:rPr>
          <w:rFonts w:ascii="宋体" w:hAnsi="宋体"/>
          <w:color w:val="auto"/>
          <w:szCs w:val="21"/>
          <w:highlight w:val="none"/>
          <w:u w:val="single"/>
        </w:rPr>
        <w:t xml:space="preserve">       </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w:t>
      </w:r>
      <w:r>
        <w:rPr>
          <w:rFonts w:ascii="宋体" w:hAnsi="宋体"/>
          <w:b/>
          <w:bCs/>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79D70EB">
      <w:pPr>
        <w:keepNext/>
        <w:keepLines/>
        <w:spacing w:before="260" w:after="260" w:line="416" w:lineRule="auto"/>
        <w:outlineLvl w:val="9"/>
        <w:rPr>
          <w:rFonts w:ascii="宋体" w:hAnsi="宋体"/>
          <w:b/>
          <w:bCs/>
          <w:color w:val="auto"/>
          <w:sz w:val="32"/>
          <w:szCs w:val="32"/>
          <w:highlight w:val="none"/>
        </w:rPr>
      </w:pPr>
      <w:bookmarkStart w:id="1510" w:name="_Toc432343948"/>
      <w:bookmarkStart w:id="1511" w:name="_Toc470247859"/>
      <w:bookmarkStart w:id="1512" w:name="_Toc529527032"/>
      <w:bookmarkStart w:id="1513" w:name="_Toc461179302"/>
      <w:bookmarkStart w:id="1514" w:name="_Toc373227756"/>
      <w:bookmarkStart w:id="1515" w:name="_Toc411345240"/>
      <w:bookmarkStart w:id="1516" w:name="_Toc373478403"/>
      <w:bookmarkStart w:id="1517" w:name="_Toc531186661"/>
      <w:bookmarkStart w:id="1518" w:name="_Toc529547384"/>
      <w:bookmarkStart w:id="1519" w:name="_Toc454211172"/>
      <w:bookmarkStart w:id="1520" w:name="_Toc530144526"/>
      <w:bookmarkStart w:id="1521" w:name="_Toc472931665"/>
      <w:bookmarkStart w:id="1522" w:name="_Toc389065321"/>
      <w:r>
        <w:rPr>
          <w:rFonts w:ascii="宋体" w:hAnsi="宋体"/>
          <w:b/>
          <w:bCs/>
          <w:color w:val="auto"/>
          <w:sz w:val="32"/>
          <w:szCs w:val="32"/>
          <w:highlight w:val="none"/>
        </w:rPr>
        <w:t>13.3 工程试车</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p>
    <w:bookmarkEnd w:id="1508"/>
    <w:p w14:paraId="2297F2A0">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13.3.1 试车程序</w:t>
      </w:r>
    </w:p>
    <w:p w14:paraId="30AE1772">
      <w:pPr>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工程试车内容：</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21541501">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（1）单机无负荷试车费用由</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kern w:val="0"/>
          <w:szCs w:val="21"/>
          <w:highlight w:val="none"/>
        </w:rPr>
        <w:t>承担；</w:t>
      </w:r>
    </w:p>
    <w:p w14:paraId="3C2F2418">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（2）无负荷联动试车费用由</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承担。</w:t>
      </w:r>
    </w:p>
    <w:p w14:paraId="12BA9B03">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13.3.3 投料试车</w:t>
      </w:r>
    </w:p>
    <w:p w14:paraId="18C0D41D">
      <w:pPr>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关于投料试车相关事项的约定：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521A1A22">
      <w:pPr>
        <w:keepNext/>
        <w:keepLines/>
        <w:spacing w:before="260" w:after="260" w:line="416" w:lineRule="auto"/>
        <w:outlineLvl w:val="9"/>
        <w:rPr>
          <w:rFonts w:ascii="宋体" w:hAnsi="宋体"/>
          <w:b/>
          <w:bCs/>
          <w:color w:val="auto"/>
          <w:sz w:val="32"/>
          <w:szCs w:val="32"/>
          <w:highlight w:val="none"/>
        </w:rPr>
      </w:pPr>
      <w:bookmarkStart w:id="1523" w:name="_Toc373478404"/>
      <w:bookmarkStart w:id="1524" w:name="_Toc529527033"/>
      <w:bookmarkStart w:id="1525" w:name="_Toc373227757"/>
      <w:bookmarkStart w:id="1526" w:name="_Toc470247860"/>
      <w:bookmarkStart w:id="1527" w:name="_Toc411345241"/>
      <w:bookmarkStart w:id="1528" w:name="_Toc529547385"/>
      <w:bookmarkStart w:id="1529" w:name="_Toc472931666"/>
      <w:bookmarkStart w:id="1530" w:name="_Toc531186662"/>
      <w:bookmarkStart w:id="1531" w:name="_Toc432343949"/>
      <w:bookmarkStart w:id="1532" w:name="_Toc530144527"/>
      <w:bookmarkStart w:id="1533" w:name="_Toc389065322"/>
      <w:bookmarkStart w:id="1534" w:name="_Toc454211173"/>
      <w:bookmarkStart w:id="1535" w:name="_Toc461179303"/>
      <w:r>
        <w:rPr>
          <w:rFonts w:ascii="宋体" w:hAnsi="宋体"/>
          <w:b/>
          <w:bCs/>
          <w:color w:val="auto"/>
          <w:sz w:val="32"/>
          <w:szCs w:val="32"/>
          <w:highlight w:val="none"/>
        </w:rPr>
        <w:t>13.6 竣工退场</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14:paraId="41DA7E35">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13.6.1 竣工退场</w:t>
      </w:r>
    </w:p>
    <w:p w14:paraId="1D8D4823">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承包人完成竣工退场的期限：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kern w:val="0"/>
          <w:szCs w:val="21"/>
          <w:highlight w:val="none"/>
        </w:rPr>
        <w:t>。</w:t>
      </w:r>
    </w:p>
    <w:p w14:paraId="206876B0">
      <w:pPr>
        <w:keepNext/>
        <w:keepLines/>
        <w:spacing w:before="260" w:after="260" w:line="416" w:lineRule="auto"/>
        <w:outlineLvl w:val="9"/>
        <w:rPr>
          <w:rFonts w:ascii="宋体" w:hAnsi="宋体"/>
          <w:b/>
          <w:bCs/>
          <w:color w:val="auto"/>
          <w:sz w:val="32"/>
          <w:szCs w:val="32"/>
          <w:highlight w:val="none"/>
        </w:rPr>
      </w:pPr>
      <w:bookmarkStart w:id="1536" w:name="_Toc432343950"/>
      <w:bookmarkStart w:id="1537" w:name="_Toc411345242"/>
      <w:bookmarkStart w:id="1538" w:name="_Toc472931667"/>
      <w:bookmarkStart w:id="1539" w:name="_Toc389065323"/>
      <w:bookmarkStart w:id="1540" w:name="_Toc529527034"/>
      <w:bookmarkStart w:id="1541" w:name="_Toc373478405"/>
      <w:bookmarkStart w:id="1542" w:name="_Toc454211174"/>
      <w:bookmarkStart w:id="1543" w:name="_Toc461179304"/>
      <w:bookmarkStart w:id="1544" w:name="_Toc351203646"/>
      <w:bookmarkStart w:id="1545" w:name="_Toc529547386"/>
      <w:bookmarkStart w:id="1546" w:name="_Toc531186663"/>
      <w:bookmarkStart w:id="1547" w:name="_Toc530144528"/>
      <w:bookmarkStart w:id="1548" w:name="_Toc373227758"/>
      <w:bookmarkStart w:id="1549" w:name="_Toc470247861"/>
      <w:r>
        <w:rPr>
          <w:rFonts w:ascii="宋体" w:hAnsi="宋体"/>
          <w:b/>
          <w:bCs/>
          <w:color w:val="auto"/>
          <w:sz w:val="32"/>
          <w:szCs w:val="32"/>
          <w:highlight w:val="none"/>
        </w:rPr>
        <w:t>14. 竣工结算</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62EF2DC9">
      <w:pPr>
        <w:keepNext/>
        <w:keepLines/>
        <w:spacing w:before="260" w:after="260" w:line="416" w:lineRule="auto"/>
        <w:outlineLvl w:val="9"/>
        <w:rPr>
          <w:rFonts w:ascii="宋体" w:hAnsi="宋体"/>
          <w:b/>
          <w:bCs/>
          <w:color w:val="auto"/>
          <w:sz w:val="32"/>
          <w:szCs w:val="32"/>
          <w:highlight w:val="none"/>
        </w:rPr>
      </w:pPr>
      <w:bookmarkStart w:id="1550" w:name="_Toc529547387"/>
      <w:bookmarkStart w:id="1551" w:name="_Toc461179305"/>
      <w:bookmarkStart w:id="1552" w:name="_Toc531186664"/>
      <w:bookmarkStart w:id="1553" w:name="_Toc389065324"/>
      <w:bookmarkStart w:id="1554" w:name="_Toc411345243"/>
      <w:bookmarkStart w:id="1555" w:name="_Toc472931668"/>
      <w:bookmarkStart w:id="1556" w:name="_Toc530144529"/>
      <w:bookmarkStart w:id="1557" w:name="_Toc373478406"/>
      <w:bookmarkStart w:id="1558" w:name="_Toc470247862"/>
      <w:bookmarkStart w:id="1559" w:name="_Toc454211175"/>
      <w:bookmarkStart w:id="1560" w:name="_Toc529527035"/>
      <w:bookmarkStart w:id="1561" w:name="_Toc432343951"/>
      <w:bookmarkStart w:id="1562" w:name="_Toc373227759"/>
      <w:r>
        <w:rPr>
          <w:rFonts w:ascii="宋体" w:hAnsi="宋体"/>
          <w:b/>
          <w:bCs/>
          <w:color w:val="auto"/>
          <w:sz w:val="32"/>
          <w:szCs w:val="32"/>
          <w:highlight w:val="none"/>
        </w:rPr>
        <w:t>14.1 竣工付款申请</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p>
    <w:p w14:paraId="40333F9F">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承包人提交竣工付款申请单的期限：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371B4A65">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竣工付款申请单应包括的内容：</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4562D5D7">
      <w:pPr>
        <w:keepNext/>
        <w:keepLines/>
        <w:spacing w:before="260" w:after="260" w:line="416" w:lineRule="auto"/>
        <w:outlineLvl w:val="9"/>
        <w:rPr>
          <w:rFonts w:ascii="宋体" w:hAnsi="宋体"/>
          <w:b/>
          <w:bCs/>
          <w:color w:val="auto"/>
          <w:sz w:val="32"/>
          <w:szCs w:val="32"/>
          <w:highlight w:val="none"/>
        </w:rPr>
      </w:pPr>
      <w:bookmarkStart w:id="1563" w:name="_Toc530144530"/>
      <w:bookmarkStart w:id="1564" w:name="_Toc529547388"/>
      <w:bookmarkStart w:id="1565" w:name="_Toc373227760"/>
      <w:bookmarkStart w:id="1566" w:name="_Toc454211176"/>
      <w:bookmarkStart w:id="1567" w:name="_Toc432343952"/>
      <w:bookmarkStart w:id="1568" w:name="_Toc411345244"/>
      <w:bookmarkStart w:id="1569" w:name="_Toc531186665"/>
      <w:bookmarkStart w:id="1570" w:name="_Toc389065325"/>
      <w:bookmarkStart w:id="1571" w:name="_Toc461179306"/>
      <w:bookmarkStart w:id="1572" w:name="_Toc470247863"/>
      <w:bookmarkStart w:id="1573" w:name="_Toc373478407"/>
      <w:bookmarkStart w:id="1574" w:name="_Toc529527036"/>
      <w:bookmarkStart w:id="1575" w:name="_Toc472931669"/>
      <w:r>
        <w:rPr>
          <w:rFonts w:ascii="宋体" w:hAnsi="宋体"/>
          <w:b/>
          <w:bCs/>
          <w:color w:val="auto"/>
          <w:sz w:val="32"/>
          <w:szCs w:val="32"/>
          <w:highlight w:val="none"/>
        </w:rPr>
        <w:t>14.2 竣工结算审核</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14:paraId="53EFF025">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发包人审批竣工付款申请单的期限：</w:t>
      </w:r>
    </w:p>
    <w:tbl>
      <w:tblPr>
        <w:tblStyle w:val="8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20"/>
        <w:gridCol w:w="5333"/>
      </w:tblGrid>
      <w:tr w14:paraId="1B72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1FA66C3">
            <w:pPr>
              <w:spacing w:line="360" w:lineRule="auto"/>
              <w:jc w:val="center"/>
              <w:outlineLvl w:val="9"/>
              <w:rPr>
                <w:rFonts w:ascii="宋体" w:hAnsi="宋体"/>
                <w:bCs/>
                <w:color w:val="auto"/>
                <w:szCs w:val="21"/>
                <w:highlight w:val="none"/>
              </w:rPr>
            </w:pPr>
          </w:p>
        </w:tc>
        <w:tc>
          <w:tcPr>
            <w:tcW w:w="2420" w:type="dxa"/>
            <w:vAlign w:val="center"/>
          </w:tcPr>
          <w:p w14:paraId="3F3C4036">
            <w:pPr>
              <w:spacing w:line="360" w:lineRule="auto"/>
              <w:jc w:val="center"/>
              <w:outlineLvl w:val="9"/>
              <w:rPr>
                <w:rFonts w:ascii="宋体" w:hAnsi="宋体"/>
                <w:bCs/>
                <w:color w:val="auto"/>
                <w:szCs w:val="21"/>
                <w:highlight w:val="none"/>
              </w:rPr>
            </w:pPr>
            <w:r>
              <w:rPr>
                <w:rFonts w:ascii="宋体" w:hAnsi="宋体"/>
                <w:bCs/>
                <w:color w:val="auto"/>
                <w:szCs w:val="21"/>
                <w:highlight w:val="none"/>
              </w:rPr>
              <w:t>工程竣工结算报告金额</w:t>
            </w:r>
          </w:p>
        </w:tc>
        <w:tc>
          <w:tcPr>
            <w:tcW w:w="5333" w:type="dxa"/>
            <w:vAlign w:val="center"/>
          </w:tcPr>
          <w:p w14:paraId="0EB96192">
            <w:pPr>
              <w:spacing w:line="360" w:lineRule="auto"/>
              <w:jc w:val="center"/>
              <w:outlineLvl w:val="9"/>
              <w:rPr>
                <w:rFonts w:ascii="宋体" w:hAnsi="宋体"/>
                <w:bCs/>
                <w:color w:val="auto"/>
                <w:szCs w:val="21"/>
                <w:highlight w:val="none"/>
              </w:rPr>
            </w:pPr>
            <w:r>
              <w:rPr>
                <w:rFonts w:ascii="宋体" w:hAnsi="宋体"/>
                <w:bCs/>
                <w:color w:val="auto"/>
                <w:szCs w:val="21"/>
                <w:highlight w:val="none"/>
              </w:rPr>
              <w:t>发包人审查时间</w:t>
            </w:r>
          </w:p>
        </w:tc>
      </w:tr>
      <w:tr w14:paraId="540F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A1EE877">
            <w:pPr>
              <w:spacing w:line="360" w:lineRule="auto"/>
              <w:jc w:val="center"/>
              <w:outlineLvl w:val="9"/>
              <w:rPr>
                <w:rFonts w:ascii="宋体" w:hAnsi="宋体"/>
                <w:bCs/>
                <w:color w:val="auto"/>
                <w:szCs w:val="21"/>
                <w:highlight w:val="none"/>
              </w:rPr>
            </w:pPr>
            <w:r>
              <w:rPr>
                <w:rFonts w:ascii="宋体" w:hAnsi="宋体"/>
                <w:bCs/>
                <w:color w:val="auto"/>
                <w:szCs w:val="21"/>
                <w:highlight w:val="none"/>
              </w:rPr>
              <w:t>1</w:t>
            </w:r>
          </w:p>
        </w:tc>
        <w:tc>
          <w:tcPr>
            <w:tcW w:w="2420" w:type="dxa"/>
            <w:vAlign w:val="center"/>
          </w:tcPr>
          <w:p w14:paraId="033EF22A">
            <w:pPr>
              <w:spacing w:line="360" w:lineRule="auto"/>
              <w:jc w:val="center"/>
              <w:outlineLvl w:val="9"/>
              <w:rPr>
                <w:rFonts w:ascii="宋体" w:hAnsi="宋体"/>
                <w:bCs/>
                <w:color w:val="auto"/>
                <w:szCs w:val="21"/>
                <w:highlight w:val="none"/>
              </w:rPr>
            </w:pPr>
            <w:r>
              <w:rPr>
                <w:rFonts w:ascii="宋体" w:hAnsi="宋体"/>
                <w:bCs/>
                <w:color w:val="auto"/>
                <w:szCs w:val="21"/>
                <w:highlight w:val="none"/>
              </w:rPr>
              <w:t>500万元以下</w:t>
            </w:r>
          </w:p>
        </w:tc>
        <w:tc>
          <w:tcPr>
            <w:tcW w:w="5333" w:type="dxa"/>
            <w:vAlign w:val="center"/>
          </w:tcPr>
          <w:p w14:paraId="4A601880">
            <w:pPr>
              <w:spacing w:line="360" w:lineRule="auto"/>
              <w:outlineLvl w:val="9"/>
              <w:rPr>
                <w:rFonts w:ascii="宋体" w:hAnsi="宋体"/>
                <w:bCs/>
                <w:color w:val="auto"/>
                <w:szCs w:val="21"/>
                <w:highlight w:val="none"/>
              </w:rPr>
            </w:pPr>
            <w:r>
              <w:rPr>
                <w:rFonts w:ascii="宋体" w:hAnsi="宋体"/>
                <w:bCs/>
                <w:color w:val="auto"/>
                <w:szCs w:val="21"/>
                <w:highlight w:val="none"/>
              </w:rPr>
              <w:t>从接到竣工结算报告和完整的竣工结算资料之日起20天</w:t>
            </w:r>
          </w:p>
        </w:tc>
      </w:tr>
      <w:tr w14:paraId="75D7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8F45207">
            <w:pPr>
              <w:spacing w:line="360" w:lineRule="auto"/>
              <w:jc w:val="center"/>
              <w:outlineLvl w:val="9"/>
              <w:rPr>
                <w:rFonts w:ascii="宋体" w:hAnsi="宋体"/>
                <w:bCs/>
                <w:color w:val="auto"/>
                <w:szCs w:val="21"/>
                <w:highlight w:val="none"/>
              </w:rPr>
            </w:pPr>
            <w:r>
              <w:rPr>
                <w:rFonts w:ascii="宋体" w:hAnsi="宋体"/>
                <w:bCs/>
                <w:color w:val="auto"/>
                <w:szCs w:val="21"/>
                <w:highlight w:val="none"/>
              </w:rPr>
              <w:t>2</w:t>
            </w:r>
          </w:p>
        </w:tc>
        <w:tc>
          <w:tcPr>
            <w:tcW w:w="2420" w:type="dxa"/>
            <w:vAlign w:val="center"/>
          </w:tcPr>
          <w:p w14:paraId="3C9A913C">
            <w:pPr>
              <w:spacing w:line="360" w:lineRule="auto"/>
              <w:jc w:val="center"/>
              <w:outlineLvl w:val="9"/>
              <w:rPr>
                <w:rFonts w:ascii="宋体" w:hAnsi="宋体"/>
                <w:bCs/>
                <w:color w:val="auto"/>
                <w:szCs w:val="21"/>
                <w:highlight w:val="none"/>
              </w:rPr>
            </w:pPr>
            <w:r>
              <w:rPr>
                <w:rFonts w:ascii="宋体" w:hAnsi="宋体"/>
                <w:bCs/>
                <w:color w:val="auto"/>
                <w:szCs w:val="21"/>
                <w:highlight w:val="none"/>
              </w:rPr>
              <w:t>500万元-2000万元</w:t>
            </w:r>
          </w:p>
        </w:tc>
        <w:tc>
          <w:tcPr>
            <w:tcW w:w="5333" w:type="dxa"/>
            <w:vAlign w:val="center"/>
          </w:tcPr>
          <w:p w14:paraId="2B7B4A7A">
            <w:pPr>
              <w:spacing w:line="360" w:lineRule="auto"/>
              <w:outlineLvl w:val="9"/>
              <w:rPr>
                <w:rFonts w:ascii="宋体" w:hAnsi="宋体"/>
                <w:bCs/>
                <w:color w:val="auto"/>
                <w:szCs w:val="21"/>
                <w:highlight w:val="none"/>
              </w:rPr>
            </w:pPr>
            <w:r>
              <w:rPr>
                <w:rFonts w:ascii="宋体" w:hAnsi="宋体"/>
                <w:bCs/>
                <w:color w:val="auto"/>
                <w:szCs w:val="21"/>
                <w:highlight w:val="none"/>
              </w:rPr>
              <w:t>从接到竣工结算报告和完整的竣工结算资料之日起30天</w:t>
            </w:r>
          </w:p>
        </w:tc>
      </w:tr>
      <w:tr w14:paraId="3393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AF40884">
            <w:pPr>
              <w:spacing w:line="360" w:lineRule="auto"/>
              <w:jc w:val="center"/>
              <w:outlineLvl w:val="9"/>
              <w:rPr>
                <w:rFonts w:ascii="宋体" w:hAnsi="宋体"/>
                <w:bCs/>
                <w:color w:val="auto"/>
                <w:szCs w:val="21"/>
                <w:highlight w:val="none"/>
              </w:rPr>
            </w:pPr>
            <w:r>
              <w:rPr>
                <w:rFonts w:ascii="宋体" w:hAnsi="宋体"/>
                <w:bCs/>
                <w:color w:val="auto"/>
                <w:szCs w:val="21"/>
                <w:highlight w:val="none"/>
              </w:rPr>
              <w:t>3</w:t>
            </w:r>
          </w:p>
        </w:tc>
        <w:tc>
          <w:tcPr>
            <w:tcW w:w="2420" w:type="dxa"/>
            <w:vAlign w:val="center"/>
          </w:tcPr>
          <w:p w14:paraId="65B872DA">
            <w:pPr>
              <w:spacing w:line="360" w:lineRule="auto"/>
              <w:jc w:val="center"/>
              <w:outlineLvl w:val="9"/>
              <w:rPr>
                <w:rFonts w:ascii="宋体" w:hAnsi="宋体"/>
                <w:bCs/>
                <w:color w:val="auto"/>
                <w:szCs w:val="21"/>
                <w:highlight w:val="none"/>
              </w:rPr>
            </w:pPr>
            <w:r>
              <w:rPr>
                <w:rFonts w:ascii="宋体" w:hAnsi="宋体"/>
                <w:bCs/>
                <w:color w:val="auto"/>
                <w:szCs w:val="21"/>
                <w:highlight w:val="none"/>
              </w:rPr>
              <w:t>2000万元-5000万元</w:t>
            </w:r>
          </w:p>
        </w:tc>
        <w:tc>
          <w:tcPr>
            <w:tcW w:w="5333" w:type="dxa"/>
            <w:vAlign w:val="center"/>
          </w:tcPr>
          <w:p w14:paraId="00DBC977">
            <w:pPr>
              <w:spacing w:line="360" w:lineRule="auto"/>
              <w:outlineLvl w:val="9"/>
              <w:rPr>
                <w:rFonts w:ascii="宋体" w:hAnsi="宋体"/>
                <w:bCs/>
                <w:color w:val="auto"/>
                <w:szCs w:val="21"/>
                <w:highlight w:val="none"/>
              </w:rPr>
            </w:pPr>
            <w:r>
              <w:rPr>
                <w:rFonts w:ascii="宋体" w:hAnsi="宋体"/>
                <w:bCs/>
                <w:color w:val="auto"/>
                <w:szCs w:val="21"/>
                <w:highlight w:val="none"/>
              </w:rPr>
              <w:t>从接到竣工结算报告和完整的竣工结算资料之日起45天</w:t>
            </w:r>
          </w:p>
        </w:tc>
      </w:tr>
      <w:tr w14:paraId="573E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DA7CC28">
            <w:pPr>
              <w:spacing w:line="360" w:lineRule="auto"/>
              <w:jc w:val="center"/>
              <w:outlineLvl w:val="9"/>
              <w:rPr>
                <w:rFonts w:ascii="宋体" w:hAnsi="宋体"/>
                <w:bCs/>
                <w:color w:val="auto"/>
                <w:szCs w:val="21"/>
                <w:highlight w:val="none"/>
              </w:rPr>
            </w:pPr>
            <w:r>
              <w:rPr>
                <w:rFonts w:ascii="宋体" w:hAnsi="宋体"/>
                <w:bCs/>
                <w:color w:val="auto"/>
                <w:szCs w:val="21"/>
                <w:highlight w:val="none"/>
              </w:rPr>
              <w:t>4</w:t>
            </w:r>
          </w:p>
        </w:tc>
        <w:tc>
          <w:tcPr>
            <w:tcW w:w="2420" w:type="dxa"/>
            <w:vAlign w:val="center"/>
          </w:tcPr>
          <w:p w14:paraId="0ED23483">
            <w:pPr>
              <w:spacing w:line="360" w:lineRule="auto"/>
              <w:jc w:val="center"/>
              <w:outlineLvl w:val="9"/>
              <w:rPr>
                <w:rFonts w:ascii="宋体" w:hAnsi="宋体"/>
                <w:bCs/>
                <w:color w:val="auto"/>
                <w:szCs w:val="21"/>
                <w:highlight w:val="none"/>
              </w:rPr>
            </w:pPr>
            <w:r>
              <w:rPr>
                <w:rFonts w:ascii="宋体" w:hAnsi="宋体"/>
                <w:bCs/>
                <w:color w:val="auto"/>
                <w:szCs w:val="21"/>
                <w:highlight w:val="none"/>
              </w:rPr>
              <w:t>5000万元以上</w:t>
            </w:r>
          </w:p>
        </w:tc>
        <w:tc>
          <w:tcPr>
            <w:tcW w:w="5333" w:type="dxa"/>
            <w:vAlign w:val="center"/>
          </w:tcPr>
          <w:p w14:paraId="32D80BB8">
            <w:pPr>
              <w:spacing w:line="360" w:lineRule="auto"/>
              <w:outlineLvl w:val="9"/>
              <w:rPr>
                <w:rFonts w:ascii="宋体" w:hAnsi="宋体"/>
                <w:bCs/>
                <w:color w:val="auto"/>
                <w:szCs w:val="21"/>
                <w:highlight w:val="none"/>
              </w:rPr>
            </w:pPr>
            <w:r>
              <w:rPr>
                <w:rFonts w:ascii="宋体" w:hAnsi="宋体"/>
                <w:bCs/>
                <w:color w:val="auto"/>
                <w:szCs w:val="21"/>
                <w:highlight w:val="none"/>
              </w:rPr>
              <w:t>从接到竣工结算报告和完整的竣工结算资料之日起60天</w:t>
            </w:r>
          </w:p>
        </w:tc>
      </w:tr>
    </w:tbl>
    <w:p w14:paraId="34955F10">
      <w:pPr>
        <w:spacing w:line="360" w:lineRule="auto"/>
        <w:ind w:firstLine="420" w:firstLineChars="200"/>
        <w:jc w:val="left"/>
        <w:outlineLvl w:val="9"/>
        <w:rPr>
          <w:rFonts w:ascii="宋体" w:hAnsi="宋体"/>
          <w:color w:val="auto"/>
          <w:szCs w:val="21"/>
          <w:highlight w:val="none"/>
        </w:rPr>
      </w:pPr>
      <w:r>
        <w:rPr>
          <w:rFonts w:ascii="宋体" w:hAnsi="宋体"/>
          <w:bCs/>
          <w:color w:val="auto"/>
          <w:szCs w:val="21"/>
          <w:highlight w:val="none"/>
        </w:rPr>
        <w:t>因承包人提供的结算资料不完整而需要补充或承包人不按时对账耽误时间时，审查时间应相应顺延</w:t>
      </w:r>
      <w:r>
        <w:rPr>
          <w:rFonts w:ascii="宋体" w:hAnsi="宋体"/>
          <w:color w:val="auto"/>
          <w:szCs w:val="21"/>
          <w:highlight w:val="none"/>
        </w:rPr>
        <w:t>。</w:t>
      </w:r>
    </w:p>
    <w:p w14:paraId="2EC578CF">
      <w:pPr>
        <w:spacing w:line="400" w:lineRule="exact"/>
        <w:ind w:firstLine="411" w:firstLineChars="196"/>
        <w:outlineLvl w:val="9"/>
        <w:rPr>
          <w:rFonts w:ascii="Calibri" w:hAnsi="宋体"/>
          <w:bCs/>
          <w:color w:val="auto"/>
          <w:szCs w:val="21"/>
          <w:highlight w:val="none"/>
        </w:rPr>
      </w:pPr>
      <w:r>
        <w:rPr>
          <w:rFonts w:hint="eastAsia" w:ascii="Calibri" w:hAnsi="宋体"/>
          <w:bCs/>
          <w:color w:val="auto"/>
          <w:szCs w:val="21"/>
          <w:highlight w:val="none"/>
        </w:rPr>
        <w:t>结算审核约定：</w:t>
      </w:r>
    </w:p>
    <w:p w14:paraId="1F1410EC">
      <w:pPr>
        <w:spacing w:line="400" w:lineRule="exact"/>
        <w:ind w:firstLine="411" w:firstLineChars="196"/>
        <w:outlineLvl w:val="9"/>
        <w:rPr>
          <w:rFonts w:ascii="Calibri" w:hAnsi="宋体"/>
          <w:bCs/>
          <w:color w:val="auto"/>
          <w:szCs w:val="21"/>
          <w:highlight w:val="none"/>
          <w:u w:val="single"/>
        </w:rPr>
      </w:pPr>
      <w:r>
        <w:rPr>
          <w:rFonts w:hint="eastAsia" w:ascii="Calibri" w:hAnsi="宋体"/>
          <w:bCs/>
          <w:color w:val="auto"/>
          <w:szCs w:val="21"/>
          <w:highlight w:val="none"/>
        </w:rPr>
        <w:t>非国有投资项目：</w:t>
      </w:r>
      <w:r>
        <w:rPr>
          <w:rFonts w:ascii="Calibri" w:hAnsi="宋体"/>
          <w:bCs/>
          <w:color w:val="auto"/>
          <w:szCs w:val="21"/>
          <w:highlight w:val="none"/>
          <w:u w:val="single"/>
        </w:rPr>
        <w:t>1</w:t>
      </w:r>
      <w:r>
        <w:rPr>
          <w:rFonts w:hint="eastAsia" w:ascii="Calibri" w:hAnsi="宋体"/>
          <w:bCs/>
          <w:color w:val="auto"/>
          <w:szCs w:val="21"/>
          <w:highlight w:val="none"/>
          <w:u w:val="single"/>
        </w:rPr>
        <w:t>、工程竣工验收报告经发包人认可后</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20</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天内，承包人向发包人递交竣工验收合格资料及完整的结算资料和报告，双方按照协议书约定的合同价款及专用条款约定的合同价调整内容，进行工程竣工结算。</w:t>
      </w:r>
      <w:r>
        <w:rPr>
          <w:rFonts w:ascii="Calibri" w:hAnsi="宋体"/>
          <w:bCs/>
          <w:color w:val="auto"/>
          <w:szCs w:val="21"/>
          <w:highlight w:val="none"/>
          <w:u w:val="single"/>
        </w:rPr>
        <w:t>2</w:t>
      </w:r>
      <w:r>
        <w:rPr>
          <w:rFonts w:hint="eastAsia" w:ascii="Calibri" w:hAnsi="宋体"/>
          <w:bCs/>
          <w:color w:val="auto"/>
          <w:szCs w:val="21"/>
          <w:highlight w:val="none"/>
          <w:u w:val="single"/>
        </w:rPr>
        <w:t>、发包人收到承包人递交的竣工结算报告及结算资料之日起</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天内进行审核，给予确认或者提出初审意见。发包人逾期不予审定结算的视为发包人已同意上述竣工结算报告及结算资料，并以此作为最终结算的依据。发包人初审竣工结算完毕之日起</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7</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天内，按审定后的结算价款，通知经办银行向承包人支付工程竣工结算价款。承包人应根据发包人的需要随时将竣工工程交付发包人。</w:t>
      </w:r>
    </w:p>
    <w:p w14:paraId="7061B6CB">
      <w:pPr>
        <w:spacing w:line="360" w:lineRule="auto"/>
        <w:ind w:firstLine="420" w:firstLineChars="200"/>
        <w:jc w:val="left"/>
        <w:outlineLvl w:val="9"/>
        <w:rPr>
          <w:rFonts w:ascii="宋体" w:hAnsi="宋体"/>
          <w:color w:val="auto"/>
          <w:szCs w:val="21"/>
          <w:highlight w:val="none"/>
        </w:rPr>
      </w:pPr>
      <w:r>
        <w:rPr>
          <w:rFonts w:hint="eastAsia" w:ascii="Calibri" w:hAnsi="宋体"/>
          <w:bCs/>
          <w:color w:val="auto"/>
          <w:szCs w:val="21"/>
          <w:highlight w:val="none"/>
          <w:u w:val="single"/>
        </w:rPr>
        <w:t xml:space="preserve">国有投资项目：（双方结合各地政府或有关部门出台的管理规定进行约定）            </w:t>
      </w:r>
    </w:p>
    <w:p w14:paraId="0732AC1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发包人完成竣工付款的期限：</w:t>
      </w:r>
      <w:r>
        <w:rPr>
          <w:rFonts w:ascii="宋体" w:hAnsi="宋体"/>
          <w:color w:val="auto"/>
          <w:szCs w:val="21"/>
          <w:highlight w:val="none"/>
          <w:u w:val="single"/>
        </w:rPr>
        <w:t xml:space="preserve">  </w:t>
      </w:r>
      <w:r>
        <w:rPr>
          <w:rFonts w:hint="eastAsia" w:ascii="宋体" w:hAnsi="宋体"/>
          <w:color w:val="auto"/>
          <w:szCs w:val="21"/>
          <w:highlight w:val="none"/>
          <w:u w:val="single"/>
        </w:rPr>
        <w:t>6个月</w:t>
      </w:r>
      <w:r>
        <w:rPr>
          <w:rFonts w:ascii="宋体" w:hAnsi="宋体"/>
          <w:color w:val="auto"/>
          <w:szCs w:val="21"/>
          <w:highlight w:val="none"/>
          <w:u w:val="single"/>
        </w:rPr>
        <w:t xml:space="preserve">   </w:t>
      </w:r>
      <w:r>
        <w:rPr>
          <w:rFonts w:ascii="宋体" w:hAnsi="宋体"/>
          <w:color w:val="auto"/>
          <w:szCs w:val="21"/>
          <w:highlight w:val="none"/>
        </w:rPr>
        <w:t>。</w:t>
      </w:r>
    </w:p>
    <w:p w14:paraId="403E29B4">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关于竣工付款证书异议部分复核的方式和程序：</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14500D05">
      <w:pPr>
        <w:keepNext/>
        <w:keepLines/>
        <w:spacing w:before="260" w:after="260" w:line="416" w:lineRule="auto"/>
        <w:outlineLvl w:val="9"/>
        <w:rPr>
          <w:rFonts w:ascii="宋体" w:hAnsi="宋体"/>
          <w:b/>
          <w:bCs/>
          <w:color w:val="auto"/>
          <w:sz w:val="32"/>
          <w:szCs w:val="32"/>
          <w:highlight w:val="none"/>
        </w:rPr>
      </w:pPr>
      <w:bookmarkStart w:id="1576" w:name="_Toc373227761"/>
      <w:bookmarkStart w:id="1577" w:name="_Toc411345245"/>
      <w:bookmarkStart w:id="1578" w:name="_Toc389065326"/>
      <w:bookmarkStart w:id="1579" w:name="_Toc472931670"/>
      <w:bookmarkStart w:id="1580" w:name="_Toc432343953"/>
      <w:bookmarkStart w:id="1581" w:name="_Toc454211177"/>
      <w:bookmarkStart w:id="1582" w:name="_Toc461179307"/>
      <w:bookmarkStart w:id="1583" w:name="_Toc531186666"/>
      <w:bookmarkStart w:id="1584" w:name="_Toc529527037"/>
      <w:bookmarkStart w:id="1585" w:name="_Toc530144531"/>
      <w:bookmarkStart w:id="1586" w:name="_Toc470247864"/>
      <w:bookmarkStart w:id="1587" w:name="_Toc373478408"/>
      <w:bookmarkStart w:id="1588" w:name="_Toc529547389"/>
      <w:r>
        <w:rPr>
          <w:rFonts w:ascii="宋体" w:hAnsi="宋体"/>
          <w:b/>
          <w:bCs/>
          <w:color w:val="auto"/>
          <w:sz w:val="32"/>
          <w:szCs w:val="32"/>
          <w:highlight w:val="none"/>
        </w:rPr>
        <w:t>14.4 最终结清</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14:paraId="20B8310A">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14.4.1 最终结清申请单</w:t>
      </w:r>
    </w:p>
    <w:p w14:paraId="5BE6516C">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承包人提交最终结清申请单的份数：</w:t>
      </w:r>
      <w:r>
        <w:rPr>
          <w:rFonts w:ascii="宋体" w:hAnsi="宋体"/>
          <w:color w:val="auto"/>
          <w:szCs w:val="21"/>
          <w:highlight w:val="none"/>
          <w:u w:val="single"/>
        </w:rPr>
        <w:t xml:space="preserve">   </w:t>
      </w:r>
      <w:r>
        <w:rPr>
          <w:rFonts w:hint="eastAsia" w:ascii="宋体" w:hAnsi="宋体"/>
          <w:color w:val="auto"/>
          <w:szCs w:val="21"/>
          <w:highlight w:val="none"/>
          <w:u w:val="single"/>
        </w:rPr>
        <w:t>四份</w:t>
      </w:r>
      <w:r>
        <w:rPr>
          <w:rFonts w:ascii="宋体" w:hAnsi="宋体"/>
          <w:color w:val="auto"/>
          <w:szCs w:val="21"/>
          <w:highlight w:val="none"/>
          <w:u w:val="single"/>
        </w:rPr>
        <w:t xml:space="preserve">   </w:t>
      </w:r>
      <w:r>
        <w:rPr>
          <w:rFonts w:ascii="宋体" w:hAnsi="宋体"/>
          <w:color w:val="auto"/>
          <w:szCs w:val="21"/>
          <w:highlight w:val="none"/>
        </w:rPr>
        <w:t>。</w:t>
      </w:r>
    </w:p>
    <w:p w14:paraId="55D69FC0">
      <w:pPr>
        <w:spacing w:line="360" w:lineRule="auto"/>
        <w:ind w:firstLine="420" w:firstLineChars="200"/>
        <w:jc w:val="left"/>
        <w:outlineLvl w:val="9"/>
        <w:rPr>
          <w:rFonts w:ascii="宋体" w:hAnsi="宋体"/>
          <w:color w:val="auto"/>
          <w:szCs w:val="21"/>
          <w:highlight w:val="none"/>
        </w:rPr>
      </w:pPr>
      <w:r>
        <w:rPr>
          <w:rFonts w:ascii="宋体" w:hAnsi="宋体"/>
          <w:color w:val="auto"/>
          <w:kern w:val="0"/>
          <w:szCs w:val="21"/>
          <w:highlight w:val="none"/>
        </w:rPr>
        <w:t>承包人提交最终结算申请单的期限：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9CBE4C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14.4.2 最终结清证书和支付</w:t>
      </w:r>
    </w:p>
    <w:p w14:paraId="0D99291B">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按通用合同条款执行</w:t>
      </w:r>
      <w:r>
        <w:rPr>
          <w:rFonts w:ascii="宋体" w:hAnsi="宋体"/>
          <w:color w:val="auto"/>
          <w:szCs w:val="21"/>
          <w:highlight w:val="none"/>
        </w:rPr>
        <w:t>。</w:t>
      </w:r>
    </w:p>
    <w:p w14:paraId="09F7789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（2）发包人完成支付的期限：</w:t>
      </w:r>
      <w:r>
        <w:rPr>
          <w:rFonts w:hint="eastAsia" w:ascii="宋体" w:hAnsi="宋体"/>
          <w:color w:val="auto"/>
          <w:szCs w:val="21"/>
          <w:highlight w:val="none"/>
          <w:u w:val="single"/>
        </w:rPr>
        <w:t>在颁发最终结清证书后14天内完成支付</w:t>
      </w:r>
      <w:r>
        <w:rPr>
          <w:rFonts w:ascii="宋体" w:hAnsi="宋体"/>
          <w:color w:val="auto"/>
          <w:szCs w:val="21"/>
          <w:highlight w:val="none"/>
        </w:rPr>
        <w:t>。</w:t>
      </w:r>
    </w:p>
    <w:bookmarkEnd w:id="1497"/>
    <w:bookmarkEnd w:id="1498"/>
    <w:bookmarkEnd w:id="1499"/>
    <w:bookmarkEnd w:id="1500"/>
    <w:bookmarkEnd w:id="1501"/>
    <w:bookmarkEnd w:id="1502"/>
    <w:bookmarkEnd w:id="1503"/>
    <w:bookmarkEnd w:id="1509"/>
    <w:p w14:paraId="1C32D764">
      <w:pPr>
        <w:keepNext/>
        <w:keepLines/>
        <w:spacing w:before="260" w:after="260" w:line="416" w:lineRule="auto"/>
        <w:outlineLvl w:val="9"/>
        <w:rPr>
          <w:rFonts w:ascii="宋体" w:hAnsi="宋体"/>
          <w:b/>
          <w:bCs/>
          <w:color w:val="auto"/>
          <w:sz w:val="32"/>
          <w:szCs w:val="32"/>
          <w:highlight w:val="none"/>
        </w:rPr>
      </w:pPr>
      <w:bookmarkStart w:id="1589" w:name="_Toc470247865"/>
      <w:bookmarkStart w:id="1590" w:name="_Toc529547390"/>
      <w:bookmarkStart w:id="1591" w:name="_Toc531186667"/>
      <w:bookmarkStart w:id="1592" w:name="_Toc389065327"/>
      <w:bookmarkStart w:id="1593" w:name="_Toc472931671"/>
      <w:bookmarkStart w:id="1594" w:name="_Toc461179308"/>
      <w:bookmarkStart w:id="1595" w:name="_Toc432343954"/>
      <w:bookmarkStart w:id="1596" w:name="_Toc454211178"/>
      <w:bookmarkStart w:id="1597" w:name="_Toc373478409"/>
      <w:bookmarkStart w:id="1598" w:name="_Toc351203647"/>
      <w:bookmarkStart w:id="1599" w:name="_Toc411345246"/>
      <w:bookmarkStart w:id="1600" w:name="_Toc530144532"/>
      <w:bookmarkStart w:id="1601" w:name="_Toc529527038"/>
      <w:bookmarkStart w:id="1602" w:name="_Toc373227762"/>
      <w:bookmarkStart w:id="1603" w:name="_Toc267251483"/>
      <w:bookmarkStart w:id="1604" w:name="_Toc267251484"/>
      <w:bookmarkStart w:id="1605" w:name="_Toc267251482"/>
      <w:bookmarkStart w:id="1606" w:name="_Toc267251485"/>
      <w:bookmarkStart w:id="1607" w:name="_Toc267251486"/>
      <w:bookmarkStart w:id="1608" w:name="_Toc267251490"/>
      <w:bookmarkStart w:id="1609" w:name="_Toc267251488"/>
      <w:bookmarkStart w:id="1610" w:name="_Toc267251489"/>
      <w:r>
        <w:rPr>
          <w:rFonts w:ascii="宋体" w:hAnsi="宋体"/>
          <w:b/>
          <w:bCs/>
          <w:color w:val="auto"/>
          <w:sz w:val="32"/>
          <w:szCs w:val="32"/>
          <w:highlight w:val="none"/>
        </w:rPr>
        <w:t>15. 缺陷责任期与保修</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39236CAB">
      <w:pPr>
        <w:keepNext/>
        <w:keepLines/>
        <w:spacing w:before="260" w:after="260" w:line="416" w:lineRule="auto"/>
        <w:outlineLvl w:val="9"/>
        <w:rPr>
          <w:rFonts w:ascii="宋体" w:hAnsi="宋体"/>
          <w:b/>
          <w:bCs/>
          <w:color w:val="auto"/>
          <w:sz w:val="32"/>
          <w:szCs w:val="32"/>
          <w:highlight w:val="none"/>
        </w:rPr>
      </w:pPr>
      <w:bookmarkStart w:id="1611" w:name="_Toc411345247"/>
      <w:bookmarkStart w:id="1612" w:name="_Toc530144533"/>
      <w:bookmarkStart w:id="1613" w:name="_Toc373227763"/>
      <w:bookmarkStart w:id="1614" w:name="_Toc531186668"/>
      <w:bookmarkStart w:id="1615" w:name="_Toc461179309"/>
      <w:bookmarkStart w:id="1616" w:name="_Toc529547391"/>
      <w:bookmarkStart w:id="1617" w:name="_Toc472931672"/>
      <w:bookmarkStart w:id="1618" w:name="_Toc529527039"/>
      <w:bookmarkStart w:id="1619" w:name="_Toc373478410"/>
      <w:bookmarkStart w:id="1620" w:name="_Toc454211179"/>
      <w:bookmarkStart w:id="1621" w:name="_Toc389065328"/>
      <w:bookmarkStart w:id="1622" w:name="_Toc470247866"/>
      <w:bookmarkStart w:id="1623" w:name="_Toc432343955"/>
      <w:r>
        <w:rPr>
          <w:rFonts w:ascii="宋体" w:hAnsi="宋体"/>
          <w:b/>
          <w:bCs/>
          <w:color w:val="auto"/>
          <w:sz w:val="32"/>
          <w:szCs w:val="32"/>
          <w:highlight w:val="none"/>
        </w:rPr>
        <w:t>15.2</w:t>
      </w:r>
      <w:r>
        <w:rPr>
          <w:rFonts w:hint="eastAsia" w:ascii="宋体" w:hAnsi="宋体"/>
          <w:b/>
          <w:bCs/>
          <w:color w:val="auto"/>
          <w:sz w:val="32"/>
          <w:szCs w:val="32"/>
          <w:highlight w:val="none"/>
        </w:rPr>
        <w:t xml:space="preserve"> </w:t>
      </w:r>
      <w:r>
        <w:rPr>
          <w:rFonts w:ascii="宋体" w:hAnsi="宋体"/>
          <w:b/>
          <w:bCs/>
          <w:color w:val="auto"/>
          <w:sz w:val="32"/>
          <w:szCs w:val="32"/>
          <w:highlight w:val="none"/>
        </w:rPr>
        <w:t>缺陷责任期</w:t>
      </w:r>
      <w:bookmarkEnd w:id="1603"/>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14:paraId="30E4A7E9">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缺陷责任期的具体期限：</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12</w:t>
      </w:r>
      <w:r>
        <w:rPr>
          <w:rFonts w:hint="eastAsia" w:ascii="宋体" w:hAnsi="宋体"/>
          <w:b/>
          <w:bCs/>
          <w:color w:val="auto"/>
          <w:szCs w:val="21"/>
          <w:highlight w:val="none"/>
          <w:u w:val="single"/>
        </w:rPr>
        <w:t>个月</w:t>
      </w:r>
      <w:r>
        <w:rPr>
          <w:rFonts w:ascii="宋体" w:hAnsi="宋体"/>
          <w:color w:val="auto"/>
          <w:szCs w:val="21"/>
          <w:highlight w:val="none"/>
          <w:u w:val="single"/>
        </w:rPr>
        <w:t xml:space="preserve">    </w:t>
      </w:r>
      <w:r>
        <w:rPr>
          <w:rFonts w:ascii="宋体" w:hAnsi="宋体"/>
          <w:color w:val="auto"/>
          <w:szCs w:val="21"/>
          <w:highlight w:val="none"/>
        </w:rPr>
        <w:t>。</w:t>
      </w:r>
    </w:p>
    <w:p w14:paraId="159576DA">
      <w:pPr>
        <w:keepNext/>
        <w:keepLines/>
        <w:spacing w:before="260" w:after="260" w:line="416" w:lineRule="auto"/>
        <w:outlineLvl w:val="9"/>
        <w:rPr>
          <w:rFonts w:ascii="宋体" w:hAnsi="宋体"/>
          <w:b/>
          <w:bCs/>
          <w:color w:val="auto"/>
          <w:sz w:val="32"/>
          <w:szCs w:val="32"/>
          <w:highlight w:val="none"/>
        </w:rPr>
      </w:pPr>
      <w:bookmarkStart w:id="1624" w:name="_Toc461179310"/>
      <w:bookmarkStart w:id="1625" w:name="_Toc530144534"/>
      <w:bookmarkStart w:id="1626" w:name="_Toc531186669"/>
      <w:bookmarkStart w:id="1627" w:name="_Toc529547392"/>
      <w:bookmarkStart w:id="1628" w:name="_Toc432343956"/>
      <w:bookmarkStart w:id="1629" w:name="_Toc454211180"/>
      <w:bookmarkStart w:id="1630" w:name="_Toc470247867"/>
      <w:bookmarkStart w:id="1631" w:name="_Toc529527040"/>
      <w:bookmarkStart w:id="1632" w:name="_Toc411345248"/>
      <w:bookmarkStart w:id="1633" w:name="_Toc373227764"/>
      <w:bookmarkStart w:id="1634" w:name="_Toc389065329"/>
      <w:bookmarkStart w:id="1635" w:name="_Toc373478411"/>
      <w:bookmarkStart w:id="1636" w:name="_Toc472931673"/>
      <w:r>
        <w:rPr>
          <w:rFonts w:ascii="宋体" w:hAnsi="宋体"/>
          <w:b/>
          <w:bCs/>
          <w:color w:val="auto"/>
          <w:sz w:val="32"/>
          <w:szCs w:val="32"/>
          <w:highlight w:val="none"/>
        </w:rPr>
        <w:t>15.3 质量保证金</w:t>
      </w:r>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14:paraId="45067A88">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关于是否扣留质量保证金的约定：</w:t>
      </w:r>
      <w:r>
        <w:rPr>
          <w:rFonts w:ascii="宋体" w:hAnsi="宋体"/>
          <w:color w:val="auto"/>
          <w:szCs w:val="21"/>
          <w:highlight w:val="none"/>
          <w:u w:val="single"/>
        </w:rPr>
        <w:t xml:space="preserve">   </w:t>
      </w:r>
      <w:r>
        <w:rPr>
          <w:rFonts w:hint="eastAsia" w:ascii="宋体" w:hAnsi="宋体"/>
          <w:color w:val="auto"/>
          <w:szCs w:val="21"/>
          <w:highlight w:val="none"/>
          <w:u w:val="single"/>
        </w:rPr>
        <w:t>扣留</w:t>
      </w:r>
      <w:r>
        <w:rPr>
          <w:rFonts w:ascii="宋体" w:hAnsi="宋体"/>
          <w:color w:val="auto"/>
          <w:szCs w:val="21"/>
          <w:highlight w:val="none"/>
          <w:u w:val="single"/>
        </w:rPr>
        <w:t xml:space="preserve">    </w:t>
      </w:r>
      <w:r>
        <w:rPr>
          <w:rFonts w:ascii="宋体" w:hAnsi="宋体"/>
          <w:color w:val="auto"/>
          <w:szCs w:val="21"/>
          <w:highlight w:val="none"/>
        </w:rPr>
        <w:t>。</w:t>
      </w:r>
    </w:p>
    <w:p w14:paraId="150F5C1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15.3.1 承包人提供质量保证金的方式</w:t>
      </w:r>
    </w:p>
    <w:p w14:paraId="238DFF1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质量保证金采用以下第</w:t>
      </w:r>
      <w:r>
        <w:rPr>
          <w:rFonts w:ascii="宋体" w:hAnsi="宋体"/>
          <w:color w:val="auto"/>
          <w:szCs w:val="21"/>
          <w:highlight w:val="none"/>
          <w:u w:val="single"/>
        </w:rPr>
        <w:t xml:space="preserve">  </w:t>
      </w:r>
      <w:r>
        <w:rPr>
          <w:rFonts w:hint="eastAsia" w:ascii="宋体" w:hAnsi="宋体"/>
          <w:b/>
          <w:bCs/>
          <w:color w:val="auto"/>
          <w:szCs w:val="21"/>
          <w:highlight w:val="none"/>
          <w:u w:val="single"/>
        </w:rPr>
        <w:t>（2）</w:t>
      </w:r>
      <w:r>
        <w:rPr>
          <w:rFonts w:ascii="宋体" w:hAnsi="宋体"/>
          <w:b/>
          <w:bCs/>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种方式：</w:t>
      </w:r>
    </w:p>
    <w:p w14:paraId="739A7E76">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（1）质量保证金保函，保证金额为：</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60EA4B2">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（2）</w:t>
      </w:r>
      <w:r>
        <w:rPr>
          <w:rFonts w:ascii="宋体" w:hAnsi="宋体"/>
          <w:bCs/>
          <w:color w:val="auto"/>
          <w:szCs w:val="21"/>
          <w:highlight w:val="none"/>
        </w:rPr>
        <w:t>发包人按工程价款结算总额的</w:t>
      </w:r>
      <w:r>
        <w:rPr>
          <w:rFonts w:hint="eastAsia" w:ascii="宋体" w:hAnsi="宋体"/>
          <w:bCs/>
          <w:color w:val="auto"/>
          <w:szCs w:val="21"/>
          <w:highlight w:val="none"/>
          <w:u w:val="single"/>
        </w:rPr>
        <w:t xml:space="preserve"> </w:t>
      </w:r>
      <w:r>
        <w:rPr>
          <w:rFonts w:hint="eastAsia" w:ascii="宋体" w:hAnsi="宋体"/>
          <w:b/>
          <w:color w:val="auto"/>
          <w:szCs w:val="21"/>
          <w:highlight w:val="none"/>
          <w:u w:val="single"/>
        </w:rPr>
        <w:t xml:space="preserve"> 3 </w:t>
      </w:r>
      <w:r>
        <w:rPr>
          <w:rFonts w:hint="eastAsia" w:ascii="宋体" w:hAnsi="宋体"/>
          <w:bCs/>
          <w:color w:val="auto"/>
          <w:szCs w:val="21"/>
          <w:highlight w:val="none"/>
          <w:u w:val="single"/>
        </w:rPr>
        <w:t xml:space="preserve"> </w:t>
      </w:r>
      <w:r>
        <w:rPr>
          <w:rFonts w:ascii="宋体" w:hAnsi="宋体"/>
          <w:bCs/>
          <w:color w:val="auto"/>
          <w:szCs w:val="21"/>
          <w:highlight w:val="none"/>
        </w:rPr>
        <w:t>%</w:t>
      </w:r>
      <w:r>
        <w:rPr>
          <w:rFonts w:hint="eastAsia" w:ascii="宋体" w:hAnsi="宋体"/>
          <w:bCs/>
          <w:color w:val="auto"/>
          <w:szCs w:val="21"/>
          <w:highlight w:val="none"/>
        </w:rPr>
        <w:t xml:space="preserve"> </w:t>
      </w:r>
      <w:r>
        <w:rPr>
          <w:rFonts w:ascii="宋体" w:hAnsi="宋体"/>
          <w:bCs/>
          <w:color w:val="auto"/>
          <w:szCs w:val="21"/>
          <w:highlight w:val="none"/>
        </w:rPr>
        <w:t>预留工程质量保修金，待</w:t>
      </w:r>
      <w:r>
        <w:rPr>
          <w:rFonts w:hint="eastAsia" w:ascii="宋体" w:hAnsi="宋体"/>
          <w:bCs/>
          <w:color w:val="auto"/>
          <w:szCs w:val="21"/>
          <w:highlight w:val="none"/>
        </w:rPr>
        <w:t>缺陷责任期</w:t>
      </w:r>
      <w:r>
        <w:rPr>
          <w:rFonts w:ascii="宋体" w:hAnsi="宋体"/>
          <w:bCs/>
          <w:color w:val="auto"/>
          <w:szCs w:val="21"/>
          <w:highlight w:val="none"/>
        </w:rPr>
        <w:t>满后返还</w:t>
      </w:r>
      <w:r>
        <w:rPr>
          <w:rFonts w:ascii="宋体" w:hAnsi="宋体"/>
          <w:color w:val="auto"/>
          <w:kern w:val="0"/>
          <w:szCs w:val="21"/>
          <w:highlight w:val="none"/>
        </w:rPr>
        <w:t>；</w:t>
      </w:r>
    </w:p>
    <w:p w14:paraId="0AE59ADC">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（3）其他方式</w:t>
      </w:r>
      <w:r>
        <w:rPr>
          <w:rFonts w:hint="eastAsia" w:ascii="宋体" w:hAnsi="宋体"/>
          <w:color w:val="auto"/>
          <w:kern w:val="0"/>
          <w:szCs w:val="21"/>
          <w:highlight w:val="none"/>
        </w:rPr>
        <w:t>：</w:t>
      </w:r>
      <w:r>
        <w:rPr>
          <w:rFonts w:hint="eastAsia" w:ascii="宋体" w:hAnsi="宋体"/>
          <w:bCs/>
          <w:color w:val="auto"/>
          <w:szCs w:val="21"/>
          <w:highlight w:val="none"/>
          <w:u w:val="single"/>
        </w:rPr>
        <w:t xml:space="preserve">    /     </w:t>
      </w:r>
      <w:r>
        <w:rPr>
          <w:rFonts w:ascii="宋体" w:hAnsi="宋体"/>
          <w:bCs/>
          <w:color w:val="auto"/>
          <w:szCs w:val="21"/>
          <w:highlight w:val="none"/>
        </w:rPr>
        <w:t>。</w:t>
      </w:r>
    </w:p>
    <w:p w14:paraId="491AD45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15.3.2 质量保证金的扣留</w:t>
      </w:r>
    </w:p>
    <w:p w14:paraId="5DEFB35A">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质量保证金的扣留采取以下第</w:t>
      </w:r>
      <w:r>
        <w:rPr>
          <w:rFonts w:ascii="宋体" w:hAnsi="宋体"/>
          <w:color w:val="auto"/>
          <w:szCs w:val="21"/>
          <w:highlight w:val="none"/>
          <w:u w:val="single"/>
        </w:rPr>
        <w:t xml:space="preserve">   </w:t>
      </w:r>
      <w:r>
        <w:rPr>
          <w:rFonts w:hint="eastAsia" w:ascii="宋体" w:hAnsi="宋体"/>
          <w:b/>
          <w:bCs/>
          <w:color w:val="auto"/>
          <w:szCs w:val="21"/>
          <w:highlight w:val="none"/>
          <w:u w:val="single"/>
        </w:rPr>
        <w:t>（2）</w:t>
      </w:r>
      <w:r>
        <w:rPr>
          <w:rFonts w:ascii="宋体" w:hAnsi="宋体"/>
          <w:color w:val="auto"/>
          <w:szCs w:val="21"/>
          <w:highlight w:val="none"/>
          <w:u w:val="single"/>
        </w:rPr>
        <w:t xml:space="preserve">  </w:t>
      </w:r>
      <w:r>
        <w:rPr>
          <w:rFonts w:ascii="宋体" w:hAnsi="宋体"/>
          <w:color w:val="auto"/>
          <w:szCs w:val="21"/>
          <w:highlight w:val="none"/>
        </w:rPr>
        <w:t>种方式：</w:t>
      </w:r>
    </w:p>
    <w:p w14:paraId="72FD2E31">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（1）在支付工程进度款时逐次扣留，在此情形下，质量保证金的计算基数不包括预付款的支付、扣回以及价格调整的金额；</w:t>
      </w:r>
    </w:p>
    <w:p w14:paraId="04CD552A">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（2）工程竣工结算时一次性扣留质量保证金；</w:t>
      </w:r>
    </w:p>
    <w:p w14:paraId="4DAD447D">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（3）其他扣留方式: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14:paraId="5A90881F">
      <w:pPr>
        <w:spacing w:line="360" w:lineRule="auto"/>
        <w:ind w:firstLine="420" w:firstLineChars="200"/>
        <w:jc w:val="left"/>
        <w:outlineLvl w:val="9"/>
        <w:rPr>
          <w:rFonts w:ascii="宋体" w:hAnsi="宋体"/>
          <w:color w:val="auto"/>
          <w:kern w:val="0"/>
          <w:szCs w:val="21"/>
          <w:highlight w:val="none"/>
          <w:u w:val="single"/>
        </w:rPr>
      </w:pPr>
      <w:r>
        <w:rPr>
          <w:rFonts w:ascii="宋体" w:hAnsi="宋体"/>
          <w:color w:val="auto"/>
          <w:szCs w:val="21"/>
          <w:highlight w:val="none"/>
        </w:rPr>
        <w:t>关于质量保证金的补充约定：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p>
    <w:bookmarkEnd w:id="1604"/>
    <w:bookmarkEnd w:id="1605"/>
    <w:p w14:paraId="37867D83">
      <w:pPr>
        <w:keepNext/>
        <w:keepLines/>
        <w:spacing w:before="260" w:after="260" w:line="416" w:lineRule="auto"/>
        <w:outlineLvl w:val="9"/>
        <w:rPr>
          <w:rFonts w:ascii="宋体" w:hAnsi="宋体"/>
          <w:b/>
          <w:bCs/>
          <w:color w:val="auto"/>
          <w:sz w:val="32"/>
          <w:szCs w:val="32"/>
          <w:highlight w:val="none"/>
        </w:rPr>
      </w:pPr>
      <w:bookmarkStart w:id="1637" w:name="_Toc529547393"/>
      <w:bookmarkStart w:id="1638" w:name="_Toc461179311"/>
      <w:bookmarkStart w:id="1639" w:name="_Toc470247868"/>
      <w:bookmarkStart w:id="1640" w:name="_Toc531186670"/>
      <w:bookmarkStart w:id="1641" w:name="_Toc373227765"/>
      <w:bookmarkStart w:id="1642" w:name="_Toc472931674"/>
      <w:bookmarkStart w:id="1643" w:name="_Toc411345249"/>
      <w:bookmarkStart w:id="1644" w:name="_Toc529527041"/>
      <w:bookmarkStart w:id="1645" w:name="_Toc530144535"/>
      <w:bookmarkStart w:id="1646" w:name="_Toc432343957"/>
      <w:bookmarkStart w:id="1647" w:name="_Toc389065330"/>
      <w:bookmarkStart w:id="1648" w:name="_Toc454211181"/>
      <w:bookmarkStart w:id="1649" w:name="_Toc373478412"/>
      <w:r>
        <w:rPr>
          <w:rFonts w:ascii="宋体" w:hAnsi="宋体"/>
          <w:b/>
          <w:bCs/>
          <w:color w:val="auto"/>
          <w:sz w:val="32"/>
          <w:szCs w:val="32"/>
          <w:highlight w:val="none"/>
        </w:rPr>
        <w:t>15.4</w:t>
      </w:r>
      <w:r>
        <w:rPr>
          <w:rFonts w:hint="eastAsia" w:ascii="宋体" w:hAnsi="宋体"/>
          <w:b/>
          <w:bCs/>
          <w:color w:val="auto"/>
          <w:sz w:val="32"/>
          <w:szCs w:val="32"/>
          <w:highlight w:val="none"/>
        </w:rPr>
        <w:t xml:space="preserve"> </w:t>
      </w:r>
      <w:r>
        <w:rPr>
          <w:rFonts w:ascii="宋体" w:hAnsi="宋体"/>
          <w:b/>
          <w:bCs/>
          <w:color w:val="auto"/>
          <w:sz w:val="32"/>
          <w:szCs w:val="32"/>
          <w:highlight w:val="none"/>
        </w:rPr>
        <w:t>保修</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p>
    <w:bookmarkEnd w:id="1606"/>
    <w:p w14:paraId="602A488F">
      <w:pPr>
        <w:spacing w:line="360" w:lineRule="auto"/>
        <w:ind w:firstLine="409" w:firstLineChars="195"/>
        <w:jc w:val="left"/>
        <w:outlineLvl w:val="9"/>
        <w:rPr>
          <w:rFonts w:ascii="宋体" w:hAnsi="宋体"/>
          <w:color w:val="auto"/>
          <w:szCs w:val="21"/>
          <w:highlight w:val="none"/>
        </w:rPr>
      </w:pPr>
      <w:r>
        <w:rPr>
          <w:rFonts w:ascii="宋体" w:hAnsi="宋体"/>
          <w:color w:val="auto"/>
          <w:szCs w:val="21"/>
          <w:highlight w:val="none"/>
        </w:rPr>
        <w:t>15.4.1 保修责任</w:t>
      </w:r>
    </w:p>
    <w:p w14:paraId="3BF6EF01">
      <w:pPr>
        <w:spacing w:line="360" w:lineRule="auto"/>
        <w:ind w:firstLine="409" w:firstLineChars="195"/>
        <w:jc w:val="left"/>
        <w:outlineLvl w:val="9"/>
        <w:rPr>
          <w:rFonts w:ascii="宋体" w:hAnsi="宋体"/>
          <w:color w:val="auto"/>
          <w:kern w:val="0"/>
          <w:szCs w:val="21"/>
          <w:highlight w:val="none"/>
        </w:rPr>
      </w:pPr>
      <w:r>
        <w:rPr>
          <w:rFonts w:ascii="宋体" w:hAnsi="宋体"/>
          <w:color w:val="auto"/>
          <w:szCs w:val="21"/>
          <w:highlight w:val="none"/>
        </w:rPr>
        <w:t>工程保修期为：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见工程质量保修书</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2B8D43C">
      <w:pPr>
        <w:spacing w:line="360" w:lineRule="auto"/>
        <w:ind w:firstLine="409" w:firstLineChars="195"/>
        <w:jc w:val="left"/>
        <w:outlineLvl w:val="9"/>
        <w:rPr>
          <w:rFonts w:ascii="宋体" w:hAnsi="宋体"/>
          <w:color w:val="auto"/>
          <w:kern w:val="0"/>
          <w:szCs w:val="21"/>
          <w:highlight w:val="none"/>
          <w:u w:val="single"/>
        </w:rPr>
      </w:pPr>
      <w:r>
        <w:rPr>
          <w:rFonts w:hint="eastAsia" w:ascii="宋体" w:hAnsi="宋体"/>
          <w:color w:val="auto"/>
          <w:szCs w:val="21"/>
          <w:highlight w:val="none"/>
        </w:rPr>
        <w:t>工程保修书具体内容见合同附件8。</w:t>
      </w:r>
    </w:p>
    <w:p w14:paraId="4CE1EAA2">
      <w:pPr>
        <w:spacing w:line="360" w:lineRule="auto"/>
        <w:ind w:firstLine="409" w:firstLineChars="195"/>
        <w:jc w:val="left"/>
        <w:outlineLvl w:val="9"/>
        <w:rPr>
          <w:rFonts w:ascii="宋体" w:hAnsi="宋体"/>
          <w:color w:val="auto"/>
          <w:szCs w:val="21"/>
          <w:highlight w:val="none"/>
        </w:rPr>
      </w:pPr>
      <w:r>
        <w:rPr>
          <w:rFonts w:ascii="宋体" w:hAnsi="宋体"/>
          <w:color w:val="auto"/>
          <w:szCs w:val="21"/>
          <w:highlight w:val="none"/>
        </w:rPr>
        <w:t>15.4.3 修复通知</w:t>
      </w:r>
    </w:p>
    <w:p w14:paraId="5F331B2D">
      <w:pPr>
        <w:spacing w:line="360" w:lineRule="auto"/>
        <w:ind w:firstLine="409" w:firstLineChars="195"/>
        <w:jc w:val="left"/>
        <w:outlineLvl w:val="9"/>
        <w:rPr>
          <w:rFonts w:ascii="宋体" w:hAnsi="宋体"/>
          <w:color w:val="auto"/>
          <w:kern w:val="0"/>
          <w:szCs w:val="21"/>
          <w:highlight w:val="none"/>
          <w:u w:val="single"/>
        </w:rPr>
      </w:pPr>
      <w:r>
        <w:rPr>
          <w:rFonts w:ascii="宋体" w:hAnsi="宋体"/>
          <w:color w:val="auto"/>
          <w:kern w:val="0"/>
          <w:szCs w:val="21"/>
          <w:highlight w:val="none"/>
        </w:rPr>
        <w:t>承包人收到保修通知并到达工程现场的合理时间：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见工程质量保修书</w:t>
      </w:r>
      <w:r>
        <w:rPr>
          <w:rFonts w:ascii="宋体" w:hAnsi="宋体"/>
          <w:color w:val="auto"/>
          <w:kern w:val="0"/>
          <w:szCs w:val="21"/>
          <w:highlight w:val="none"/>
          <w:u w:val="single"/>
        </w:rPr>
        <w:t xml:space="preserve">  </w:t>
      </w:r>
      <w:r>
        <w:rPr>
          <w:rFonts w:ascii="宋体" w:hAnsi="宋体"/>
          <w:color w:val="auto"/>
          <w:kern w:val="0"/>
          <w:szCs w:val="21"/>
          <w:highlight w:val="none"/>
        </w:rPr>
        <w:t>。</w:t>
      </w:r>
    </w:p>
    <w:bookmarkEnd w:id="1607"/>
    <w:bookmarkEnd w:id="1608"/>
    <w:bookmarkEnd w:id="1609"/>
    <w:bookmarkEnd w:id="1610"/>
    <w:p w14:paraId="5F313620">
      <w:pPr>
        <w:keepNext/>
        <w:keepLines/>
        <w:spacing w:before="260" w:after="260" w:line="416" w:lineRule="auto"/>
        <w:outlineLvl w:val="9"/>
        <w:rPr>
          <w:rFonts w:ascii="宋体" w:hAnsi="宋体"/>
          <w:b/>
          <w:bCs/>
          <w:color w:val="auto"/>
          <w:sz w:val="32"/>
          <w:szCs w:val="32"/>
          <w:highlight w:val="none"/>
        </w:rPr>
      </w:pPr>
      <w:bookmarkStart w:id="1650" w:name="_Toc454211182"/>
      <w:bookmarkStart w:id="1651" w:name="_Toc531186671"/>
      <w:bookmarkStart w:id="1652" w:name="_Toc351203648"/>
      <w:bookmarkStart w:id="1653" w:name="_Toc389065331"/>
      <w:bookmarkStart w:id="1654" w:name="_Toc461179312"/>
      <w:bookmarkStart w:id="1655" w:name="_Toc529547394"/>
      <w:bookmarkStart w:id="1656" w:name="_Toc373227766"/>
      <w:bookmarkStart w:id="1657" w:name="_Toc470247869"/>
      <w:bookmarkStart w:id="1658" w:name="_Toc373478413"/>
      <w:bookmarkStart w:id="1659" w:name="_Toc472931675"/>
      <w:bookmarkStart w:id="1660" w:name="_Toc411345250"/>
      <w:bookmarkStart w:id="1661" w:name="_Toc432343958"/>
      <w:bookmarkStart w:id="1662" w:name="_Toc530144536"/>
      <w:bookmarkStart w:id="1663" w:name="_Toc529527042"/>
      <w:bookmarkStart w:id="1664" w:name="_Toc280868717"/>
      <w:r>
        <w:rPr>
          <w:rFonts w:ascii="宋体" w:hAnsi="宋体"/>
          <w:b/>
          <w:bCs/>
          <w:color w:val="auto"/>
          <w:sz w:val="32"/>
          <w:szCs w:val="32"/>
          <w:highlight w:val="none"/>
        </w:rPr>
        <w:t>16. 违约</w:t>
      </w:r>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p>
    <w:p w14:paraId="0938CA08">
      <w:pPr>
        <w:keepNext/>
        <w:keepLines/>
        <w:spacing w:before="260" w:after="260" w:line="416" w:lineRule="auto"/>
        <w:outlineLvl w:val="9"/>
        <w:rPr>
          <w:rFonts w:ascii="宋体" w:hAnsi="宋体"/>
          <w:b/>
          <w:bCs/>
          <w:color w:val="auto"/>
          <w:sz w:val="32"/>
          <w:szCs w:val="32"/>
          <w:highlight w:val="none"/>
        </w:rPr>
      </w:pPr>
      <w:bookmarkStart w:id="1665" w:name="_Toc411345251"/>
      <w:bookmarkStart w:id="1666" w:name="_Toc530144537"/>
      <w:bookmarkStart w:id="1667" w:name="_Toc529547395"/>
      <w:bookmarkStart w:id="1668" w:name="_Toc461179313"/>
      <w:bookmarkStart w:id="1669" w:name="_Toc529527043"/>
      <w:bookmarkStart w:id="1670" w:name="_Toc531186672"/>
      <w:bookmarkStart w:id="1671" w:name="_Toc454211183"/>
      <w:bookmarkStart w:id="1672" w:name="_Toc470247870"/>
      <w:bookmarkStart w:id="1673" w:name="_Toc373227767"/>
      <w:bookmarkStart w:id="1674" w:name="_Toc472931676"/>
      <w:bookmarkStart w:id="1675" w:name="_Toc389065332"/>
      <w:bookmarkStart w:id="1676" w:name="_Toc373478414"/>
      <w:bookmarkStart w:id="1677" w:name="_Toc432343959"/>
      <w:r>
        <w:rPr>
          <w:rFonts w:ascii="宋体" w:hAnsi="宋体"/>
          <w:b/>
          <w:bCs/>
          <w:color w:val="auto"/>
          <w:sz w:val="32"/>
          <w:szCs w:val="32"/>
          <w:highlight w:val="none"/>
        </w:rPr>
        <w:t>16.1 发包人违约</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0506D0AA">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16.1.1发包人违约的情形</w:t>
      </w:r>
    </w:p>
    <w:p w14:paraId="2358C9BB">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发包人违约的其他情形：</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419F05C">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16.1.2 发包人违约的责任</w:t>
      </w:r>
    </w:p>
    <w:p w14:paraId="78AA9662">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发包人违约责任的承担方式和计算方法：</w:t>
      </w:r>
    </w:p>
    <w:p w14:paraId="3A27F60D">
      <w:pPr>
        <w:spacing w:line="360" w:lineRule="auto"/>
        <w:ind w:firstLine="420" w:firstLineChars="200"/>
        <w:jc w:val="left"/>
        <w:outlineLvl w:val="9"/>
        <w:rPr>
          <w:rFonts w:ascii="宋体" w:hAnsi="宋体"/>
          <w:color w:val="auto"/>
          <w:kern w:val="0"/>
          <w:szCs w:val="21"/>
          <w:highlight w:val="none"/>
          <w:u w:val="single"/>
        </w:rPr>
      </w:pPr>
      <w:r>
        <w:rPr>
          <w:rFonts w:ascii="宋体" w:hAnsi="宋体"/>
          <w:color w:val="auto"/>
          <w:kern w:val="0"/>
          <w:szCs w:val="21"/>
          <w:highlight w:val="none"/>
        </w:rPr>
        <w:t>（1）因发包人原因未能在计划开工日期前7天内下达开工通知的违约责任：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工期顺延</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49988D5">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（2）因发包人原因未能按合同约定支付合同价款的违约责任：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EB5B4B2">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（3）发包人违反第10.1款〔变更的范围〕第（2）项约定，自行实施被取消的工作或转由他人实施的违约责任：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216D48B">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（4）发包人提供的材料、工程设备的规格、数量或质量不符合合同约定，或因发包人原因导致交货日期延误或交货地点变更等情况的违约责任：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工期顺延</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124D25E">
      <w:pPr>
        <w:spacing w:line="360" w:lineRule="auto"/>
        <w:ind w:firstLine="420" w:firstLineChars="200"/>
        <w:jc w:val="left"/>
        <w:outlineLvl w:val="9"/>
        <w:rPr>
          <w:rFonts w:ascii="宋体" w:hAnsi="宋体"/>
          <w:color w:val="auto"/>
          <w:kern w:val="0"/>
          <w:szCs w:val="21"/>
          <w:highlight w:val="none"/>
          <w:u w:val="single"/>
        </w:rPr>
      </w:pPr>
      <w:r>
        <w:rPr>
          <w:rFonts w:ascii="宋体" w:hAnsi="宋体"/>
          <w:color w:val="auto"/>
          <w:kern w:val="0"/>
          <w:szCs w:val="21"/>
          <w:highlight w:val="none"/>
        </w:rPr>
        <w:t>（5）因发包人违反合同约定造成暂停施工的违约责任：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工期顺延</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4919BCF">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（6）发包人无正当理由没有在约定期限内发出复工指示，导致承包人无法复工的违约责任：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工期顺延</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4119456">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（7）其他：</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6E4A99B">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16.1.3 因发包人违约解除合同</w:t>
      </w:r>
    </w:p>
    <w:p w14:paraId="5B7534CF">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hint="eastAsia" w:ascii="宋体" w:hAnsi="宋体"/>
          <w:color w:val="auto"/>
          <w:kern w:val="0"/>
          <w:szCs w:val="21"/>
          <w:highlight w:val="none"/>
        </w:rPr>
        <w:t>承包人按16.1.1项〔发包人违约的情形〕约定暂停施工满</w:t>
      </w:r>
      <w:r>
        <w:rPr>
          <w:rFonts w:hint="eastAsia" w:ascii="宋体" w:hAnsi="宋体"/>
          <w:color w:val="auto"/>
          <w:kern w:val="0"/>
          <w:szCs w:val="21"/>
          <w:highlight w:val="none"/>
          <w:u w:val="single"/>
        </w:rPr>
        <w:t>84</w:t>
      </w:r>
      <w:r>
        <w:rPr>
          <w:rFonts w:hint="eastAsia" w:ascii="宋体" w:hAnsi="宋体"/>
          <w:color w:val="auto"/>
          <w:kern w:val="0"/>
          <w:szCs w:val="21"/>
          <w:highlight w:val="none"/>
        </w:rPr>
        <w:t>天后发包人仍不纠正其违约行为并致使合同目的不能实现的，承包人有权解除合同。</w:t>
      </w:r>
    </w:p>
    <w:p w14:paraId="4C06CB9B">
      <w:pPr>
        <w:keepNext/>
        <w:keepLines/>
        <w:spacing w:before="260" w:after="260" w:line="416" w:lineRule="auto"/>
        <w:outlineLvl w:val="9"/>
        <w:rPr>
          <w:rFonts w:ascii="宋体" w:hAnsi="宋体"/>
          <w:b/>
          <w:bCs/>
          <w:color w:val="auto"/>
          <w:sz w:val="32"/>
          <w:szCs w:val="32"/>
          <w:highlight w:val="none"/>
        </w:rPr>
      </w:pPr>
      <w:bookmarkStart w:id="1678" w:name="_Toc373478415"/>
      <w:bookmarkStart w:id="1679" w:name="_Toc373227768"/>
      <w:bookmarkStart w:id="1680" w:name="_Toc411345252"/>
      <w:bookmarkStart w:id="1681" w:name="_Toc454211184"/>
      <w:bookmarkStart w:id="1682" w:name="_Toc461179314"/>
      <w:bookmarkStart w:id="1683" w:name="_Toc470247871"/>
      <w:bookmarkStart w:id="1684" w:name="_Toc530144538"/>
      <w:bookmarkStart w:id="1685" w:name="_Toc529527044"/>
      <w:bookmarkStart w:id="1686" w:name="_Toc472931677"/>
      <w:bookmarkStart w:id="1687" w:name="_Toc531186673"/>
      <w:bookmarkStart w:id="1688" w:name="_Toc389065333"/>
      <w:bookmarkStart w:id="1689" w:name="_Toc529547396"/>
      <w:bookmarkStart w:id="1690" w:name="_Toc432343960"/>
      <w:r>
        <w:rPr>
          <w:rFonts w:ascii="宋体" w:hAnsi="宋体"/>
          <w:b/>
          <w:bCs/>
          <w:color w:val="auto"/>
          <w:sz w:val="32"/>
          <w:szCs w:val="32"/>
          <w:highlight w:val="none"/>
        </w:rPr>
        <w:t>16.2 承包人违约</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14:paraId="49D68C60">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16.2.1 承包人违约的情形</w:t>
      </w:r>
    </w:p>
    <w:p w14:paraId="48A74F4D">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承包人违约的其他情形：</w:t>
      </w:r>
    </w:p>
    <w:p w14:paraId="5E08EAF6">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（9）承包人未经发包人、监理人事先同意，擅自更换合同工程项目经理、技术负责人或其他主要管理人员。</w:t>
      </w:r>
    </w:p>
    <w:p w14:paraId="56EA907F">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（10）将工程预付款、进度款以及发包人支付用于本项目的其他费用挪作他用；</w:t>
      </w:r>
    </w:p>
    <w:p w14:paraId="2FB0A9AF">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（11）承包人违反第8.2款的约定使用了不合格的材料或工程设备又拒绝清除不合格的材料或工程设备，或因使用了不合格的材料或工程设备导致工程质量达不到标准要求又拒绝清除或修复不合格工程；</w:t>
      </w:r>
    </w:p>
    <w:p w14:paraId="13B400EB">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（12）承包人违反第8.5款的约定使用了不合格的材料或工程设备或工程质量达不到标准要求等造成安全质量事故；</w:t>
      </w:r>
    </w:p>
    <w:p w14:paraId="733716E1">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（13）合同工程竣工后，经两次验收仍不能达到合同约定的质量标准；</w:t>
      </w:r>
    </w:p>
    <w:p w14:paraId="5E2CE1C1">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14）承包人拒绝执行发包人或监理人发出的关于本工程的指令的；或以招标工程量清单中的措施项目出现错误、缺项、漏项情况为由，拒绝执行相应部分内容施工的；或以变更或增加部分与本合同无实质性关联为由，拒绝执行的；或以变更或增加部分子目单价低或超出施工能力范围等为由拒绝施工的；或拒绝执行合同约定的其他情形的。</w:t>
      </w:r>
    </w:p>
    <w:p w14:paraId="23010D19">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（15）如果承包人或承包人的工作人员（不论承包人是否知晓）以贿赂或变相贿赂的方式，谋取不当利益或损害发包人权益的；</w:t>
      </w:r>
    </w:p>
    <w:p w14:paraId="1A70BFA5">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（16) 未经验收或验收不合格，擅自进行隐蔽工程的覆盖或其他工程下道工序的施工，或验收合格后到隐蔽施工前对通过隐蔽验收的合格部分有任何改动；</w:t>
      </w:r>
    </w:p>
    <w:p w14:paraId="2964CDCB">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（17）承包人在缺陷责任期内，未能对缺陷责任期内发生的缺陷进行修复而又拒绝按发包人或监理人指示再进行修补或同一部位出现二次以上维修的；</w:t>
      </w:r>
    </w:p>
    <w:p w14:paraId="477ED02D">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（18）承包人无法定或合同约定依据，而未能按期开工、暂停施工或以暂停施工相威胁，连续或累计超过7天（含7天）；</w:t>
      </w:r>
    </w:p>
    <w:p w14:paraId="232092C6">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（19）承包人逾期竣工超过60天（含60天）或投标文件承诺的节点或修改的施工组织设计承诺的节点逾期超过30天（含30天）；</w:t>
      </w:r>
    </w:p>
    <w:p w14:paraId="4F676286">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（20）承包人的雇员或其分包人的雇员、或承包人的供应商扰乱发包人生产、生活秩序的。</w:t>
      </w:r>
    </w:p>
    <w:p w14:paraId="799660A6">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16.2.2承包人违约的责任</w:t>
      </w:r>
    </w:p>
    <w:p w14:paraId="5AB2CBE1">
      <w:pPr>
        <w:spacing w:line="360" w:lineRule="auto"/>
        <w:ind w:firstLine="420" w:firstLineChars="200"/>
        <w:jc w:val="left"/>
        <w:outlineLvl w:val="9"/>
        <w:rPr>
          <w:rFonts w:ascii="Calibri" w:hAnsi="Calibri"/>
          <w:color w:val="auto"/>
          <w:kern w:val="0"/>
          <w:szCs w:val="21"/>
          <w:highlight w:val="none"/>
        </w:rPr>
      </w:pPr>
      <w:r>
        <w:rPr>
          <w:rFonts w:ascii="Calibri" w:hAnsi="宋体"/>
          <w:color w:val="auto"/>
          <w:kern w:val="0"/>
          <w:szCs w:val="21"/>
          <w:highlight w:val="none"/>
        </w:rPr>
        <w:t>承包人违约责任的承担方式和计算方法：</w:t>
      </w:r>
    </w:p>
    <w:p w14:paraId="5A9DFE73">
      <w:pPr>
        <w:spacing w:line="360" w:lineRule="auto"/>
        <w:ind w:firstLine="420" w:firstLineChars="200"/>
        <w:jc w:val="left"/>
        <w:outlineLvl w:val="9"/>
        <w:rPr>
          <w:rFonts w:ascii="Calibri" w:hAnsi="宋体"/>
          <w:color w:val="auto"/>
          <w:kern w:val="0"/>
          <w:szCs w:val="21"/>
          <w:highlight w:val="none"/>
        </w:rPr>
      </w:pPr>
      <w:r>
        <w:rPr>
          <w:rFonts w:ascii="Calibri" w:hAnsi="宋体"/>
          <w:color w:val="auto"/>
          <w:kern w:val="0"/>
          <w:szCs w:val="21"/>
          <w:highlight w:val="none"/>
        </w:rPr>
        <w:t>（</w:t>
      </w:r>
      <w:r>
        <w:rPr>
          <w:rFonts w:ascii="Calibri" w:hAnsi="Calibri"/>
          <w:color w:val="auto"/>
          <w:kern w:val="0"/>
          <w:szCs w:val="21"/>
          <w:highlight w:val="none"/>
        </w:rPr>
        <w:t>1</w:t>
      </w:r>
      <w:r>
        <w:rPr>
          <w:rFonts w:ascii="Calibri" w:hAnsi="宋体"/>
          <w:color w:val="auto"/>
          <w:kern w:val="0"/>
          <w:szCs w:val="21"/>
          <w:highlight w:val="none"/>
        </w:rPr>
        <w:t>）承包人未按本合同通用条款第</w:t>
      </w:r>
      <w:r>
        <w:rPr>
          <w:rFonts w:ascii="Calibri" w:hAnsi="Calibri"/>
          <w:color w:val="auto"/>
          <w:kern w:val="0"/>
          <w:szCs w:val="21"/>
          <w:highlight w:val="none"/>
        </w:rPr>
        <w:t>16.2.1</w:t>
      </w:r>
      <w:r>
        <w:rPr>
          <w:rFonts w:ascii="Calibri" w:hAnsi="宋体"/>
          <w:color w:val="auto"/>
          <w:kern w:val="0"/>
          <w:szCs w:val="21"/>
          <w:highlight w:val="none"/>
        </w:rPr>
        <w:t>（</w:t>
      </w:r>
      <w:r>
        <w:rPr>
          <w:rFonts w:ascii="Calibri" w:hAnsi="Calibri"/>
          <w:color w:val="auto"/>
          <w:kern w:val="0"/>
          <w:szCs w:val="21"/>
          <w:highlight w:val="none"/>
        </w:rPr>
        <w:t>2</w:t>
      </w:r>
      <w:r>
        <w:rPr>
          <w:rFonts w:ascii="Calibri" w:hAnsi="宋体"/>
          <w:color w:val="auto"/>
          <w:kern w:val="0"/>
          <w:szCs w:val="21"/>
          <w:highlight w:val="none"/>
        </w:rPr>
        <w:t>）</w:t>
      </w:r>
      <w:r>
        <w:rPr>
          <w:rFonts w:hint="eastAsia" w:ascii="Calibri" w:hAnsi="宋体"/>
          <w:color w:val="auto"/>
          <w:kern w:val="0"/>
          <w:szCs w:val="21"/>
          <w:highlight w:val="none"/>
        </w:rPr>
        <w:t>、</w:t>
      </w:r>
      <w:r>
        <w:rPr>
          <w:rFonts w:ascii="Calibri" w:hAnsi="宋体"/>
          <w:color w:val="auto"/>
          <w:kern w:val="0"/>
          <w:szCs w:val="21"/>
          <w:highlight w:val="none"/>
        </w:rPr>
        <w:t>（</w:t>
      </w:r>
      <w:r>
        <w:rPr>
          <w:rFonts w:ascii="Calibri" w:hAnsi="Calibri"/>
          <w:color w:val="auto"/>
          <w:kern w:val="0"/>
          <w:szCs w:val="21"/>
          <w:highlight w:val="none"/>
        </w:rPr>
        <w:t>3</w:t>
      </w:r>
      <w:r>
        <w:rPr>
          <w:rFonts w:ascii="Calibri" w:hAnsi="宋体"/>
          <w:color w:val="auto"/>
          <w:kern w:val="0"/>
          <w:szCs w:val="21"/>
          <w:highlight w:val="none"/>
        </w:rPr>
        <w:t>）条内容完成的，承包人无条件返工处理，修复至工程质量要求并承担相关费用，并在发包人规定的时间内完成返工，否则发包人有权扣罚该分项工程</w:t>
      </w:r>
      <w:r>
        <w:rPr>
          <w:rFonts w:ascii="Calibri" w:hAnsi="Calibri"/>
          <w:color w:val="auto"/>
          <w:kern w:val="0"/>
          <w:szCs w:val="21"/>
          <w:highlight w:val="none"/>
        </w:rPr>
        <w:t>10%</w:t>
      </w:r>
      <w:r>
        <w:rPr>
          <w:rFonts w:ascii="Calibri" w:hAnsi="宋体"/>
          <w:color w:val="auto"/>
          <w:kern w:val="0"/>
          <w:szCs w:val="21"/>
          <w:highlight w:val="none"/>
        </w:rPr>
        <w:t>的工程款作为处罚。</w:t>
      </w:r>
    </w:p>
    <w:p w14:paraId="1F60083C">
      <w:pPr>
        <w:spacing w:line="360" w:lineRule="auto"/>
        <w:ind w:firstLine="420" w:firstLineChars="200"/>
        <w:jc w:val="left"/>
        <w:outlineLvl w:val="9"/>
        <w:rPr>
          <w:rFonts w:ascii="Calibri" w:hAnsi="宋体"/>
          <w:color w:val="auto"/>
          <w:kern w:val="0"/>
          <w:szCs w:val="21"/>
          <w:highlight w:val="none"/>
        </w:rPr>
      </w:pPr>
      <w:r>
        <w:rPr>
          <w:rFonts w:ascii="Calibri" w:hAnsi="宋体"/>
          <w:color w:val="auto"/>
          <w:kern w:val="0"/>
          <w:szCs w:val="21"/>
          <w:highlight w:val="none"/>
        </w:rPr>
        <w:t>（</w:t>
      </w:r>
      <w:r>
        <w:rPr>
          <w:rFonts w:ascii="Calibri" w:hAnsi="Calibri"/>
          <w:color w:val="auto"/>
          <w:kern w:val="0"/>
          <w:szCs w:val="21"/>
          <w:highlight w:val="none"/>
        </w:rPr>
        <w:t>2</w:t>
      </w:r>
      <w:r>
        <w:rPr>
          <w:rFonts w:ascii="Calibri" w:hAnsi="宋体"/>
          <w:color w:val="auto"/>
          <w:kern w:val="0"/>
          <w:szCs w:val="21"/>
          <w:highlight w:val="none"/>
        </w:rPr>
        <w:t>）承包人有本合同通用条款第</w:t>
      </w:r>
      <w:r>
        <w:rPr>
          <w:rFonts w:ascii="Calibri" w:hAnsi="Calibri"/>
          <w:color w:val="auto"/>
          <w:kern w:val="0"/>
          <w:szCs w:val="21"/>
          <w:highlight w:val="none"/>
        </w:rPr>
        <w:t>16.2.1</w:t>
      </w:r>
      <w:r>
        <w:rPr>
          <w:rFonts w:ascii="Calibri" w:hAnsi="宋体"/>
          <w:color w:val="auto"/>
          <w:kern w:val="0"/>
          <w:szCs w:val="21"/>
          <w:highlight w:val="none"/>
        </w:rPr>
        <w:t>（</w:t>
      </w:r>
      <w:r>
        <w:rPr>
          <w:rFonts w:ascii="Calibri" w:hAnsi="Calibri"/>
          <w:color w:val="auto"/>
          <w:kern w:val="0"/>
          <w:szCs w:val="21"/>
          <w:highlight w:val="none"/>
        </w:rPr>
        <w:t>6</w:t>
      </w:r>
      <w:r>
        <w:rPr>
          <w:rFonts w:ascii="Calibri" w:hAnsi="宋体"/>
          <w:color w:val="auto"/>
          <w:kern w:val="0"/>
          <w:szCs w:val="21"/>
          <w:highlight w:val="none"/>
        </w:rPr>
        <w:t>）条情形的，或经监理人检验认为修复质量不合格而承包人拒绝再进行修补的，发包人将扣除承包人全部质量保修金。</w:t>
      </w:r>
    </w:p>
    <w:p w14:paraId="72496DBF">
      <w:pPr>
        <w:spacing w:line="360" w:lineRule="auto"/>
        <w:ind w:firstLine="420" w:firstLineChars="200"/>
        <w:jc w:val="left"/>
        <w:outlineLvl w:val="9"/>
        <w:rPr>
          <w:rFonts w:ascii="Calibri" w:hAnsi="宋体"/>
          <w:color w:val="auto"/>
          <w:kern w:val="0"/>
          <w:szCs w:val="21"/>
          <w:highlight w:val="none"/>
        </w:rPr>
      </w:pPr>
      <w:r>
        <w:rPr>
          <w:rFonts w:ascii="Calibri" w:hAnsi="宋体"/>
          <w:color w:val="auto"/>
          <w:kern w:val="0"/>
          <w:szCs w:val="21"/>
          <w:highlight w:val="none"/>
        </w:rPr>
        <w:t>（</w:t>
      </w:r>
      <w:r>
        <w:rPr>
          <w:rFonts w:ascii="Calibri" w:hAnsi="Calibri"/>
          <w:color w:val="auto"/>
          <w:kern w:val="0"/>
          <w:szCs w:val="21"/>
          <w:highlight w:val="none"/>
        </w:rPr>
        <w:t>3</w:t>
      </w:r>
      <w:r>
        <w:rPr>
          <w:rFonts w:ascii="Calibri" w:hAnsi="宋体"/>
          <w:color w:val="auto"/>
          <w:kern w:val="0"/>
          <w:szCs w:val="21"/>
          <w:highlight w:val="none"/>
        </w:rPr>
        <w:t>）承包人有本专用合同条款</w:t>
      </w:r>
      <w:r>
        <w:rPr>
          <w:rFonts w:ascii="Calibri" w:hAnsi="Calibri"/>
          <w:color w:val="auto"/>
          <w:kern w:val="0"/>
          <w:szCs w:val="21"/>
          <w:highlight w:val="none"/>
        </w:rPr>
        <w:t>3.2</w:t>
      </w:r>
      <w:r>
        <w:rPr>
          <w:rFonts w:ascii="Calibri" w:hAnsi="宋体"/>
          <w:color w:val="auto"/>
          <w:kern w:val="0"/>
          <w:szCs w:val="21"/>
          <w:highlight w:val="none"/>
        </w:rPr>
        <w:t>、</w:t>
      </w:r>
      <w:r>
        <w:rPr>
          <w:rFonts w:ascii="Calibri" w:hAnsi="Calibri"/>
          <w:color w:val="auto"/>
          <w:kern w:val="0"/>
          <w:szCs w:val="21"/>
          <w:highlight w:val="none"/>
        </w:rPr>
        <w:t>3.3</w:t>
      </w:r>
      <w:r>
        <w:rPr>
          <w:rFonts w:ascii="Calibri" w:hAnsi="宋体"/>
          <w:color w:val="auto"/>
          <w:kern w:val="0"/>
          <w:szCs w:val="21"/>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45023429">
      <w:pPr>
        <w:spacing w:line="360" w:lineRule="auto"/>
        <w:ind w:firstLine="422" w:firstLineChars="200"/>
        <w:jc w:val="left"/>
        <w:outlineLvl w:val="9"/>
        <w:rPr>
          <w:rFonts w:ascii="宋体" w:hAnsi="宋体"/>
          <w:b/>
          <w:color w:val="auto"/>
          <w:szCs w:val="21"/>
          <w:highlight w:val="none"/>
        </w:rPr>
      </w:pPr>
      <w:r>
        <w:rPr>
          <w:rFonts w:ascii="宋体" w:hAnsi="宋体"/>
          <w:b/>
          <w:color w:val="auto"/>
          <w:szCs w:val="21"/>
          <w:highlight w:val="none"/>
        </w:rPr>
        <w:t>16.2.3 因承包人违约解除合同</w:t>
      </w:r>
    </w:p>
    <w:p w14:paraId="67564823">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关于承包人违约解除合同的特别约定：</w:t>
      </w:r>
      <w:r>
        <w:rPr>
          <w:rFonts w:ascii="宋体" w:hAnsi="宋体"/>
          <w:color w:val="auto"/>
          <w:kern w:val="0"/>
          <w:szCs w:val="21"/>
          <w:highlight w:val="none"/>
          <w:u w:val="single"/>
        </w:rPr>
        <w:t>承包人有违反以下情况之一的，发包人有权解除合同，并没收其全部履约保证金</w:t>
      </w:r>
      <w:r>
        <w:rPr>
          <w:rFonts w:ascii="宋体" w:hAnsi="宋体"/>
          <w:color w:val="auto"/>
          <w:kern w:val="0"/>
          <w:szCs w:val="21"/>
          <w:highlight w:val="none"/>
        </w:rPr>
        <w:t>。</w:t>
      </w:r>
    </w:p>
    <w:p w14:paraId="3E597A87">
      <w:pPr>
        <w:spacing w:line="360" w:lineRule="auto"/>
        <w:ind w:firstLine="420" w:firstLineChars="200"/>
        <w:jc w:val="left"/>
        <w:outlineLvl w:val="9"/>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1)承包人无正当理由不按开工通知的要求及时进场组织施工和不按签订协议书时商</w:t>
      </w:r>
      <w:r>
        <w:rPr>
          <w:rFonts w:hint="eastAsia" w:ascii="宋体" w:hAnsi="宋体"/>
          <w:color w:val="auto"/>
          <w:kern w:val="0"/>
          <w:szCs w:val="21"/>
          <w:highlight w:val="none"/>
        </w:rPr>
        <w:t>定</w:t>
      </w:r>
      <w:r>
        <w:rPr>
          <w:rFonts w:ascii="宋体" w:hAnsi="宋体"/>
          <w:color w:val="auto"/>
          <w:kern w:val="0"/>
          <w:szCs w:val="21"/>
          <w:highlight w:val="none"/>
        </w:rPr>
        <w:t>的进度计划有效地开展施工准备，造成工期延误的；</w:t>
      </w:r>
    </w:p>
    <w:p w14:paraId="2CF005FE">
      <w:pPr>
        <w:spacing w:line="360" w:lineRule="auto"/>
        <w:ind w:firstLine="420" w:firstLineChars="200"/>
        <w:jc w:val="left"/>
        <w:outlineLvl w:val="9"/>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2)承包人违反本合同通用条款第3.5条规定私自将合同或合同的任何部分或任何权利转让给其他人，或私自将工程或工程的一部分分包出去的；</w:t>
      </w:r>
    </w:p>
    <w:p w14:paraId="12A1877A">
      <w:pPr>
        <w:spacing w:line="360" w:lineRule="auto"/>
        <w:ind w:firstLine="420" w:firstLineChars="200"/>
        <w:jc w:val="left"/>
        <w:outlineLvl w:val="9"/>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3)未经监理人批准，承包人私自将已按投标文件承诺进入工地的工程设备、施工设备、临时工程或材料撤离工地的；</w:t>
      </w:r>
    </w:p>
    <w:p w14:paraId="0899517A">
      <w:pPr>
        <w:spacing w:line="360" w:lineRule="auto"/>
        <w:ind w:firstLine="420" w:firstLineChars="200"/>
        <w:jc w:val="left"/>
        <w:outlineLvl w:val="9"/>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4)由于承包人原因拒绝按合同进度计划及时完成合同规定的工程，而又未采取有效措施赶上进度，造成工期延误的；</w:t>
      </w:r>
    </w:p>
    <w:p w14:paraId="5203E7B5">
      <w:pPr>
        <w:spacing w:line="360" w:lineRule="auto"/>
        <w:ind w:firstLine="420" w:firstLineChars="200"/>
        <w:outlineLvl w:val="9"/>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5)承包人否认合同有效或拒绝履行合同规定的承包人义务，或由于法律、财务等原因导致承包人无法继续履行或实质上已停止履行合同的义务的；</w:t>
      </w:r>
    </w:p>
    <w:p w14:paraId="26D5F78B">
      <w:pPr>
        <w:spacing w:line="360" w:lineRule="auto"/>
        <w:ind w:firstLine="420" w:firstLineChars="200"/>
        <w:outlineLvl w:val="9"/>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6)合同签订之日起十五日内，承包人无法按合同规定及投标文件的承诺进场经监理工程师认可的全部人员和机械的。</w:t>
      </w:r>
    </w:p>
    <w:p w14:paraId="61B1760F">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发包人继续使用承包人在施工现场的材料、设备、临时工程、承包人文件和由承包人或以其名义编制的其他文件的费用承担方式：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1126DD9">
      <w:pPr>
        <w:keepNext/>
        <w:keepLines/>
        <w:spacing w:before="260" w:after="260" w:line="416" w:lineRule="auto"/>
        <w:outlineLvl w:val="9"/>
        <w:rPr>
          <w:rFonts w:ascii="宋体" w:hAnsi="宋体"/>
          <w:b/>
          <w:bCs/>
          <w:color w:val="auto"/>
          <w:sz w:val="32"/>
          <w:szCs w:val="32"/>
          <w:highlight w:val="none"/>
        </w:rPr>
      </w:pPr>
      <w:bookmarkStart w:id="1691" w:name="_Toc389065334"/>
      <w:bookmarkStart w:id="1692" w:name="_Toc529547397"/>
      <w:bookmarkStart w:id="1693" w:name="_Toc411345253"/>
      <w:bookmarkStart w:id="1694" w:name="_Toc472931678"/>
      <w:bookmarkStart w:id="1695" w:name="_Toc530144539"/>
      <w:bookmarkStart w:id="1696" w:name="_Toc529527045"/>
      <w:bookmarkStart w:id="1697" w:name="_Toc461179315"/>
      <w:bookmarkStart w:id="1698" w:name="_Toc454211185"/>
      <w:bookmarkStart w:id="1699" w:name="_Toc373227769"/>
      <w:bookmarkStart w:id="1700" w:name="_Toc351203649"/>
      <w:bookmarkStart w:id="1701" w:name="_Toc432343961"/>
      <w:bookmarkStart w:id="1702" w:name="_Toc470247872"/>
      <w:bookmarkStart w:id="1703" w:name="_Toc373478416"/>
      <w:bookmarkStart w:id="1704" w:name="_Toc531186674"/>
      <w:r>
        <w:rPr>
          <w:rFonts w:ascii="宋体" w:hAnsi="宋体"/>
          <w:b/>
          <w:bCs/>
          <w:color w:val="auto"/>
          <w:sz w:val="32"/>
          <w:szCs w:val="32"/>
          <w:highlight w:val="none"/>
        </w:rPr>
        <w:t>17. 不可抗力</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r>
        <w:rPr>
          <w:rFonts w:ascii="宋体" w:hAnsi="宋体"/>
          <w:b/>
          <w:bCs/>
          <w:color w:val="auto"/>
          <w:sz w:val="32"/>
          <w:szCs w:val="32"/>
          <w:highlight w:val="none"/>
        </w:rPr>
        <w:t xml:space="preserve"> </w:t>
      </w:r>
      <w:bookmarkEnd w:id="1664"/>
    </w:p>
    <w:p w14:paraId="6782DB41">
      <w:pPr>
        <w:keepNext/>
        <w:keepLines/>
        <w:spacing w:before="260" w:after="260" w:line="416" w:lineRule="auto"/>
        <w:outlineLvl w:val="9"/>
        <w:rPr>
          <w:rFonts w:ascii="宋体" w:hAnsi="宋体"/>
          <w:b/>
          <w:bCs/>
          <w:color w:val="auto"/>
          <w:sz w:val="32"/>
          <w:szCs w:val="32"/>
          <w:highlight w:val="none"/>
        </w:rPr>
      </w:pPr>
      <w:bookmarkStart w:id="1705" w:name="_Toc454211186"/>
      <w:bookmarkStart w:id="1706" w:name="_Toc432343962"/>
      <w:bookmarkStart w:id="1707" w:name="_Toc529527046"/>
      <w:bookmarkStart w:id="1708" w:name="_Toc470247873"/>
      <w:bookmarkStart w:id="1709" w:name="_Toc411345254"/>
      <w:bookmarkStart w:id="1710" w:name="_Toc461179316"/>
      <w:bookmarkStart w:id="1711" w:name="_Toc472931679"/>
      <w:bookmarkStart w:id="1712" w:name="_Toc530144540"/>
      <w:bookmarkStart w:id="1713" w:name="_Toc389065335"/>
      <w:bookmarkStart w:id="1714" w:name="_Toc531186675"/>
      <w:bookmarkStart w:id="1715" w:name="_Toc529547398"/>
      <w:bookmarkStart w:id="1716" w:name="_Toc373478417"/>
      <w:bookmarkStart w:id="1717" w:name="_Toc373227770"/>
      <w:r>
        <w:rPr>
          <w:rFonts w:ascii="宋体" w:hAnsi="宋体"/>
          <w:b/>
          <w:bCs/>
          <w:color w:val="auto"/>
          <w:sz w:val="32"/>
          <w:szCs w:val="32"/>
          <w:highlight w:val="none"/>
        </w:rPr>
        <w:t>17.1 不可抗力的确认</w:t>
      </w:r>
      <w:bookmarkEnd w:id="1705"/>
      <w:bookmarkEnd w:id="1706"/>
      <w:bookmarkEnd w:id="1707"/>
      <w:bookmarkEnd w:id="1708"/>
      <w:bookmarkEnd w:id="1709"/>
      <w:bookmarkEnd w:id="1710"/>
      <w:bookmarkEnd w:id="1711"/>
      <w:bookmarkEnd w:id="1712"/>
      <w:bookmarkEnd w:id="1713"/>
      <w:bookmarkEnd w:id="1714"/>
      <w:bookmarkEnd w:id="1715"/>
      <w:bookmarkEnd w:id="1716"/>
      <w:bookmarkEnd w:id="1717"/>
    </w:p>
    <w:p w14:paraId="55DFFD0A">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除通用合同条款约定的不可抗力事件之外，视为不可抗力的其他情形：</w:t>
      </w:r>
      <w:r>
        <w:rPr>
          <w:rFonts w:hint="eastAsia" w:ascii="宋体" w:hAnsi="宋体"/>
          <w:color w:val="auto"/>
          <w:szCs w:val="21"/>
          <w:highlight w:val="none"/>
        </w:rPr>
        <w:t>地震、海啸、瘟疫、骚乱、戒严、暴动、战争及13级以上台风，但由于承包人及其分包商的雇员的原因引起的骚乱及其他灾难性事件不属于不可抗力。</w:t>
      </w:r>
    </w:p>
    <w:p w14:paraId="40AAEAB6">
      <w:pPr>
        <w:keepNext/>
        <w:keepLines/>
        <w:spacing w:before="260" w:after="260" w:line="416" w:lineRule="auto"/>
        <w:outlineLvl w:val="9"/>
        <w:rPr>
          <w:rFonts w:ascii="宋体" w:hAnsi="宋体"/>
          <w:b/>
          <w:bCs/>
          <w:color w:val="auto"/>
          <w:sz w:val="32"/>
          <w:szCs w:val="32"/>
          <w:highlight w:val="none"/>
        </w:rPr>
      </w:pPr>
      <w:bookmarkStart w:id="1718" w:name="_Toc373478418"/>
      <w:bookmarkStart w:id="1719" w:name="_Toc472931680"/>
      <w:bookmarkStart w:id="1720" w:name="_Toc470247874"/>
      <w:bookmarkStart w:id="1721" w:name="_Toc373227771"/>
      <w:bookmarkStart w:id="1722" w:name="_Toc529527047"/>
      <w:bookmarkStart w:id="1723" w:name="_Toc432343964"/>
      <w:bookmarkStart w:id="1724" w:name="_Toc461179318"/>
      <w:bookmarkStart w:id="1725" w:name="_Toc529547399"/>
      <w:bookmarkStart w:id="1726" w:name="_Toc454211188"/>
      <w:bookmarkStart w:id="1727" w:name="_Toc531186676"/>
      <w:bookmarkStart w:id="1728" w:name="_Toc389065336"/>
      <w:bookmarkStart w:id="1729" w:name="_Toc411345256"/>
      <w:bookmarkStart w:id="1730" w:name="_Toc530144541"/>
      <w:r>
        <w:rPr>
          <w:rFonts w:ascii="宋体" w:hAnsi="宋体"/>
          <w:b/>
          <w:bCs/>
          <w:color w:val="auto"/>
          <w:sz w:val="32"/>
          <w:szCs w:val="32"/>
          <w:highlight w:val="none"/>
        </w:rPr>
        <w:t>17.4 因不可抗力解除合同</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14:paraId="65508435">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合同解除后，发包人应在商定或确定发包人应支付款项后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120 </w:t>
      </w:r>
      <w:r>
        <w:rPr>
          <w:rFonts w:ascii="宋体" w:hAnsi="宋体"/>
          <w:color w:val="auto"/>
          <w:szCs w:val="21"/>
          <w:highlight w:val="none"/>
          <w:u w:val="single"/>
        </w:rPr>
        <w:t xml:space="preserve"> </w:t>
      </w:r>
      <w:r>
        <w:rPr>
          <w:rFonts w:ascii="宋体" w:hAnsi="宋体"/>
          <w:color w:val="auto"/>
          <w:szCs w:val="21"/>
          <w:highlight w:val="none"/>
        </w:rPr>
        <w:t>天内完成款项的支付。</w:t>
      </w:r>
    </w:p>
    <w:p w14:paraId="03813E9D">
      <w:pPr>
        <w:keepNext/>
        <w:keepLines/>
        <w:spacing w:before="260" w:after="260" w:line="416" w:lineRule="auto"/>
        <w:outlineLvl w:val="9"/>
        <w:rPr>
          <w:rFonts w:ascii="宋体" w:hAnsi="宋体"/>
          <w:b/>
          <w:bCs/>
          <w:color w:val="auto"/>
          <w:sz w:val="32"/>
          <w:szCs w:val="32"/>
          <w:highlight w:val="none"/>
        </w:rPr>
      </w:pPr>
      <w:bookmarkStart w:id="1731" w:name="_Toc461179319"/>
      <w:bookmarkStart w:id="1732" w:name="_Toc472931681"/>
      <w:bookmarkStart w:id="1733" w:name="_Toc373478419"/>
      <w:bookmarkStart w:id="1734" w:name="_Toc531186677"/>
      <w:bookmarkStart w:id="1735" w:name="_Toc432343965"/>
      <w:bookmarkStart w:id="1736" w:name="_Toc529527048"/>
      <w:bookmarkStart w:id="1737" w:name="_Toc530144542"/>
      <w:bookmarkStart w:id="1738" w:name="_Toc373227772"/>
      <w:bookmarkStart w:id="1739" w:name="_Toc389065337"/>
      <w:bookmarkStart w:id="1740" w:name="_Toc411345257"/>
      <w:bookmarkStart w:id="1741" w:name="_Toc351203650"/>
      <w:bookmarkStart w:id="1742" w:name="_Toc454211189"/>
      <w:bookmarkStart w:id="1743" w:name="_Toc529547400"/>
      <w:bookmarkStart w:id="1744" w:name="_Toc470247875"/>
      <w:r>
        <w:rPr>
          <w:rFonts w:ascii="宋体" w:hAnsi="宋体"/>
          <w:b/>
          <w:bCs/>
          <w:color w:val="auto"/>
          <w:sz w:val="32"/>
          <w:szCs w:val="32"/>
          <w:highlight w:val="none"/>
        </w:rPr>
        <w:t>18. 保险</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bookmarkEnd w:id="185"/>
    <w:p w14:paraId="23EADDB8">
      <w:pPr>
        <w:keepNext/>
        <w:keepLines/>
        <w:spacing w:before="260" w:after="260" w:line="416" w:lineRule="auto"/>
        <w:outlineLvl w:val="9"/>
        <w:rPr>
          <w:rFonts w:ascii="宋体" w:hAnsi="宋体"/>
          <w:b/>
          <w:bCs/>
          <w:color w:val="auto"/>
          <w:sz w:val="32"/>
          <w:szCs w:val="32"/>
          <w:highlight w:val="none"/>
        </w:rPr>
      </w:pPr>
      <w:bookmarkStart w:id="1745" w:name="_Toc529527049"/>
      <w:bookmarkStart w:id="1746" w:name="_Toc454211190"/>
      <w:bookmarkStart w:id="1747" w:name="_Toc373478420"/>
      <w:bookmarkStart w:id="1748" w:name="_Toc411345258"/>
      <w:bookmarkStart w:id="1749" w:name="_Toc472931682"/>
      <w:bookmarkStart w:id="1750" w:name="_Toc470247876"/>
      <w:bookmarkStart w:id="1751" w:name="_Toc432343966"/>
      <w:bookmarkStart w:id="1752" w:name="_Toc373227773"/>
      <w:bookmarkStart w:id="1753" w:name="_Toc530144543"/>
      <w:bookmarkStart w:id="1754" w:name="_Toc461179320"/>
      <w:bookmarkStart w:id="1755" w:name="_Toc531186678"/>
      <w:bookmarkStart w:id="1756" w:name="_Toc529547401"/>
      <w:bookmarkStart w:id="1757" w:name="_Toc389065338"/>
      <w:r>
        <w:rPr>
          <w:rFonts w:ascii="宋体" w:hAnsi="宋体"/>
          <w:b/>
          <w:bCs/>
          <w:color w:val="auto"/>
          <w:sz w:val="32"/>
          <w:szCs w:val="32"/>
          <w:highlight w:val="none"/>
        </w:rPr>
        <w:t>18.1 工程保险</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14:paraId="37413352">
      <w:pPr>
        <w:spacing w:line="360" w:lineRule="auto"/>
        <w:ind w:firstLine="420" w:firstLineChars="200"/>
        <w:jc w:val="left"/>
        <w:outlineLvl w:val="9"/>
        <w:rPr>
          <w:rFonts w:ascii="宋体" w:hAnsi="宋体"/>
          <w:b/>
          <w:color w:val="auto"/>
          <w:szCs w:val="21"/>
          <w:highlight w:val="none"/>
          <w:u w:val="single"/>
        </w:rPr>
      </w:pPr>
      <w:r>
        <w:rPr>
          <w:rFonts w:ascii="宋体" w:hAnsi="宋体"/>
          <w:color w:val="auto"/>
          <w:szCs w:val="21"/>
          <w:highlight w:val="none"/>
        </w:rPr>
        <w:t>关于工程保险的特别约定：</w:t>
      </w:r>
      <w:r>
        <w:rPr>
          <w:rFonts w:hint="eastAsia" w:ascii="宋体" w:hAnsi="宋体"/>
          <w:b/>
          <w:color w:val="auto"/>
          <w:szCs w:val="21"/>
          <w:highlight w:val="none"/>
          <w:u w:val="single"/>
        </w:rPr>
        <w:t>本项目的一切险（或安装工程一切险）和第三者责任险由</w:t>
      </w:r>
      <w:r>
        <w:rPr>
          <w:rFonts w:hint="eastAsia" w:ascii="宋体" w:hAnsi="宋体"/>
          <w:b/>
          <w:color w:val="auto"/>
          <w:kern w:val="0"/>
          <w:szCs w:val="21"/>
          <w:highlight w:val="none"/>
          <w:u w:val="single"/>
        </w:rPr>
        <w:t>发包人委托承包人投保，投保产生的保险费和其他相关费用由发包人承担，投保产生的相关费用由承包人在措施费中列项考虑，费用总价包干，由于承包人预估费用低于实际费用，不足部分由承包人补齐。</w:t>
      </w:r>
    </w:p>
    <w:p w14:paraId="2BD40960">
      <w:pPr>
        <w:keepNext/>
        <w:keepLines/>
        <w:spacing w:before="260" w:after="260" w:line="416" w:lineRule="auto"/>
        <w:outlineLvl w:val="9"/>
        <w:rPr>
          <w:rFonts w:ascii="宋体" w:hAnsi="宋体"/>
          <w:b/>
          <w:bCs/>
          <w:color w:val="auto"/>
          <w:sz w:val="32"/>
          <w:szCs w:val="32"/>
          <w:highlight w:val="none"/>
        </w:rPr>
      </w:pPr>
      <w:bookmarkStart w:id="1758" w:name="_Toc411345259"/>
      <w:bookmarkStart w:id="1759" w:name="_Toc470247877"/>
      <w:bookmarkStart w:id="1760" w:name="_Toc373227774"/>
      <w:bookmarkStart w:id="1761" w:name="_Toc389065339"/>
      <w:bookmarkStart w:id="1762" w:name="_Toc529547402"/>
      <w:bookmarkStart w:id="1763" w:name="_Toc461179321"/>
      <w:bookmarkStart w:id="1764" w:name="_Toc373478421"/>
      <w:bookmarkStart w:id="1765" w:name="_Toc454211191"/>
      <w:bookmarkStart w:id="1766" w:name="_Toc531186679"/>
      <w:bookmarkStart w:id="1767" w:name="_Toc432343967"/>
      <w:bookmarkStart w:id="1768" w:name="_Toc530144544"/>
      <w:bookmarkStart w:id="1769" w:name="_Toc472931683"/>
      <w:bookmarkStart w:id="1770" w:name="_Toc529527050"/>
      <w:r>
        <w:rPr>
          <w:rFonts w:ascii="宋体" w:hAnsi="宋体"/>
          <w:b/>
          <w:bCs/>
          <w:color w:val="auto"/>
          <w:sz w:val="32"/>
          <w:szCs w:val="32"/>
          <w:highlight w:val="none"/>
        </w:rPr>
        <w:t>18.3 其他保险</w:t>
      </w:r>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14:paraId="5E738BA5">
      <w:pPr>
        <w:pStyle w:val="741"/>
        <w:spacing w:line="360" w:lineRule="auto"/>
        <w:ind w:firstLine="420" w:firstLineChars="200"/>
        <w:jc w:val="left"/>
        <w:outlineLvl w:val="9"/>
        <w:rPr>
          <w:rStyle w:val="86"/>
          <w:rFonts w:hint="eastAsia" w:ascii="Calibri" w:hAnsi="宋体" w:eastAsia="宋体" w:cs="宋体"/>
          <w:color w:val="auto"/>
          <w:highlight w:val="none"/>
        </w:rPr>
      </w:pPr>
      <w:r>
        <w:rPr>
          <w:rStyle w:val="86"/>
          <w:rFonts w:hint="eastAsia" w:ascii="Calibri" w:hAnsi="宋体" w:eastAsia="宋体" w:cs="宋体"/>
          <w:color w:val="auto"/>
          <w:highlight w:val="none"/>
        </w:rPr>
        <w:t>关于其他保险的约定：</w:t>
      </w:r>
    </w:p>
    <w:p w14:paraId="797FAEA7">
      <w:pPr>
        <w:pStyle w:val="741"/>
        <w:spacing w:line="360" w:lineRule="auto"/>
        <w:ind w:firstLine="420" w:firstLineChars="200"/>
        <w:jc w:val="left"/>
        <w:outlineLvl w:val="9"/>
        <w:rPr>
          <w:rStyle w:val="86"/>
          <w:rFonts w:hint="eastAsia" w:ascii="Calibri" w:hAnsi="宋体" w:eastAsia="宋体" w:cs="宋体"/>
          <w:color w:val="auto"/>
          <w:highlight w:val="none"/>
        </w:rPr>
      </w:pPr>
      <w:r>
        <w:rPr>
          <w:rStyle w:val="86"/>
          <w:rFonts w:hint="eastAsia" w:ascii="Calibri" w:hAnsi="宋体" w:eastAsia="宋体" w:cs="宋体"/>
          <w:color w:val="auto"/>
          <w:highlight w:val="none"/>
        </w:rPr>
        <w:t>(1)安全生产责任保险费:根据《自治区住房城乡建设厅关于印发广西壮族自治区房屋建筑和市政基础设施工程安全生产责任保险计价规定的通知》(桂建发[2023]6号)规定:安全生产责任保险费按分部分项工程费及措施项目费(含单价及总价措施项目费)为计算基数乘以0.2%计入暂估价，工程结算时，由发承包双方根据工程实际情况确认的安全生产责任保险费计入工程造价。</w:t>
      </w:r>
    </w:p>
    <w:p w14:paraId="374A5D9E">
      <w:pPr>
        <w:pStyle w:val="741"/>
        <w:spacing w:line="360" w:lineRule="auto"/>
        <w:ind w:firstLine="420" w:firstLineChars="200"/>
        <w:jc w:val="left"/>
        <w:outlineLvl w:val="9"/>
        <w:rPr>
          <w:rStyle w:val="86"/>
          <w:rFonts w:hint="eastAsia" w:ascii="Calibri" w:hAnsi="宋体" w:eastAsia="宋体" w:cs="宋体"/>
          <w:color w:val="auto"/>
          <w:highlight w:val="none"/>
        </w:rPr>
      </w:pPr>
      <w:r>
        <w:rPr>
          <w:rStyle w:val="86"/>
          <w:rFonts w:hint="eastAsia" w:ascii="Calibri" w:hAnsi="宋体" w:eastAsia="宋体" w:cs="宋体"/>
          <w:color w:val="auto"/>
          <w:highlight w:val="none"/>
        </w:rPr>
        <w:t>(2)承包人必须为施工现场从事施工的作业人员和管理人员办理意外伤害保险，并支付其保费，保险期限为项目建设期内。</w:t>
      </w:r>
    </w:p>
    <w:p w14:paraId="3D4DCFD9">
      <w:pPr>
        <w:spacing w:line="360" w:lineRule="auto"/>
        <w:ind w:firstLine="420" w:firstLineChars="200"/>
        <w:jc w:val="left"/>
        <w:outlineLvl w:val="9"/>
        <w:rPr>
          <w:rFonts w:hint="eastAsia" w:ascii="宋体" w:hAnsi="宋体" w:eastAsia="宋体"/>
          <w:color w:val="auto"/>
          <w:szCs w:val="21"/>
          <w:highlight w:val="none"/>
          <w:lang w:eastAsia="zh-CN"/>
        </w:rPr>
      </w:pPr>
      <w:r>
        <w:rPr>
          <w:rStyle w:val="86"/>
          <w:rFonts w:hint="eastAsia" w:ascii="Calibri" w:hAnsi="宋体" w:eastAsia="宋体" w:cs="宋体"/>
          <w:color w:val="auto"/>
          <w:highlight w:val="none"/>
        </w:rPr>
        <w:t>承包人是否应为其施工设备等办理财产保险：</w:t>
      </w:r>
      <w:r>
        <w:rPr>
          <w:rStyle w:val="86"/>
          <w:rFonts w:ascii="Calibri" w:hAnsi="Calibri" w:eastAsia="宋体" w:cs="Times New Roman"/>
          <w:color w:val="auto"/>
          <w:highlight w:val="none"/>
          <w:u w:val="single"/>
        </w:rPr>
        <w:t xml:space="preserve">      </w:t>
      </w:r>
      <w:r>
        <w:rPr>
          <w:rStyle w:val="86"/>
          <w:rFonts w:hint="eastAsia" w:ascii="宋体" w:hAnsi="宋体" w:eastAsia="宋体" w:cs="Times New Roman"/>
          <w:color w:val="auto"/>
          <w:highlight w:val="none"/>
          <w:u w:val="single"/>
        </w:rPr>
        <w:t>无</w:t>
      </w:r>
      <w:r>
        <w:rPr>
          <w:rStyle w:val="86"/>
          <w:rFonts w:ascii="宋体" w:hAnsi="宋体" w:eastAsia="宋体" w:cs="Times New Roman"/>
          <w:color w:val="auto"/>
          <w:highlight w:val="none"/>
          <w:u w:val="single"/>
        </w:rPr>
        <w:t xml:space="preserve"> </w:t>
      </w:r>
      <w:r>
        <w:rPr>
          <w:rStyle w:val="86"/>
          <w:rFonts w:ascii="Calibri" w:hAnsi="Calibri" w:eastAsia="宋体" w:cs="Times New Roman"/>
          <w:color w:val="auto"/>
          <w:highlight w:val="none"/>
          <w:u w:val="single"/>
        </w:rPr>
        <w:t xml:space="preserve">               </w:t>
      </w:r>
      <w:r>
        <w:rPr>
          <w:rStyle w:val="86"/>
          <w:rFonts w:hint="eastAsia" w:ascii="Calibri" w:hAnsi="Calibri" w:eastAsia="宋体" w:cs="Times New Roman"/>
          <w:color w:val="auto"/>
          <w:highlight w:val="none"/>
          <w:u w:val="single"/>
          <w:lang w:eastAsia="zh-CN"/>
        </w:rPr>
        <w:t>。</w:t>
      </w:r>
    </w:p>
    <w:p w14:paraId="238E5CB1">
      <w:pPr>
        <w:keepNext/>
        <w:keepLines/>
        <w:spacing w:before="260" w:after="260" w:line="416" w:lineRule="auto"/>
        <w:outlineLvl w:val="9"/>
        <w:rPr>
          <w:rFonts w:ascii="宋体" w:hAnsi="宋体"/>
          <w:b/>
          <w:bCs/>
          <w:color w:val="auto"/>
          <w:sz w:val="32"/>
          <w:szCs w:val="32"/>
          <w:highlight w:val="none"/>
        </w:rPr>
      </w:pPr>
      <w:bookmarkStart w:id="1771" w:name="_Toc373227775"/>
      <w:bookmarkStart w:id="1772" w:name="_Toc472931684"/>
      <w:bookmarkStart w:id="1773" w:name="_Toc530144545"/>
      <w:bookmarkStart w:id="1774" w:name="_Toc373478422"/>
      <w:bookmarkStart w:id="1775" w:name="_Toc529527051"/>
      <w:bookmarkStart w:id="1776" w:name="_Toc389065340"/>
      <w:bookmarkStart w:id="1777" w:name="_Toc531186680"/>
      <w:bookmarkStart w:id="1778" w:name="_Toc411345260"/>
      <w:bookmarkStart w:id="1779" w:name="_Toc454211193"/>
      <w:bookmarkStart w:id="1780" w:name="_Toc432343969"/>
      <w:bookmarkStart w:id="1781" w:name="_Toc470247878"/>
      <w:bookmarkStart w:id="1782" w:name="_Toc529547403"/>
      <w:bookmarkStart w:id="1783" w:name="_Toc461179323"/>
      <w:r>
        <w:rPr>
          <w:rFonts w:ascii="宋体" w:hAnsi="宋体"/>
          <w:b/>
          <w:bCs/>
          <w:color w:val="auto"/>
          <w:sz w:val="32"/>
          <w:szCs w:val="32"/>
          <w:highlight w:val="none"/>
        </w:rPr>
        <w:t>18.7 通知义务</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p>
    <w:p w14:paraId="762BFA8C">
      <w:pPr>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关于变更保险合同时的通知义务的约定：</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bookmarkEnd w:id="186"/>
    <w:bookmarkEnd w:id="187"/>
    <w:bookmarkEnd w:id="188"/>
    <w:bookmarkEnd w:id="189"/>
    <w:bookmarkEnd w:id="190"/>
    <w:bookmarkEnd w:id="191"/>
    <w:bookmarkEnd w:id="192"/>
    <w:bookmarkEnd w:id="193"/>
    <w:bookmarkEnd w:id="194"/>
    <w:bookmarkEnd w:id="195"/>
    <w:bookmarkEnd w:id="196"/>
    <w:bookmarkEnd w:id="197"/>
    <w:p w14:paraId="71CA1499">
      <w:pPr>
        <w:keepNext/>
        <w:keepLines/>
        <w:spacing w:before="260" w:after="260" w:line="416" w:lineRule="auto"/>
        <w:outlineLvl w:val="9"/>
        <w:rPr>
          <w:rFonts w:ascii="宋体" w:hAnsi="宋体"/>
          <w:b/>
          <w:bCs/>
          <w:color w:val="auto"/>
          <w:sz w:val="32"/>
          <w:szCs w:val="32"/>
          <w:highlight w:val="none"/>
        </w:rPr>
      </w:pPr>
      <w:bookmarkStart w:id="1784" w:name="_Toc351203651"/>
      <w:bookmarkStart w:id="1785" w:name="_Toc373227776"/>
      <w:bookmarkStart w:id="1786" w:name="_Toc373478423"/>
      <w:bookmarkStart w:id="1787" w:name="_Toc454211194"/>
      <w:bookmarkStart w:id="1788" w:name="_Toc530144546"/>
      <w:bookmarkStart w:id="1789" w:name="_Toc432343970"/>
      <w:bookmarkStart w:id="1790" w:name="_Toc389065341"/>
      <w:bookmarkStart w:id="1791" w:name="_Toc529547404"/>
      <w:bookmarkStart w:id="1792" w:name="_Toc531186681"/>
      <w:bookmarkStart w:id="1793" w:name="_Toc470247879"/>
      <w:bookmarkStart w:id="1794" w:name="_Toc472931685"/>
      <w:bookmarkStart w:id="1795" w:name="_Toc461179324"/>
      <w:bookmarkStart w:id="1796" w:name="_Toc529527052"/>
      <w:bookmarkStart w:id="1797" w:name="_Toc411345261"/>
      <w:r>
        <w:rPr>
          <w:rFonts w:ascii="宋体" w:hAnsi="宋体"/>
          <w:b/>
          <w:bCs/>
          <w:color w:val="auto"/>
          <w:sz w:val="32"/>
          <w:szCs w:val="32"/>
          <w:highlight w:val="none"/>
        </w:rPr>
        <w:t>20. 争议解决</w:t>
      </w:r>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bookmarkEnd w:id="198"/>
    <w:bookmarkEnd w:id="199"/>
    <w:p w14:paraId="587AE075">
      <w:pPr>
        <w:keepNext/>
        <w:keepLines/>
        <w:spacing w:before="260" w:after="260" w:line="416" w:lineRule="auto"/>
        <w:outlineLvl w:val="9"/>
        <w:rPr>
          <w:rFonts w:ascii="宋体" w:hAnsi="宋体"/>
          <w:b/>
          <w:bCs/>
          <w:color w:val="auto"/>
          <w:sz w:val="32"/>
          <w:szCs w:val="32"/>
          <w:highlight w:val="none"/>
        </w:rPr>
      </w:pPr>
      <w:bookmarkStart w:id="1798" w:name="_Toc454211195"/>
      <w:bookmarkStart w:id="1799" w:name="_Toc373478424"/>
      <w:bookmarkStart w:id="1800" w:name="_Toc432343971"/>
      <w:bookmarkStart w:id="1801" w:name="_Toc470247880"/>
      <w:bookmarkStart w:id="1802" w:name="_Toc373227777"/>
      <w:bookmarkStart w:id="1803" w:name="_Toc472931686"/>
      <w:bookmarkStart w:id="1804" w:name="_Toc389065342"/>
      <w:bookmarkStart w:id="1805" w:name="_Toc461179325"/>
      <w:bookmarkStart w:id="1806" w:name="_Toc529527053"/>
      <w:bookmarkStart w:id="1807" w:name="_Toc411345262"/>
      <w:bookmarkStart w:id="1808" w:name="_Toc531186682"/>
      <w:bookmarkStart w:id="1809" w:name="_Toc530144547"/>
      <w:bookmarkStart w:id="1810" w:name="_Toc529547405"/>
      <w:r>
        <w:rPr>
          <w:rFonts w:ascii="宋体" w:hAnsi="宋体"/>
          <w:b/>
          <w:bCs/>
          <w:color w:val="auto"/>
          <w:sz w:val="32"/>
          <w:szCs w:val="32"/>
          <w:highlight w:val="none"/>
        </w:rPr>
        <w:t>20.3 争</w:t>
      </w:r>
      <w:bookmarkEnd w:id="200"/>
      <w:r>
        <w:rPr>
          <w:rFonts w:ascii="宋体" w:hAnsi="宋体"/>
          <w:b/>
          <w:bCs/>
          <w:color w:val="auto"/>
          <w:sz w:val="32"/>
          <w:szCs w:val="32"/>
          <w:highlight w:val="none"/>
        </w:rPr>
        <w:t>议评审</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20D4E70A">
      <w:pPr>
        <w:spacing w:line="360" w:lineRule="auto"/>
        <w:ind w:left="149" w:leftChars="71" w:firstLine="315" w:firstLineChars="150"/>
        <w:jc w:val="left"/>
        <w:outlineLvl w:val="9"/>
        <w:rPr>
          <w:rFonts w:ascii="宋体" w:hAnsi="宋体"/>
          <w:color w:val="auto"/>
          <w:szCs w:val="21"/>
          <w:highlight w:val="none"/>
          <w:u w:val="single"/>
        </w:rPr>
      </w:pPr>
      <w:r>
        <w:rPr>
          <w:rFonts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否。双方约定，在履行合同进程中产生争议时，请工程所在地建设行政主管部门进行调解，调解不成时，向工程所在地人民法院起诉。</w:t>
      </w:r>
    </w:p>
    <w:p w14:paraId="094A7352">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20.3.1 争议评审小组的确定</w:t>
      </w:r>
    </w:p>
    <w:p w14:paraId="539FC126">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争议评审小组成员的确定：</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5D99FF0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选定争议评审员的期限：</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5029838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争议评审小组成员的报酬承担方式：</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6626EE85">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其他事项的约定：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0A9E5843">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20.3.2 争议评审小组的决定</w:t>
      </w:r>
    </w:p>
    <w:p w14:paraId="13C83BD5">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合同当事人关于本项的约定：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6507A41E">
      <w:pPr>
        <w:keepNext/>
        <w:keepLines/>
        <w:spacing w:before="260" w:after="260" w:line="416" w:lineRule="auto"/>
        <w:outlineLvl w:val="9"/>
        <w:rPr>
          <w:rFonts w:ascii="宋体" w:hAnsi="宋体"/>
          <w:b/>
          <w:bCs/>
          <w:color w:val="auto"/>
          <w:sz w:val="32"/>
          <w:szCs w:val="32"/>
          <w:highlight w:val="none"/>
        </w:rPr>
      </w:pPr>
      <w:bookmarkStart w:id="1811" w:name="_Toc461179326"/>
      <w:bookmarkStart w:id="1812" w:name="_Toc531186683"/>
      <w:bookmarkStart w:id="1813" w:name="_Toc373478425"/>
      <w:bookmarkStart w:id="1814" w:name="_Toc530144548"/>
      <w:bookmarkStart w:id="1815" w:name="_Toc373227778"/>
      <w:bookmarkStart w:id="1816" w:name="_Toc454211196"/>
      <w:bookmarkStart w:id="1817" w:name="_Toc529547406"/>
      <w:bookmarkStart w:id="1818" w:name="_Toc470247881"/>
      <w:bookmarkStart w:id="1819" w:name="_Toc529527054"/>
      <w:bookmarkStart w:id="1820" w:name="_Toc472931687"/>
      <w:bookmarkStart w:id="1821" w:name="_Toc411345263"/>
      <w:bookmarkStart w:id="1822" w:name="_Toc432343972"/>
      <w:bookmarkStart w:id="1823" w:name="_Toc389065343"/>
      <w:r>
        <w:rPr>
          <w:rFonts w:ascii="宋体" w:hAnsi="宋体"/>
          <w:b/>
          <w:bCs/>
          <w:color w:val="auto"/>
          <w:sz w:val="32"/>
          <w:szCs w:val="32"/>
          <w:highlight w:val="none"/>
        </w:rPr>
        <w:t>20.4</w:t>
      </w:r>
      <w:r>
        <w:rPr>
          <w:rFonts w:hint="eastAsia" w:ascii="宋体" w:hAnsi="宋体"/>
          <w:b/>
          <w:bCs/>
          <w:color w:val="auto"/>
          <w:sz w:val="32"/>
          <w:szCs w:val="32"/>
          <w:highlight w:val="none"/>
        </w:rPr>
        <w:t xml:space="preserve"> </w:t>
      </w:r>
      <w:r>
        <w:rPr>
          <w:rFonts w:ascii="宋体" w:hAnsi="宋体"/>
          <w:b/>
          <w:bCs/>
          <w:color w:val="auto"/>
          <w:sz w:val="32"/>
          <w:szCs w:val="32"/>
          <w:highlight w:val="none"/>
        </w:rPr>
        <w:t>仲裁或诉讼</w:t>
      </w:r>
      <w:bookmarkEnd w:id="201"/>
      <w:bookmarkEnd w:id="1811"/>
      <w:bookmarkEnd w:id="1812"/>
      <w:bookmarkEnd w:id="1813"/>
      <w:bookmarkEnd w:id="1814"/>
      <w:bookmarkEnd w:id="1815"/>
      <w:bookmarkEnd w:id="1816"/>
      <w:bookmarkEnd w:id="1817"/>
      <w:bookmarkEnd w:id="1818"/>
      <w:bookmarkEnd w:id="1819"/>
      <w:bookmarkEnd w:id="1820"/>
      <w:bookmarkEnd w:id="1821"/>
      <w:bookmarkEnd w:id="1822"/>
      <w:bookmarkEnd w:id="1823"/>
    </w:p>
    <w:p w14:paraId="2E1E3EFD">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因合同及合同有关事项发生的争议，按下列第</w:t>
      </w:r>
      <w:r>
        <w:rPr>
          <w:rFonts w:ascii="宋体" w:hAnsi="宋体"/>
          <w:color w:val="auto"/>
          <w:szCs w:val="21"/>
          <w:highlight w:val="none"/>
          <w:u w:val="single"/>
        </w:rPr>
        <w:t xml:space="preserve">  </w:t>
      </w:r>
      <w:r>
        <w:rPr>
          <w:rFonts w:hint="eastAsia" w:ascii="宋体" w:hAnsi="宋体"/>
          <w:b/>
          <w:bCs/>
          <w:color w:val="auto"/>
          <w:szCs w:val="21"/>
          <w:highlight w:val="none"/>
          <w:u w:val="single"/>
        </w:rPr>
        <w:t>（2）</w:t>
      </w:r>
      <w:r>
        <w:rPr>
          <w:rFonts w:ascii="宋体" w:hAnsi="宋体"/>
          <w:color w:val="auto"/>
          <w:szCs w:val="21"/>
          <w:highlight w:val="none"/>
          <w:u w:val="single"/>
        </w:rPr>
        <w:t xml:space="preserve"> </w:t>
      </w:r>
      <w:r>
        <w:rPr>
          <w:rFonts w:ascii="宋体" w:hAnsi="宋体"/>
          <w:color w:val="auto"/>
          <w:szCs w:val="21"/>
          <w:highlight w:val="none"/>
        </w:rPr>
        <w:t>种方式解决：</w:t>
      </w:r>
    </w:p>
    <w:p w14:paraId="1FEEFD38">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（1）提请</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仲裁委员会按照该会仲裁规则进行仲裁，仲裁裁决是终局的，对合同双方均有约束力。</w:t>
      </w:r>
    </w:p>
    <w:p w14:paraId="3993FA30">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hint="eastAsia" w:ascii="宋体" w:hAnsi="宋体"/>
          <w:color w:val="auto"/>
          <w:szCs w:val="21"/>
          <w:highlight w:val="none"/>
          <w:u w:val="single"/>
        </w:rPr>
        <w:t>工程所在地</w:t>
      </w:r>
      <w:r>
        <w:rPr>
          <w:rFonts w:ascii="宋体" w:hAnsi="宋体"/>
          <w:color w:val="auto"/>
          <w:szCs w:val="21"/>
          <w:highlight w:val="none"/>
          <w:u w:val="single"/>
        </w:rPr>
        <w:t xml:space="preserve"> </w:t>
      </w:r>
      <w:r>
        <w:rPr>
          <w:rFonts w:ascii="宋体" w:hAnsi="宋体"/>
          <w:color w:val="auto"/>
          <w:szCs w:val="21"/>
          <w:highlight w:val="none"/>
        </w:rPr>
        <w:t>人民法院起诉。</w:t>
      </w:r>
      <w:bookmarkEnd w:id="202"/>
      <w:bookmarkEnd w:id="203"/>
      <w:bookmarkEnd w:id="204"/>
      <w:bookmarkEnd w:id="205"/>
      <w:bookmarkEnd w:id="206"/>
      <w:bookmarkEnd w:id="207"/>
    </w:p>
    <w:p w14:paraId="7D4D460B">
      <w:pPr>
        <w:keepNext/>
        <w:keepLines/>
        <w:spacing w:before="260" w:after="260" w:line="416" w:lineRule="auto"/>
        <w:outlineLvl w:val="9"/>
        <w:rPr>
          <w:rFonts w:ascii="宋体" w:hAnsi="宋体"/>
          <w:b/>
          <w:bCs/>
          <w:color w:val="auto"/>
          <w:sz w:val="32"/>
          <w:szCs w:val="32"/>
          <w:highlight w:val="none"/>
        </w:rPr>
      </w:pPr>
      <w:bookmarkStart w:id="1824" w:name="_Toc432343973"/>
      <w:bookmarkStart w:id="1825" w:name="_Toc373227779"/>
      <w:bookmarkStart w:id="1826" w:name="_Toc530144549"/>
      <w:bookmarkStart w:id="1827" w:name="_Toc389065344"/>
      <w:bookmarkStart w:id="1828" w:name="_Toc470247882"/>
      <w:bookmarkStart w:id="1829" w:name="_Toc531186684"/>
      <w:bookmarkStart w:id="1830" w:name="_Toc529547407"/>
      <w:bookmarkStart w:id="1831" w:name="_Toc472931688"/>
      <w:bookmarkStart w:id="1832" w:name="_Toc529527055"/>
      <w:bookmarkStart w:id="1833" w:name="_Toc461179327"/>
      <w:bookmarkStart w:id="1834" w:name="_Toc454211197"/>
      <w:bookmarkStart w:id="1835" w:name="_Toc373478426"/>
      <w:bookmarkStart w:id="1836" w:name="_Toc411345264"/>
      <w:r>
        <w:rPr>
          <w:rFonts w:ascii="宋体" w:hAnsi="宋体"/>
          <w:b/>
          <w:bCs/>
          <w:color w:val="auto"/>
          <w:sz w:val="32"/>
          <w:szCs w:val="32"/>
          <w:highlight w:val="none"/>
        </w:rPr>
        <w:t>21. 补充条款</w:t>
      </w:r>
      <w:bookmarkEnd w:id="1824"/>
      <w:bookmarkEnd w:id="1825"/>
      <w:bookmarkEnd w:id="1826"/>
      <w:bookmarkEnd w:id="1827"/>
      <w:bookmarkEnd w:id="1828"/>
      <w:bookmarkEnd w:id="1829"/>
      <w:bookmarkEnd w:id="1830"/>
      <w:bookmarkEnd w:id="1831"/>
      <w:bookmarkEnd w:id="1832"/>
      <w:bookmarkEnd w:id="1833"/>
      <w:bookmarkEnd w:id="1834"/>
      <w:bookmarkEnd w:id="1835"/>
      <w:bookmarkEnd w:id="1836"/>
    </w:p>
    <w:p w14:paraId="7D56C76F">
      <w:pPr>
        <w:pStyle w:val="741"/>
        <w:spacing w:line="360" w:lineRule="auto"/>
        <w:ind w:firstLine="420" w:firstLineChars="200"/>
        <w:jc w:val="left"/>
        <w:outlineLvl w:val="9"/>
        <w:rPr>
          <w:rStyle w:val="86"/>
          <w:rFonts w:hint="eastAsia" w:ascii="宋体" w:hAnsi="宋体" w:eastAsia="宋体" w:cs="宋体"/>
          <w:color w:val="auto"/>
          <w:szCs w:val="21"/>
          <w:highlight w:val="none"/>
          <w:lang w:bidi="ar"/>
        </w:rPr>
      </w:pPr>
      <w:r>
        <w:rPr>
          <w:rFonts w:ascii="Calibri" w:hAnsi="Calibri"/>
          <w:color w:val="auto"/>
          <w:szCs w:val="21"/>
          <w:highlight w:val="none"/>
        </w:rPr>
        <w:t xml:space="preserve"> </w:t>
      </w:r>
      <w:r>
        <w:rPr>
          <w:rStyle w:val="86"/>
          <w:rFonts w:hint="eastAsia" w:ascii="宋体" w:hAnsi="宋体" w:eastAsia="宋体" w:cs="宋体"/>
          <w:color w:val="auto"/>
          <w:szCs w:val="21"/>
          <w:highlight w:val="none"/>
          <w:lang w:bidi="ar"/>
        </w:rPr>
        <w:t>21.1根据广西壮族自治区人民政府办公厅《关于印发广西开展松材线虫病疫情防控五年攻坚行动八条措施的通知》（桂政办发〔2021〕126号）和防城港市住房和城乡建设局文件《关于明确不使用松木及其包装材料的通知》（防住建发[2022]10号）文件精神，本项目禁止使用松木及其包装材料。</w:t>
      </w:r>
    </w:p>
    <w:p w14:paraId="340C3C10">
      <w:pPr>
        <w:spacing w:line="360" w:lineRule="auto"/>
        <w:ind w:left="-359" w:leftChars="-171" w:firstLine="268" w:firstLineChars="128"/>
        <w:jc w:val="left"/>
        <w:outlineLvl w:val="9"/>
        <w:rPr>
          <w:rFonts w:ascii="Calibri" w:hAnsi="Calibri"/>
          <w:color w:val="auto"/>
          <w:szCs w:val="21"/>
          <w:highlight w:val="none"/>
        </w:rPr>
      </w:pPr>
    </w:p>
    <w:p w14:paraId="27421C03">
      <w:pPr>
        <w:spacing w:line="360" w:lineRule="auto"/>
        <w:ind w:left="-359" w:leftChars="-171" w:firstLine="894" w:firstLineChars="426"/>
        <w:jc w:val="left"/>
        <w:outlineLvl w:val="9"/>
        <w:rPr>
          <w:rFonts w:ascii="Calibri" w:hAnsi="Calibri"/>
          <w:color w:val="auto"/>
          <w:szCs w:val="22"/>
          <w:highlight w:val="none"/>
        </w:rPr>
      </w:pPr>
      <w:r>
        <w:rPr>
          <w:rFonts w:ascii="宋体" w:hAnsi="宋体" w:eastAsia="宋体" w:cs="宋体"/>
          <w:color w:val="auto"/>
          <w:kern w:val="0"/>
          <w:szCs w:val="21"/>
          <w:highlight w:val="none"/>
        </w:rPr>
        <w:t xml:space="preserve"> 21.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凡进</w:t>
      </w:r>
      <w:r>
        <w:rPr>
          <w:rFonts w:ascii="Calibri" w:hAnsi="宋体"/>
          <w:color w:val="auto"/>
          <w:szCs w:val="21"/>
          <w:highlight w:val="none"/>
        </w:rPr>
        <w:t>入本工程工作的妇女应持有计生证、否则不准安排工作，禁止使用童工。</w:t>
      </w:r>
    </w:p>
    <w:p w14:paraId="7127BD6F">
      <w:pPr>
        <w:spacing w:line="360" w:lineRule="auto"/>
        <w:ind w:firstLine="420" w:firstLineChars="200"/>
        <w:jc w:val="left"/>
        <w:outlineLvl w:val="9"/>
        <w:rPr>
          <w:rFonts w:ascii="宋体" w:hAnsi="宋体" w:cs="宋体"/>
          <w:color w:val="auto"/>
          <w:kern w:val="0"/>
          <w:szCs w:val="21"/>
          <w:highlight w:val="none"/>
        </w:rPr>
      </w:pPr>
      <w:r>
        <w:rPr>
          <w:rFonts w:hint="eastAsia"/>
          <w:color w:val="auto"/>
          <w:szCs w:val="21"/>
          <w:highlight w:val="none"/>
        </w:rPr>
        <w:t xml:space="preserve">  </w:t>
      </w:r>
      <w:r>
        <w:rPr>
          <w:rFonts w:ascii="宋体" w:hAnsi="宋体" w:cs="宋体"/>
          <w:color w:val="auto"/>
          <w:kern w:val="0"/>
          <w:szCs w:val="21"/>
          <w:highlight w:val="none"/>
        </w:rPr>
        <w:t>21.</w:t>
      </w:r>
      <w:r>
        <w:rPr>
          <w:rFonts w:hint="eastAsia" w:ascii="宋体" w:hAnsi="宋体" w:cs="宋体"/>
          <w:color w:val="auto"/>
          <w:kern w:val="0"/>
          <w:szCs w:val="21"/>
          <w:highlight w:val="none"/>
          <w:lang w:val="en-US" w:eastAsia="zh-CN"/>
        </w:rPr>
        <w:t>3</w:t>
      </w:r>
      <w:r>
        <w:rPr>
          <w:rFonts w:ascii="宋体" w:hAnsi="宋体" w:cs="宋体"/>
          <w:color w:val="auto"/>
          <w:kern w:val="0"/>
          <w:szCs w:val="21"/>
          <w:highlight w:val="none"/>
        </w:rPr>
        <w:t>农民工工资实行分账管理</w:t>
      </w:r>
    </w:p>
    <w:p w14:paraId="3C866A5D">
      <w:pPr>
        <w:spacing w:line="360" w:lineRule="auto"/>
        <w:ind w:firstLine="420" w:firstLineChars="200"/>
        <w:jc w:val="left"/>
        <w:outlineLvl w:val="9"/>
        <w:rPr>
          <w:rFonts w:ascii="宋体" w:hAnsi="宋体" w:cs="宋体"/>
          <w:color w:val="auto"/>
          <w:kern w:val="0"/>
          <w:szCs w:val="21"/>
          <w:highlight w:val="none"/>
        </w:rPr>
      </w:pPr>
      <w:r>
        <w:rPr>
          <w:rFonts w:ascii="宋体" w:hAnsi="宋体" w:cs="宋体"/>
          <w:color w:val="auto"/>
          <w:kern w:val="0"/>
          <w:szCs w:val="21"/>
          <w:highlight w:val="none"/>
        </w:rPr>
        <w:t>根据《关于进一步规范防城港市建设领域农民工工资的有关问题的通知》（防住建管发［2017]37号）第二条，合同承包人应设立农民工工资支付账户，实行农民工工资与其他款项分账管理，农民工工资支付账户信息：</w:t>
      </w:r>
    </w:p>
    <w:p w14:paraId="0EC009CA">
      <w:pPr>
        <w:spacing w:line="360" w:lineRule="auto"/>
        <w:ind w:firstLine="420" w:firstLineChars="200"/>
        <w:jc w:val="left"/>
        <w:outlineLvl w:val="9"/>
        <w:rPr>
          <w:rFonts w:ascii="宋体" w:hAnsi="宋体" w:cs="宋体"/>
          <w:color w:val="auto"/>
          <w:kern w:val="0"/>
          <w:szCs w:val="21"/>
          <w:highlight w:val="none"/>
        </w:rPr>
      </w:pPr>
      <w:r>
        <w:rPr>
          <w:rFonts w:ascii="宋体" w:hAnsi="宋体" w:cs="宋体"/>
          <w:color w:val="auto"/>
          <w:kern w:val="0"/>
          <w:szCs w:val="21"/>
          <w:highlight w:val="none"/>
        </w:rPr>
        <w:t>开户名称：   </w:t>
      </w:r>
    </w:p>
    <w:p w14:paraId="2807BBF9">
      <w:pPr>
        <w:spacing w:line="360" w:lineRule="auto"/>
        <w:ind w:firstLine="420" w:firstLineChars="200"/>
        <w:jc w:val="left"/>
        <w:outlineLvl w:val="9"/>
        <w:rPr>
          <w:rFonts w:ascii="宋体" w:hAnsi="宋体" w:cs="宋体"/>
          <w:color w:val="auto"/>
          <w:kern w:val="0"/>
          <w:szCs w:val="21"/>
          <w:highlight w:val="none"/>
        </w:rPr>
      </w:pPr>
      <w:r>
        <w:rPr>
          <w:rFonts w:ascii="宋体" w:hAnsi="宋体" w:cs="宋体"/>
          <w:color w:val="auto"/>
          <w:kern w:val="0"/>
          <w:szCs w:val="21"/>
          <w:highlight w:val="none"/>
        </w:rPr>
        <w:t>开户行：       </w:t>
      </w:r>
    </w:p>
    <w:p w14:paraId="60F78ECA">
      <w:pPr>
        <w:spacing w:line="360" w:lineRule="auto"/>
        <w:ind w:firstLine="420" w:firstLineChars="200"/>
        <w:jc w:val="left"/>
        <w:outlineLvl w:val="9"/>
        <w:rPr>
          <w:rFonts w:ascii="宋体" w:hAnsi="宋体" w:cs="宋体"/>
          <w:color w:val="auto"/>
          <w:kern w:val="0"/>
          <w:szCs w:val="21"/>
          <w:highlight w:val="none"/>
        </w:rPr>
      </w:pPr>
      <w:r>
        <w:rPr>
          <w:rFonts w:ascii="宋体" w:hAnsi="宋体" w:cs="宋体"/>
          <w:color w:val="auto"/>
          <w:kern w:val="0"/>
          <w:szCs w:val="21"/>
          <w:highlight w:val="none"/>
        </w:rPr>
        <w:t>账号：    </w:t>
      </w:r>
    </w:p>
    <w:p w14:paraId="1C7DF451">
      <w:pPr>
        <w:spacing w:line="360" w:lineRule="auto"/>
        <w:ind w:firstLine="420" w:firstLineChars="200"/>
        <w:jc w:val="left"/>
        <w:outlineLvl w:val="9"/>
        <w:rPr>
          <w:rFonts w:ascii="宋体" w:hAnsi="宋体" w:cs="宋体"/>
          <w:color w:val="auto"/>
          <w:kern w:val="0"/>
          <w:szCs w:val="21"/>
          <w:highlight w:val="none"/>
        </w:rPr>
      </w:pPr>
      <w:r>
        <w:rPr>
          <w:rFonts w:ascii="宋体" w:hAnsi="宋体" w:cs="宋体"/>
          <w:color w:val="auto"/>
          <w:kern w:val="0"/>
          <w:szCs w:val="21"/>
          <w:highlight w:val="none"/>
        </w:rPr>
        <w:t>21.</w:t>
      </w:r>
      <w:r>
        <w:rPr>
          <w:rFonts w:hint="eastAsia" w:ascii="宋体" w:hAnsi="宋体" w:cs="宋体"/>
          <w:color w:val="auto"/>
          <w:kern w:val="0"/>
          <w:szCs w:val="21"/>
          <w:highlight w:val="none"/>
          <w:lang w:val="en-US" w:eastAsia="zh-CN"/>
        </w:rPr>
        <w:t>4</w:t>
      </w:r>
      <w:r>
        <w:rPr>
          <w:rFonts w:ascii="宋体" w:hAnsi="宋体" w:cs="宋体"/>
          <w:color w:val="auto"/>
          <w:kern w:val="0"/>
          <w:szCs w:val="21"/>
          <w:highlight w:val="none"/>
        </w:rPr>
        <w:t>农民工工资支付约定</w:t>
      </w:r>
    </w:p>
    <w:p w14:paraId="677BFDE6">
      <w:pPr>
        <w:spacing w:line="360" w:lineRule="auto"/>
        <w:ind w:firstLine="420" w:firstLineChars="200"/>
        <w:jc w:val="left"/>
        <w:outlineLvl w:val="9"/>
        <w:rPr>
          <w:rFonts w:ascii="宋体" w:hAnsi="宋体"/>
          <w:color w:val="auto"/>
          <w:szCs w:val="21"/>
          <w:highlight w:val="none"/>
        </w:rPr>
      </w:pPr>
      <w:r>
        <w:rPr>
          <w:rFonts w:ascii="宋体" w:hAnsi="宋体" w:cs="宋体"/>
          <w:color w:val="auto"/>
          <w:kern w:val="0"/>
          <w:szCs w:val="21"/>
          <w:highlight w:val="none"/>
        </w:rPr>
        <w:t>合同承包人申请进度款应明确农民工工资金额，拨付进度款须优先保障农民工工资，再经农民工工资专户转至工人个人账户。</w:t>
      </w:r>
    </w:p>
    <w:p w14:paraId="6369617E">
      <w:pPr>
        <w:pageBreakBefore/>
        <w:spacing w:line="360" w:lineRule="auto"/>
        <w:ind w:left="-359" w:leftChars="-171" w:firstLine="360" w:firstLineChars="128"/>
        <w:jc w:val="left"/>
        <w:outlineLvl w:val="9"/>
        <w:rPr>
          <w:rFonts w:ascii="宋体" w:hAnsi="宋体"/>
          <w:b/>
          <w:color w:val="auto"/>
          <w:sz w:val="28"/>
          <w:szCs w:val="28"/>
          <w:highlight w:val="none"/>
        </w:rPr>
      </w:pPr>
      <w:r>
        <w:rPr>
          <w:rFonts w:ascii="宋体" w:hAnsi="宋体"/>
          <w:b/>
          <w:color w:val="auto"/>
          <w:sz w:val="28"/>
          <w:szCs w:val="28"/>
          <w:highlight w:val="none"/>
        </w:rPr>
        <w:t>附件</w:t>
      </w:r>
    </w:p>
    <w:p w14:paraId="6A91EE64">
      <w:pPr>
        <w:spacing w:line="360" w:lineRule="auto"/>
        <w:jc w:val="left"/>
        <w:outlineLvl w:val="9"/>
        <w:rPr>
          <w:rFonts w:ascii="宋体" w:hAnsi="宋体"/>
          <w:color w:val="auto"/>
          <w:szCs w:val="21"/>
          <w:highlight w:val="none"/>
        </w:rPr>
      </w:pPr>
      <w:r>
        <w:rPr>
          <w:rFonts w:ascii="宋体" w:hAnsi="宋体"/>
          <w:color w:val="auto"/>
          <w:szCs w:val="21"/>
          <w:highlight w:val="none"/>
        </w:rPr>
        <w:t>附件1：承包人承揽工程项目一览表</w:t>
      </w:r>
    </w:p>
    <w:p w14:paraId="6FCD562F">
      <w:pPr>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2</w:t>
      </w:r>
      <w:r>
        <w:rPr>
          <w:rFonts w:ascii="宋体" w:hAnsi="宋体"/>
          <w:color w:val="auto"/>
          <w:szCs w:val="21"/>
          <w:highlight w:val="none"/>
        </w:rPr>
        <w:t>：支付担保格式</w:t>
      </w:r>
    </w:p>
    <w:p w14:paraId="037A71CC">
      <w:pPr>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承包人主要施工管理人员表</w:t>
      </w:r>
    </w:p>
    <w:p w14:paraId="375CAA39">
      <w:pPr>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分包人主要施工管理人员表</w:t>
      </w:r>
    </w:p>
    <w:p w14:paraId="167E74BD">
      <w:pPr>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履约担保格式</w:t>
      </w:r>
    </w:p>
    <w:p w14:paraId="6FEF3A33">
      <w:pPr>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承包人用于本工程施工的机械设备表</w:t>
      </w:r>
    </w:p>
    <w:p w14:paraId="2CA3BB44">
      <w:pPr>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预付款担保格式</w:t>
      </w:r>
    </w:p>
    <w:p w14:paraId="29442FE3">
      <w:pPr>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工程质量保修书</w:t>
      </w:r>
    </w:p>
    <w:p w14:paraId="571C61DD">
      <w:pPr>
        <w:pStyle w:val="748"/>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9</w:t>
      </w:r>
      <w:r>
        <w:rPr>
          <w:rFonts w:ascii="宋体" w:hAnsi="宋体"/>
          <w:color w:val="auto"/>
          <w:szCs w:val="21"/>
          <w:highlight w:val="none"/>
        </w:rPr>
        <w:t>：</w:t>
      </w:r>
      <w:bookmarkStart w:id="1837" w:name="_Toc14904_WPSOffice_Level2"/>
      <w:r>
        <w:rPr>
          <w:rFonts w:hint="eastAsia" w:ascii="宋体" w:hAnsi="宋体"/>
          <w:color w:val="auto"/>
          <w:szCs w:val="21"/>
          <w:highlight w:val="none"/>
        </w:rPr>
        <w:t>廉政合同</w:t>
      </w:r>
      <w:bookmarkEnd w:id="1837"/>
    </w:p>
    <w:p w14:paraId="0BFE5426">
      <w:pPr>
        <w:pStyle w:val="748"/>
        <w:spacing w:line="360" w:lineRule="auto"/>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10</w:t>
      </w:r>
      <w:r>
        <w:rPr>
          <w:rFonts w:ascii="宋体" w:hAnsi="宋体"/>
          <w:color w:val="auto"/>
          <w:szCs w:val="21"/>
          <w:highlight w:val="none"/>
        </w:rPr>
        <w:t>：</w:t>
      </w:r>
      <w:bookmarkStart w:id="1838" w:name="_Toc23600_WPSOffice_Level2"/>
      <w:r>
        <w:rPr>
          <w:rFonts w:hint="eastAsia" w:ascii="宋体" w:hAnsi="宋体"/>
          <w:color w:val="auto"/>
          <w:szCs w:val="21"/>
          <w:highlight w:val="none"/>
        </w:rPr>
        <w:t>安全生产合同</w:t>
      </w:r>
      <w:bookmarkEnd w:id="1838"/>
    </w:p>
    <w:p w14:paraId="58C7BE49">
      <w:pPr>
        <w:pStyle w:val="37"/>
        <w:outlineLvl w:val="9"/>
        <w:rPr>
          <w:color w:val="auto"/>
          <w:highlight w:val="none"/>
        </w:rPr>
      </w:pPr>
    </w:p>
    <w:p w14:paraId="7AC4582D">
      <w:pPr>
        <w:spacing w:line="360" w:lineRule="auto"/>
        <w:jc w:val="left"/>
        <w:outlineLvl w:val="9"/>
        <w:rPr>
          <w:rFonts w:ascii="宋体" w:hAnsi="宋体"/>
          <w:color w:val="auto"/>
          <w:szCs w:val="21"/>
          <w:highlight w:val="none"/>
        </w:rPr>
      </w:pPr>
    </w:p>
    <w:p w14:paraId="55CB0002">
      <w:pPr>
        <w:spacing w:line="360" w:lineRule="auto"/>
        <w:jc w:val="left"/>
        <w:outlineLvl w:val="9"/>
        <w:rPr>
          <w:rFonts w:ascii="宋体" w:hAnsi="宋体"/>
          <w:color w:val="auto"/>
          <w:szCs w:val="21"/>
          <w:highlight w:val="none"/>
        </w:rPr>
      </w:pPr>
    </w:p>
    <w:p w14:paraId="5F316D7B">
      <w:pPr>
        <w:spacing w:line="360" w:lineRule="auto"/>
        <w:jc w:val="left"/>
        <w:outlineLvl w:val="9"/>
        <w:rPr>
          <w:rFonts w:ascii="宋体" w:hAnsi="宋体"/>
          <w:color w:val="auto"/>
          <w:szCs w:val="21"/>
          <w:highlight w:val="none"/>
        </w:rPr>
      </w:pPr>
    </w:p>
    <w:p w14:paraId="10B481D6">
      <w:pPr>
        <w:spacing w:line="360" w:lineRule="auto"/>
        <w:jc w:val="left"/>
        <w:outlineLvl w:val="9"/>
        <w:rPr>
          <w:rFonts w:ascii="宋体" w:hAnsi="宋体"/>
          <w:color w:val="auto"/>
          <w:szCs w:val="21"/>
          <w:highlight w:val="none"/>
        </w:rPr>
      </w:pPr>
    </w:p>
    <w:p w14:paraId="1467C4C0">
      <w:pPr>
        <w:spacing w:line="360" w:lineRule="auto"/>
        <w:jc w:val="left"/>
        <w:outlineLvl w:val="9"/>
        <w:rPr>
          <w:rFonts w:ascii="宋体" w:hAnsi="宋体"/>
          <w:color w:val="auto"/>
          <w:szCs w:val="21"/>
          <w:highlight w:val="none"/>
        </w:rPr>
      </w:pPr>
    </w:p>
    <w:p w14:paraId="5AA38B7D">
      <w:pPr>
        <w:spacing w:line="360" w:lineRule="auto"/>
        <w:jc w:val="left"/>
        <w:outlineLvl w:val="9"/>
        <w:rPr>
          <w:rFonts w:ascii="宋体" w:hAnsi="宋体"/>
          <w:color w:val="auto"/>
          <w:szCs w:val="21"/>
          <w:highlight w:val="none"/>
        </w:rPr>
      </w:pPr>
    </w:p>
    <w:p w14:paraId="025157E7">
      <w:pPr>
        <w:spacing w:line="360" w:lineRule="auto"/>
        <w:jc w:val="left"/>
        <w:outlineLvl w:val="9"/>
        <w:rPr>
          <w:rFonts w:ascii="宋体" w:hAnsi="宋体"/>
          <w:color w:val="auto"/>
          <w:szCs w:val="21"/>
          <w:highlight w:val="none"/>
        </w:rPr>
      </w:pPr>
    </w:p>
    <w:p w14:paraId="15077A7E">
      <w:pPr>
        <w:spacing w:line="360" w:lineRule="auto"/>
        <w:jc w:val="left"/>
        <w:outlineLvl w:val="9"/>
        <w:rPr>
          <w:rFonts w:ascii="宋体" w:hAnsi="宋体"/>
          <w:color w:val="auto"/>
          <w:szCs w:val="21"/>
          <w:highlight w:val="none"/>
        </w:rPr>
      </w:pPr>
    </w:p>
    <w:p w14:paraId="7FDF5FA8">
      <w:pPr>
        <w:spacing w:line="360" w:lineRule="auto"/>
        <w:jc w:val="left"/>
        <w:outlineLvl w:val="9"/>
        <w:rPr>
          <w:rFonts w:ascii="宋体" w:hAnsi="宋体"/>
          <w:color w:val="auto"/>
          <w:szCs w:val="21"/>
          <w:highlight w:val="none"/>
        </w:rPr>
      </w:pPr>
    </w:p>
    <w:p w14:paraId="79A1E40F">
      <w:pPr>
        <w:spacing w:line="360" w:lineRule="auto"/>
        <w:jc w:val="left"/>
        <w:outlineLvl w:val="9"/>
        <w:rPr>
          <w:rFonts w:ascii="宋体" w:hAnsi="宋体"/>
          <w:color w:val="auto"/>
          <w:szCs w:val="21"/>
          <w:highlight w:val="none"/>
        </w:rPr>
      </w:pPr>
    </w:p>
    <w:p w14:paraId="7E4FF467">
      <w:pPr>
        <w:spacing w:line="360" w:lineRule="auto"/>
        <w:jc w:val="left"/>
        <w:outlineLvl w:val="9"/>
        <w:rPr>
          <w:rFonts w:ascii="宋体" w:hAnsi="宋体"/>
          <w:color w:val="auto"/>
          <w:szCs w:val="21"/>
          <w:highlight w:val="none"/>
        </w:rPr>
      </w:pPr>
    </w:p>
    <w:p w14:paraId="6B7FDB59">
      <w:pPr>
        <w:spacing w:line="360" w:lineRule="auto"/>
        <w:jc w:val="left"/>
        <w:outlineLvl w:val="9"/>
        <w:rPr>
          <w:rFonts w:ascii="宋体" w:hAnsi="宋体"/>
          <w:color w:val="auto"/>
          <w:szCs w:val="21"/>
          <w:highlight w:val="none"/>
        </w:rPr>
      </w:pPr>
    </w:p>
    <w:p w14:paraId="1FAB8380">
      <w:pPr>
        <w:spacing w:line="360" w:lineRule="auto"/>
        <w:jc w:val="left"/>
        <w:outlineLvl w:val="9"/>
        <w:rPr>
          <w:rFonts w:ascii="宋体" w:hAnsi="宋体"/>
          <w:color w:val="auto"/>
          <w:szCs w:val="21"/>
          <w:highlight w:val="none"/>
        </w:rPr>
      </w:pPr>
    </w:p>
    <w:p w14:paraId="48D0A2F2">
      <w:pPr>
        <w:spacing w:line="360" w:lineRule="auto"/>
        <w:jc w:val="left"/>
        <w:outlineLvl w:val="9"/>
        <w:rPr>
          <w:rFonts w:ascii="宋体" w:hAnsi="宋体"/>
          <w:color w:val="auto"/>
          <w:szCs w:val="21"/>
          <w:highlight w:val="none"/>
        </w:rPr>
      </w:pPr>
    </w:p>
    <w:p w14:paraId="063AC53E">
      <w:pPr>
        <w:spacing w:line="360" w:lineRule="auto"/>
        <w:jc w:val="left"/>
        <w:outlineLvl w:val="9"/>
        <w:rPr>
          <w:rFonts w:ascii="宋体" w:hAnsi="宋体"/>
          <w:color w:val="auto"/>
          <w:szCs w:val="21"/>
          <w:highlight w:val="none"/>
        </w:rPr>
      </w:pPr>
    </w:p>
    <w:p w14:paraId="4CE56A2A">
      <w:pPr>
        <w:spacing w:line="360" w:lineRule="auto"/>
        <w:jc w:val="left"/>
        <w:outlineLvl w:val="9"/>
        <w:rPr>
          <w:rFonts w:ascii="宋体" w:hAnsi="宋体"/>
          <w:color w:val="auto"/>
          <w:szCs w:val="21"/>
          <w:highlight w:val="none"/>
        </w:rPr>
      </w:pPr>
    </w:p>
    <w:p w14:paraId="54DF4114">
      <w:pPr>
        <w:spacing w:line="360" w:lineRule="auto"/>
        <w:jc w:val="left"/>
        <w:outlineLvl w:val="9"/>
        <w:rPr>
          <w:rFonts w:ascii="宋体" w:hAnsi="宋体"/>
          <w:color w:val="auto"/>
          <w:szCs w:val="21"/>
          <w:highlight w:val="none"/>
        </w:rPr>
      </w:pPr>
    </w:p>
    <w:p w14:paraId="29090A93">
      <w:pPr>
        <w:spacing w:line="360" w:lineRule="auto"/>
        <w:jc w:val="left"/>
        <w:outlineLvl w:val="9"/>
        <w:rPr>
          <w:rFonts w:ascii="宋体" w:hAnsi="宋体"/>
          <w:color w:val="auto"/>
          <w:szCs w:val="21"/>
          <w:highlight w:val="none"/>
        </w:rPr>
      </w:pPr>
    </w:p>
    <w:p w14:paraId="200AFE25">
      <w:pPr>
        <w:spacing w:line="360" w:lineRule="auto"/>
        <w:jc w:val="left"/>
        <w:outlineLvl w:val="9"/>
        <w:rPr>
          <w:rFonts w:ascii="宋体" w:hAnsi="宋体"/>
          <w:color w:val="auto"/>
          <w:szCs w:val="21"/>
          <w:highlight w:val="none"/>
        </w:rPr>
      </w:pPr>
    </w:p>
    <w:p w14:paraId="0D29E906">
      <w:pPr>
        <w:spacing w:line="360" w:lineRule="auto"/>
        <w:jc w:val="left"/>
        <w:outlineLvl w:val="9"/>
        <w:rPr>
          <w:rFonts w:ascii="宋体" w:hAnsi="宋体"/>
          <w:color w:val="auto"/>
          <w:szCs w:val="21"/>
          <w:highlight w:val="none"/>
        </w:rPr>
      </w:pPr>
    </w:p>
    <w:p w14:paraId="7AF8F364">
      <w:pPr>
        <w:spacing w:line="360" w:lineRule="auto"/>
        <w:jc w:val="left"/>
        <w:outlineLvl w:val="9"/>
        <w:rPr>
          <w:rFonts w:ascii="宋体" w:hAnsi="宋体"/>
          <w:color w:val="auto"/>
          <w:szCs w:val="21"/>
          <w:highlight w:val="none"/>
        </w:rPr>
      </w:pPr>
    </w:p>
    <w:p w14:paraId="6CE63141">
      <w:pPr>
        <w:spacing w:line="360" w:lineRule="auto"/>
        <w:jc w:val="left"/>
        <w:outlineLvl w:val="9"/>
        <w:rPr>
          <w:rFonts w:ascii="宋体" w:hAnsi="宋体"/>
          <w:color w:val="auto"/>
          <w:szCs w:val="21"/>
          <w:highlight w:val="none"/>
        </w:rPr>
      </w:pPr>
    </w:p>
    <w:p w14:paraId="52280AC2">
      <w:pPr>
        <w:spacing w:line="360" w:lineRule="auto"/>
        <w:jc w:val="left"/>
        <w:outlineLvl w:val="9"/>
        <w:rPr>
          <w:rFonts w:ascii="宋体" w:hAnsi="宋体"/>
          <w:color w:val="auto"/>
          <w:szCs w:val="21"/>
          <w:highlight w:val="none"/>
        </w:rPr>
      </w:pPr>
    </w:p>
    <w:p w14:paraId="51F8237B">
      <w:pPr>
        <w:spacing w:before="120" w:beforeLines="50" w:after="120" w:afterLines="50" w:line="440" w:lineRule="exact"/>
        <w:jc w:val="left"/>
        <w:outlineLvl w:val="9"/>
        <w:rPr>
          <w:rFonts w:ascii="仿宋_GB2312" w:eastAsia="仿宋_GB2312" w:cs="仿宋_GB2312"/>
          <w:color w:val="auto"/>
          <w:sz w:val="30"/>
          <w:szCs w:val="30"/>
          <w:highlight w:val="none"/>
        </w:rPr>
        <w:sectPr>
          <w:headerReference r:id="rId6" w:type="default"/>
          <w:type w:val="nextColumn"/>
          <w:pgSz w:w="11906" w:h="16838"/>
          <w:pgMar w:top="1134" w:right="1134" w:bottom="1134" w:left="1134" w:header="851" w:footer="851" w:gutter="0"/>
          <w:pgNumType w:fmt="decimal"/>
          <w:cols w:space="720" w:num="1"/>
          <w:docGrid w:linePitch="312" w:charSpace="0"/>
        </w:sectPr>
      </w:pPr>
    </w:p>
    <w:p w14:paraId="0245B6B8">
      <w:pPr>
        <w:spacing w:before="120" w:beforeLines="50" w:after="120" w:afterLines="50" w:line="440" w:lineRule="exact"/>
        <w:jc w:val="left"/>
        <w:outlineLvl w:val="9"/>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4D885CFF">
      <w:pPr>
        <w:spacing w:before="120" w:beforeLines="50" w:after="120" w:afterLines="50" w:line="440" w:lineRule="exact"/>
        <w:jc w:val="center"/>
        <w:outlineLvl w:val="9"/>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8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5410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vAlign w:val="center"/>
          </w:tcPr>
          <w:p w14:paraId="130EBBAB">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单位工程名称</w:t>
            </w:r>
          </w:p>
        </w:tc>
        <w:tc>
          <w:tcPr>
            <w:tcW w:w="1440" w:type="dxa"/>
            <w:vAlign w:val="center"/>
          </w:tcPr>
          <w:p w14:paraId="49A05549">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建设规模</w:t>
            </w:r>
          </w:p>
        </w:tc>
        <w:tc>
          <w:tcPr>
            <w:tcW w:w="1620" w:type="dxa"/>
            <w:vAlign w:val="center"/>
          </w:tcPr>
          <w:p w14:paraId="5A02664B">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建筑面积</w:t>
            </w:r>
            <w:r>
              <w:rPr>
                <w:rFonts w:ascii="Calibri" w:hAnsi="Calibri" w:eastAsia="仿宋_GB2312"/>
                <w:color w:val="auto"/>
                <w:sz w:val="28"/>
                <w:szCs w:val="28"/>
                <w:highlight w:val="none"/>
              </w:rPr>
              <w:t>(</w:t>
            </w:r>
            <w:r>
              <w:rPr>
                <w:rFonts w:hint="eastAsia" w:ascii="Calibri" w:hAnsi="Calibri" w:eastAsia="仿宋_GB2312" w:cs="仿宋_GB2312"/>
                <w:color w:val="auto"/>
                <w:sz w:val="28"/>
                <w:szCs w:val="28"/>
                <w:highlight w:val="none"/>
              </w:rPr>
              <w:t>平方米</w:t>
            </w:r>
            <w:r>
              <w:rPr>
                <w:rFonts w:ascii="Calibri" w:hAnsi="Calibri" w:eastAsia="仿宋_GB2312"/>
                <w:color w:val="auto"/>
                <w:sz w:val="28"/>
                <w:szCs w:val="28"/>
                <w:highlight w:val="none"/>
              </w:rPr>
              <w:t>)</w:t>
            </w:r>
          </w:p>
        </w:tc>
        <w:tc>
          <w:tcPr>
            <w:tcW w:w="1661" w:type="dxa"/>
            <w:vAlign w:val="center"/>
          </w:tcPr>
          <w:p w14:paraId="5207C5EC">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结构形式</w:t>
            </w:r>
          </w:p>
        </w:tc>
        <w:tc>
          <w:tcPr>
            <w:tcW w:w="850" w:type="dxa"/>
            <w:vAlign w:val="center"/>
          </w:tcPr>
          <w:p w14:paraId="79441AA2">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层数</w:t>
            </w:r>
          </w:p>
        </w:tc>
        <w:tc>
          <w:tcPr>
            <w:tcW w:w="1560" w:type="dxa"/>
            <w:vAlign w:val="center"/>
          </w:tcPr>
          <w:p w14:paraId="6DFD604E">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生产能力</w:t>
            </w:r>
          </w:p>
        </w:tc>
        <w:tc>
          <w:tcPr>
            <w:tcW w:w="2126" w:type="dxa"/>
            <w:vAlign w:val="center"/>
          </w:tcPr>
          <w:p w14:paraId="121F25BB">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设备安装内容</w:t>
            </w:r>
          </w:p>
        </w:tc>
        <w:tc>
          <w:tcPr>
            <w:tcW w:w="1417" w:type="dxa"/>
            <w:vAlign w:val="center"/>
          </w:tcPr>
          <w:p w14:paraId="6BF5695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合同价格（元）</w:t>
            </w:r>
          </w:p>
        </w:tc>
        <w:tc>
          <w:tcPr>
            <w:tcW w:w="851" w:type="dxa"/>
            <w:vAlign w:val="center"/>
          </w:tcPr>
          <w:p w14:paraId="48CE4F4B">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开工日期</w:t>
            </w:r>
          </w:p>
        </w:tc>
        <w:tc>
          <w:tcPr>
            <w:tcW w:w="850" w:type="dxa"/>
            <w:vAlign w:val="center"/>
          </w:tcPr>
          <w:p w14:paraId="3DB6D56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竣工日期</w:t>
            </w:r>
          </w:p>
        </w:tc>
      </w:tr>
      <w:tr w14:paraId="6765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3C39D25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513E2A0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66E6AA8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0C253D3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CA27AE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1EC82A0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12EB305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72A01EC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5A29045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484096F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1CC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3FAE7B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3B4222A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3C55830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6586064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5730714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7F713ED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1AB61B8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2F7A221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2805E5F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1F94C0D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54AE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C726BB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2DEC94C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7778ECC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426D8C4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18AB5DA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7707AAA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61DBB44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09DAA0C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3C48AC4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5953A4A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9AA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2B91F8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64BB883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6A93EC8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4D889E5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2D5EE3D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7DDB72A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158F008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26F5D0D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084F877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C7E229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02E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3B98A40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3562E5C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3E9B3AF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2EA5E20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5B6C89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1986AA6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59AC958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203E99A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23DBBC4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555B8D7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5ED1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492BC2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0C0BF15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17046B7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1EF46B9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46EAA1E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5713AAC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4CE69FC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2A7F04A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143AD05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65044CB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ECD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E3DB6B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7CAF34A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3F13CCC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6378E5D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5CB9935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1B2731B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017EF35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0602EBE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00FD438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5DB0840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908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4712BB8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3027535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3D4157D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642DC60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48B96BD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66373EC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2E1A829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0374555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60BD1EF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1815188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2A9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4373B1A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4771106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56AE3F8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36DEA17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E3395E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32E492A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060759A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647CC99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25AE80B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61A9382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DC2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CD8C7E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21D89DF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67BA6FE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7C0DE83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BC02AD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667BD36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7D9CD63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77B443B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496FA01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CDC2B3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bl>
    <w:p w14:paraId="00604C77">
      <w:pPr>
        <w:spacing w:line="460" w:lineRule="exact"/>
        <w:ind w:firstLine="420" w:firstLineChars="200"/>
        <w:outlineLvl w:val="9"/>
        <w:rPr>
          <w:color w:val="auto"/>
          <w:szCs w:val="21"/>
          <w:highlight w:val="none"/>
        </w:rPr>
      </w:pPr>
    </w:p>
    <w:p w14:paraId="03E36F97">
      <w:pPr>
        <w:spacing w:line="440" w:lineRule="exact"/>
        <w:outlineLvl w:val="9"/>
        <w:rPr>
          <w:rFonts w:eastAsia="仿宋_GB2312" w:cs="仿宋_GB2312"/>
          <w:color w:val="auto"/>
          <w:sz w:val="30"/>
          <w:szCs w:val="30"/>
          <w:highlight w:val="none"/>
        </w:rPr>
      </w:pPr>
    </w:p>
    <w:p w14:paraId="1AD6EB98">
      <w:pPr>
        <w:spacing w:line="440" w:lineRule="exact"/>
        <w:outlineLvl w:val="9"/>
        <w:rPr>
          <w:rFonts w:eastAsia="仿宋_GB2312" w:cs="仿宋_GB2312"/>
          <w:color w:val="auto"/>
          <w:sz w:val="30"/>
          <w:szCs w:val="30"/>
          <w:highlight w:val="none"/>
        </w:rPr>
      </w:pPr>
    </w:p>
    <w:p w14:paraId="1A7AB879">
      <w:pPr>
        <w:spacing w:line="440" w:lineRule="exact"/>
        <w:outlineLvl w:val="9"/>
        <w:rPr>
          <w:rFonts w:eastAsia="仿宋_GB2312" w:cs="仿宋_GB2312"/>
          <w:color w:val="auto"/>
          <w:sz w:val="30"/>
          <w:szCs w:val="30"/>
          <w:highlight w:val="none"/>
        </w:rPr>
      </w:pPr>
    </w:p>
    <w:p w14:paraId="3919EC8B">
      <w:pPr>
        <w:spacing w:line="440" w:lineRule="exact"/>
        <w:outlineLvl w:val="9"/>
        <w:rPr>
          <w:rFonts w:eastAsia="仿宋_GB2312" w:cs="仿宋_GB2312"/>
          <w:color w:val="auto"/>
          <w:sz w:val="30"/>
          <w:szCs w:val="30"/>
          <w:highlight w:val="none"/>
        </w:rPr>
        <w:sectPr>
          <w:pgSz w:w="16838" w:h="11906" w:orient="landscape"/>
          <w:pgMar w:top="1134" w:right="1134" w:bottom="1134" w:left="1134" w:header="851" w:footer="851" w:gutter="0"/>
          <w:pgNumType w:fmt="decimal"/>
          <w:cols w:space="720" w:num="1"/>
          <w:docGrid w:linePitch="312" w:charSpace="0"/>
        </w:sectPr>
      </w:pPr>
    </w:p>
    <w:p w14:paraId="23848B0C">
      <w:pPr>
        <w:pStyle w:val="37"/>
        <w:outlineLvl w:val="9"/>
        <w:rPr>
          <w:color w:val="auto"/>
          <w:highlight w:val="none"/>
        </w:rPr>
      </w:pPr>
    </w:p>
    <w:p w14:paraId="20E1B473">
      <w:pPr>
        <w:spacing w:line="440" w:lineRule="exact"/>
        <w:outlineLvl w:val="9"/>
        <w:rPr>
          <w:rFonts w:eastAsia="仿宋_GB2312" w:cs="仿宋_GB2312"/>
          <w:color w:val="auto"/>
          <w:sz w:val="30"/>
          <w:szCs w:val="30"/>
          <w:highlight w:val="none"/>
        </w:rPr>
      </w:pPr>
    </w:p>
    <w:p w14:paraId="5255D441">
      <w:pPr>
        <w:spacing w:line="440" w:lineRule="exact"/>
        <w:outlineLvl w:val="9"/>
        <w:rPr>
          <w:rFonts w:eastAsia="黑体"/>
          <w:color w:val="auto"/>
          <w:sz w:val="30"/>
          <w:szCs w:val="30"/>
          <w:highlight w:val="none"/>
        </w:rPr>
      </w:pPr>
      <w:r>
        <w:rPr>
          <w:rFonts w:hint="eastAsia" w:eastAsia="仿宋_GB2312" w:cs="仿宋_GB2312"/>
          <w:color w:val="auto"/>
          <w:sz w:val="30"/>
          <w:szCs w:val="30"/>
          <w:highlight w:val="none"/>
        </w:rPr>
        <w:t>附</w:t>
      </w:r>
      <w:bookmarkStart w:id="1839" w:name="_Toc296891273"/>
      <w:bookmarkStart w:id="1840" w:name="_Toc296346734"/>
      <w:bookmarkStart w:id="1841" w:name="_Toc296347232"/>
      <w:bookmarkStart w:id="1842" w:name="_Toc296891061"/>
      <w:bookmarkStart w:id="1843" w:name="_Toc296503233"/>
      <w:bookmarkStart w:id="1844" w:name="_Toc296944572"/>
      <w:r>
        <w:rPr>
          <w:rFonts w:hint="eastAsia" w:eastAsia="仿宋_GB2312" w:cs="仿宋_GB2312"/>
          <w:color w:val="auto"/>
          <w:sz w:val="30"/>
          <w:szCs w:val="30"/>
          <w:highlight w:val="none"/>
        </w:rPr>
        <w:t>件</w:t>
      </w:r>
      <w:r>
        <w:rPr>
          <w:rFonts w:eastAsia="仿宋_GB2312"/>
          <w:color w:val="auto"/>
          <w:sz w:val="30"/>
          <w:szCs w:val="30"/>
          <w:highlight w:val="none"/>
        </w:rPr>
        <w:t>2</w:t>
      </w:r>
      <w:r>
        <w:rPr>
          <w:rFonts w:hint="eastAsia" w:eastAsia="仿宋_GB2312" w:cs="仿宋_GB2312"/>
          <w:color w:val="auto"/>
          <w:sz w:val="30"/>
          <w:szCs w:val="30"/>
          <w:highlight w:val="none"/>
        </w:rPr>
        <w:t>：</w:t>
      </w:r>
    </w:p>
    <w:bookmarkEnd w:id="1839"/>
    <w:bookmarkEnd w:id="1840"/>
    <w:bookmarkEnd w:id="1841"/>
    <w:bookmarkEnd w:id="1842"/>
    <w:bookmarkEnd w:id="1843"/>
    <w:bookmarkEnd w:id="1844"/>
    <w:p w14:paraId="704264F5">
      <w:pPr>
        <w:spacing w:before="120" w:beforeLines="50" w:after="120" w:afterLines="50" w:line="440" w:lineRule="exact"/>
        <w:jc w:val="center"/>
        <w:outlineLvl w:val="9"/>
        <w:rPr>
          <w:rFonts w:eastAsia="黑体"/>
          <w:color w:val="auto"/>
          <w:sz w:val="30"/>
          <w:szCs w:val="30"/>
          <w:highlight w:val="none"/>
        </w:rPr>
      </w:pPr>
      <w:r>
        <w:rPr>
          <w:rFonts w:hint="eastAsia" w:eastAsia="黑体" w:cs="黑体"/>
          <w:color w:val="auto"/>
          <w:sz w:val="30"/>
          <w:szCs w:val="30"/>
          <w:highlight w:val="none"/>
        </w:rPr>
        <w:t>支付担保</w:t>
      </w:r>
    </w:p>
    <w:p w14:paraId="069EFA83">
      <w:pPr>
        <w:spacing w:line="360" w:lineRule="auto"/>
        <w:jc w:val="left"/>
        <w:outlineLvl w:val="9"/>
        <w:rPr>
          <w:color w:val="auto"/>
          <w:szCs w:val="21"/>
          <w:highlight w:val="none"/>
        </w:rPr>
      </w:pPr>
      <w:r>
        <w:rPr>
          <w:color w:val="auto"/>
          <w:szCs w:val="21"/>
          <w:highlight w:val="none"/>
          <w:u w:val="single"/>
        </w:rPr>
        <w:t xml:space="preserve">                     </w:t>
      </w:r>
      <w:r>
        <w:rPr>
          <w:rFonts w:hint="eastAsia" w:hAnsi="宋体" w:cs="宋体"/>
          <w:color w:val="auto"/>
          <w:szCs w:val="21"/>
          <w:highlight w:val="none"/>
        </w:rPr>
        <w:t>（承包人）：</w:t>
      </w:r>
    </w:p>
    <w:p w14:paraId="062F880E">
      <w:pPr>
        <w:spacing w:line="360" w:lineRule="auto"/>
        <w:jc w:val="left"/>
        <w:outlineLvl w:val="9"/>
        <w:rPr>
          <w:color w:val="auto"/>
          <w:szCs w:val="21"/>
          <w:highlight w:val="none"/>
        </w:rPr>
      </w:pPr>
    </w:p>
    <w:p w14:paraId="6CB4DBFC">
      <w:pPr>
        <w:spacing w:line="360" w:lineRule="auto"/>
        <w:ind w:firstLine="420" w:firstLineChars="200"/>
        <w:jc w:val="left"/>
        <w:outlineLvl w:val="9"/>
        <w:rPr>
          <w:rFonts w:hAnsi="宋体"/>
          <w:color w:val="auto"/>
          <w:szCs w:val="21"/>
          <w:highlight w:val="none"/>
        </w:rPr>
      </w:pPr>
      <w:r>
        <w:rPr>
          <w:rFonts w:hint="eastAsia" w:hAnsi="宋体" w:cs="宋体"/>
          <w:color w:val="auto"/>
          <w:szCs w:val="21"/>
          <w:highlight w:val="none"/>
        </w:rPr>
        <w:t>鉴于你方作为承包人已经与</w:t>
      </w:r>
      <w:r>
        <w:rPr>
          <w:color w:val="auto"/>
          <w:szCs w:val="21"/>
          <w:highlight w:val="none"/>
          <w:u w:val="single"/>
        </w:rPr>
        <w:t xml:space="preserve">           </w:t>
      </w:r>
      <w:r>
        <w:rPr>
          <w:rFonts w:hint="eastAsia" w:hAnsi="宋体" w:cs="宋体"/>
          <w:color w:val="auto"/>
          <w:szCs w:val="21"/>
          <w:highlight w:val="none"/>
        </w:rPr>
        <w:t>（发包人名称）（以下称</w:t>
      </w:r>
      <w:r>
        <w:rPr>
          <w:color w:val="auto"/>
          <w:szCs w:val="21"/>
          <w:highlight w:val="none"/>
        </w:rPr>
        <w:t>“</w:t>
      </w:r>
      <w:r>
        <w:rPr>
          <w:rFonts w:hint="eastAsia" w:hAnsi="宋体" w:cs="宋体"/>
          <w:color w:val="auto"/>
          <w:szCs w:val="21"/>
          <w:highlight w:val="none"/>
        </w:rPr>
        <w:t>发包人</w:t>
      </w:r>
      <w:r>
        <w:rPr>
          <w:color w:val="auto"/>
          <w:szCs w:val="21"/>
          <w:highlight w:val="none"/>
        </w:rPr>
        <w:t>”</w:t>
      </w:r>
      <w:r>
        <w:rPr>
          <w:rFonts w:hint="eastAsia" w:hAnsi="宋体" w:cs="宋体"/>
          <w:color w:val="auto"/>
          <w:szCs w:val="21"/>
          <w:highlight w:val="none"/>
        </w:rPr>
        <w:t>）于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日签订了</w:t>
      </w:r>
      <w:r>
        <w:rPr>
          <w:color w:val="auto"/>
          <w:szCs w:val="21"/>
          <w:highlight w:val="none"/>
          <w:u w:val="single"/>
        </w:rPr>
        <w:t xml:space="preserve">                          </w:t>
      </w:r>
      <w:r>
        <w:rPr>
          <w:rFonts w:hint="eastAsia" w:hAnsi="宋体" w:cs="宋体"/>
          <w:color w:val="auto"/>
          <w:szCs w:val="21"/>
          <w:highlight w:val="none"/>
        </w:rPr>
        <w:t>（工程名称）《建设工程施工合同》（以下称</w:t>
      </w:r>
      <w:r>
        <w:rPr>
          <w:color w:val="auto"/>
          <w:szCs w:val="21"/>
          <w:highlight w:val="none"/>
        </w:rPr>
        <w:t>“</w:t>
      </w:r>
      <w:r>
        <w:rPr>
          <w:rFonts w:hint="eastAsia" w:hAnsi="宋体" w:cs="宋体"/>
          <w:color w:val="auto"/>
          <w:szCs w:val="21"/>
          <w:highlight w:val="none"/>
        </w:rPr>
        <w:t>主合同</w:t>
      </w:r>
      <w:r>
        <w:rPr>
          <w:color w:val="auto"/>
          <w:szCs w:val="21"/>
          <w:highlight w:val="none"/>
        </w:rPr>
        <w:t>”</w:t>
      </w:r>
      <w:r>
        <w:rPr>
          <w:rFonts w:hint="eastAsia" w:hAnsi="宋体" w:cs="宋体"/>
          <w:color w:val="auto"/>
          <w:szCs w:val="21"/>
          <w:highlight w:val="none"/>
        </w:rPr>
        <w:t>），应发包人的申请，我方愿就发包人履行主合同约定的工程款支付义务以保证的方式向你方提供如下担保：</w:t>
      </w:r>
    </w:p>
    <w:p w14:paraId="2248DD85">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一、保证的范围及保证金额</w:t>
      </w:r>
    </w:p>
    <w:p w14:paraId="047C1DFB">
      <w:pPr>
        <w:spacing w:line="360" w:lineRule="auto"/>
        <w:ind w:firstLine="420" w:firstLineChars="200"/>
        <w:jc w:val="left"/>
        <w:outlineLvl w:val="9"/>
        <w:rPr>
          <w:color w:val="auto"/>
          <w:szCs w:val="21"/>
          <w:highlight w:val="none"/>
        </w:rPr>
      </w:pPr>
      <w:r>
        <w:rPr>
          <w:color w:val="auto"/>
          <w:szCs w:val="21"/>
          <w:highlight w:val="none"/>
        </w:rPr>
        <w:t xml:space="preserve">1. </w:t>
      </w:r>
      <w:r>
        <w:rPr>
          <w:rFonts w:hint="eastAsia" w:hAnsi="宋体" w:cs="宋体"/>
          <w:color w:val="auto"/>
          <w:szCs w:val="21"/>
          <w:highlight w:val="none"/>
        </w:rPr>
        <w:t>我方的保证范围是主合同约定的工程款。</w:t>
      </w:r>
    </w:p>
    <w:p w14:paraId="6C55B215">
      <w:pPr>
        <w:spacing w:line="360" w:lineRule="auto"/>
        <w:ind w:firstLine="420" w:firstLineChars="200"/>
        <w:jc w:val="left"/>
        <w:outlineLvl w:val="9"/>
        <w:rPr>
          <w:color w:val="auto"/>
          <w:szCs w:val="21"/>
          <w:highlight w:val="none"/>
        </w:rPr>
      </w:pPr>
      <w:r>
        <w:rPr>
          <w:color w:val="auto"/>
          <w:szCs w:val="21"/>
          <w:highlight w:val="none"/>
        </w:rPr>
        <w:t xml:space="preserve">2. </w:t>
      </w:r>
      <w:r>
        <w:rPr>
          <w:rFonts w:hint="eastAsia" w:hAnsi="宋体" w:cs="宋体"/>
          <w:color w:val="auto"/>
          <w:szCs w:val="21"/>
          <w:highlight w:val="none"/>
        </w:rPr>
        <w:t>本保函所称主合同约定的工程款是指主合同约定的除工程质量保证金以外的合同价款。</w:t>
      </w:r>
    </w:p>
    <w:p w14:paraId="4F3519B1">
      <w:pPr>
        <w:spacing w:line="360" w:lineRule="auto"/>
        <w:ind w:firstLine="420" w:firstLineChars="200"/>
        <w:jc w:val="left"/>
        <w:outlineLvl w:val="9"/>
        <w:rPr>
          <w:color w:val="auto"/>
          <w:szCs w:val="21"/>
          <w:highlight w:val="none"/>
        </w:rPr>
      </w:pPr>
      <w:r>
        <w:rPr>
          <w:color w:val="auto"/>
          <w:szCs w:val="21"/>
          <w:highlight w:val="none"/>
        </w:rPr>
        <w:t xml:space="preserve">3. </w:t>
      </w:r>
      <w:r>
        <w:rPr>
          <w:rFonts w:hint="eastAsia" w:hAnsi="宋体" w:cs="宋体"/>
          <w:color w:val="auto"/>
          <w:szCs w:val="21"/>
          <w:highlight w:val="none"/>
        </w:rPr>
        <w:t>我方保证的金额是主合同约定的工程款的</w:t>
      </w:r>
      <w:r>
        <w:rPr>
          <w:color w:val="auto"/>
          <w:szCs w:val="21"/>
          <w:highlight w:val="none"/>
          <w:u w:val="single"/>
        </w:rPr>
        <w:t xml:space="preserve">      </w:t>
      </w:r>
      <w:r>
        <w:rPr>
          <w:color w:val="auto"/>
          <w:szCs w:val="21"/>
          <w:highlight w:val="none"/>
        </w:rPr>
        <w:t>%</w:t>
      </w:r>
      <w:r>
        <w:rPr>
          <w:rFonts w:hint="eastAsia" w:hAnsi="宋体" w:cs="宋体"/>
          <w:color w:val="auto"/>
          <w:szCs w:val="21"/>
          <w:highlight w:val="none"/>
        </w:rPr>
        <w:t>，数额最高不超过人民币元（大写：</w:t>
      </w:r>
      <w:r>
        <w:rPr>
          <w:color w:val="auto"/>
          <w:szCs w:val="21"/>
          <w:highlight w:val="none"/>
          <w:u w:val="single"/>
        </w:rPr>
        <w:t xml:space="preserve">        </w:t>
      </w:r>
      <w:r>
        <w:rPr>
          <w:rFonts w:hint="eastAsia" w:hAnsi="宋体" w:cs="宋体"/>
          <w:color w:val="auto"/>
          <w:szCs w:val="21"/>
          <w:highlight w:val="none"/>
        </w:rPr>
        <w:t>）。</w:t>
      </w:r>
    </w:p>
    <w:p w14:paraId="13049A5F">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二、保证的方式及保证期间</w:t>
      </w:r>
    </w:p>
    <w:p w14:paraId="2361895C">
      <w:pPr>
        <w:spacing w:line="360" w:lineRule="auto"/>
        <w:ind w:firstLine="420" w:firstLineChars="200"/>
        <w:jc w:val="left"/>
        <w:outlineLvl w:val="9"/>
        <w:rPr>
          <w:color w:val="auto"/>
          <w:szCs w:val="21"/>
          <w:highlight w:val="none"/>
        </w:rPr>
      </w:pPr>
      <w:r>
        <w:rPr>
          <w:color w:val="auto"/>
          <w:szCs w:val="21"/>
          <w:highlight w:val="none"/>
        </w:rPr>
        <w:t xml:space="preserve">1. </w:t>
      </w:r>
      <w:r>
        <w:rPr>
          <w:rFonts w:hint="eastAsia" w:hAnsi="宋体" w:cs="宋体"/>
          <w:color w:val="auto"/>
          <w:szCs w:val="21"/>
          <w:highlight w:val="none"/>
        </w:rPr>
        <w:t>我方保证的方式为：连带责任保证。</w:t>
      </w:r>
    </w:p>
    <w:p w14:paraId="45D681B0">
      <w:pPr>
        <w:spacing w:line="360" w:lineRule="auto"/>
        <w:ind w:firstLine="420" w:firstLineChars="200"/>
        <w:jc w:val="left"/>
        <w:outlineLvl w:val="9"/>
        <w:rPr>
          <w:color w:val="auto"/>
          <w:szCs w:val="21"/>
          <w:highlight w:val="none"/>
        </w:rPr>
      </w:pPr>
      <w:r>
        <w:rPr>
          <w:color w:val="auto"/>
          <w:szCs w:val="21"/>
          <w:highlight w:val="none"/>
        </w:rPr>
        <w:t xml:space="preserve">2. </w:t>
      </w:r>
      <w:r>
        <w:rPr>
          <w:rFonts w:hint="eastAsia" w:hAnsi="宋体" w:cs="宋体"/>
          <w:color w:val="auto"/>
          <w:szCs w:val="21"/>
          <w:highlight w:val="none"/>
        </w:rPr>
        <w:t>我方保证的期间为：自本合同生效之日起至主合同约定的工程款支付完毕之日后</w:t>
      </w:r>
      <w:r>
        <w:rPr>
          <w:color w:val="auto"/>
          <w:szCs w:val="21"/>
          <w:highlight w:val="none"/>
          <w:u w:val="single"/>
        </w:rPr>
        <w:t xml:space="preserve">    </w:t>
      </w:r>
      <w:r>
        <w:rPr>
          <w:rFonts w:hint="eastAsia" w:hAnsi="宋体" w:cs="宋体"/>
          <w:color w:val="auto"/>
          <w:szCs w:val="21"/>
          <w:highlight w:val="none"/>
        </w:rPr>
        <w:t>日内。</w:t>
      </w:r>
    </w:p>
    <w:p w14:paraId="6220454C">
      <w:pPr>
        <w:spacing w:line="360" w:lineRule="auto"/>
        <w:ind w:firstLine="420" w:firstLineChars="200"/>
        <w:jc w:val="left"/>
        <w:outlineLvl w:val="9"/>
        <w:rPr>
          <w:color w:val="auto"/>
          <w:szCs w:val="21"/>
          <w:highlight w:val="none"/>
        </w:rPr>
      </w:pPr>
      <w:r>
        <w:rPr>
          <w:color w:val="auto"/>
          <w:szCs w:val="21"/>
          <w:highlight w:val="none"/>
        </w:rPr>
        <w:t xml:space="preserve">3. </w:t>
      </w:r>
      <w:r>
        <w:rPr>
          <w:rFonts w:hint="eastAsia" w:hAnsi="宋体" w:cs="宋体"/>
          <w:color w:val="auto"/>
          <w:szCs w:val="21"/>
          <w:highlight w:val="none"/>
        </w:rPr>
        <w:t>你方与发包人协议变更工程款支付日期的，经我方书面同意后，保证期间按照变更后的支付日期做相应调整。</w:t>
      </w:r>
    </w:p>
    <w:p w14:paraId="5757A5A9">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三、承担保证责任的形式</w:t>
      </w:r>
    </w:p>
    <w:p w14:paraId="2ECC9635">
      <w:pPr>
        <w:spacing w:line="360" w:lineRule="auto"/>
        <w:ind w:firstLine="420" w:firstLineChars="200"/>
        <w:jc w:val="left"/>
        <w:outlineLvl w:val="9"/>
        <w:rPr>
          <w:color w:val="auto"/>
          <w:szCs w:val="21"/>
          <w:highlight w:val="none"/>
        </w:rPr>
      </w:pPr>
      <w:r>
        <w:rPr>
          <w:rFonts w:hint="eastAsia" w:hAnsi="宋体" w:cs="宋体"/>
          <w:color w:val="auto"/>
          <w:szCs w:val="21"/>
          <w:highlight w:val="none"/>
        </w:rPr>
        <w:t>我方承担保证责任的形式是代为支付。发包人未按主合同约定向你方支付工程款的，由我方在保证金额内代为支付。</w:t>
      </w:r>
    </w:p>
    <w:p w14:paraId="3EF044D1">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四、代偿的安排</w:t>
      </w:r>
    </w:p>
    <w:p w14:paraId="79BC3725">
      <w:pPr>
        <w:spacing w:line="360" w:lineRule="auto"/>
        <w:ind w:firstLine="420" w:firstLineChars="200"/>
        <w:jc w:val="left"/>
        <w:outlineLvl w:val="9"/>
        <w:rPr>
          <w:color w:val="auto"/>
          <w:szCs w:val="21"/>
          <w:highlight w:val="none"/>
        </w:rPr>
      </w:pPr>
      <w:r>
        <w:rPr>
          <w:color w:val="auto"/>
          <w:szCs w:val="21"/>
          <w:highlight w:val="none"/>
        </w:rPr>
        <w:t xml:space="preserve">1. </w:t>
      </w:r>
      <w:r>
        <w:rPr>
          <w:rFonts w:hint="eastAsia" w:hAnsi="宋体" w:cs="宋体"/>
          <w:color w:val="auto"/>
          <w:szCs w:val="21"/>
          <w:highlight w:val="none"/>
        </w:rPr>
        <w:t>你方要求我方承担保证责任的，应向我方发出书面索赔通知及发包人未支付主合同约定工程款的证明材料。索赔通知应写明要求索赔的金额，支付款项应到达的账号。</w:t>
      </w:r>
    </w:p>
    <w:p w14:paraId="6283587B">
      <w:pPr>
        <w:spacing w:line="360" w:lineRule="auto"/>
        <w:ind w:firstLine="420" w:firstLineChars="200"/>
        <w:jc w:val="left"/>
        <w:outlineLvl w:val="9"/>
        <w:rPr>
          <w:color w:val="auto"/>
          <w:szCs w:val="21"/>
          <w:highlight w:val="none"/>
        </w:rPr>
      </w:pPr>
      <w:r>
        <w:rPr>
          <w:color w:val="auto"/>
          <w:szCs w:val="21"/>
          <w:highlight w:val="none"/>
        </w:rPr>
        <w:t xml:space="preserve">2. </w:t>
      </w:r>
      <w:r>
        <w:rPr>
          <w:rFonts w:hint="eastAsia" w:hAnsi="宋体" w:cs="宋体"/>
          <w:color w:val="auto"/>
          <w:szCs w:val="21"/>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5BCCACEE">
      <w:pPr>
        <w:spacing w:line="360" w:lineRule="auto"/>
        <w:ind w:firstLine="420" w:firstLineChars="200"/>
        <w:jc w:val="left"/>
        <w:outlineLvl w:val="9"/>
        <w:rPr>
          <w:color w:val="auto"/>
          <w:szCs w:val="21"/>
          <w:highlight w:val="none"/>
        </w:rPr>
      </w:pPr>
      <w:r>
        <w:rPr>
          <w:color w:val="auto"/>
          <w:szCs w:val="21"/>
          <w:highlight w:val="none"/>
        </w:rPr>
        <w:t xml:space="preserve">3. </w:t>
      </w:r>
      <w:r>
        <w:rPr>
          <w:rFonts w:hint="eastAsia" w:hAnsi="宋体" w:cs="宋体"/>
          <w:color w:val="auto"/>
          <w:szCs w:val="21"/>
          <w:highlight w:val="none"/>
        </w:rPr>
        <w:t>我方收到你方的书面索赔通知及相应的证明材料后７天内无条件支付。</w:t>
      </w:r>
    </w:p>
    <w:p w14:paraId="5D1E0387">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五、保证责任的解除</w:t>
      </w:r>
    </w:p>
    <w:p w14:paraId="5940BC9D">
      <w:pPr>
        <w:spacing w:line="360" w:lineRule="auto"/>
        <w:ind w:firstLine="420" w:firstLineChars="200"/>
        <w:jc w:val="left"/>
        <w:outlineLvl w:val="9"/>
        <w:rPr>
          <w:color w:val="auto"/>
          <w:szCs w:val="21"/>
          <w:highlight w:val="none"/>
        </w:rPr>
      </w:pPr>
      <w:r>
        <w:rPr>
          <w:color w:val="auto"/>
          <w:szCs w:val="21"/>
          <w:highlight w:val="none"/>
        </w:rPr>
        <w:t xml:space="preserve">1. </w:t>
      </w:r>
      <w:r>
        <w:rPr>
          <w:rFonts w:hint="eastAsia" w:hAnsi="宋体" w:cs="宋体"/>
          <w:color w:val="auto"/>
          <w:szCs w:val="21"/>
          <w:highlight w:val="none"/>
        </w:rPr>
        <w:t>在本保函承诺的保证期间内，你方未书面向我方主张保证责任的，自保证期间届满次日起，我方保证责任解除。</w:t>
      </w:r>
    </w:p>
    <w:p w14:paraId="5E35E993">
      <w:pPr>
        <w:spacing w:line="360" w:lineRule="auto"/>
        <w:ind w:firstLine="420" w:firstLineChars="200"/>
        <w:jc w:val="left"/>
        <w:outlineLvl w:val="9"/>
        <w:rPr>
          <w:color w:val="auto"/>
          <w:szCs w:val="21"/>
          <w:highlight w:val="none"/>
        </w:rPr>
      </w:pPr>
      <w:r>
        <w:rPr>
          <w:color w:val="auto"/>
          <w:szCs w:val="21"/>
          <w:highlight w:val="none"/>
        </w:rPr>
        <w:t xml:space="preserve">2. </w:t>
      </w:r>
      <w:r>
        <w:rPr>
          <w:rFonts w:hint="eastAsia" w:hAnsi="宋体" w:cs="宋体"/>
          <w:color w:val="auto"/>
          <w:szCs w:val="21"/>
          <w:highlight w:val="none"/>
        </w:rPr>
        <w:t>发包人按主合同约定履行了工程款的全部支付义务的，自本保函承诺的保证期间届满次日起，我方保证责任解除。</w:t>
      </w:r>
    </w:p>
    <w:p w14:paraId="316DE67A">
      <w:pPr>
        <w:spacing w:line="360" w:lineRule="auto"/>
        <w:ind w:firstLine="420" w:firstLineChars="200"/>
        <w:jc w:val="left"/>
        <w:outlineLvl w:val="9"/>
        <w:rPr>
          <w:color w:val="auto"/>
          <w:szCs w:val="21"/>
          <w:highlight w:val="none"/>
        </w:rPr>
      </w:pPr>
      <w:r>
        <w:rPr>
          <w:color w:val="auto"/>
          <w:szCs w:val="21"/>
          <w:highlight w:val="none"/>
        </w:rPr>
        <w:t xml:space="preserve">3. </w:t>
      </w:r>
      <w:r>
        <w:rPr>
          <w:rFonts w:hint="eastAsia" w:hAnsi="宋体" w:cs="宋体"/>
          <w:color w:val="auto"/>
          <w:szCs w:val="21"/>
          <w:highlight w:val="none"/>
        </w:rPr>
        <w:t>我方按照本保函向你方履行保证责任所支付金额达到本保函保证金额时，自我方向你方支付（支付款项从我方账户划出）之日起，保证责任即解除。</w:t>
      </w:r>
    </w:p>
    <w:p w14:paraId="7C330481">
      <w:pPr>
        <w:spacing w:line="360" w:lineRule="auto"/>
        <w:ind w:firstLine="420" w:firstLineChars="200"/>
        <w:jc w:val="left"/>
        <w:outlineLvl w:val="9"/>
        <w:rPr>
          <w:color w:val="auto"/>
          <w:szCs w:val="21"/>
          <w:highlight w:val="none"/>
        </w:rPr>
      </w:pPr>
      <w:r>
        <w:rPr>
          <w:color w:val="auto"/>
          <w:szCs w:val="21"/>
          <w:highlight w:val="none"/>
        </w:rPr>
        <w:t xml:space="preserve">4. </w:t>
      </w:r>
      <w:r>
        <w:rPr>
          <w:rFonts w:hint="eastAsia" w:hAnsi="宋体" w:cs="宋体"/>
          <w:color w:val="auto"/>
          <w:szCs w:val="21"/>
          <w:highlight w:val="none"/>
        </w:rPr>
        <w:t>按照法律法规的规定或出现应解除我方保证责任的其他情形的，我方在本保函项下的保证责任亦解除。</w:t>
      </w:r>
    </w:p>
    <w:p w14:paraId="51C4144B">
      <w:pPr>
        <w:spacing w:line="360" w:lineRule="auto"/>
        <w:ind w:firstLine="420" w:firstLineChars="200"/>
        <w:jc w:val="left"/>
        <w:outlineLvl w:val="9"/>
        <w:rPr>
          <w:color w:val="auto"/>
          <w:szCs w:val="21"/>
          <w:highlight w:val="none"/>
        </w:rPr>
      </w:pPr>
      <w:r>
        <w:rPr>
          <w:color w:val="auto"/>
          <w:szCs w:val="21"/>
          <w:highlight w:val="none"/>
        </w:rPr>
        <w:t xml:space="preserve">5. </w:t>
      </w:r>
      <w:r>
        <w:rPr>
          <w:rFonts w:hint="eastAsia" w:hAnsi="宋体" w:cs="宋体"/>
          <w:color w:val="auto"/>
          <w:szCs w:val="21"/>
          <w:highlight w:val="none"/>
        </w:rPr>
        <w:t>我方解除保证责任后，你方应自我方保证责任解除之日起</w:t>
      </w:r>
      <w:r>
        <w:rPr>
          <w:color w:val="auto"/>
          <w:szCs w:val="21"/>
          <w:highlight w:val="none"/>
          <w:u w:val="single"/>
        </w:rPr>
        <w:t xml:space="preserve">  </w:t>
      </w:r>
      <w:r>
        <w:rPr>
          <w:rFonts w:hint="eastAsia" w:hAnsi="宋体" w:cs="宋体"/>
          <w:color w:val="auto"/>
          <w:szCs w:val="21"/>
          <w:highlight w:val="none"/>
        </w:rPr>
        <w:t>个工作日内，将本保函原件返还我方。</w:t>
      </w:r>
    </w:p>
    <w:p w14:paraId="767D105A">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六、免责条款</w:t>
      </w:r>
    </w:p>
    <w:p w14:paraId="03C6FEBA">
      <w:pPr>
        <w:spacing w:line="360" w:lineRule="auto"/>
        <w:ind w:firstLine="420" w:firstLineChars="200"/>
        <w:jc w:val="left"/>
        <w:outlineLvl w:val="9"/>
        <w:rPr>
          <w:color w:val="auto"/>
          <w:szCs w:val="21"/>
          <w:highlight w:val="none"/>
        </w:rPr>
      </w:pPr>
      <w:r>
        <w:rPr>
          <w:color w:val="auto"/>
          <w:szCs w:val="21"/>
          <w:highlight w:val="none"/>
        </w:rPr>
        <w:t xml:space="preserve">1. </w:t>
      </w:r>
      <w:r>
        <w:rPr>
          <w:rFonts w:hint="eastAsia" w:hAnsi="宋体" w:cs="宋体"/>
          <w:color w:val="auto"/>
          <w:szCs w:val="21"/>
          <w:highlight w:val="none"/>
        </w:rPr>
        <w:t>因你方违约致使发包人不能履行义务的，我方不承担保证责任。</w:t>
      </w:r>
    </w:p>
    <w:p w14:paraId="5323FF3D">
      <w:pPr>
        <w:spacing w:line="360" w:lineRule="auto"/>
        <w:ind w:firstLine="420" w:firstLineChars="200"/>
        <w:jc w:val="left"/>
        <w:outlineLvl w:val="9"/>
        <w:rPr>
          <w:color w:val="auto"/>
          <w:szCs w:val="21"/>
          <w:highlight w:val="none"/>
        </w:rPr>
      </w:pPr>
      <w:r>
        <w:rPr>
          <w:color w:val="auto"/>
          <w:szCs w:val="21"/>
          <w:highlight w:val="none"/>
        </w:rPr>
        <w:t xml:space="preserve">2. </w:t>
      </w:r>
      <w:r>
        <w:rPr>
          <w:rFonts w:hint="eastAsia" w:hAnsi="宋体" w:cs="宋体"/>
          <w:color w:val="auto"/>
          <w:szCs w:val="21"/>
          <w:highlight w:val="none"/>
        </w:rPr>
        <w:t>依照法律法规的规定或你方与发包人的另行约定，免除发包人部分或全部义务的，我方亦免除其相应的保证责任。</w:t>
      </w:r>
    </w:p>
    <w:p w14:paraId="4A737595">
      <w:pPr>
        <w:spacing w:line="360" w:lineRule="auto"/>
        <w:ind w:firstLine="420" w:firstLineChars="200"/>
        <w:jc w:val="left"/>
        <w:outlineLvl w:val="9"/>
        <w:rPr>
          <w:color w:val="auto"/>
          <w:szCs w:val="21"/>
          <w:highlight w:val="none"/>
        </w:rPr>
      </w:pPr>
      <w:r>
        <w:rPr>
          <w:color w:val="auto"/>
          <w:szCs w:val="21"/>
          <w:highlight w:val="none"/>
        </w:rPr>
        <w:t xml:space="preserve">3. </w:t>
      </w:r>
      <w:r>
        <w:rPr>
          <w:rFonts w:hint="eastAsia" w:hAnsi="宋体" w:cs="宋体"/>
          <w:color w:val="auto"/>
          <w:szCs w:val="21"/>
          <w:highlight w:val="none"/>
        </w:rPr>
        <w:t>你方与发包人协议变更主合同的，如加重发包人责任致使我方保证责任加重的，需征得我方书面同意，否则我方不再承担因此而加重部分的保证责任，但主合同第</w:t>
      </w:r>
      <w:r>
        <w:rPr>
          <w:color w:val="auto"/>
          <w:szCs w:val="21"/>
          <w:highlight w:val="none"/>
        </w:rPr>
        <w:t>10</w:t>
      </w:r>
      <w:r>
        <w:rPr>
          <w:rFonts w:hint="eastAsia" w:hAnsi="宋体" w:cs="宋体"/>
          <w:color w:val="auto"/>
          <w:szCs w:val="21"/>
          <w:highlight w:val="none"/>
        </w:rPr>
        <w:t>条〔变更〕约定的变更不受本款限制。</w:t>
      </w:r>
    </w:p>
    <w:p w14:paraId="4000C326">
      <w:pPr>
        <w:spacing w:line="360" w:lineRule="auto"/>
        <w:ind w:firstLine="420" w:firstLineChars="200"/>
        <w:jc w:val="left"/>
        <w:outlineLvl w:val="9"/>
        <w:rPr>
          <w:color w:val="auto"/>
          <w:szCs w:val="21"/>
          <w:highlight w:val="none"/>
        </w:rPr>
      </w:pPr>
      <w:r>
        <w:rPr>
          <w:color w:val="auto"/>
          <w:szCs w:val="21"/>
          <w:highlight w:val="none"/>
        </w:rPr>
        <w:t xml:space="preserve">4. </w:t>
      </w:r>
      <w:r>
        <w:rPr>
          <w:rFonts w:hint="eastAsia" w:hAnsi="宋体" w:cs="宋体"/>
          <w:color w:val="auto"/>
          <w:szCs w:val="21"/>
          <w:highlight w:val="none"/>
        </w:rPr>
        <w:t>因不可抗力造成发包人不能履行义务的，我方不承担保证责任。</w:t>
      </w:r>
    </w:p>
    <w:p w14:paraId="4EDEFD8D">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七、争议解决</w:t>
      </w:r>
    </w:p>
    <w:p w14:paraId="72911CF3">
      <w:pPr>
        <w:spacing w:line="360" w:lineRule="auto"/>
        <w:ind w:firstLine="420" w:firstLineChars="200"/>
        <w:outlineLvl w:val="9"/>
        <w:rPr>
          <w:color w:val="auto"/>
          <w:szCs w:val="21"/>
          <w:highlight w:val="none"/>
        </w:rPr>
      </w:pPr>
      <w:r>
        <w:rPr>
          <w:rFonts w:hint="eastAsia" w:hAnsi="宋体" w:cs="宋体"/>
          <w:color w:val="auto"/>
          <w:szCs w:val="21"/>
          <w:highlight w:val="none"/>
        </w:rPr>
        <w:t>因本保函或本保函相关事项发生的纠纷，可由双方协商解决，协商不成的，按下列第</w:t>
      </w:r>
      <w:r>
        <w:rPr>
          <w:color w:val="auto"/>
          <w:szCs w:val="21"/>
          <w:highlight w:val="none"/>
          <w:u w:val="single"/>
        </w:rPr>
        <w:t xml:space="preserve">     </w:t>
      </w:r>
      <w:r>
        <w:rPr>
          <w:rFonts w:hint="eastAsia" w:hAnsi="宋体" w:cs="宋体"/>
          <w:color w:val="auto"/>
          <w:szCs w:val="21"/>
          <w:highlight w:val="none"/>
        </w:rPr>
        <w:t>种方式解决：</w:t>
      </w:r>
    </w:p>
    <w:p w14:paraId="115EF54E">
      <w:pPr>
        <w:spacing w:line="360" w:lineRule="auto"/>
        <w:ind w:firstLine="420" w:firstLineChars="200"/>
        <w:jc w:val="left"/>
        <w:outlineLvl w:val="9"/>
        <w:rPr>
          <w:color w:val="auto"/>
          <w:szCs w:val="21"/>
          <w:highlight w:val="none"/>
        </w:rPr>
      </w:pPr>
      <w:r>
        <w:rPr>
          <w:rFonts w:hint="eastAsia" w:hAnsi="宋体" w:cs="宋体"/>
          <w:color w:val="auto"/>
          <w:szCs w:val="21"/>
          <w:highlight w:val="none"/>
        </w:rPr>
        <w:t>（</w:t>
      </w:r>
      <w:r>
        <w:rPr>
          <w:color w:val="auto"/>
          <w:szCs w:val="21"/>
          <w:highlight w:val="none"/>
        </w:rPr>
        <w:t>1</w:t>
      </w:r>
      <w:r>
        <w:rPr>
          <w:rFonts w:hint="eastAsia" w:hAnsi="宋体" w:cs="宋体"/>
          <w:color w:val="auto"/>
          <w:szCs w:val="21"/>
          <w:highlight w:val="none"/>
        </w:rPr>
        <w:t>）向</w:t>
      </w:r>
      <w:r>
        <w:rPr>
          <w:color w:val="auto"/>
          <w:szCs w:val="21"/>
          <w:highlight w:val="none"/>
          <w:u w:val="single"/>
        </w:rPr>
        <w:t xml:space="preserve">                     </w:t>
      </w:r>
      <w:r>
        <w:rPr>
          <w:rFonts w:hint="eastAsia" w:hAnsi="宋体" w:cs="宋体"/>
          <w:color w:val="auto"/>
          <w:szCs w:val="21"/>
          <w:highlight w:val="none"/>
        </w:rPr>
        <w:t>仲裁委员会申请仲裁；</w:t>
      </w:r>
    </w:p>
    <w:p w14:paraId="22B25C1C">
      <w:pPr>
        <w:spacing w:line="360" w:lineRule="auto"/>
        <w:ind w:firstLine="420" w:firstLineChars="200"/>
        <w:jc w:val="left"/>
        <w:outlineLvl w:val="9"/>
        <w:rPr>
          <w:color w:val="auto"/>
          <w:szCs w:val="21"/>
          <w:highlight w:val="none"/>
        </w:rPr>
      </w:pPr>
      <w:r>
        <w:rPr>
          <w:rFonts w:hint="eastAsia" w:hAnsi="宋体" w:cs="宋体"/>
          <w:color w:val="auto"/>
          <w:szCs w:val="21"/>
          <w:highlight w:val="none"/>
        </w:rPr>
        <w:t>（</w:t>
      </w:r>
      <w:r>
        <w:rPr>
          <w:color w:val="auto"/>
          <w:szCs w:val="21"/>
          <w:highlight w:val="none"/>
        </w:rPr>
        <w:t>2</w:t>
      </w:r>
      <w:r>
        <w:rPr>
          <w:rFonts w:hint="eastAsia" w:hAnsi="宋体" w:cs="宋体"/>
          <w:color w:val="auto"/>
          <w:szCs w:val="21"/>
          <w:highlight w:val="none"/>
        </w:rPr>
        <w:t>）向</w:t>
      </w:r>
      <w:r>
        <w:rPr>
          <w:color w:val="auto"/>
          <w:szCs w:val="21"/>
          <w:highlight w:val="none"/>
          <w:u w:val="single"/>
        </w:rPr>
        <w:t xml:space="preserve">                     </w:t>
      </w:r>
      <w:r>
        <w:rPr>
          <w:rFonts w:hint="eastAsia" w:hAnsi="宋体" w:cs="宋体"/>
          <w:color w:val="auto"/>
          <w:szCs w:val="21"/>
          <w:highlight w:val="none"/>
        </w:rPr>
        <w:t>人民法院起诉。</w:t>
      </w:r>
    </w:p>
    <w:p w14:paraId="071F6F0B">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八、保函的生效</w:t>
      </w:r>
    </w:p>
    <w:p w14:paraId="75EE08F6">
      <w:pPr>
        <w:spacing w:line="360" w:lineRule="auto"/>
        <w:ind w:firstLine="420" w:firstLineChars="200"/>
        <w:jc w:val="left"/>
        <w:outlineLvl w:val="9"/>
        <w:rPr>
          <w:color w:val="auto"/>
          <w:szCs w:val="21"/>
          <w:highlight w:val="none"/>
        </w:rPr>
      </w:pPr>
      <w:r>
        <w:rPr>
          <w:rFonts w:hint="eastAsia" w:hAnsi="宋体" w:cs="宋体"/>
          <w:color w:val="auto"/>
          <w:szCs w:val="21"/>
          <w:highlight w:val="none"/>
        </w:rPr>
        <w:t>本保函自我方法定代表人（或其授权代理人）签字并加盖公章之日起生效。</w:t>
      </w:r>
    </w:p>
    <w:p w14:paraId="24EBCFD1">
      <w:pPr>
        <w:spacing w:line="360" w:lineRule="auto"/>
        <w:jc w:val="left"/>
        <w:outlineLvl w:val="9"/>
        <w:rPr>
          <w:color w:val="auto"/>
          <w:szCs w:val="21"/>
          <w:highlight w:val="none"/>
        </w:rPr>
      </w:pPr>
    </w:p>
    <w:p w14:paraId="686BC25C">
      <w:pPr>
        <w:spacing w:line="360" w:lineRule="auto"/>
        <w:ind w:right="600"/>
        <w:jc w:val="left"/>
        <w:outlineLvl w:val="9"/>
        <w:rPr>
          <w:color w:val="auto"/>
          <w:szCs w:val="21"/>
          <w:highlight w:val="none"/>
        </w:rPr>
      </w:pPr>
    </w:p>
    <w:p w14:paraId="692744C7">
      <w:pPr>
        <w:spacing w:line="360" w:lineRule="auto"/>
        <w:ind w:right="600"/>
        <w:jc w:val="left"/>
        <w:outlineLvl w:val="9"/>
        <w:rPr>
          <w:color w:val="auto"/>
          <w:szCs w:val="21"/>
          <w:highlight w:val="none"/>
        </w:rPr>
      </w:pPr>
      <w:r>
        <w:rPr>
          <w:rFonts w:hint="eastAsia" w:hAnsi="宋体" w:cs="宋体"/>
          <w:color w:val="auto"/>
          <w:szCs w:val="21"/>
          <w:highlight w:val="none"/>
        </w:rPr>
        <w:t>担保人：</w:t>
      </w:r>
      <w:r>
        <w:rPr>
          <w:color w:val="auto"/>
          <w:szCs w:val="21"/>
          <w:highlight w:val="none"/>
          <w:u w:val="single"/>
        </w:rPr>
        <w:t xml:space="preserve">                                   </w:t>
      </w:r>
      <w:r>
        <w:rPr>
          <w:rFonts w:hint="eastAsia" w:hAnsi="宋体" w:cs="宋体"/>
          <w:color w:val="auto"/>
          <w:szCs w:val="21"/>
          <w:highlight w:val="none"/>
        </w:rPr>
        <w:t>（盖章）</w:t>
      </w:r>
    </w:p>
    <w:p w14:paraId="077CC195">
      <w:pPr>
        <w:spacing w:line="360" w:lineRule="auto"/>
        <w:ind w:right="1200"/>
        <w:outlineLvl w:val="9"/>
        <w:rPr>
          <w:color w:val="auto"/>
          <w:szCs w:val="21"/>
          <w:highlight w:val="none"/>
        </w:rPr>
      </w:pPr>
      <w:r>
        <w:rPr>
          <w:rFonts w:hint="eastAsia" w:hAnsi="宋体" w:cs="宋体"/>
          <w:color w:val="auto"/>
          <w:szCs w:val="21"/>
          <w:highlight w:val="none"/>
        </w:rPr>
        <w:t>法定代表人或委托代理人：</w:t>
      </w:r>
      <w:r>
        <w:rPr>
          <w:color w:val="auto"/>
          <w:szCs w:val="21"/>
          <w:highlight w:val="none"/>
          <w:u w:val="single"/>
        </w:rPr>
        <w:t xml:space="preserve">                   </w:t>
      </w:r>
      <w:r>
        <w:rPr>
          <w:rFonts w:hint="eastAsia" w:hAnsi="宋体" w:cs="宋体"/>
          <w:color w:val="auto"/>
          <w:szCs w:val="21"/>
          <w:highlight w:val="none"/>
        </w:rPr>
        <w:t>（签字）</w:t>
      </w:r>
    </w:p>
    <w:p w14:paraId="7082EB0C">
      <w:pPr>
        <w:spacing w:line="360" w:lineRule="auto"/>
        <w:jc w:val="left"/>
        <w:outlineLvl w:val="9"/>
        <w:rPr>
          <w:color w:val="auto"/>
          <w:szCs w:val="21"/>
          <w:highlight w:val="none"/>
        </w:rPr>
      </w:pP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p>
    <w:p w14:paraId="2EA1EC88">
      <w:pPr>
        <w:spacing w:line="360" w:lineRule="auto"/>
        <w:jc w:val="left"/>
        <w:outlineLvl w:val="9"/>
        <w:rPr>
          <w:color w:val="auto"/>
          <w:szCs w:val="21"/>
          <w:highlight w:val="none"/>
        </w:rPr>
      </w:pPr>
      <w:r>
        <w:rPr>
          <w:rFonts w:hint="eastAsia" w:hAnsi="宋体" w:cs="宋体"/>
          <w:color w:val="auto"/>
          <w:szCs w:val="21"/>
          <w:highlight w:val="none"/>
        </w:rPr>
        <w:t>邮政编码：</w:t>
      </w:r>
      <w:r>
        <w:rPr>
          <w:color w:val="auto"/>
          <w:szCs w:val="21"/>
          <w:highlight w:val="none"/>
          <w:u w:val="single"/>
        </w:rPr>
        <w:t xml:space="preserve">                                        </w:t>
      </w:r>
    </w:p>
    <w:p w14:paraId="167E109C">
      <w:pPr>
        <w:spacing w:line="360" w:lineRule="auto"/>
        <w:jc w:val="left"/>
        <w:outlineLvl w:val="9"/>
        <w:rPr>
          <w:color w:val="auto"/>
          <w:szCs w:val="21"/>
          <w:highlight w:val="none"/>
        </w:rPr>
      </w:pP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p>
    <w:p w14:paraId="36305729">
      <w:pPr>
        <w:spacing w:line="360" w:lineRule="auto"/>
        <w:ind w:right="150" w:firstLine="420" w:firstLineChars="200"/>
        <w:jc w:val="left"/>
        <w:outlineLvl w:val="9"/>
        <w:rPr>
          <w:color w:val="auto"/>
          <w:szCs w:val="21"/>
          <w:highlight w:val="none"/>
          <w:u w:val="single"/>
        </w:rPr>
      </w:pPr>
    </w:p>
    <w:p w14:paraId="5ABD1BB8">
      <w:pPr>
        <w:spacing w:line="360" w:lineRule="auto"/>
        <w:ind w:right="150" w:firstLine="420" w:firstLineChars="200"/>
        <w:jc w:val="left"/>
        <w:outlineLvl w:val="9"/>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w:t>
      </w:r>
    </w:p>
    <w:p w14:paraId="68978C10">
      <w:pPr>
        <w:spacing w:line="440" w:lineRule="exact"/>
        <w:outlineLvl w:val="9"/>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845" w:name="_Toc296347227"/>
      <w:bookmarkStart w:id="1846" w:name="_Toc296944567"/>
      <w:bookmarkStart w:id="1847" w:name="_Toc267261699"/>
      <w:bookmarkStart w:id="1848" w:name="_Toc296891056"/>
      <w:bookmarkStart w:id="1849" w:name="_Toc296503228"/>
      <w:bookmarkStart w:id="1850" w:name="_Toc296346729"/>
      <w:bookmarkStart w:id="1851" w:name="_Toc296891268"/>
      <w:r>
        <w:rPr>
          <w:rFonts w:hint="eastAsia" w:eastAsia="仿宋_GB2312" w:cs="仿宋_GB2312"/>
          <w:color w:val="auto"/>
          <w:sz w:val="30"/>
          <w:szCs w:val="30"/>
          <w:highlight w:val="none"/>
        </w:rPr>
        <w:t>件</w:t>
      </w:r>
      <w:r>
        <w:rPr>
          <w:rFonts w:eastAsia="仿宋_GB2312"/>
          <w:color w:val="auto"/>
          <w:sz w:val="30"/>
          <w:szCs w:val="30"/>
          <w:highlight w:val="none"/>
        </w:rPr>
        <w:t>3</w:t>
      </w:r>
      <w:r>
        <w:rPr>
          <w:rFonts w:hint="eastAsia" w:eastAsia="仿宋_GB2312" w:cs="仿宋_GB2312"/>
          <w:color w:val="auto"/>
          <w:sz w:val="30"/>
          <w:szCs w:val="30"/>
          <w:highlight w:val="none"/>
        </w:rPr>
        <w:t>：</w:t>
      </w:r>
    </w:p>
    <w:bookmarkEnd w:id="1845"/>
    <w:bookmarkEnd w:id="1846"/>
    <w:bookmarkEnd w:id="1847"/>
    <w:bookmarkEnd w:id="1848"/>
    <w:bookmarkEnd w:id="1849"/>
    <w:bookmarkEnd w:id="1850"/>
    <w:bookmarkEnd w:id="1851"/>
    <w:p w14:paraId="2C0EF0C9">
      <w:pPr>
        <w:spacing w:before="120" w:beforeLines="50" w:after="120" w:afterLines="50" w:line="440" w:lineRule="exact"/>
        <w:jc w:val="center"/>
        <w:outlineLvl w:val="9"/>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8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412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8DFF01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名</w:t>
            </w:r>
            <w:r>
              <w:rPr>
                <w:rFonts w:ascii="Calibri" w:hAnsi="Calibri" w:eastAsia="仿宋_GB2312"/>
                <w:color w:val="auto"/>
                <w:sz w:val="28"/>
                <w:szCs w:val="28"/>
                <w:highlight w:val="none"/>
              </w:rPr>
              <w:t xml:space="preserve">    </w:t>
            </w:r>
            <w:r>
              <w:rPr>
                <w:rFonts w:hint="eastAsia" w:ascii="Calibri" w:hAnsi="Calibri" w:eastAsia="仿宋_GB2312" w:cs="仿宋_GB2312"/>
                <w:color w:val="auto"/>
                <w:sz w:val="28"/>
                <w:szCs w:val="28"/>
                <w:highlight w:val="none"/>
              </w:rPr>
              <w:t>称</w:t>
            </w:r>
          </w:p>
        </w:tc>
        <w:tc>
          <w:tcPr>
            <w:tcW w:w="1418" w:type="dxa"/>
            <w:vAlign w:val="center"/>
          </w:tcPr>
          <w:p w14:paraId="4A014206">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姓名</w:t>
            </w:r>
          </w:p>
        </w:tc>
        <w:tc>
          <w:tcPr>
            <w:tcW w:w="1134" w:type="dxa"/>
            <w:vAlign w:val="center"/>
          </w:tcPr>
          <w:p w14:paraId="224C2DD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职务</w:t>
            </w:r>
          </w:p>
        </w:tc>
        <w:tc>
          <w:tcPr>
            <w:tcW w:w="1134" w:type="dxa"/>
            <w:vAlign w:val="center"/>
          </w:tcPr>
          <w:p w14:paraId="299BC2C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职称</w:t>
            </w:r>
          </w:p>
        </w:tc>
        <w:tc>
          <w:tcPr>
            <w:tcW w:w="4252" w:type="dxa"/>
            <w:vAlign w:val="center"/>
          </w:tcPr>
          <w:p w14:paraId="07A0FB1B">
            <w:pPr>
              <w:keepNext/>
              <w:adjustRightInd w:val="0"/>
              <w:spacing w:line="440" w:lineRule="exact"/>
              <w:ind w:right="63" w:rightChars="30"/>
              <w:jc w:val="center"/>
              <w:outlineLvl w:val="9"/>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计划进场时间</w:t>
            </w:r>
          </w:p>
        </w:tc>
      </w:tr>
      <w:tr w14:paraId="772B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9707247">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一、总部人员</w:t>
            </w:r>
          </w:p>
        </w:tc>
      </w:tr>
      <w:tr w14:paraId="0B81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B0F9086">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项目主管</w:t>
            </w:r>
          </w:p>
        </w:tc>
        <w:tc>
          <w:tcPr>
            <w:tcW w:w="1418" w:type="dxa"/>
            <w:vAlign w:val="center"/>
          </w:tcPr>
          <w:p w14:paraId="4FEAEC4C">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AAE78A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46A610D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D42F6F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107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F461E8B">
            <w:pPr>
              <w:keepNext/>
              <w:adjustRightInd w:val="0"/>
              <w:spacing w:after="60"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其他人员</w:t>
            </w:r>
          </w:p>
        </w:tc>
        <w:tc>
          <w:tcPr>
            <w:tcW w:w="1418" w:type="dxa"/>
            <w:vAlign w:val="center"/>
          </w:tcPr>
          <w:p w14:paraId="5FF5F63C">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25B02DE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1B11535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5B5BD33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477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6E7816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64504C0C">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32A2781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782C18E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1FCE119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AA3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47912C0">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328ABCAE">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121056A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4EFC773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6752D2E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033A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BE2B86A">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二、现场人员</w:t>
            </w:r>
          </w:p>
        </w:tc>
      </w:tr>
      <w:tr w14:paraId="501C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B47A0C9">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项目经理</w:t>
            </w:r>
          </w:p>
        </w:tc>
        <w:tc>
          <w:tcPr>
            <w:tcW w:w="1418" w:type="dxa"/>
            <w:vAlign w:val="center"/>
          </w:tcPr>
          <w:p w14:paraId="44701920">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7C917E6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740C3D8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B1D09A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0E05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8F8556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项目副经理</w:t>
            </w:r>
          </w:p>
        </w:tc>
        <w:tc>
          <w:tcPr>
            <w:tcW w:w="1418" w:type="dxa"/>
            <w:vAlign w:val="center"/>
          </w:tcPr>
          <w:p w14:paraId="0D21636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77D855A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376C86A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08767C0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500B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939454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技术负责人</w:t>
            </w:r>
          </w:p>
        </w:tc>
        <w:tc>
          <w:tcPr>
            <w:tcW w:w="1418" w:type="dxa"/>
            <w:vAlign w:val="center"/>
          </w:tcPr>
          <w:p w14:paraId="635228BA">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6E7639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2BE09BD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7229893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7506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74BDFA3">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造价管理</w:t>
            </w:r>
          </w:p>
        </w:tc>
        <w:tc>
          <w:tcPr>
            <w:tcW w:w="1418" w:type="dxa"/>
            <w:vAlign w:val="center"/>
          </w:tcPr>
          <w:p w14:paraId="00004A0E">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5C30BF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6CA81EF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3B45E32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92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0003BC0">
            <w:pPr>
              <w:keepNext/>
              <w:adjustRightInd w:val="0"/>
              <w:spacing w:after="60"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质量管理</w:t>
            </w:r>
          </w:p>
        </w:tc>
        <w:tc>
          <w:tcPr>
            <w:tcW w:w="1418" w:type="dxa"/>
            <w:vAlign w:val="center"/>
          </w:tcPr>
          <w:p w14:paraId="7F53F695">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13DDD1D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625EF54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33A513C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5BD5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CDCE96C">
            <w:pPr>
              <w:keepNext/>
              <w:adjustRightInd w:val="0"/>
              <w:spacing w:after="60"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7EB807A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6DB6D18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257F67F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2BD11C3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97B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3D44DEA">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0935748F">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16F2F71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17942DE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526B2C6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BE8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346752A">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材料管理</w:t>
            </w:r>
          </w:p>
        </w:tc>
        <w:tc>
          <w:tcPr>
            <w:tcW w:w="1418" w:type="dxa"/>
            <w:vAlign w:val="center"/>
          </w:tcPr>
          <w:p w14:paraId="37E96D0D">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FE0F69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46CE0B4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3DE01B8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4C2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5FF73E2">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计划管理</w:t>
            </w:r>
          </w:p>
        </w:tc>
        <w:tc>
          <w:tcPr>
            <w:tcW w:w="1418" w:type="dxa"/>
            <w:vAlign w:val="center"/>
          </w:tcPr>
          <w:p w14:paraId="2DA68F5E">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1DBE9B9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4F7077B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2E703A6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0D95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715FBF2">
            <w:pPr>
              <w:keepNext/>
              <w:adjustRightInd w:val="0"/>
              <w:spacing w:after="60"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安全管理</w:t>
            </w:r>
          </w:p>
        </w:tc>
        <w:tc>
          <w:tcPr>
            <w:tcW w:w="1418" w:type="dxa"/>
            <w:vAlign w:val="center"/>
          </w:tcPr>
          <w:p w14:paraId="1F28AE4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4365366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4D48D80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2C5F1B2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F1A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0E2841F">
            <w:pPr>
              <w:keepNext/>
              <w:adjustRightInd w:val="0"/>
              <w:spacing w:after="60"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70846495">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673B8E8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2470B46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0EE987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7F13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4CF0773">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2BC76CAD">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405EFD6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5A0237E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753C5F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E58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8F2755C">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其他人员</w:t>
            </w:r>
          </w:p>
        </w:tc>
        <w:tc>
          <w:tcPr>
            <w:tcW w:w="1418" w:type="dxa"/>
            <w:vAlign w:val="center"/>
          </w:tcPr>
          <w:p w14:paraId="2E8ABBC9">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6A588B2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5B7A333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7D2F8E0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31EB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D790777">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418342FE">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F2F1C6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6202395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6045A5C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6AA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06AB835">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4C39722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5355EA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5CDFAB0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35BE66D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DAD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B56A967">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2FD80B23">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6FB697E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11BA4F9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5EF258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5237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783E8E5">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50D372B6">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1A0EF91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0A7A48A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7C9AE83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6F0B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3A521AF">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24447BA0">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1990608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387206E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3B517FF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bl>
    <w:p w14:paraId="0FD24A6B">
      <w:pPr>
        <w:spacing w:line="440" w:lineRule="exact"/>
        <w:outlineLvl w:val="9"/>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852" w:name="_Toc296944568"/>
      <w:bookmarkStart w:id="1853" w:name="_Toc296891057"/>
      <w:bookmarkStart w:id="1854" w:name="_Toc296503229"/>
      <w:bookmarkStart w:id="1855" w:name="_Toc296891269"/>
      <w:bookmarkStart w:id="1856" w:name="_Toc296347228"/>
      <w:bookmarkStart w:id="1857" w:name="_Toc296346730"/>
      <w:r>
        <w:rPr>
          <w:rFonts w:hint="eastAsia" w:eastAsia="仿宋_GB2312" w:cs="仿宋_GB2312"/>
          <w:color w:val="auto"/>
          <w:sz w:val="30"/>
          <w:szCs w:val="30"/>
          <w:highlight w:val="none"/>
        </w:rPr>
        <w:t>件</w:t>
      </w:r>
      <w:r>
        <w:rPr>
          <w:rFonts w:eastAsia="仿宋_GB2312"/>
          <w:color w:val="auto"/>
          <w:sz w:val="30"/>
          <w:szCs w:val="30"/>
          <w:highlight w:val="none"/>
        </w:rPr>
        <w:t>4</w:t>
      </w:r>
      <w:r>
        <w:rPr>
          <w:rFonts w:hint="eastAsia" w:eastAsia="仿宋_GB2312" w:cs="仿宋_GB2312"/>
          <w:color w:val="auto"/>
          <w:sz w:val="30"/>
          <w:szCs w:val="30"/>
          <w:highlight w:val="none"/>
        </w:rPr>
        <w:t>：</w:t>
      </w:r>
    </w:p>
    <w:bookmarkEnd w:id="1852"/>
    <w:bookmarkEnd w:id="1853"/>
    <w:bookmarkEnd w:id="1854"/>
    <w:bookmarkEnd w:id="1855"/>
    <w:bookmarkEnd w:id="1856"/>
    <w:bookmarkEnd w:id="1857"/>
    <w:p w14:paraId="712A802E">
      <w:pPr>
        <w:spacing w:before="120" w:beforeLines="50" w:after="120" w:afterLines="50" w:line="440" w:lineRule="exact"/>
        <w:jc w:val="center"/>
        <w:outlineLvl w:val="9"/>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8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EB5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987BC16">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名</w:t>
            </w:r>
            <w:r>
              <w:rPr>
                <w:rFonts w:ascii="Calibri" w:hAnsi="Calibri" w:eastAsia="仿宋_GB2312"/>
                <w:color w:val="auto"/>
                <w:sz w:val="28"/>
                <w:szCs w:val="28"/>
                <w:highlight w:val="none"/>
              </w:rPr>
              <w:t xml:space="preserve">    </w:t>
            </w:r>
            <w:r>
              <w:rPr>
                <w:rFonts w:hint="eastAsia" w:ascii="Calibri" w:hAnsi="Calibri" w:eastAsia="仿宋_GB2312" w:cs="仿宋_GB2312"/>
                <w:color w:val="auto"/>
                <w:sz w:val="28"/>
                <w:szCs w:val="28"/>
                <w:highlight w:val="none"/>
              </w:rPr>
              <w:t>称</w:t>
            </w:r>
          </w:p>
        </w:tc>
        <w:tc>
          <w:tcPr>
            <w:tcW w:w="1418" w:type="dxa"/>
            <w:vAlign w:val="center"/>
          </w:tcPr>
          <w:p w14:paraId="14F8741E">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姓名</w:t>
            </w:r>
          </w:p>
        </w:tc>
        <w:tc>
          <w:tcPr>
            <w:tcW w:w="1134" w:type="dxa"/>
            <w:vAlign w:val="center"/>
          </w:tcPr>
          <w:p w14:paraId="31486ED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职务</w:t>
            </w:r>
          </w:p>
        </w:tc>
        <w:tc>
          <w:tcPr>
            <w:tcW w:w="1134" w:type="dxa"/>
            <w:vAlign w:val="center"/>
          </w:tcPr>
          <w:p w14:paraId="56E194F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职称</w:t>
            </w:r>
          </w:p>
        </w:tc>
        <w:tc>
          <w:tcPr>
            <w:tcW w:w="4252" w:type="dxa"/>
            <w:vAlign w:val="center"/>
          </w:tcPr>
          <w:p w14:paraId="2EFDB45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主要资历、经验及承担过的项目</w:t>
            </w:r>
          </w:p>
        </w:tc>
      </w:tr>
      <w:tr w14:paraId="6429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18CBF715">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一、总部人员</w:t>
            </w:r>
          </w:p>
        </w:tc>
      </w:tr>
      <w:tr w14:paraId="709C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750FF3">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项目主管</w:t>
            </w:r>
          </w:p>
        </w:tc>
        <w:tc>
          <w:tcPr>
            <w:tcW w:w="1418" w:type="dxa"/>
            <w:vAlign w:val="center"/>
          </w:tcPr>
          <w:p w14:paraId="36A0E027">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45E214E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2DE1963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605D7E3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DD0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5B4BEFB">
            <w:pPr>
              <w:keepNext/>
              <w:adjustRightInd w:val="0"/>
              <w:spacing w:after="60"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其他人员</w:t>
            </w:r>
          </w:p>
        </w:tc>
        <w:tc>
          <w:tcPr>
            <w:tcW w:w="1418" w:type="dxa"/>
            <w:vAlign w:val="center"/>
          </w:tcPr>
          <w:p w14:paraId="3909110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11F1821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08549DA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5218A8D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07C0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11AC9B8">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36C21D7C">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6C8B9BC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0931752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393E12E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8E1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DC36D85">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2C89D0E5">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64B868F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63B6C04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653B149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B05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10562C75">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二、现场人员</w:t>
            </w:r>
          </w:p>
        </w:tc>
      </w:tr>
      <w:tr w14:paraId="4568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C1AF728">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项目经理</w:t>
            </w:r>
          </w:p>
        </w:tc>
        <w:tc>
          <w:tcPr>
            <w:tcW w:w="1418" w:type="dxa"/>
            <w:vAlign w:val="center"/>
          </w:tcPr>
          <w:p w14:paraId="7443D776">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E12AEE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0CB78F4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0982BC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0159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2876F0B">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项目副经理</w:t>
            </w:r>
          </w:p>
        </w:tc>
        <w:tc>
          <w:tcPr>
            <w:tcW w:w="1418" w:type="dxa"/>
            <w:vAlign w:val="center"/>
          </w:tcPr>
          <w:p w14:paraId="035725AF">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5B384E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5F99904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6C0B5D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023C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1608080">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技术负责人</w:t>
            </w:r>
          </w:p>
        </w:tc>
        <w:tc>
          <w:tcPr>
            <w:tcW w:w="1418" w:type="dxa"/>
            <w:vAlign w:val="center"/>
          </w:tcPr>
          <w:p w14:paraId="7315DEC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3D757B3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4FC09DF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920CD1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59D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23C6F2C">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造价管理</w:t>
            </w:r>
          </w:p>
        </w:tc>
        <w:tc>
          <w:tcPr>
            <w:tcW w:w="1418" w:type="dxa"/>
            <w:vAlign w:val="center"/>
          </w:tcPr>
          <w:p w14:paraId="1471A238">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5F7EFCD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108AB92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1FC0090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3CF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65E4EF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质量管理</w:t>
            </w:r>
          </w:p>
        </w:tc>
        <w:tc>
          <w:tcPr>
            <w:tcW w:w="1418" w:type="dxa"/>
            <w:vAlign w:val="center"/>
          </w:tcPr>
          <w:p w14:paraId="32512087">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6073CA6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5F8E304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716CD49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22B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9F4F1D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材料管理</w:t>
            </w:r>
          </w:p>
        </w:tc>
        <w:tc>
          <w:tcPr>
            <w:tcW w:w="1418" w:type="dxa"/>
            <w:vAlign w:val="center"/>
          </w:tcPr>
          <w:p w14:paraId="6733DEC9">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CE38B1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0D10EB5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2AE7C56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0D8F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B903BA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计划管理</w:t>
            </w:r>
          </w:p>
        </w:tc>
        <w:tc>
          <w:tcPr>
            <w:tcW w:w="1418" w:type="dxa"/>
            <w:vAlign w:val="center"/>
          </w:tcPr>
          <w:p w14:paraId="105572B7">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991ACB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4CB4A8F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B5E91B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DA7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859C32A">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安全管理</w:t>
            </w:r>
          </w:p>
        </w:tc>
        <w:tc>
          <w:tcPr>
            <w:tcW w:w="1418" w:type="dxa"/>
            <w:vAlign w:val="center"/>
          </w:tcPr>
          <w:p w14:paraId="0A4663A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24AA0C2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539944B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76EDE85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79B0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F11F949">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其他人员</w:t>
            </w:r>
          </w:p>
        </w:tc>
        <w:tc>
          <w:tcPr>
            <w:tcW w:w="1418" w:type="dxa"/>
            <w:vAlign w:val="center"/>
          </w:tcPr>
          <w:p w14:paraId="467727A2">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6AA1C3A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792A833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2BFE288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6A3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D6D6E8D">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0479FE1A">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78E3D46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24AB9F2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0538463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D0B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8AD6F83">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27C2641D">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260E804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06791ED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57A85C2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6A29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D216C2E">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1DC2669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25DA731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3FEBA6A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28566C4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779B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93E55E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30AF190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236197B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36F0A39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6EFBF5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791D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58A6E3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75D10FD0">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19CAF1D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3C4708A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7FE274C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bl>
    <w:p w14:paraId="4F9F1E30">
      <w:pPr>
        <w:spacing w:line="440" w:lineRule="exact"/>
        <w:outlineLvl w:val="9"/>
        <w:rPr>
          <w:rFonts w:eastAsia="黑体"/>
          <w:color w:val="auto"/>
          <w:sz w:val="30"/>
          <w:szCs w:val="30"/>
          <w:highlight w:val="none"/>
        </w:rPr>
      </w:pPr>
      <w:r>
        <w:rPr>
          <w:rFonts w:eastAsia="仿宋_GB2312"/>
          <w:color w:val="auto"/>
          <w:sz w:val="30"/>
          <w:szCs w:val="30"/>
          <w:highlight w:val="none"/>
        </w:rPr>
        <w:br w:type="page"/>
      </w:r>
      <w:bookmarkStart w:id="1858" w:name="_Toc267261701"/>
      <w:r>
        <w:rPr>
          <w:rFonts w:hint="eastAsia" w:eastAsia="仿宋_GB2312" w:cs="仿宋_GB2312"/>
          <w:color w:val="auto"/>
          <w:sz w:val="30"/>
          <w:szCs w:val="30"/>
          <w:highlight w:val="none"/>
        </w:rPr>
        <w:t>附</w:t>
      </w:r>
      <w:bookmarkStart w:id="1859" w:name="_Toc296891271"/>
      <w:bookmarkStart w:id="1860" w:name="_Toc296891059"/>
      <w:bookmarkStart w:id="1861" w:name="_Toc296346732"/>
      <w:bookmarkStart w:id="1862" w:name="_Toc296503231"/>
      <w:bookmarkStart w:id="1863" w:name="_Toc296944570"/>
      <w:bookmarkStart w:id="1864" w:name="_Toc296347230"/>
      <w:r>
        <w:rPr>
          <w:rFonts w:hint="eastAsia" w:eastAsia="仿宋_GB2312" w:cs="仿宋_GB2312"/>
          <w:color w:val="auto"/>
          <w:sz w:val="30"/>
          <w:szCs w:val="30"/>
          <w:highlight w:val="none"/>
        </w:rPr>
        <w:t>件</w:t>
      </w:r>
      <w:r>
        <w:rPr>
          <w:rFonts w:eastAsia="仿宋_GB2312"/>
          <w:color w:val="auto"/>
          <w:sz w:val="30"/>
          <w:szCs w:val="30"/>
          <w:highlight w:val="none"/>
        </w:rPr>
        <w:t>5</w:t>
      </w:r>
      <w:r>
        <w:rPr>
          <w:rFonts w:hint="eastAsia" w:eastAsia="仿宋_GB2312" w:cs="仿宋_GB2312"/>
          <w:color w:val="auto"/>
          <w:sz w:val="30"/>
          <w:szCs w:val="30"/>
          <w:highlight w:val="none"/>
        </w:rPr>
        <w:t>：</w:t>
      </w:r>
    </w:p>
    <w:bookmarkEnd w:id="1858"/>
    <w:bookmarkEnd w:id="1859"/>
    <w:bookmarkEnd w:id="1860"/>
    <w:bookmarkEnd w:id="1861"/>
    <w:bookmarkEnd w:id="1862"/>
    <w:bookmarkEnd w:id="1863"/>
    <w:bookmarkEnd w:id="1864"/>
    <w:p w14:paraId="39143D0E">
      <w:pPr>
        <w:spacing w:before="120" w:beforeLines="50" w:after="120" w:afterLines="50" w:line="440" w:lineRule="exact"/>
        <w:jc w:val="center"/>
        <w:outlineLvl w:val="9"/>
        <w:rPr>
          <w:rFonts w:eastAsia="黑体"/>
          <w:color w:val="auto"/>
          <w:sz w:val="30"/>
          <w:szCs w:val="30"/>
          <w:highlight w:val="none"/>
        </w:rPr>
      </w:pPr>
      <w:r>
        <w:rPr>
          <w:rFonts w:hint="eastAsia" w:eastAsia="黑体" w:cs="黑体"/>
          <w:color w:val="auto"/>
          <w:sz w:val="30"/>
          <w:szCs w:val="30"/>
          <w:highlight w:val="none"/>
        </w:rPr>
        <w:t>履约担保</w:t>
      </w:r>
    </w:p>
    <w:p w14:paraId="1C3BC015">
      <w:pPr>
        <w:spacing w:line="360" w:lineRule="auto"/>
        <w:outlineLvl w:val="9"/>
        <w:rPr>
          <w:color w:val="auto"/>
          <w:szCs w:val="21"/>
          <w:highlight w:val="none"/>
          <w:u w:val="single"/>
        </w:rPr>
      </w:pPr>
    </w:p>
    <w:p w14:paraId="12E15E7F">
      <w:pPr>
        <w:spacing w:line="360" w:lineRule="auto"/>
        <w:outlineLvl w:val="9"/>
        <w:rPr>
          <w:color w:val="auto"/>
          <w:szCs w:val="21"/>
          <w:highlight w:val="none"/>
        </w:rPr>
      </w:pPr>
      <w:r>
        <w:rPr>
          <w:color w:val="auto"/>
          <w:szCs w:val="21"/>
          <w:highlight w:val="none"/>
          <w:u w:val="single"/>
        </w:rPr>
        <w:t xml:space="preserve">                          </w:t>
      </w:r>
      <w:r>
        <w:rPr>
          <w:rFonts w:hint="eastAsia" w:hAnsi="宋体" w:cs="宋体"/>
          <w:color w:val="auto"/>
          <w:szCs w:val="21"/>
          <w:highlight w:val="none"/>
        </w:rPr>
        <w:t>（发包人名称）：</w:t>
      </w:r>
    </w:p>
    <w:p w14:paraId="3CB08157">
      <w:pPr>
        <w:spacing w:line="360" w:lineRule="auto"/>
        <w:ind w:firstLine="420" w:firstLineChars="200"/>
        <w:outlineLvl w:val="9"/>
        <w:rPr>
          <w:color w:val="auto"/>
          <w:szCs w:val="21"/>
          <w:highlight w:val="none"/>
        </w:rPr>
      </w:pPr>
      <w:r>
        <w:rPr>
          <w:rFonts w:hint="eastAsia" w:hAnsi="宋体" w:cs="宋体"/>
          <w:color w:val="auto"/>
          <w:szCs w:val="21"/>
          <w:highlight w:val="none"/>
        </w:rPr>
        <w:t>鉴于</w:t>
      </w:r>
      <w:r>
        <w:rPr>
          <w:color w:val="auto"/>
          <w:szCs w:val="21"/>
          <w:highlight w:val="none"/>
          <w:u w:val="single"/>
        </w:rPr>
        <w:t xml:space="preserve">                                        </w:t>
      </w:r>
      <w:r>
        <w:rPr>
          <w:rFonts w:hint="eastAsia" w:hAnsi="宋体" w:cs="宋体"/>
          <w:color w:val="auto"/>
          <w:szCs w:val="21"/>
          <w:highlight w:val="none"/>
        </w:rPr>
        <w:t>（发包人名称，以下简称</w:t>
      </w:r>
      <w:r>
        <w:rPr>
          <w:color w:val="auto"/>
          <w:szCs w:val="21"/>
          <w:highlight w:val="none"/>
        </w:rPr>
        <w:t>“</w:t>
      </w:r>
      <w:r>
        <w:rPr>
          <w:rFonts w:hint="eastAsia" w:hAnsi="宋体" w:cs="宋体"/>
          <w:color w:val="auto"/>
          <w:szCs w:val="21"/>
          <w:highlight w:val="none"/>
        </w:rPr>
        <w:t>发包人</w:t>
      </w:r>
      <w:r>
        <w:rPr>
          <w:color w:val="auto"/>
          <w:szCs w:val="21"/>
          <w:highlight w:val="none"/>
        </w:rPr>
        <w:t>”</w:t>
      </w:r>
      <w:r>
        <w:rPr>
          <w:rFonts w:hint="eastAsia" w:hAnsi="宋体" w:cs="宋体"/>
          <w:color w:val="auto"/>
          <w:szCs w:val="21"/>
          <w:highlight w:val="none"/>
        </w:rPr>
        <w:t>）</w:t>
      </w:r>
      <w:r>
        <w:rPr>
          <w:rFonts w:hAnsi="宋体"/>
          <w:color w:val="auto"/>
          <w:szCs w:val="21"/>
          <w:highlight w:val="none"/>
        </w:rPr>
        <w:t xml:space="preserve"> </w:t>
      </w:r>
      <w:r>
        <w:rPr>
          <w:rFonts w:hint="eastAsia" w:hAnsi="宋体" w:cs="宋体"/>
          <w:color w:val="auto"/>
          <w:szCs w:val="21"/>
          <w:highlight w:val="none"/>
        </w:rPr>
        <w:t>已于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日发放中标通知书，明确</w:t>
      </w:r>
      <w:r>
        <w:rPr>
          <w:color w:val="auto"/>
          <w:szCs w:val="21"/>
          <w:highlight w:val="none"/>
          <w:u w:val="single"/>
        </w:rPr>
        <w:t xml:space="preserve">                           </w:t>
      </w:r>
      <w:r>
        <w:rPr>
          <w:rFonts w:hint="eastAsia" w:hAnsi="宋体" w:cs="宋体"/>
          <w:color w:val="auto"/>
          <w:szCs w:val="21"/>
          <w:highlight w:val="none"/>
        </w:rPr>
        <w:t>（承包人名称）（以下称</w:t>
      </w:r>
      <w:r>
        <w:rPr>
          <w:color w:val="auto"/>
          <w:szCs w:val="21"/>
          <w:highlight w:val="none"/>
        </w:rPr>
        <w:t>“</w:t>
      </w:r>
      <w:r>
        <w:rPr>
          <w:rFonts w:hint="eastAsia" w:hAnsi="宋体" w:cs="宋体"/>
          <w:color w:val="auto"/>
          <w:szCs w:val="21"/>
          <w:highlight w:val="none"/>
        </w:rPr>
        <w:t>承包人</w:t>
      </w:r>
      <w:r>
        <w:rPr>
          <w:color w:val="auto"/>
          <w:szCs w:val="21"/>
          <w:highlight w:val="none"/>
        </w:rPr>
        <w:t>”</w:t>
      </w:r>
      <w:r>
        <w:rPr>
          <w:rFonts w:hint="eastAsia" w:hAnsi="宋体" w:cs="宋体"/>
          <w:color w:val="auto"/>
          <w:szCs w:val="21"/>
          <w:highlight w:val="none"/>
        </w:rPr>
        <w:t>）于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日为</w:t>
      </w:r>
      <w:r>
        <w:rPr>
          <w:color w:val="auto"/>
          <w:szCs w:val="21"/>
          <w:highlight w:val="none"/>
          <w:u w:val="single"/>
        </w:rPr>
        <w:t xml:space="preserve">                       </w:t>
      </w:r>
      <w:r>
        <w:rPr>
          <w:rFonts w:hint="eastAsia" w:hAnsi="宋体" w:cs="宋体"/>
          <w:color w:val="auto"/>
          <w:szCs w:val="21"/>
          <w:highlight w:val="none"/>
        </w:rPr>
        <w:t>（工程名称）的中标人。我方愿意无条件地、不可撤销地就承包人履行与你方签订的合同，向你方提供连带责任担保。</w:t>
      </w:r>
      <w:r>
        <w:rPr>
          <w:color w:val="auto"/>
          <w:szCs w:val="21"/>
          <w:highlight w:val="none"/>
        </w:rPr>
        <w:t xml:space="preserve"> </w:t>
      </w:r>
    </w:p>
    <w:p w14:paraId="5FAE54E7">
      <w:pPr>
        <w:spacing w:line="360" w:lineRule="auto"/>
        <w:ind w:firstLine="420" w:firstLineChars="200"/>
        <w:outlineLvl w:val="9"/>
        <w:rPr>
          <w:color w:val="auto"/>
          <w:szCs w:val="21"/>
          <w:highlight w:val="none"/>
        </w:rPr>
      </w:pPr>
      <w:r>
        <w:rPr>
          <w:color w:val="auto"/>
          <w:szCs w:val="21"/>
          <w:highlight w:val="none"/>
        </w:rPr>
        <w:t xml:space="preserve">1. </w:t>
      </w:r>
      <w:r>
        <w:rPr>
          <w:rFonts w:hint="eastAsia" w:hAnsi="宋体" w:cs="宋体"/>
          <w:color w:val="auto"/>
          <w:szCs w:val="21"/>
          <w:highlight w:val="none"/>
        </w:rPr>
        <w:t>担保金额人民币（大写）</w:t>
      </w:r>
      <w:r>
        <w:rPr>
          <w:color w:val="auto"/>
          <w:szCs w:val="21"/>
          <w:highlight w:val="none"/>
          <w:u w:val="single"/>
        </w:rPr>
        <w:t xml:space="preserve">                 </w:t>
      </w:r>
      <w:r>
        <w:rPr>
          <w:rFonts w:hint="eastAsia" w:hAnsi="宋体" w:cs="宋体"/>
          <w:color w:val="auto"/>
          <w:szCs w:val="21"/>
          <w:highlight w:val="none"/>
        </w:rPr>
        <w:t>元（</w:t>
      </w:r>
      <w:r>
        <w:rPr>
          <w:color w:val="auto"/>
          <w:szCs w:val="21"/>
          <w:highlight w:val="none"/>
        </w:rPr>
        <w:t>¥</w:t>
      </w:r>
      <w:r>
        <w:rPr>
          <w:color w:val="auto"/>
          <w:szCs w:val="21"/>
          <w:highlight w:val="none"/>
          <w:u w:val="single"/>
        </w:rPr>
        <w:t xml:space="preserve">             </w:t>
      </w:r>
      <w:r>
        <w:rPr>
          <w:rFonts w:hint="eastAsia" w:hAnsi="宋体" w:cs="宋体"/>
          <w:color w:val="auto"/>
          <w:szCs w:val="21"/>
          <w:highlight w:val="none"/>
        </w:rPr>
        <w:t>）。</w:t>
      </w:r>
    </w:p>
    <w:p w14:paraId="781BCF29">
      <w:pPr>
        <w:spacing w:line="360" w:lineRule="auto"/>
        <w:ind w:firstLine="420" w:firstLineChars="200"/>
        <w:outlineLvl w:val="9"/>
        <w:rPr>
          <w:color w:val="auto"/>
          <w:szCs w:val="21"/>
          <w:highlight w:val="none"/>
        </w:rPr>
      </w:pPr>
      <w:r>
        <w:rPr>
          <w:color w:val="auto"/>
          <w:szCs w:val="21"/>
          <w:highlight w:val="none"/>
        </w:rPr>
        <w:t xml:space="preserve">2. </w:t>
      </w:r>
      <w:r>
        <w:rPr>
          <w:rFonts w:hint="eastAsia" w:hAnsi="宋体" w:cs="宋体"/>
          <w:color w:val="auto"/>
          <w:szCs w:val="21"/>
          <w:highlight w:val="none"/>
        </w:rPr>
        <w:t>担保有效期自你方与承包人签订的合同生效之日起至你方签发或应签发工程接收证书之日止。</w:t>
      </w:r>
    </w:p>
    <w:p w14:paraId="5D4249BD">
      <w:pPr>
        <w:spacing w:line="360" w:lineRule="auto"/>
        <w:ind w:firstLine="420" w:firstLineChars="200"/>
        <w:outlineLvl w:val="9"/>
        <w:rPr>
          <w:color w:val="auto"/>
          <w:szCs w:val="21"/>
          <w:highlight w:val="none"/>
        </w:rPr>
      </w:pPr>
      <w:r>
        <w:rPr>
          <w:color w:val="auto"/>
          <w:szCs w:val="21"/>
          <w:highlight w:val="none"/>
        </w:rPr>
        <w:t xml:space="preserve">3. </w:t>
      </w:r>
      <w:r>
        <w:rPr>
          <w:rFonts w:hint="eastAsia" w:hAnsi="宋体" w:cs="宋体"/>
          <w:color w:val="auto"/>
          <w:szCs w:val="21"/>
          <w:highlight w:val="none"/>
        </w:rPr>
        <w:t>在本担保有效期内，因承包人违反合同约定的义务给你方造成经济损失时，我方在收到你方以书面形式提出的在担保金额内的赔偿要求后，在</w:t>
      </w:r>
      <w:r>
        <w:rPr>
          <w:color w:val="auto"/>
          <w:szCs w:val="21"/>
          <w:highlight w:val="none"/>
        </w:rPr>
        <w:t>7</w:t>
      </w:r>
      <w:r>
        <w:rPr>
          <w:rFonts w:hint="eastAsia" w:hAnsi="宋体" w:cs="宋体"/>
          <w:color w:val="auto"/>
          <w:szCs w:val="21"/>
          <w:highlight w:val="none"/>
        </w:rPr>
        <w:t>天内无条件支付。</w:t>
      </w:r>
    </w:p>
    <w:p w14:paraId="5257A572">
      <w:pPr>
        <w:spacing w:line="360" w:lineRule="auto"/>
        <w:ind w:firstLine="420" w:firstLineChars="200"/>
        <w:outlineLvl w:val="9"/>
        <w:rPr>
          <w:color w:val="auto"/>
          <w:szCs w:val="21"/>
          <w:highlight w:val="none"/>
        </w:rPr>
      </w:pPr>
      <w:r>
        <w:rPr>
          <w:color w:val="auto"/>
          <w:szCs w:val="21"/>
          <w:highlight w:val="none"/>
        </w:rPr>
        <w:t xml:space="preserve">4. </w:t>
      </w:r>
      <w:r>
        <w:rPr>
          <w:rFonts w:hint="eastAsia" w:hAnsi="宋体" w:cs="宋体"/>
          <w:color w:val="auto"/>
          <w:szCs w:val="21"/>
          <w:highlight w:val="none"/>
        </w:rPr>
        <w:t>你方和承包人按合同约定变更合同时，我方承担本担保规定的义务不变。</w:t>
      </w:r>
    </w:p>
    <w:p w14:paraId="6BCF47E7">
      <w:pPr>
        <w:spacing w:line="360" w:lineRule="auto"/>
        <w:ind w:firstLine="420" w:firstLineChars="200"/>
        <w:outlineLvl w:val="9"/>
        <w:rPr>
          <w:color w:val="auto"/>
          <w:szCs w:val="21"/>
          <w:highlight w:val="none"/>
        </w:rPr>
      </w:pPr>
      <w:r>
        <w:rPr>
          <w:color w:val="auto"/>
          <w:szCs w:val="21"/>
          <w:highlight w:val="none"/>
        </w:rPr>
        <w:t xml:space="preserve">5. </w:t>
      </w:r>
      <w:r>
        <w:rPr>
          <w:rFonts w:hint="eastAsia" w:hAnsi="宋体" w:cs="宋体"/>
          <w:color w:val="auto"/>
          <w:szCs w:val="21"/>
          <w:highlight w:val="none"/>
        </w:rPr>
        <w:t>因本保函发生的纠纷，可由双方协商解决，协商不成的，任何一方均可提请</w:t>
      </w:r>
      <w:r>
        <w:rPr>
          <w:color w:val="auto"/>
          <w:szCs w:val="21"/>
          <w:highlight w:val="none"/>
          <w:u w:val="single"/>
        </w:rPr>
        <w:t xml:space="preserve">      </w:t>
      </w:r>
      <w:r>
        <w:rPr>
          <w:rFonts w:hint="eastAsia" w:hAnsi="宋体" w:cs="宋体"/>
          <w:color w:val="auto"/>
          <w:szCs w:val="21"/>
          <w:highlight w:val="none"/>
        </w:rPr>
        <w:t>仲裁委员会仲裁。</w:t>
      </w:r>
    </w:p>
    <w:p w14:paraId="08EF64A8">
      <w:pPr>
        <w:spacing w:line="360" w:lineRule="auto"/>
        <w:ind w:firstLine="420" w:firstLineChars="200"/>
        <w:outlineLvl w:val="9"/>
        <w:rPr>
          <w:color w:val="auto"/>
          <w:szCs w:val="21"/>
          <w:highlight w:val="none"/>
        </w:rPr>
      </w:pPr>
      <w:r>
        <w:rPr>
          <w:color w:val="auto"/>
          <w:szCs w:val="21"/>
          <w:highlight w:val="none"/>
        </w:rPr>
        <w:t xml:space="preserve">6. </w:t>
      </w:r>
      <w:r>
        <w:rPr>
          <w:rFonts w:hint="eastAsia" w:hAnsi="宋体" w:cs="宋体"/>
          <w:color w:val="auto"/>
          <w:szCs w:val="21"/>
          <w:highlight w:val="none"/>
        </w:rPr>
        <w:t>本保函自我方法定代表人（或其授权代理人）签字并加盖公章之日起生效。</w:t>
      </w:r>
    </w:p>
    <w:p w14:paraId="1DCE9A8D">
      <w:pPr>
        <w:spacing w:line="360" w:lineRule="auto"/>
        <w:outlineLvl w:val="9"/>
        <w:rPr>
          <w:color w:val="auto"/>
          <w:szCs w:val="21"/>
          <w:highlight w:val="none"/>
        </w:rPr>
      </w:pPr>
    </w:p>
    <w:p w14:paraId="64E9FF1E">
      <w:pPr>
        <w:spacing w:line="360" w:lineRule="auto"/>
        <w:outlineLvl w:val="9"/>
        <w:rPr>
          <w:color w:val="auto"/>
          <w:szCs w:val="21"/>
          <w:highlight w:val="none"/>
        </w:rPr>
      </w:pPr>
      <w:r>
        <w:rPr>
          <w:rFonts w:hint="eastAsia" w:hAnsi="宋体" w:cs="宋体"/>
          <w:color w:val="auto"/>
          <w:szCs w:val="21"/>
          <w:highlight w:val="none"/>
        </w:rPr>
        <w:t>担</w:t>
      </w:r>
      <w:r>
        <w:rPr>
          <w:color w:val="auto"/>
          <w:szCs w:val="21"/>
          <w:highlight w:val="none"/>
        </w:rPr>
        <w:t xml:space="preserve"> </w:t>
      </w:r>
      <w:r>
        <w:rPr>
          <w:rFonts w:hint="eastAsia" w:hAnsi="宋体" w:cs="宋体"/>
          <w:color w:val="auto"/>
          <w:szCs w:val="21"/>
          <w:highlight w:val="none"/>
        </w:rPr>
        <w:t>保</w:t>
      </w:r>
      <w:r>
        <w:rPr>
          <w:color w:val="auto"/>
          <w:szCs w:val="21"/>
          <w:highlight w:val="none"/>
        </w:rPr>
        <w:t xml:space="preserve"> </w:t>
      </w:r>
      <w:r>
        <w:rPr>
          <w:rFonts w:hint="eastAsia" w:hAnsi="宋体" w:cs="宋体"/>
          <w:color w:val="auto"/>
          <w:szCs w:val="21"/>
          <w:highlight w:val="none"/>
        </w:rPr>
        <w:t>人：</w:t>
      </w:r>
      <w:r>
        <w:rPr>
          <w:color w:val="auto"/>
          <w:szCs w:val="21"/>
          <w:highlight w:val="none"/>
          <w:u w:val="single"/>
        </w:rPr>
        <w:t xml:space="preserve">                           </w:t>
      </w:r>
      <w:r>
        <w:rPr>
          <w:rFonts w:hint="eastAsia" w:hAnsi="宋体" w:cs="宋体"/>
          <w:color w:val="auto"/>
          <w:szCs w:val="21"/>
          <w:highlight w:val="none"/>
        </w:rPr>
        <w:t>（盖单位章）</w:t>
      </w:r>
    </w:p>
    <w:p w14:paraId="6887F9EF">
      <w:pPr>
        <w:spacing w:line="360" w:lineRule="auto"/>
        <w:outlineLvl w:val="9"/>
        <w:rPr>
          <w:color w:val="auto"/>
          <w:szCs w:val="21"/>
          <w:highlight w:val="none"/>
        </w:rPr>
      </w:pPr>
      <w:r>
        <w:rPr>
          <w:rFonts w:hint="eastAsia" w:hAnsi="宋体" w:cs="宋体"/>
          <w:color w:val="auto"/>
          <w:szCs w:val="21"/>
          <w:highlight w:val="none"/>
        </w:rPr>
        <w:t>法定代表人或其委托代理人：</w:t>
      </w:r>
      <w:r>
        <w:rPr>
          <w:color w:val="auto"/>
          <w:szCs w:val="21"/>
          <w:highlight w:val="none"/>
          <w:u w:val="single"/>
        </w:rPr>
        <w:t xml:space="preserve">               </w:t>
      </w:r>
      <w:r>
        <w:rPr>
          <w:rFonts w:hint="eastAsia" w:hAnsi="宋体" w:cs="宋体"/>
          <w:color w:val="auto"/>
          <w:szCs w:val="21"/>
          <w:highlight w:val="none"/>
        </w:rPr>
        <w:t>（签字）</w:t>
      </w:r>
    </w:p>
    <w:p w14:paraId="15668FE7">
      <w:pPr>
        <w:spacing w:line="360" w:lineRule="auto"/>
        <w:outlineLvl w:val="9"/>
        <w:rPr>
          <w:color w:val="auto"/>
          <w:szCs w:val="21"/>
          <w:highlight w:val="none"/>
        </w:rPr>
      </w:pP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p>
    <w:p w14:paraId="09B2BF65">
      <w:pPr>
        <w:spacing w:line="360" w:lineRule="auto"/>
        <w:outlineLvl w:val="9"/>
        <w:rPr>
          <w:color w:val="auto"/>
          <w:szCs w:val="21"/>
          <w:highlight w:val="none"/>
        </w:rPr>
      </w:pPr>
      <w:r>
        <w:rPr>
          <w:rFonts w:hint="eastAsia" w:hAnsi="宋体" w:cs="宋体"/>
          <w:color w:val="auto"/>
          <w:szCs w:val="21"/>
          <w:highlight w:val="none"/>
        </w:rPr>
        <w:t>邮政编码：</w:t>
      </w:r>
      <w:r>
        <w:rPr>
          <w:color w:val="auto"/>
          <w:szCs w:val="21"/>
          <w:highlight w:val="none"/>
          <w:u w:val="single"/>
        </w:rPr>
        <w:t xml:space="preserve">                                      </w:t>
      </w:r>
    </w:p>
    <w:p w14:paraId="106C36A8">
      <w:pPr>
        <w:spacing w:line="360" w:lineRule="auto"/>
        <w:outlineLvl w:val="9"/>
        <w:rPr>
          <w:color w:val="auto"/>
          <w:szCs w:val="21"/>
          <w:highlight w:val="none"/>
          <w:u w:val="single"/>
        </w:rPr>
      </w:pPr>
      <w:r>
        <w:rPr>
          <w:rFonts w:hint="eastAsia" w:hAnsi="宋体" w:cs="宋体"/>
          <w:color w:val="auto"/>
          <w:szCs w:val="21"/>
          <w:highlight w:val="none"/>
        </w:rPr>
        <w:t>电</w:t>
      </w:r>
      <w:r>
        <w:rPr>
          <w:color w:val="auto"/>
          <w:szCs w:val="21"/>
          <w:highlight w:val="none"/>
        </w:rPr>
        <w:t xml:space="preserve">    </w:t>
      </w:r>
      <w:r>
        <w:rPr>
          <w:rFonts w:hint="eastAsia" w:hAnsi="宋体" w:cs="宋体"/>
          <w:color w:val="auto"/>
          <w:szCs w:val="21"/>
          <w:highlight w:val="none"/>
        </w:rPr>
        <w:t>话：</w:t>
      </w:r>
      <w:r>
        <w:rPr>
          <w:color w:val="auto"/>
          <w:szCs w:val="21"/>
          <w:highlight w:val="none"/>
          <w:u w:val="single"/>
        </w:rPr>
        <w:t xml:space="preserve">                                      </w:t>
      </w:r>
    </w:p>
    <w:p w14:paraId="676DDEE2">
      <w:pPr>
        <w:spacing w:line="360" w:lineRule="auto"/>
        <w:outlineLvl w:val="9"/>
        <w:rPr>
          <w:color w:val="auto"/>
          <w:szCs w:val="21"/>
          <w:highlight w:val="none"/>
        </w:rPr>
      </w:pP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p>
    <w:p w14:paraId="2AAE2E2F">
      <w:pPr>
        <w:spacing w:line="360" w:lineRule="auto"/>
        <w:jc w:val="left"/>
        <w:outlineLvl w:val="9"/>
        <w:rPr>
          <w:color w:val="auto"/>
          <w:szCs w:val="21"/>
          <w:highlight w:val="none"/>
          <w:u w:val="single"/>
        </w:rPr>
      </w:pPr>
    </w:p>
    <w:p w14:paraId="72192746">
      <w:pPr>
        <w:spacing w:line="360" w:lineRule="auto"/>
        <w:ind w:left="1329" w:hanging="1329" w:hangingChars="633"/>
        <w:outlineLvl w:val="9"/>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w:t>
      </w:r>
    </w:p>
    <w:p w14:paraId="35AF3057">
      <w:pPr>
        <w:spacing w:line="360" w:lineRule="auto"/>
        <w:ind w:left="1329" w:hanging="1329" w:hangingChars="633"/>
        <w:outlineLvl w:val="9"/>
        <w:rPr>
          <w:color w:val="auto"/>
          <w:szCs w:val="21"/>
          <w:highlight w:val="none"/>
        </w:rPr>
      </w:pPr>
    </w:p>
    <w:p w14:paraId="44B52423">
      <w:pPr>
        <w:spacing w:line="360" w:lineRule="auto"/>
        <w:ind w:left="1329" w:hanging="1329" w:hangingChars="633"/>
        <w:outlineLvl w:val="9"/>
        <w:rPr>
          <w:color w:val="auto"/>
          <w:szCs w:val="21"/>
          <w:highlight w:val="none"/>
        </w:rPr>
      </w:pPr>
    </w:p>
    <w:p w14:paraId="039BEE25">
      <w:pPr>
        <w:spacing w:line="360" w:lineRule="auto"/>
        <w:ind w:left="1329" w:hanging="1329" w:hangingChars="633"/>
        <w:outlineLvl w:val="9"/>
        <w:rPr>
          <w:color w:val="auto"/>
          <w:szCs w:val="21"/>
          <w:highlight w:val="none"/>
        </w:rPr>
      </w:pPr>
    </w:p>
    <w:p w14:paraId="1FE1ED9B">
      <w:pPr>
        <w:spacing w:line="360" w:lineRule="auto"/>
        <w:ind w:left="1329" w:hanging="1329" w:hangingChars="633"/>
        <w:outlineLvl w:val="9"/>
        <w:rPr>
          <w:color w:val="auto"/>
          <w:szCs w:val="21"/>
          <w:highlight w:val="none"/>
        </w:rPr>
      </w:pPr>
    </w:p>
    <w:p w14:paraId="0BC6D208">
      <w:pPr>
        <w:spacing w:line="360" w:lineRule="auto"/>
        <w:ind w:left="1329" w:hanging="1329" w:hangingChars="633"/>
        <w:outlineLvl w:val="9"/>
        <w:rPr>
          <w:color w:val="auto"/>
          <w:szCs w:val="21"/>
          <w:highlight w:val="none"/>
        </w:rPr>
      </w:pPr>
    </w:p>
    <w:p w14:paraId="02FAA088">
      <w:pPr>
        <w:spacing w:line="360" w:lineRule="auto"/>
        <w:ind w:left="1329" w:hanging="1329" w:hangingChars="633"/>
        <w:outlineLvl w:val="9"/>
        <w:rPr>
          <w:color w:val="auto"/>
          <w:szCs w:val="21"/>
          <w:highlight w:val="none"/>
        </w:rPr>
      </w:pPr>
    </w:p>
    <w:p w14:paraId="4DDD9CBF">
      <w:pPr>
        <w:spacing w:line="360" w:lineRule="auto"/>
        <w:ind w:left="1329" w:hanging="1329" w:hangingChars="633"/>
        <w:outlineLvl w:val="9"/>
        <w:rPr>
          <w:color w:val="auto"/>
          <w:szCs w:val="21"/>
          <w:highlight w:val="none"/>
        </w:rPr>
      </w:pPr>
    </w:p>
    <w:p w14:paraId="43B9BD3E">
      <w:pPr>
        <w:spacing w:line="440" w:lineRule="exact"/>
        <w:outlineLvl w:val="9"/>
        <w:rPr>
          <w:rFonts w:eastAsia="仿宋_GB2312" w:cs="仿宋_GB2312"/>
          <w:color w:val="auto"/>
          <w:sz w:val="30"/>
          <w:szCs w:val="30"/>
          <w:highlight w:val="none"/>
        </w:rPr>
      </w:pPr>
    </w:p>
    <w:p w14:paraId="59F05961">
      <w:pPr>
        <w:spacing w:line="440" w:lineRule="exact"/>
        <w:outlineLvl w:val="9"/>
        <w:rPr>
          <w:rFonts w:eastAsia="仿宋_GB2312" w:cs="仿宋_GB2312"/>
          <w:color w:val="auto"/>
          <w:sz w:val="30"/>
          <w:szCs w:val="30"/>
          <w:highlight w:val="none"/>
        </w:rPr>
      </w:pPr>
    </w:p>
    <w:p w14:paraId="0DC93358">
      <w:pPr>
        <w:spacing w:line="440" w:lineRule="exact"/>
        <w:outlineLvl w:val="9"/>
        <w:rPr>
          <w:rFonts w:eastAsia="仿宋_GB2312" w:cs="仿宋_GB2312"/>
          <w:color w:val="auto"/>
          <w:sz w:val="30"/>
          <w:szCs w:val="30"/>
          <w:highlight w:val="none"/>
        </w:rPr>
      </w:pPr>
    </w:p>
    <w:p w14:paraId="58EF7F54">
      <w:pPr>
        <w:spacing w:line="440" w:lineRule="exact"/>
        <w:outlineLvl w:val="9"/>
        <w:rPr>
          <w:rFonts w:eastAsia="仿宋_GB2312" w:cs="仿宋_GB2312"/>
          <w:color w:val="auto"/>
          <w:sz w:val="30"/>
          <w:szCs w:val="30"/>
          <w:highlight w:val="none"/>
        </w:rPr>
      </w:pPr>
    </w:p>
    <w:p w14:paraId="599A35D7">
      <w:pPr>
        <w:spacing w:line="440" w:lineRule="exact"/>
        <w:outlineLvl w:val="9"/>
        <w:rPr>
          <w:rFonts w:eastAsia="仿宋_GB2312" w:cs="仿宋_GB2312"/>
          <w:color w:val="auto"/>
          <w:sz w:val="30"/>
          <w:szCs w:val="30"/>
          <w:highlight w:val="none"/>
        </w:rPr>
      </w:pPr>
    </w:p>
    <w:p w14:paraId="185F84EB">
      <w:pPr>
        <w:spacing w:line="440" w:lineRule="exact"/>
        <w:outlineLvl w:val="9"/>
        <w:rPr>
          <w:rFonts w:eastAsia="黑体"/>
          <w:color w:val="auto"/>
          <w:sz w:val="30"/>
          <w:szCs w:val="30"/>
          <w:highlight w:val="none"/>
        </w:rPr>
      </w:pPr>
      <w:r>
        <w:rPr>
          <w:rFonts w:hint="eastAsia" w:eastAsia="仿宋_GB2312" w:cs="仿宋_GB2312"/>
          <w:color w:val="auto"/>
          <w:sz w:val="30"/>
          <w:szCs w:val="30"/>
          <w:highlight w:val="none"/>
        </w:rPr>
        <w:t>附</w:t>
      </w:r>
      <w:bookmarkStart w:id="1865" w:name="_Toc296891053"/>
      <w:bookmarkStart w:id="1866" w:name="_Toc296346726"/>
      <w:bookmarkStart w:id="1867" w:name="_Toc296944564"/>
      <w:bookmarkStart w:id="1868" w:name="_Toc267261692"/>
      <w:bookmarkStart w:id="1869" w:name="_Toc296347224"/>
      <w:bookmarkStart w:id="1870" w:name="_Toc296891265"/>
      <w:bookmarkStart w:id="1871" w:name="_Toc296503225"/>
      <w:r>
        <w:rPr>
          <w:rFonts w:hint="eastAsia" w:eastAsia="仿宋_GB2312" w:cs="仿宋_GB2312"/>
          <w:color w:val="auto"/>
          <w:sz w:val="30"/>
          <w:szCs w:val="30"/>
          <w:highlight w:val="none"/>
        </w:rPr>
        <w:t>件</w:t>
      </w:r>
      <w:r>
        <w:rPr>
          <w:rFonts w:eastAsia="仿宋_GB2312"/>
          <w:color w:val="auto"/>
          <w:sz w:val="30"/>
          <w:szCs w:val="30"/>
          <w:highlight w:val="none"/>
        </w:rPr>
        <w:t>6</w:t>
      </w:r>
      <w:r>
        <w:rPr>
          <w:rFonts w:hint="eastAsia" w:eastAsia="仿宋_GB2312" w:cs="仿宋_GB2312"/>
          <w:color w:val="auto"/>
          <w:sz w:val="30"/>
          <w:szCs w:val="30"/>
          <w:highlight w:val="none"/>
        </w:rPr>
        <w:t>：</w:t>
      </w:r>
    </w:p>
    <w:bookmarkEnd w:id="1865"/>
    <w:bookmarkEnd w:id="1866"/>
    <w:bookmarkEnd w:id="1867"/>
    <w:bookmarkEnd w:id="1868"/>
    <w:bookmarkEnd w:id="1869"/>
    <w:bookmarkEnd w:id="1870"/>
    <w:bookmarkEnd w:id="1871"/>
    <w:p w14:paraId="513C45A3">
      <w:pPr>
        <w:spacing w:before="120" w:beforeLines="50" w:after="120" w:afterLines="50" w:line="440" w:lineRule="exact"/>
        <w:jc w:val="center"/>
        <w:outlineLvl w:val="9"/>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8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120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0C665B15">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序号</w:t>
            </w:r>
          </w:p>
        </w:tc>
        <w:tc>
          <w:tcPr>
            <w:tcW w:w="1418" w:type="dxa"/>
            <w:vAlign w:val="center"/>
          </w:tcPr>
          <w:p w14:paraId="19D66D70">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机械或设备名称</w:t>
            </w:r>
          </w:p>
        </w:tc>
        <w:tc>
          <w:tcPr>
            <w:tcW w:w="850" w:type="dxa"/>
            <w:vAlign w:val="center"/>
          </w:tcPr>
          <w:p w14:paraId="3FEBB49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规格型号</w:t>
            </w:r>
          </w:p>
        </w:tc>
        <w:tc>
          <w:tcPr>
            <w:tcW w:w="1058" w:type="dxa"/>
            <w:vAlign w:val="center"/>
          </w:tcPr>
          <w:p w14:paraId="48F6CB35">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数量</w:t>
            </w:r>
          </w:p>
        </w:tc>
        <w:tc>
          <w:tcPr>
            <w:tcW w:w="880" w:type="dxa"/>
            <w:vAlign w:val="center"/>
          </w:tcPr>
          <w:p w14:paraId="66C4AE4E">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产地</w:t>
            </w:r>
          </w:p>
        </w:tc>
        <w:tc>
          <w:tcPr>
            <w:tcW w:w="1020" w:type="dxa"/>
            <w:vAlign w:val="center"/>
          </w:tcPr>
          <w:p w14:paraId="1E3810DD">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制造年份</w:t>
            </w:r>
          </w:p>
        </w:tc>
        <w:tc>
          <w:tcPr>
            <w:tcW w:w="1480" w:type="dxa"/>
            <w:vAlign w:val="center"/>
          </w:tcPr>
          <w:p w14:paraId="250F2356">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额定功率（</w:t>
            </w:r>
            <w:r>
              <w:rPr>
                <w:rFonts w:ascii="Calibri" w:hAnsi="Calibri" w:eastAsia="仿宋_GB2312"/>
                <w:color w:val="auto"/>
                <w:sz w:val="28"/>
                <w:szCs w:val="28"/>
                <w:highlight w:val="none"/>
              </w:rPr>
              <w:t>kW</w:t>
            </w:r>
            <w:r>
              <w:rPr>
                <w:rFonts w:hint="eastAsia" w:ascii="Calibri" w:hAnsi="Calibri" w:eastAsia="仿宋_GB2312" w:cs="仿宋_GB2312"/>
                <w:color w:val="auto"/>
                <w:sz w:val="28"/>
                <w:szCs w:val="28"/>
                <w:highlight w:val="none"/>
              </w:rPr>
              <w:t>）</w:t>
            </w:r>
          </w:p>
        </w:tc>
        <w:tc>
          <w:tcPr>
            <w:tcW w:w="1020" w:type="dxa"/>
            <w:vAlign w:val="center"/>
          </w:tcPr>
          <w:p w14:paraId="7CF88750">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生产能力</w:t>
            </w:r>
          </w:p>
        </w:tc>
        <w:tc>
          <w:tcPr>
            <w:tcW w:w="921" w:type="dxa"/>
            <w:vAlign w:val="center"/>
          </w:tcPr>
          <w:p w14:paraId="798E39CC">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备注</w:t>
            </w:r>
          </w:p>
        </w:tc>
      </w:tr>
      <w:tr w14:paraId="1E51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860ED9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8" w:type="dxa"/>
            <w:vAlign w:val="center"/>
          </w:tcPr>
          <w:p w14:paraId="32DED01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092BCA1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58" w:type="dxa"/>
            <w:vAlign w:val="center"/>
          </w:tcPr>
          <w:p w14:paraId="1A5EB02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80" w:type="dxa"/>
            <w:vAlign w:val="center"/>
          </w:tcPr>
          <w:p w14:paraId="6001F7E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251F271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80" w:type="dxa"/>
            <w:vAlign w:val="center"/>
          </w:tcPr>
          <w:p w14:paraId="15BBCBA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59C6E6D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921" w:type="dxa"/>
            <w:vAlign w:val="center"/>
          </w:tcPr>
          <w:p w14:paraId="6A06A8C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66C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73A955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8" w:type="dxa"/>
            <w:vAlign w:val="center"/>
          </w:tcPr>
          <w:p w14:paraId="220808A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2F5F527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58" w:type="dxa"/>
            <w:vAlign w:val="center"/>
          </w:tcPr>
          <w:p w14:paraId="7ACE03D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80" w:type="dxa"/>
            <w:vAlign w:val="center"/>
          </w:tcPr>
          <w:p w14:paraId="751049C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177C4EB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80" w:type="dxa"/>
            <w:vAlign w:val="center"/>
          </w:tcPr>
          <w:p w14:paraId="5E6CD6F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09D14BA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921" w:type="dxa"/>
            <w:vAlign w:val="center"/>
          </w:tcPr>
          <w:p w14:paraId="3A2F027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7BC1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B6FD6A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8" w:type="dxa"/>
            <w:vAlign w:val="center"/>
          </w:tcPr>
          <w:p w14:paraId="374103D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C9D066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58" w:type="dxa"/>
            <w:vAlign w:val="center"/>
          </w:tcPr>
          <w:p w14:paraId="4CDE81D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80" w:type="dxa"/>
            <w:vAlign w:val="center"/>
          </w:tcPr>
          <w:p w14:paraId="05D3302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000A22F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80" w:type="dxa"/>
            <w:vAlign w:val="center"/>
          </w:tcPr>
          <w:p w14:paraId="43FC2C5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6463656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921" w:type="dxa"/>
            <w:vAlign w:val="center"/>
          </w:tcPr>
          <w:p w14:paraId="23BF9EA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0B40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2529ED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8" w:type="dxa"/>
            <w:vAlign w:val="center"/>
          </w:tcPr>
          <w:p w14:paraId="3914A45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7CF4AE6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58" w:type="dxa"/>
            <w:vAlign w:val="center"/>
          </w:tcPr>
          <w:p w14:paraId="50ED779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80" w:type="dxa"/>
            <w:vAlign w:val="center"/>
          </w:tcPr>
          <w:p w14:paraId="36AC046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53C627D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80" w:type="dxa"/>
            <w:vAlign w:val="center"/>
          </w:tcPr>
          <w:p w14:paraId="7036E4F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252C9C9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921" w:type="dxa"/>
            <w:vAlign w:val="center"/>
          </w:tcPr>
          <w:p w14:paraId="4350C11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3289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0CA210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8" w:type="dxa"/>
            <w:vAlign w:val="center"/>
          </w:tcPr>
          <w:p w14:paraId="7DF19BA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2917E9C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58" w:type="dxa"/>
            <w:vAlign w:val="center"/>
          </w:tcPr>
          <w:p w14:paraId="75919D9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80" w:type="dxa"/>
            <w:vAlign w:val="center"/>
          </w:tcPr>
          <w:p w14:paraId="78EA746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061C369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80" w:type="dxa"/>
            <w:vAlign w:val="center"/>
          </w:tcPr>
          <w:p w14:paraId="293DBE8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2BE3B62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921" w:type="dxa"/>
            <w:vAlign w:val="center"/>
          </w:tcPr>
          <w:p w14:paraId="73D19F3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C76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FCB298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8" w:type="dxa"/>
            <w:vAlign w:val="center"/>
          </w:tcPr>
          <w:p w14:paraId="364EF82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6F5FD7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58" w:type="dxa"/>
            <w:vAlign w:val="center"/>
          </w:tcPr>
          <w:p w14:paraId="1C3BE86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80" w:type="dxa"/>
            <w:vAlign w:val="center"/>
          </w:tcPr>
          <w:p w14:paraId="5AEF414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79F481F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80" w:type="dxa"/>
            <w:vAlign w:val="center"/>
          </w:tcPr>
          <w:p w14:paraId="0C80F6D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625A153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921" w:type="dxa"/>
            <w:vAlign w:val="center"/>
          </w:tcPr>
          <w:p w14:paraId="6C02974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EBE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3008B1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8" w:type="dxa"/>
            <w:vAlign w:val="center"/>
          </w:tcPr>
          <w:p w14:paraId="67E44B5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E7C172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58" w:type="dxa"/>
            <w:vAlign w:val="center"/>
          </w:tcPr>
          <w:p w14:paraId="7EB0171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80" w:type="dxa"/>
            <w:vAlign w:val="center"/>
          </w:tcPr>
          <w:p w14:paraId="5F502A0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798AEB3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80" w:type="dxa"/>
            <w:vAlign w:val="center"/>
          </w:tcPr>
          <w:p w14:paraId="2DF9C16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58CD348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921" w:type="dxa"/>
            <w:vAlign w:val="center"/>
          </w:tcPr>
          <w:p w14:paraId="3E70484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0A1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E6ED03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8" w:type="dxa"/>
            <w:vAlign w:val="center"/>
          </w:tcPr>
          <w:p w14:paraId="732CB40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DCAD32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58" w:type="dxa"/>
            <w:vAlign w:val="center"/>
          </w:tcPr>
          <w:p w14:paraId="7F85F28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80" w:type="dxa"/>
            <w:vAlign w:val="center"/>
          </w:tcPr>
          <w:p w14:paraId="1D1AB84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374E18F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80" w:type="dxa"/>
            <w:vAlign w:val="center"/>
          </w:tcPr>
          <w:p w14:paraId="11E009E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7044F95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921" w:type="dxa"/>
            <w:vAlign w:val="center"/>
          </w:tcPr>
          <w:p w14:paraId="7E485FD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5D47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31A67B6">
            <w:pPr>
              <w:outlineLvl w:val="9"/>
              <w:rPr>
                <w:rFonts w:eastAsia="仿宋_GB2312"/>
                <w:color w:val="auto"/>
                <w:sz w:val="30"/>
                <w:szCs w:val="30"/>
                <w:highlight w:val="none"/>
              </w:rPr>
            </w:pPr>
          </w:p>
        </w:tc>
        <w:tc>
          <w:tcPr>
            <w:tcW w:w="1418" w:type="dxa"/>
          </w:tcPr>
          <w:p w14:paraId="31B7586A">
            <w:pPr>
              <w:outlineLvl w:val="9"/>
              <w:rPr>
                <w:rFonts w:eastAsia="仿宋_GB2312"/>
                <w:color w:val="auto"/>
                <w:sz w:val="30"/>
                <w:szCs w:val="30"/>
                <w:highlight w:val="none"/>
              </w:rPr>
            </w:pPr>
          </w:p>
        </w:tc>
        <w:tc>
          <w:tcPr>
            <w:tcW w:w="850" w:type="dxa"/>
          </w:tcPr>
          <w:p w14:paraId="2F34B3F2">
            <w:pPr>
              <w:outlineLvl w:val="9"/>
              <w:rPr>
                <w:rFonts w:eastAsia="仿宋_GB2312"/>
                <w:color w:val="auto"/>
                <w:sz w:val="30"/>
                <w:szCs w:val="30"/>
                <w:highlight w:val="none"/>
              </w:rPr>
            </w:pPr>
          </w:p>
        </w:tc>
        <w:tc>
          <w:tcPr>
            <w:tcW w:w="1058" w:type="dxa"/>
          </w:tcPr>
          <w:p w14:paraId="4FA13F4B">
            <w:pPr>
              <w:outlineLvl w:val="9"/>
              <w:rPr>
                <w:rFonts w:eastAsia="仿宋_GB2312"/>
                <w:color w:val="auto"/>
                <w:sz w:val="30"/>
                <w:szCs w:val="30"/>
                <w:highlight w:val="none"/>
              </w:rPr>
            </w:pPr>
          </w:p>
        </w:tc>
        <w:tc>
          <w:tcPr>
            <w:tcW w:w="880" w:type="dxa"/>
          </w:tcPr>
          <w:p w14:paraId="2255454E">
            <w:pPr>
              <w:outlineLvl w:val="9"/>
              <w:rPr>
                <w:rFonts w:eastAsia="仿宋_GB2312"/>
                <w:color w:val="auto"/>
                <w:sz w:val="30"/>
                <w:szCs w:val="30"/>
                <w:highlight w:val="none"/>
              </w:rPr>
            </w:pPr>
          </w:p>
        </w:tc>
        <w:tc>
          <w:tcPr>
            <w:tcW w:w="1020" w:type="dxa"/>
          </w:tcPr>
          <w:p w14:paraId="0A4FDCBD">
            <w:pPr>
              <w:outlineLvl w:val="9"/>
              <w:rPr>
                <w:rFonts w:eastAsia="仿宋_GB2312"/>
                <w:color w:val="auto"/>
                <w:sz w:val="30"/>
                <w:szCs w:val="30"/>
                <w:highlight w:val="none"/>
              </w:rPr>
            </w:pPr>
          </w:p>
        </w:tc>
        <w:tc>
          <w:tcPr>
            <w:tcW w:w="1480" w:type="dxa"/>
          </w:tcPr>
          <w:p w14:paraId="0E431E81">
            <w:pPr>
              <w:outlineLvl w:val="9"/>
              <w:rPr>
                <w:rFonts w:eastAsia="仿宋_GB2312"/>
                <w:color w:val="auto"/>
                <w:sz w:val="30"/>
                <w:szCs w:val="30"/>
                <w:highlight w:val="none"/>
              </w:rPr>
            </w:pPr>
          </w:p>
        </w:tc>
        <w:tc>
          <w:tcPr>
            <w:tcW w:w="1020" w:type="dxa"/>
          </w:tcPr>
          <w:p w14:paraId="6FBDE374">
            <w:pPr>
              <w:outlineLvl w:val="9"/>
              <w:rPr>
                <w:rFonts w:eastAsia="仿宋_GB2312"/>
                <w:color w:val="auto"/>
                <w:sz w:val="30"/>
                <w:szCs w:val="30"/>
                <w:highlight w:val="none"/>
              </w:rPr>
            </w:pPr>
          </w:p>
        </w:tc>
        <w:tc>
          <w:tcPr>
            <w:tcW w:w="921" w:type="dxa"/>
          </w:tcPr>
          <w:p w14:paraId="156329BD">
            <w:pPr>
              <w:outlineLvl w:val="9"/>
              <w:rPr>
                <w:rFonts w:eastAsia="仿宋_GB2312"/>
                <w:color w:val="auto"/>
                <w:sz w:val="30"/>
                <w:szCs w:val="30"/>
                <w:highlight w:val="none"/>
              </w:rPr>
            </w:pPr>
          </w:p>
        </w:tc>
      </w:tr>
      <w:tr w14:paraId="0122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7932EA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8" w:type="dxa"/>
            <w:vAlign w:val="center"/>
          </w:tcPr>
          <w:p w14:paraId="3CE006D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43FA6C4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58" w:type="dxa"/>
            <w:vAlign w:val="center"/>
          </w:tcPr>
          <w:p w14:paraId="35F3530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80" w:type="dxa"/>
            <w:vAlign w:val="center"/>
          </w:tcPr>
          <w:p w14:paraId="169A929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581862A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80" w:type="dxa"/>
            <w:vAlign w:val="center"/>
          </w:tcPr>
          <w:p w14:paraId="6FB0BD8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020" w:type="dxa"/>
            <w:vAlign w:val="center"/>
          </w:tcPr>
          <w:p w14:paraId="5214E49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921" w:type="dxa"/>
            <w:vAlign w:val="center"/>
          </w:tcPr>
          <w:p w14:paraId="5830AD5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3C30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81FCB60">
            <w:pPr>
              <w:outlineLvl w:val="9"/>
              <w:rPr>
                <w:rFonts w:eastAsia="仿宋_GB2312"/>
                <w:color w:val="auto"/>
                <w:sz w:val="30"/>
                <w:szCs w:val="30"/>
                <w:highlight w:val="none"/>
              </w:rPr>
            </w:pPr>
          </w:p>
        </w:tc>
        <w:tc>
          <w:tcPr>
            <w:tcW w:w="1418" w:type="dxa"/>
          </w:tcPr>
          <w:p w14:paraId="16F19A94">
            <w:pPr>
              <w:outlineLvl w:val="9"/>
              <w:rPr>
                <w:rFonts w:eastAsia="仿宋_GB2312"/>
                <w:color w:val="auto"/>
                <w:sz w:val="30"/>
                <w:szCs w:val="30"/>
                <w:highlight w:val="none"/>
              </w:rPr>
            </w:pPr>
          </w:p>
        </w:tc>
        <w:tc>
          <w:tcPr>
            <w:tcW w:w="850" w:type="dxa"/>
          </w:tcPr>
          <w:p w14:paraId="4BF7DFDB">
            <w:pPr>
              <w:outlineLvl w:val="9"/>
              <w:rPr>
                <w:rFonts w:eastAsia="仿宋_GB2312"/>
                <w:color w:val="auto"/>
                <w:sz w:val="30"/>
                <w:szCs w:val="30"/>
                <w:highlight w:val="none"/>
              </w:rPr>
            </w:pPr>
          </w:p>
        </w:tc>
        <w:tc>
          <w:tcPr>
            <w:tcW w:w="1058" w:type="dxa"/>
          </w:tcPr>
          <w:p w14:paraId="5B2C5884">
            <w:pPr>
              <w:outlineLvl w:val="9"/>
              <w:rPr>
                <w:rFonts w:eastAsia="仿宋_GB2312"/>
                <w:color w:val="auto"/>
                <w:sz w:val="30"/>
                <w:szCs w:val="30"/>
                <w:highlight w:val="none"/>
              </w:rPr>
            </w:pPr>
          </w:p>
        </w:tc>
        <w:tc>
          <w:tcPr>
            <w:tcW w:w="880" w:type="dxa"/>
          </w:tcPr>
          <w:p w14:paraId="7EE0A383">
            <w:pPr>
              <w:outlineLvl w:val="9"/>
              <w:rPr>
                <w:rFonts w:eastAsia="仿宋_GB2312"/>
                <w:color w:val="auto"/>
                <w:sz w:val="30"/>
                <w:szCs w:val="30"/>
                <w:highlight w:val="none"/>
              </w:rPr>
            </w:pPr>
          </w:p>
        </w:tc>
        <w:tc>
          <w:tcPr>
            <w:tcW w:w="1020" w:type="dxa"/>
          </w:tcPr>
          <w:p w14:paraId="3315915B">
            <w:pPr>
              <w:outlineLvl w:val="9"/>
              <w:rPr>
                <w:rFonts w:eastAsia="仿宋_GB2312"/>
                <w:color w:val="auto"/>
                <w:sz w:val="30"/>
                <w:szCs w:val="30"/>
                <w:highlight w:val="none"/>
              </w:rPr>
            </w:pPr>
          </w:p>
        </w:tc>
        <w:tc>
          <w:tcPr>
            <w:tcW w:w="1480" w:type="dxa"/>
          </w:tcPr>
          <w:p w14:paraId="2BC4D3F2">
            <w:pPr>
              <w:outlineLvl w:val="9"/>
              <w:rPr>
                <w:rFonts w:eastAsia="仿宋_GB2312"/>
                <w:color w:val="auto"/>
                <w:sz w:val="30"/>
                <w:szCs w:val="30"/>
                <w:highlight w:val="none"/>
              </w:rPr>
            </w:pPr>
          </w:p>
        </w:tc>
        <w:tc>
          <w:tcPr>
            <w:tcW w:w="1020" w:type="dxa"/>
          </w:tcPr>
          <w:p w14:paraId="5A5E2CB4">
            <w:pPr>
              <w:outlineLvl w:val="9"/>
              <w:rPr>
                <w:rFonts w:eastAsia="仿宋_GB2312"/>
                <w:color w:val="auto"/>
                <w:sz w:val="30"/>
                <w:szCs w:val="30"/>
                <w:highlight w:val="none"/>
              </w:rPr>
            </w:pPr>
          </w:p>
        </w:tc>
        <w:tc>
          <w:tcPr>
            <w:tcW w:w="921" w:type="dxa"/>
          </w:tcPr>
          <w:p w14:paraId="20785FE2">
            <w:pPr>
              <w:outlineLvl w:val="9"/>
              <w:rPr>
                <w:rFonts w:eastAsia="仿宋_GB2312"/>
                <w:color w:val="auto"/>
                <w:sz w:val="30"/>
                <w:szCs w:val="30"/>
                <w:highlight w:val="none"/>
              </w:rPr>
            </w:pPr>
          </w:p>
        </w:tc>
      </w:tr>
      <w:tr w14:paraId="06D4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55A153D">
            <w:pPr>
              <w:outlineLvl w:val="9"/>
              <w:rPr>
                <w:rFonts w:eastAsia="仿宋_GB2312"/>
                <w:color w:val="auto"/>
                <w:sz w:val="30"/>
                <w:szCs w:val="30"/>
                <w:highlight w:val="none"/>
              </w:rPr>
            </w:pPr>
          </w:p>
        </w:tc>
        <w:tc>
          <w:tcPr>
            <w:tcW w:w="1418" w:type="dxa"/>
          </w:tcPr>
          <w:p w14:paraId="3E820382">
            <w:pPr>
              <w:outlineLvl w:val="9"/>
              <w:rPr>
                <w:rFonts w:eastAsia="仿宋_GB2312"/>
                <w:color w:val="auto"/>
                <w:sz w:val="30"/>
                <w:szCs w:val="30"/>
                <w:highlight w:val="none"/>
              </w:rPr>
            </w:pPr>
          </w:p>
        </w:tc>
        <w:tc>
          <w:tcPr>
            <w:tcW w:w="850" w:type="dxa"/>
          </w:tcPr>
          <w:p w14:paraId="14B43695">
            <w:pPr>
              <w:outlineLvl w:val="9"/>
              <w:rPr>
                <w:rFonts w:eastAsia="仿宋_GB2312"/>
                <w:color w:val="auto"/>
                <w:sz w:val="30"/>
                <w:szCs w:val="30"/>
                <w:highlight w:val="none"/>
              </w:rPr>
            </w:pPr>
          </w:p>
        </w:tc>
        <w:tc>
          <w:tcPr>
            <w:tcW w:w="1058" w:type="dxa"/>
          </w:tcPr>
          <w:p w14:paraId="75CC10EE">
            <w:pPr>
              <w:outlineLvl w:val="9"/>
              <w:rPr>
                <w:rFonts w:eastAsia="仿宋_GB2312"/>
                <w:color w:val="auto"/>
                <w:sz w:val="30"/>
                <w:szCs w:val="30"/>
                <w:highlight w:val="none"/>
              </w:rPr>
            </w:pPr>
          </w:p>
        </w:tc>
        <w:tc>
          <w:tcPr>
            <w:tcW w:w="880" w:type="dxa"/>
          </w:tcPr>
          <w:p w14:paraId="487B400A">
            <w:pPr>
              <w:outlineLvl w:val="9"/>
              <w:rPr>
                <w:rFonts w:eastAsia="仿宋_GB2312"/>
                <w:color w:val="auto"/>
                <w:sz w:val="30"/>
                <w:szCs w:val="30"/>
                <w:highlight w:val="none"/>
              </w:rPr>
            </w:pPr>
          </w:p>
        </w:tc>
        <w:tc>
          <w:tcPr>
            <w:tcW w:w="1020" w:type="dxa"/>
          </w:tcPr>
          <w:p w14:paraId="0138A5F3">
            <w:pPr>
              <w:outlineLvl w:val="9"/>
              <w:rPr>
                <w:rFonts w:eastAsia="仿宋_GB2312"/>
                <w:color w:val="auto"/>
                <w:sz w:val="30"/>
                <w:szCs w:val="30"/>
                <w:highlight w:val="none"/>
              </w:rPr>
            </w:pPr>
          </w:p>
        </w:tc>
        <w:tc>
          <w:tcPr>
            <w:tcW w:w="1480" w:type="dxa"/>
          </w:tcPr>
          <w:p w14:paraId="7884F141">
            <w:pPr>
              <w:outlineLvl w:val="9"/>
              <w:rPr>
                <w:rFonts w:eastAsia="仿宋_GB2312"/>
                <w:color w:val="auto"/>
                <w:sz w:val="30"/>
                <w:szCs w:val="30"/>
                <w:highlight w:val="none"/>
              </w:rPr>
            </w:pPr>
          </w:p>
        </w:tc>
        <w:tc>
          <w:tcPr>
            <w:tcW w:w="1020" w:type="dxa"/>
          </w:tcPr>
          <w:p w14:paraId="3FB861C9">
            <w:pPr>
              <w:outlineLvl w:val="9"/>
              <w:rPr>
                <w:rFonts w:eastAsia="仿宋_GB2312"/>
                <w:color w:val="auto"/>
                <w:sz w:val="30"/>
                <w:szCs w:val="30"/>
                <w:highlight w:val="none"/>
              </w:rPr>
            </w:pPr>
          </w:p>
        </w:tc>
        <w:tc>
          <w:tcPr>
            <w:tcW w:w="921" w:type="dxa"/>
          </w:tcPr>
          <w:p w14:paraId="6BED7615">
            <w:pPr>
              <w:outlineLvl w:val="9"/>
              <w:rPr>
                <w:rFonts w:eastAsia="仿宋_GB2312"/>
                <w:color w:val="auto"/>
                <w:sz w:val="30"/>
                <w:szCs w:val="30"/>
                <w:highlight w:val="none"/>
              </w:rPr>
            </w:pPr>
          </w:p>
        </w:tc>
      </w:tr>
      <w:tr w14:paraId="511F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227318B">
            <w:pPr>
              <w:outlineLvl w:val="9"/>
              <w:rPr>
                <w:rFonts w:eastAsia="仿宋_GB2312"/>
                <w:color w:val="auto"/>
                <w:sz w:val="30"/>
                <w:szCs w:val="30"/>
                <w:highlight w:val="none"/>
              </w:rPr>
            </w:pPr>
          </w:p>
        </w:tc>
        <w:tc>
          <w:tcPr>
            <w:tcW w:w="1418" w:type="dxa"/>
          </w:tcPr>
          <w:p w14:paraId="7D8F84ED">
            <w:pPr>
              <w:outlineLvl w:val="9"/>
              <w:rPr>
                <w:rFonts w:eastAsia="仿宋_GB2312"/>
                <w:color w:val="auto"/>
                <w:sz w:val="30"/>
                <w:szCs w:val="30"/>
                <w:highlight w:val="none"/>
              </w:rPr>
            </w:pPr>
          </w:p>
        </w:tc>
        <w:tc>
          <w:tcPr>
            <w:tcW w:w="850" w:type="dxa"/>
          </w:tcPr>
          <w:p w14:paraId="26F683AF">
            <w:pPr>
              <w:outlineLvl w:val="9"/>
              <w:rPr>
                <w:rFonts w:eastAsia="仿宋_GB2312"/>
                <w:color w:val="auto"/>
                <w:sz w:val="30"/>
                <w:szCs w:val="30"/>
                <w:highlight w:val="none"/>
              </w:rPr>
            </w:pPr>
          </w:p>
        </w:tc>
        <w:tc>
          <w:tcPr>
            <w:tcW w:w="1058" w:type="dxa"/>
          </w:tcPr>
          <w:p w14:paraId="61E80026">
            <w:pPr>
              <w:outlineLvl w:val="9"/>
              <w:rPr>
                <w:rFonts w:eastAsia="仿宋_GB2312"/>
                <w:color w:val="auto"/>
                <w:sz w:val="30"/>
                <w:szCs w:val="30"/>
                <w:highlight w:val="none"/>
              </w:rPr>
            </w:pPr>
          </w:p>
        </w:tc>
        <w:tc>
          <w:tcPr>
            <w:tcW w:w="880" w:type="dxa"/>
          </w:tcPr>
          <w:p w14:paraId="53856BEF">
            <w:pPr>
              <w:outlineLvl w:val="9"/>
              <w:rPr>
                <w:rFonts w:eastAsia="仿宋_GB2312"/>
                <w:color w:val="auto"/>
                <w:sz w:val="30"/>
                <w:szCs w:val="30"/>
                <w:highlight w:val="none"/>
              </w:rPr>
            </w:pPr>
          </w:p>
        </w:tc>
        <w:tc>
          <w:tcPr>
            <w:tcW w:w="1020" w:type="dxa"/>
          </w:tcPr>
          <w:p w14:paraId="1C99E660">
            <w:pPr>
              <w:outlineLvl w:val="9"/>
              <w:rPr>
                <w:rFonts w:eastAsia="仿宋_GB2312"/>
                <w:color w:val="auto"/>
                <w:sz w:val="30"/>
                <w:szCs w:val="30"/>
                <w:highlight w:val="none"/>
              </w:rPr>
            </w:pPr>
          </w:p>
        </w:tc>
        <w:tc>
          <w:tcPr>
            <w:tcW w:w="1480" w:type="dxa"/>
          </w:tcPr>
          <w:p w14:paraId="46250809">
            <w:pPr>
              <w:outlineLvl w:val="9"/>
              <w:rPr>
                <w:rFonts w:eastAsia="仿宋_GB2312"/>
                <w:color w:val="auto"/>
                <w:sz w:val="30"/>
                <w:szCs w:val="30"/>
                <w:highlight w:val="none"/>
              </w:rPr>
            </w:pPr>
          </w:p>
        </w:tc>
        <w:tc>
          <w:tcPr>
            <w:tcW w:w="1020" w:type="dxa"/>
          </w:tcPr>
          <w:p w14:paraId="2F534F87">
            <w:pPr>
              <w:outlineLvl w:val="9"/>
              <w:rPr>
                <w:rFonts w:eastAsia="仿宋_GB2312"/>
                <w:color w:val="auto"/>
                <w:sz w:val="30"/>
                <w:szCs w:val="30"/>
                <w:highlight w:val="none"/>
              </w:rPr>
            </w:pPr>
          </w:p>
        </w:tc>
        <w:tc>
          <w:tcPr>
            <w:tcW w:w="921" w:type="dxa"/>
          </w:tcPr>
          <w:p w14:paraId="30E9B1B5">
            <w:pPr>
              <w:outlineLvl w:val="9"/>
              <w:rPr>
                <w:rFonts w:eastAsia="仿宋_GB2312"/>
                <w:color w:val="auto"/>
                <w:sz w:val="30"/>
                <w:szCs w:val="30"/>
                <w:highlight w:val="none"/>
              </w:rPr>
            </w:pPr>
          </w:p>
        </w:tc>
      </w:tr>
      <w:tr w14:paraId="183F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3BFB9CB">
            <w:pPr>
              <w:outlineLvl w:val="9"/>
              <w:rPr>
                <w:rFonts w:eastAsia="仿宋_GB2312"/>
                <w:color w:val="auto"/>
                <w:sz w:val="30"/>
                <w:szCs w:val="30"/>
                <w:highlight w:val="none"/>
              </w:rPr>
            </w:pPr>
          </w:p>
        </w:tc>
        <w:tc>
          <w:tcPr>
            <w:tcW w:w="1418" w:type="dxa"/>
          </w:tcPr>
          <w:p w14:paraId="0D9E321D">
            <w:pPr>
              <w:outlineLvl w:val="9"/>
              <w:rPr>
                <w:rFonts w:eastAsia="仿宋_GB2312"/>
                <w:color w:val="auto"/>
                <w:sz w:val="30"/>
                <w:szCs w:val="30"/>
                <w:highlight w:val="none"/>
              </w:rPr>
            </w:pPr>
          </w:p>
        </w:tc>
        <w:tc>
          <w:tcPr>
            <w:tcW w:w="850" w:type="dxa"/>
          </w:tcPr>
          <w:p w14:paraId="514AC6B2">
            <w:pPr>
              <w:outlineLvl w:val="9"/>
              <w:rPr>
                <w:rFonts w:eastAsia="仿宋_GB2312"/>
                <w:color w:val="auto"/>
                <w:sz w:val="30"/>
                <w:szCs w:val="30"/>
                <w:highlight w:val="none"/>
              </w:rPr>
            </w:pPr>
          </w:p>
        </w:tc>
        <w:tc>
          <w:tcPr>
            <w:tcW w:w="1058" w:type="dxa"/>
          </w:tcPr>
          <w:p w14:paraId="4BAB1329">
            <w:pPr>
              <w:outlineLvl w:val="9"/>
              <w:rPr>
                <w:rFonts w:eastAsia="仿宋_GB2312"/>
                <w:color w:val="auto"/>
                <w:sz w:val="30"/>
                <w:szCs w:val="30"/>
                <w:highlight w:val="none"/>
              </w:rPr>
            </w:pPr>
          </w:p>
        </w:tc>
        <w:tc>
          <w:tcPr>
            <w:tcW w:w="880" w:type="dxa"/>
          </w:tcPr>
          <w:p w14:paraId="58951CC5">
            <w:pPr>
              <w:outlineLvl w:val="9"/>
              <w:rPr>
                <w:rFonts w:eastAsia="仿宋_GB2312"/>
                <w:color w:val="auto"/>
                <w:sz w:val="30"/>
                <w:szCs w:val="30"/>
                <w:highlight w:val="none"/>
              </w:rPr>
            </w:pPr>
          </w:p>
        </w:tc>
        <w:tc>
          <w:tcPr>
            <w:tcW w:w="1020" w:type="dxa"/>
          </w:tcPr>
          <w:p w14:paraId="575D68BE">
            <w:pPr>
              <w:outlineLvl w:val="9"/>
              <w:rPr>
                <w:rFonts w:eastAsia="仿宋_GB2312"/>
                <w:color w:val="auto"/>
                <w:sz w:val="30"/>
                <w:szCs w:val="30"/>
                <w:highlight w:val="none"/>
              </w:rPr>
            </w:pPr>
          </w:p>
        </w:tc>
        <w:tc>
          <w:tcPr>
            <w:tcW w:w="1480" w:type="dxa"/>
          </w:tcPr>
          <w:p w14:paraId="13156F21">
            <w:pPr>
              <w:outlineLvl w:val="9"/>
              <w:rPr>
                <w:rFonts w:eastAsia="仿宋_GB2312"/>
                <w:color w:val="auto"/>
                <w:sz w:val="30"/>
                <w:szCs w:val="30"/>
                <w:highlight w:val="none"/>
              </w:rPr>
            </w:pPr>
          </w:p>
        </w:tc>
        <w:tc>
          <w:tcPr>
            <w:tcW w:w="1020" w:type="dxa"/>
          </w:tcPr>
          <w:p w14:paraId="327BCA08">
            <w:pPr>
              <w:outlineLvl w:val="9"/>
              <w:rPr>
                <w:rFonts w:eastAsia="仿宋_GB2312"/>
                <w:color w:val="auto"/>
                <w:sz w:val="30"/>
                <w:szCs w:val="30"/>
                <w:highlight w:val="none"/>
              </w:rPr>
            </w:pPr>
          </w:p>
        </w:tc>
        <w:tc>
          <w:tcPr>
            <w:tcW w:w="921" w:type="dxa"/>
          </w:tcPr>
          <w:p w14:paraId="77442CEA">
            <w:pPr>
              <w:outlineLvl w:val="9"/>
              <w:rPr>
                <w:rFonts w:eastAsia="仿宋_GB2312"/>
                <w:color w:val="auto"/>
                <w:sz w:val="30"/>
                <w:szCs w:val="30"/>
                <w:highlight w:val="none"/>
              </w:rPr>
            </w:pPr>
          </w:p>
        </w:tc>
      </w:tr>
      <w:tr w14:paraId="66B3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6D09080">
            <w:pPr>
              <w:outlineLvl w:val="9"/>
              <w:rPr>
                <w:rFonts w:eastAsia="仿宋_GB2312"/>
                <w:color w:val="auto"/>
                <w:sz w:val="30"/>
                <w:szCs w:val="30"/>
                <w:highlight w:val="none"/>
              </w:rPr>
            </w:pPr>
          </w:p>
        </w:tc>
        <w:tc>
          <w:tcPr>
            <w:tcW w:w="1418" w:type="dxa"/>
          </w:tcPr>
          <w:p w14:paraId="68B25FFC">
            <w:pPr>
              <w:outlineLvl w:val="9"/>
              <w:rPr>
                <w:rFonts w:eastAsia="仿宋_GB2312"/>
                <w:color w:val="auto"/>
                <w:sz w:val="30"/>
                <w:szCs w:val="30"/>
                <w:highlight w:val="none"/>
              </w:rPr>
            </w:pPr>
          </w:p>
        </w:tc>
        <w:tc>
          <w:tcPr>
            <w:tcW w:w="850" w:type="dxa"/>
          </w:tcPr>
          <w:p w14:paraId="39206C8C">
            <w:pPr>
              <w:outlineLvl w:val="9"/>
              <w:rPr>
                <w:rFonts w:eastAsia="仿宋_GB2312"/>
                <w:color w:val="auto"/>
                <w:sz w:val="30"/>
                <w:szCs w:val="30"/>
                <w:highlight w:val="none"/>
              </w:rPr>
            </w:pPr>
          </w:p>
        </w:tc>
        <w:tc>
          <w:tcPr>
            <w:tcW w:w="1058" w:type="dxa"/>
          </w:tcPr>
          <w:p w14:paraId="2D9FB10A">
            <w:pPr>
              <w:outlineLvl w:val="9"/>
              <w:rPr>
                <w:rFonts w:eastAsia="仿宋_GB2312"/>
                <w:color w:val="auto"/>
                <w:sz w:val="30"/>
                <w:szCs w:val="30"/>
                <w:highlight w:val="none"/>
              </w:rPr>
            </w:pPr>
          </w:p>
        </w:tc>
        <w:tc>
          <w:tcPr>
            <w:tcW w:w="880" w:type="dxa"/>
          </w:tcPr>
          <w:p w14:paraId="33BB42FC">
            <w:pPr>
              <w:outlineLvl w:val="9"/>
              <w:rPr>
                <w:rFonts w:eastAsia="仿宋_GB2312"/>
                <w:color w:val="auto"/>
                <w:sz w:val="30"/>
                <w:szCs w:val="30"/>
                <w:highlight w:val="none"/>
              </w:rPr>
            </w:pPr>
          </w:p>
        </w:tc>
        <w:tc>
          <w:tcPr>
            <w:tcW w:w="1020" w:type="dxa"/>
          </w:tcPr>
          <w:p w14:paraId="53138EE1">
            <w:pPr>
              <w:outlineLvl w:val="9"/>
              <w:rPr>
                <w:rFonts w:eastAsia="仿宋_GB2312"/>
                <w:color w:val="auto"/>
                <w:sz w:val="30"/>
                <w:szCs w:val="30"/>
                <w:highlight w:val="none"/>
              </w:rPr>
            </w:pPr>
          </w:p>
        </w:tc>
        <w:tc>
          <w:tcPr>
            <w:tcW w:w="1480" w:type="dxa"/>
          </w:tcPr>
          <w:p w14:paraId="037C9946">
            <w:pPr>
              <w:outlineLvl w:val="9"/>
              <w:rPr>
                <w:rFonts w:eastAsia="仿宋_GB2312"/>
                <w:color w:val="auto"/>
                <w:sz w:val="30"/>
                <w:szCs w:val="30"/>
                <w:highlight w:val="none"/>
              </w:rPr>
            </w:pPr>
          </w:p>
        </w:tc>
        <w:tc>
          <w:tcPr>
            <w:tcW w:w="1020" w:type="dxa"/>
          </w:tcPr>
          <w:p w14:paraId="5140A392">
            <w:pPr>
              <w:outlineLvl w:val="9"/>
              <w:rPr>
                <w:rFonts w:eastAsia="仿宋_GB2312"/>
                <w:color w:val="auto"/>
                <w:sz w:val="30"/>
                <w:szCs w:val="30"/>
                <w:highlight w:val="none"/>
              </w:rPr>
            </w:pPr>
          </w:p>
        </w:tc>
        <w:tc>
          <w:tcPr>
            <w:tcW w:w="921" w:type="dxa"/>
          </w:tcPr>
          <w:p w14:paraId="4AA24B8B">
            <w:pPr>
              <w:outlineLvl w:val="9"/>
              <w:rPr>
                <w:rFonts w:eastAsia="仿宋_GB2312"/>
                <w:color w:val="auto"/>
                <w:sz w:val="30"/>
                <w:szCs w:val="30"/>
                <w:highlight w:val="none"/>
              </w:rPr>
            </w:pPr>
          </w:p>
        </w:tc>
      </w:tr>
      <w:tr w14:paraId="6938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49A7571">
            <w:pPr>
              <w:outlineLvl w:val="9"/>
              <w:rPr>
                <w:rFonts w:eastAsia="仿宋_GB2312"/>
                <w:color w:val="auto"/>
                <w:sz w:val="30"/>
                <w:szCs w:val="30"/>
                <w:highlight w:val="none"/>
              </w:rPr>
            </w:pPr>
          </w:p>
        </w:tc>
        <w:tc>
          <w:tcPr>
            <w:tcW w:w="1418" w:type="dxa"/>
          </w:tcPr>
          <w:p w14:paraId="43942956">
            <w:pPr>
              <w:outlineLvl w:val="9"/>
              <w:rPr>
                <w:rFonts w:eastAsia="仿宋_GB2312"/>
                <w:color w:val="auto"/>
                <w:sz w:val="30"/>
                <w:szCs w:val="30"/>
                <w:highlight w:val="none"/>
              </w:rPr>
            </w:pPr>
          </w:p>
        </w:tc>
        <w:tc>
          <w:tcPr>
            <w:tcW w:w="850" w:type="dxa"/>
          </w:tcPr>
          <w:p w14:paraId="6672A2F4">
            <w:pPr>
              <w:outlineLvl w:val="9"/>
              <w:rPr>
                <w:rFonts w:eastAsia="仿宋_GB2312"/>
                <w:color w:val="auto"/>
                <w:sz w:val="30"/>
                <w:szCs w:val="30"/>
                <w:highlight w:val="none"/>
              </w:rPr>
            </w:pPr>
          </w:p>
        </w:tc>
        <w:tc>
          <w:tcPr>
            <w:tcW w:w="1058" w:type="dxa"/>
          </w:tcPr>
          <w:p w14:paraId="6D94D52C">
            <w:pPr>
              <w:outlineLvl w:val="9"/>
              <w:rPr>
                <w:rFonts w:eastAsia="仿宋_GB2312"/>
                <w:color w:val="auto"/>
                <w:sz w:val="30"/>
                <w:szCs w:val="30"/>
                <w:highlight w:val="none"/>
              </w:rPr>
            </w:pPr>
          </w:p>
        </w:tc>
        <w:tc>
          <w:tcPr>
            <w:tcW w:w="880" w:type="dxa"/>
          </w:tcPr>
          <w:p w14:paraId="5FA1052E">
            <w:pPr>
              <w:outlineLvl w:val="9"/>
              <w:rPr>
                <w:rFonts w:eastAsia="仿宋_GB2312"/>
                <w:color w:val="auto"/>
                <w:sz w:val="30"/>
                <w:szCs w:val="30"/>
                <w:highlight w:val="none"/>
              </w:rPr>
            </w:pPr>
          </w:p>
        </w:tc>
        <w:tc>
          <w:tcPr>
            <w:tcW w:w="1020" w:type="dxa"/>
          </w:tcPr>
          <w:p w14:paraId="219B9D3D">
            <w:pPr>
              <w:outlineLvl w:val="9"/>
              <w:rPr>
                <w:rFonts w:eastAsia="仿宋_GB2312"/>
                <w:color w:val="auto"/>
                <w:sz w:val="30"/>
                <w:szCs w:val="30"/>
                <w:highlight w:val="none"/>
              </w:rPr>
            </w:pPr>
          </w:p>
        </w:tc>
        <w:tc>
          <w:tcPr>
            <w:tcW w:w="1480" w:type="dxa"/>
          </w:tcPr>
          <w:p w14:paraId="6BD4BFB6">
            <w:pPr>
              <w:outlineLvl w:val="9"/>
              <w:rPr>
                <w:rFonts w:eastAsia="仿宋_GB2312"/>
                <w:color w:val="auto"/>
                <w:sz w:val="30"/>
                <w:szCs w:val="30"/>
                <w:highlight w:val="none"/>
              </w:rPr>
            </w:pPr>
          </w:p>
        </w:tc>
        <w:tc>
          <w:tcPr>
            <w:tcW w:w="1020" w:type="dxa"/>
          </w:tcPr>
          <w:p w14:paraId="74153B84">
            <w:pPr>
              <w:outlineLvl w:val="9"/>
              <w:rPr>
                <w:rFonts w:eastAsia="仿宋_GB2312"/>
                <w:color w:val="auto"/>
                <w:sz w:val="30"/>
                <w:szCs w:val="30"/>
                <w:highlight w:val="none"/>
              </w:rPr>
            </w:pPr>
          </w:p>
        </w:tc>
        <w:tc>
          <w:tcPr>
            <w:tcW w:w="921" w:type="dxa"/>
          </w:tcPr>
          <w:p w14:paraId="2B854D4D">
            <w:pPr>
              <w:outlineLvl w:val="9"/>
              <w:rPr>
                <w:rFonts w:eastAsia="仿宋_GB2312"/>
                <w:color w:val="auto"/>
                <w:sz w:val="30"/>
                <w:szCs w:val="30"/>
                <w:highlight w:val="none"/>
              </w:rPr>
            </w:pPr>
          </w:p>
        </w:tc>
      </w:tr>
      <w:tr w14:paraId="036B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C582E21">
            <w:pPr>
              <w:outlineLvl w:val="9"/>
              <w:rPr>
                <w:rFonts w:eastAsia="仿宋_GB2312"/>
                <w:color w:val="auto"/>
                <w:sz w:val="30"/>
                <w:szCs w:val="30"/>
                <w:highlight w:val="none"/>
              </w:rPr>
            </w:pPr>
          </w:p>
        </w:tc>
        <w:tc>
          <w:tcPr>
            <w:tcW w:w="1418" w:type="dxa"/>
          </w:tcPr>
          <w:p w14:paraId="18BB9393">
            <w:pPr>
              <w:outlineLvl w:val="9"/>
              <w:rPr>
                <w:rFonts w:eastAsia="仿宋_GB2312"/>
                <w:color w:val="auto"/>
                <w:sz w:val="30"/>
                <w:szCs w:val="30"/>
                <w:highlight w:val="none"/>
              </w:rPr>
            </w:pPr>
          </w:p>
        </w:tc>
        <w:tc>
          <w:tcPr>
            <w:tcW w:w="850" w:type="dxa"/>
          </w:tcPr>
          <w:p w14:paraId="5EC2610D">
            <w:pPr>
              <w:outlineLvl w:val="9"/>
              <w:rPr>
                <w:rFonts w:eastAsia="仿宋_GB2312"/>
                <w:color w:val="auto"/>
                <w:sz w:val="30"/>
                <w:szCs w:val="30"/>
                <w:highlight w:val="none"/>
              </w:rPr>
            </w:pPr>
          </w:p>
        </w:tc>
        <w:tc>
          <w:tcPr>
            <w:tcW w:w="1058" w:type="dxa"/>
          </w:tcPr>
          <w:p w14:paraId="567FCFDF">
            <w:pPr>
              <w:outlineLvl w:val="9"/>
              <w:rPr>
                <w:rFonts w:eastAsia="仿宋_GB2312"/>
                <w:color w:val="auto"/>
                <w:sz w:val="30"/>
                <w:szCs w:val="30"/>
                <w:highlight w:val="none"/>
              </w:rPr>
            </w:pPr>
          </w:p>
        </w:tc>
        <w:tc>
          <w:tcPr>
            <w:tcW w:w="880" w:type="dxa"/>
          </w:tcPr>
          <w:p w14:paraId="024E1E50">
            <w:pPr>
              <w:outlineLvl w:val="9"/>
              <w:rPr>
                <w:rFonts w:eastAsia="仿宋_GB2312"/>
                <w:color w:val="auto"/>
                <w:sz w:val="30"/>
                <w:szCs w:val="30"/>
                <w:highlight w:val="none"/>
              </w:rPr>
            </w:pPr>
          </w:p>
        </w:tc>
        <w:tc>
          <w:tcPr>
            <w:tcW w:w="1020" w:type="dxa"/>
          </w:tcPr>
          <w:p w14:paraId="00DC78B8">
            <w:pPr>
              <w:outlineLvl w:val="9"/>
              <w:rPr>
                <w:rFonts w:eastAsia="仿宋_GB2312"/>
                <w:color w:val="auto"/>
                <w:sz w:val="30"/>
                <w:szCs w:val="30"/>
                <w:highlight w:val="none"/>
              </w:rPr>
            </w:pPr>
          </w:p>
        </w:tc>
        <w:tc>
          <w:tcPr>
            <w:tcW w:w="1480" w:type="dxa"/>
          </w:tcPr>
          <w:p w14:paraId="0B064127">
            <w:pPr>
              <w:outlineLvl w:val="9"/>
              <w:rPr>
                <w:rFonts w:eastAsia="仿宋_GB2312"/>
                <w:color w:val="auto"/>
                <w:sz w:val="30"/>
                <w:szCs w:val="30"/>
                <w:highlight w:val="none"/>
              </w:rPr>
            </w:pPr>
          </w:p>
        </w:tc>
        <w:tc>
          <w:tcPr>
            <w:tcW w:w="1020" w:type="dxa"/>
          </w:tcPr>
          <w:p w14:paraId="41D3D9FB">
            <w:pPr>
              <w:outlineLvl w:val="9"/>
              <w:rPr>
                <w:rFonts w:eastAsia="仿宋_GB2312"/>
                <w:color w:val="auto"/>
                <w:sz w:val="30"/>
                <w:szCs w:val="30"/>
                <w:highlight w:val="none"/>
              </w:rPr>
            </w:pPr>
          </w:p>
        </w:tc>
        <w:tc>
          <w:tcPr>
            <w:tcW w:w="921" w:type="dxa"/>
          </w:tcPr>
          <w:p w14:paraId="79DC8ABE">
            <w:pPr>
              <w:outlineLvl w:val="9"/>
              <w:rPr>
                <w:rFonts w:eastAsia="仿宋_GB2312"/>
                <w:color w:val="auto"/>
                <w:sz w:val="30"/>
                <w:szCs w:val="30"/>
                <w:highlight w:val="none"/>
              </w:rPr>
            </w:pPr>
          </w:p>
        </w:tc>
      </w:tr>
      <w:tr w14:paraId="5BE8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58D3FA2B">
            <w:pPr>
              <w:outlineLvl w:val="9"/>
              <w:rPr>
                <w:rFonts w:eastAsia="仿宋_GB2312"/>
                <w:color w:val="auto"/>
                <w:sz w:val="30"/>
                <w:szCs w:val="30"/>
                <w:highlight w:val="none"/>
              </w:rPr>
            </w:pPr>
          </w:p>
        </w:tc>
        <w:tc>
          <w:tcPr>
            <w:tcW w:w="1418" w:type="dxa"/>
          </w:tcPr>
          <w:p w14:paraId="633848D4">
            <w:pPr>
              <w:outlineLvl w:val="9"/>
              <w:rPr>
                <w:rFonts w:eastAsia="仿宋_GB2312"/>
                <w:color w:val="auto"/>
                <w:sz w:val="30"/>
                <w:szCs w:val="30"/>
                <w:highlight w:val="none"/>
              </w:rPr>
            </w:pPr>
          </w:p>
        </w:tc>
        <w:tc>
          <w:tcPr>
            <w:tcW w:w="850" w:type="dxa"/>
          </w:tcPr>
          <w:p w14:paraId="0870A042">
            <w:pPr>
              <w:outlineLvl w:val="9"/>
              <w:rPr>
                <w:rFonts w:eastAsia="仿宋_GB2312"/>
                <w:color w:val="auto"/>
                <w:sz w:val="30"/>
                <w:szCs w:val="30"/>
                <w:highlight w:val="none"/>
              </w:rPr>
            </w:pPr>
          </w:p>
        </w:tc>
        <w:tc>
          <w:tcPr>
            <w:tcW w:w="1058" w:type="dxa"/>
          </w:tcPr>
          <w:p w14:paraId="3CC73DB6">
            <w:pPr>
              <w:outlineLvl w:val="9"/>
              <w:rPr>
                <w:rFonts w:eastAsia="仿宋_GB2312"/>
                <w:color w:val="auto"/>
                <w:sz w:val="30"/>
                <w:szCs w:val="30"/>
                <w:highlight w:val="none"/>
              </w:rPr>
            </w:pPr>
          </w:p>
        </w:tc>
        <w:tc>
          <w:tcPr>
            <w:tcW w:w="880" w:type="dxa"/>
          </w:tcPr>
          <w:p w14:paraId="657D528A">
            <w:pPr>
              <w:outlineLvl w:val="9"/>
              <w:rPr>
                <w:rFonts w:eastAsia="仿宋_GB2312"/>
                <w:color w:val="auto"/>
                <w:sz w:val="30"/>
                <w:szCs w:val="30"/>
                <w:highlight w:val="none"/>
              </w:rPr>
            </w:pPr>
          </w:p>
        </w:tc>
        <w:tc>
          <w:tcPr>
            <w:tcW w:w="1020" w:type="dxa"/>
          </w:tcPr>
          <w:p w14:paraId="7F3090A5">
            <w:pPr>
              <w:outlineLvl w:val="9"/>
              <w:rPr>
                <w:rFonts w:eastAsia="仿宋_GB2312"/>
                <w:color w:val="auto"/>
                <w:sz w:val="30"/>
                <w:szCs w:val="30"/>
                <w:highlight w:val="none"/>
              </w:rPr>
            </w:pPr>
          </w:p>
        </w:tc>
        <w:tc>
          <w:tcPr>
            <w:tcW w:w="1480" w:type="dxa"/>
          </w:tcPr>
          <w:p w14:paraId="0AEB9834">
            <w:pPr>
              <w:outlineLvl w:val="9"/>
              <w:rPr>
                <w:rFonts w:eastAsia="仿宋_GB2312"/>
                <w:color w:val="auto"/>
                <w:sz w:val="30"/>
                <w:szCs w:val="30"/>
                <w:highlight w:val="none"/>
              </w:rPr>
            </w:pPr>
          </w:p>
        </w:tc>
        <w:tc>
          <w:tcPr>
            <w:tcW w:w="1020" w:type="dxa"/>
          </w:tcPr>
          <w:p w14:paraId="264E094E">
            <w:pPr>
              <w:outlineLvl w:val="9"/>
              <w:rPr>
                <w:rFonts w:eastAsia="仿宋_GB2312"/>
                <w:color w:val="auto"/>
                <w:sz w:val="30"/>
                <w:szCs w:val="30"/>
                <w:highlight w:val="none"/>
              </w:rPr>
            </w:pPr>
          </w:p>
        </w:tc>
        <w:tc>
          <w:tcPr>
            <w:tcW w:w="921" w:type="dxa"/>
          </w:tcPr>
          <w:p w14:paraId="5A54217C">
            <w:pPr>
              <w:outlineLvl w:val="9"/>
              <w:rPr>
                <w:rFonts w:eastAsia="仿宋_GB2312"/>
                <w:color w:val="auto"/>
                <w:sz w:val="30"/>
                <w:szCs w:val="30"/>
                <w:highlight w:val="none"/>
              </w:rPr>
            </w:pPr>
          </w:p>
        </w:tc>
      </w:tr>
      <w:tr w14:paraId="7478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E286AE1">
            <w:pPr>
              <w:outlineLvl w:val="9"/>
              <w:rPr>
                <w:rFonts w:eastAsia="仿宋_GB2312"/>
                <w:color w:val="auto"/>
                <w:sz w:val="30"/>
                <w:szCs w:val="30"/>
                <w:highlight w:val="none"/>
              </w:rPr>
            </w:pPr>
          </w:p>
        </w:tc>
        <w:tc>
          <w:tcPr>
            <w:tcW w:w="1418" w:type="dxa"/>
          </w:tcPr>
          <w:p w14:paraId="1BF335AA">
            <w:pPr>
              <w:outlineLvl w:val="9"/>
              <w:rPr>
                <w:rFonts w:eastAsia="仿宋_GB2312"/>
                <w:color w:val="auto"/>
                <w:sz w:val="30"/>
                <w:szCs w:val="30"/>
                <w:highlight w:val="none"/>
              </w:rPr>
            </w:pPr>
          </w:p>
        </w:tc>
        <w:tc>
          <w:tcPr>
            <w:tcW w:w="850" w:type="dxa"/>
          </w:tcPr>
          <w:p w14:paraId="0528C562">
            <w:pPr>
              <w:outlineLvl w:val="9"/>
              <w:rPr>
                <w:rFonts w:eastAsia="仿宋_GB2312"/>
                <w:color w:val="auto"/>
                <w:sz w:val="30"/>
                <w:szCs w:val="30"/>
                <w:highlight w:val="none"/>
              </w:rPr>
            </w:pPr>
          </w:p>
        </w:tc>
        <w:tc>
          <w:tcPr>
            <w:tcW w:w="1058" w:type="dxa"/>
          </w:tcPr>
          <w:p w14:paraId="2993BC0F">
            <w:pPr>
              <w:outlineLvl w:val="9"/>
              <w:rPr>
                <w:rFonts w:eastAsia="仿宋_GB2312"/>
                <w:color w:val="auto"/>
                <w:sz w:val="30"/>
                <w:szCs w:val="30"/>
                <w:highlight w:val="none"/>
              </w:rPr>
            </w:pPr>
          </w:p>
        </w:tc>
        <w:tc>
          <w:tcPr>
            <w:tcW w:w="880" w:type="dxa"/>
          </w:tcPr>
          <w:p w14:paraId="736BD6BD">
            <w:pPr>
              <w:outlineLvl w:val="9"/>
              <w:rPr>
                <w:rFonts w:eastAsia="仿宋_GB2312"/>
                <w:color w:val="auto"/>
                <w:sz w:val="30"/>
                <w:szCs w:val="30"/>
                <w:highlight w:val="none"/>
              </w:rPr>
            </w:pPr>
          </w:p>
        </w:tc>
        <w:tc>
          <w:tcPr>
            <w:tcW w:w="1020" w:type="dxa"/>
          </w:tcPr>
          <w:p w14:paraId="6033292F">
            <w:pPr>
              <w:outlineLvl w:val="9"/>
              <w:rPr>
                <w:rFonts w:eastAsia="仿宋_GB2312"/>
                <w:color w:val="auto"/>
                <w:sz w:val="30"/>
                <w:szCs w:val="30"/>
                <w:highlight w:val="none"/>
              </w:rPr>
            </w:pPr>
          </w:p>
        </w:tc>
        <w:tc>
          <w:tcPr>
            <w:tcW w:w="1480" w:type="dxa"/>
          </w:tcPr>
          <w:p w14:paraId="5998ACEB">
            <w:pPr>
              <w:outlineLvl w:val="9"/>
              <w:rPr>
                <w:rFonts w:eastAsia="仿宋_GB2312"/>
                <w:color w:val="auto"/>
                <w:sz w:val="30"/>
                <w:szCs w:val="30"/>
                <w:highlight w:val="none"/>
              </w:rPr>
            </w:pPr>
          </w:p>
        </w:tc>
        <w:tc>
          <w:tcPr>
            <w:tcW w:w="1020" w:type="dxa"/>
          </w:tcPr>
          <w:p w14:paraId="5C44C8DC">
            <w:pPr>
              <w:outlineLvl w:val="9"/>
              <w:rPr>
                <w:rFonts w:eastAsia="仿宋_GB2312"/>
                <w:color w:val="auto"/>
                <w:sz w:val="30"/>
                <w:szCs w:val="30"/>
                <w:highlight w:val="none"/>
              </w:rPr>
            </w:pPr>
          </w:p>
        </w:tc>
        <w:tc>
          <w:tcPr>
            <w:tcW w:w="921" w:type="dxa"/>
          </w:tcPr>
          <w:p w14:paraId="4082F7FA">
            <w:pPr>
              <w:outlineLvl w:val="9"/>
              <w:rPr>
                <w:rFonts w:eastAsia="仿宋_GB2312"/>
                <w:color w:val="auto"/>
                <w:sz w:val="30"/>
                <w:szCs w:val="30"/>
                <w:highlight w:val="none"/>
              </w:rPr>
            </w:pPr>
          </w:p>
        </w:tc>
      </w:tr>
    </w:tbl>
    <w:p w14:paraId="5E774737">
      <w:pPr>
        <w:spacing w:line="360" w:lineRule="auto"/>
        <w:outlineLvl w:val="9"/>
        <w:rPr>
          <w:rFonts w:eastAsia="仿宋_GB2312" w:cs="仿宋_GB2312"/>
          <w:color w:val="auto"/>
          <w:sz w:val="30"/>
          <w:szCs w:val="30"/>
          <w:highlight w:val="none"/>
        </w:rPr>
      </w:pPr>
    </w:p>
    <w:p w14:paraId="3F227FB9">
      <w:pPr>
        <w:spacing w:line="360" w:lineRule="auto"/>
        <w:outlineLvl w:val="9"/>
        <w:rPr>
          <w:rFonts w:eastAsia="仿宋_GB2312" w:cs="仿宋_GB2312"/>
          <w:color w:val="auto"/>
          <w:sz w:val="30"/>
          <w:szCs w:val="30"/>
          <w:highlight w:val="none"/>
        </w:rPr>
      </w:pPr>
    </w:p>
    <w:p w14:paraId="16962A66">
      <w:pPr>
        <w:spacing w:line="360" w:lineRule="auto"/>
        <w:outlineLvl w:val="9"/>
        <w:rPr>
          <w:rFonts w:eastAsia="仿宋_GB2312" w:cs="仿宋_GB2312"/>
          <w:color w:val="auto"/>
          <w:sz w:val="30"/>
          <w:szCs w:val="30"/>
          <w:highlight w:val="none"/>
        </w:rPr>
      </w:pPr>
    </w:p>
    <w:p w14:paraId="4CCEF6CF">
      <w:pPr>
        <w:spacing w:line="360" w:lineRule="auto"/>
        <w:outlineLvl w:val="9"/>
        <w:rPr>
          <w:rFonts w:eastAsia="黑体"/>
          <w:color w:val="auto"/>
          <w:sz w:val="30"/>
          <w:szCs w:val="30"/>
          <w:highlight w:val="none"/>
        </w:rPr>
      </w:pPr>
      <w:r>
        <w:rPr>
          <w:rFonts w:hint="eastAsia" w:eastAsia="仿宋_GB2312" w:cs="仿宋_GB2312"/>
          <w:color w:val="auto"/>
          <w:sz w:val="30"/>
          <w:szCs w:val="30"/>
          <w:highlight w:val="none"/>
        </w:rPr>
        <w:t>附件</w:t>
      </w:r>
      <w:r>
        <w:rPr>
          <w:rFonts w:eastAsia="仿宋_GB2312"/>
          <w:color w:val="auto"/>
          <w:sz w:val="30"/>
          <w:szCs w:val="30"/>
          <w:highlight w:val="none"/>
        </w:rPr>
        <w:t>7</w:t>
      </w:r>
      <w:r>
        <w:rPr>
          <w:rFonts w:hint="eastAsia" w:eastAsia="仿宋_GB2312" w:cs="仿宋_GB2312"/>
          <w:color w:val="auto"/>
          <w:sz w:val="30"/>
          <w:szCs w:val="30"/>
          <w:highlight w:val="none"/>
        </w:rPr>
        <w:t>：</w:t>
      </w:r>
    </w:p>
    <w:p w14:paraId="6634C9B4">
      <w:pPr>
        <w:spacing w:before="120" w:beforeLines="50" w:after="120" w:afterLines="50" w:line="440" w:lineRule="exact"/>
        <w:jc w:val="center"/>
        <w:outlineLvl w:val="9"/>
        <w:rPr>
          <w:rFonts w:eastAsia="黑体"/>
          <w:color w:val="auto"/>
          <w:sz w:val="30"/>
          <w:szCs w:val="30"/>
          <w:highlight w:val="none"/>
        </w:rPr>
      </w:pPr>
      <w:r>
        <w:rPr>
          <w:rFonts w:hint="eastAsia" w:eastAsia="黑体" w:cs="黑体"/>
          <w:color w:val="auto"/>
          <w:sz w:val="30"/>
          <w:szCs w:val="30"/>
          <w:highlight w:val="none"/>
        </w:rPr>
        <w:t>预付款担保</w:t>
      </w:r>
    </w:p>
    <w:p w14:paraId="5775787F">
      <w:pPr>
        <w:spacing w:line="360" w:lineRule="auto"/>
        <w:outlineLvl w:val="9"/>
        <w:rPr>
          <w:color w:val="auto"/>
          <w:szCs w:val="21"/>
          <w:highlight w:val="none"/>
        </w:rPr>
      </w:pP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（发包人名称）：</w:t>
      </w:r>
    </w:p>
    <w:p w14:paraId="0FB32E72">
      <w:pPr>
        <w:spacing w:line="360" w:lineRule="auto"/>
        <w:ind w:firstLine="420" w:firstLineChars="200"/>
        <w:outlineLvl w:val="9"/>
        <w:rPr>
          <w:color w:val="auto"/>
          <w:szCs w:val="21"/>
          <w:highlight w:val="none"/>
        </w:rPr>
      </w:pPr>
      <w:r>
        <w:rPr>
          <w:rFonts w:hint="eastAsia" w:hAnsi="宋体" w:cs="宋体"/>
          <w:color w:val="auto"/>
          <w:szCs w:val="21"/>
          <w:highlight w:val="none"/>
        </w:rPr>
        <w:t>根据</w:t>
      </w:r>
      <w:r>
        <w:rPr>
          <w:color w:val="auto"/>
          <w:szCs w:val="21"/>
          <w:highlight w:val="none"/>
          <w:u w:val="single"/>
        </w:rPr>
        <w:t xml:space="preserve">                 </w:t>
      </w:r>
      <w:r>
        <w:rPr>
          <w:rFonts w:hint="eastAsia" w:hAnsi="宋体" w:cs="宋体"/>
          <w:color w:val="auto"/>
          <w:szCs w:val="21"/>
          <w:highlight w:val="none"/>
        </w:rPr>
        <w:t>（承包人名称）（以下称</w:t>
      </w:r>
      <w:r>
        <w:rPr>
          <w:color w:val="auto"/>
          <w:szCs w:val="21"/>
          <w:highlight w:val="none"/>
        </w:rPr>
        <w:t>“</w:t>
      </w:r>
      <w:r>
        <w:rPr>
          <w:rFonts w:hint="eastAsia" w:hAnsi="宋体" w:cs="宋体"/>
          <w:color w:val="auto"/>
          <w:szCs w:val="21"/>
          <w:highlight w:val="none"/>
        </w:rPr>
        <w:t>承包人</w:t>
      </w:r>
      <w:r>
        <w:rPr>
          <w:color w:val="auto"/>
          <w:szCs w:val="21"/>
          <w:highlight w:val="none"/>
        </w:rPr>
        <w:t>”</w:t>
      </w:r>
      <w:r>
        <w:rPr>
          <w:rFonts w:hint="eastAsia" w:hAnsi="宋体" w:cs="宋体"/>
          <w:color w:val="auto"/>
          <w:szCs w:val="21"/>
          <w:highlight w:val="none"/>
        </w:rPr>
        <w:t>）与</w:t>
      </w:r>
      <w:r>
        <w:rPr>
          <w:color w:val="auto"/>
          <w:szCs w:val="21"/>
          <w:highlight w:val="none"/>
          <w:u w:val="single"/>
        </w:rPr>
        <w:t xml:space="preserve">                        </w:t>
      </w:r>
      <w:r>
        <w:rPr>
          <w:rFonts w:hint="eastAsia" w:hAnsi="宋体" w:cs="宋体"/>
          <w:color w:val="auto"/>
          <w:szCs w:val="21"/>
          <w:highlight w:val="none"/>
        </w:rPr>
        <w:t>（发包人名称）（以下简称</w:t>
      </w:r>
      <w:r>
        <w:rPr>
          <w:color w:val="auto"/>
          <w:szCs w:val="21"/>
          <w:highlight w:val="none"/>
        </w:rPr>
        <w:t>“</w:t>
      </w:r>
      <w:r>
        <w:rPr>
          <w:rFonts w:hint="eastAsia" w:hAnsi="宋体" w:cs="宋体"/>
          <w:color w:val="auto"/>
          <w:szCs w:val="21"/>
          <w:highlight w:val="none"/>
        </w:rPr>
        <w:t>发包人</w:t>
      </w:r>
      <w:r>
        <w:rPr>
          <w:color w:val="auto"/>
          <w:szCs w:val="21"/>
          <w:highlight w:val="none"/>
        </w:rPr>
        <w:t>”</w:t>
      </w:r>
      <w:r>
        <w:rPr>
          <w:rFonts w:hint="eastAsia" w:hAnsi="宋体" w:cs="宋体"/>
          <w:color w:val="auto"/>
          <w:szCs w:val="21"/>
          <w:highlight w:val="none"/>
        </w:rPr>
        <w:t>）于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日签订的</w:t>
      </w:r>
      <w:r>
        <w:rPr>
          <w:color w:val="auto"/>
          <w:szCs w:val="21"/>
          <w:highlight w:val="none"/>
          <w:u w:val="single"/>
        </w:rPr>
        <w:t xml:space="preserve">                   </w:t>
      </w:r>
      <w:r>
        <w:rPr>
          <w:rFonts w:hint="eastAsia" w:hAnsi="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15BA4E13">
      <w:pPr>
        <w:spacing w:line="360" w:lineRule="auto"/>
        <w:ind w:firstLine="420" w:firstLineChars="200"/>
        <w:outlineLvl w:val="9"/>
        <w:rPr>
          <w:color w:val="auto"/>
          <w:szCs w:val="21"/>
          <w:highlight w:val="none"/>
        </w:rPr>
      </w:pPr>
      <w:r>
        <w:rPr>
          <w:color w:val="auto"/>
          <w:szCs w:val="21"/>
          <w:highlight w:val="none"/>
        </w:rPr>
        <w:t xml:space="preserve">1. </w:t>
      </w:r>
      <w:r>
        <w:rPr>
          <w:rFonts w:hint="eastAsia" w:hAnsi="宋体" w:cs="宋体"/>
          <w:color w:val="auto"/>
          <w:szCs w:val="21"/>
          <w:highlight w:val="none"/>
        </w:rPr>
        <w:t>担保金额人民币（大写）</w:t>
      </w:r>
      <w:r>
        <w:rPr>
          <w:color w:val="auto"/>
          <w:szCs w:val="21"/>
          <w:highlight w:val="none"/>
          <w:u w:val="single"/>
        </w:rPr>
        <w:t xml:space="preserve">                </w:t>
      </w:r>
      <w:r>
        <w:rPr>
          <w:rFonts w:hint="eastAsia" w:hAnsi="宋体" w:cs="宋体"/>
          <w:color w:val="auto"/>
          <w:szCs w:val="21"/>
          <w:highlight w:val="none"/>
        </w:rPr>
        <w:t>元（</w:t>
      </w:r>
      <w:r>
        <w:rPr>
          <w:color w:val="auto"/>
          <w:szCs w:val="21"/>
          <w:highlight w:val="none"/>
        </w:rPr>
        <w:t>¥</w:t>
      </w:r>
      <w:r>
        <w:rPr>
          <w:color w:val="auto"/>
          <w:szCs w:val="21"/>
          <w:highlight w:val="none"/>
          <w:u w:val="single"/>
        </w:rPr>
        <w:t xml:space="preserve">             </w:t>
      </w:r>
      <w:r>
        <w:rPr>
          <w:rFonts w:hint="eastAsia" w:hAnsi="宋体" w:cs="宋体"/>
          <w:color w:val="auto"/>
          <w:szCs w:val="21"/>
          <w:highlight w:val="none"/>
        </w:rPr>
        <w:t>）。</w:t>
      </w:r>
    </w:p>
    <w:p w14:paraId="131430B5">
      <w:pPr>
        <w:spacing w:line="360" w:lineRule="auto"/>
        <w:ind w:firstLine="420" w:firstLineChars="200"/>
        <w:outlineLvl w:val="9"/>
        <w:rPr>
          <w:color w:val="auto"/>
          <w:szCs w:val="21"/>
          <w:highlight w:val="none"/>
        </w:rPr>
      </w:pPr>
      <w:r>
        <w:rPr>
          <w:color w:val="auto"/>
          <w:szCs w:val="21"/>
          <w:highlight w:val="none"/>
        </w:rPr>
        <w:t xml:space="preserve">2. </w:t>
      </w:r>
      <w:r>
        <w:rPr>
          <w:rFonts w:hint="eastAsia" w:hAnsi="宋体" w:cs="宋体"/>
          <w:color w:val="auto"/>
          <w:szCs w:val="21"/>
          <w:highlight w:val="none"/>
        </w:rPr>
        <w:t>担保有效期自预付款支付给承包人起生效，至你方签发的进度款支付证书说明已完全扣清止。</w:t>
      </w:r>
    </w:p>
    <w:p w14:paraId="2C9F028B">
      <w:pPr>
        <w:spacing w:line="360" w:lineRule="auto"/>
        <w:ind w:firstLine="420" w:firstLineChars="200"/>
        <w:outlineLvl w:val="9"/>
        <w:rPr>
          <w:color w:val="auto"/>
          <w:szCs w:val="21"/>
          <w:highlight w:val="none"/>
        </w:rPr>
      </w:pPr>
      <w:r>
        <w:rPr>
          <w:color w:val="auto"/>
          <w:szCs w:val="21"/>
          <w:highlight w:val="none"/>
        </w:rPr>
        <w:t xml:space="preserve">3. </w:t>
      </w:r>
      <w:r>
        <w:rPr>
          <w:rFonts w:hint="eastAsia" w:hAnsi="宋体" w:cs="宋体"/>
          <w:color w:val="auto"/>
          <w:szCs w:val="21"/>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7247A67D">
      <w:pPr>
        <w:spacing w:line="360" w:lineRule="auto"/>
        <w:ind w:firstLine="420" w:firstLineChars="200"/>
        <w:outlineLvl w:val="9"/>
        <w:rPr>
          <w:color w:val="auto"/>
          <w:szCs w:val="21"/>
          <w:highlight w:val="none"/>
        </w:rPr>
      </w:pPr>
      <w:r>
        <w:rPr>
          <w:color w:val="auto"/>
          <w:szCs w:val="21"/>
          <w:highlight w:val="none"/>
        </w:rPr>
        <w:t xml:space="preserve">4. </w:t>
      </w:r>
      <w:r>
        <w:rPr>
          <w:rFonts w:hint="eastAsia" w:hAnsi="宋体" w:cs="宋体"/>
          <w:color w:val="auto"/>
          <w:szCs w:val="21"/>
          <w:highlight w:val="none"/>
        </w:rPr>
        <w:t>你方和承包人按合同约定变更合同时，我方承担本保函规定的义务不变。</w:t>
      </w:r>
    </w:p>
    <w:p w14:paraId="1BDC957C">
      <w:pPr>
        <w:spacing w:line="360" w:lineRule="auto"/>
        <w:ind w:firstLine="420" w:firstLineChars="200"/>
        <w:outlineLvl w:val="9"/>
        <w:rPr>
          <w:color w:val="auto"/>
          <w:szCs w:val="21"/>
          <w:highlight w:val="none"/>
        </w:rPr>
      </w:pPr>
      <w:r>
        <w:rPr>
          <w:color w:val="auto"/>
          <w:szCs w:val="21"/>
          <w:highlight w:val="none"/>
        </w:rPr>
        <w:t xml:space="preserve">5. </w:t>
      </w:r>
      <w:r>
        <w:rPr>
          <w:rFonts w:hint="eastAsia" w:hAnsi="宋体" w:cs="宋体"/>
          <w:color w:val="auto"/>
          <w:szCs w:val="21"/>
          <w:highlight w:val="none"/>
        </w:rPr>
        <w:t>因本保函发生的纠纷，可由双方协商解决，协商不成的，任何一方均可提请</w:t>
      </w:r>
      <w:r>
        <w:rPr>
          <w:color w:val="auto"/>
          <w:szCs w:val="21"/>
          <w:highlight w:val="none"/>
          <w:u w:val="single"/>
        </w:rPr>
        <w:t xml:space="preserve">      </w:t>
      </w:r>
      <w:r>
        <w:rPr>
          <w:rFonts w:hint="eastAsia" w:hAnsi="宋体" w:cs="宋体"/>
          <w:color w:val="auto"/>
          <w:szCs w:val="21"/>
          <w:highlight w:val="none"/>
        </w:rPr>
        <w:t>仲裁委员会仲裁。</w:t>
      </w:r>
    </w:p>
    <w:p w14:paraId="1080108D">
      <w:pPr>
        <w:spacing w:line="360" w:lineRule="auto"/>
        <w:ind w:firstLine="420" w:firstLineChars="200"/>
        <w:jc w:val="left"/>
        <w:outlineLvl w:val="9"/>
        <w:rPr>
          <w:color w:val="auto"/>
          <w:szCs w:val="21"/>
          <w:highlight w:val="none"/>
        </w:rPr>
      </w:pPr>
      <w:r>
        <w:rPr>
          <w:color w:val="auto"/>
          <w:szCs w:val="21"/>
          <w:highlight w:val="none"/>
        </w:rPr>
        <w:t xml:space="preserve">6. </w:t>
      </w:r>
      <w:r>
        <w:rPr>
          <w:rFonts w:hint="eastAsia" w:hAnsi="宋体" w:cs="宋体"/>
          <w:color w:val="auto"/>
          <w:szCs w:val="21"/>
          <w:highlight w:val="none"/>
        </w:rPr>
        <w:t>本保函自我方法定代表人（或其授权代理人）签字并加盖公章之日起生效。</w:t>
      </w:r>
    </w:p>
    <w:p w14:paraId="79CBE8E7">
      <w:pPr>
        <w:spacing w:line="360" w:lineRule="auto"/>
        <w:outlineLvl w:val="9"/>
        <w:rPr>
          <w:color w:val="auto"/>
          <w:szCs w:val="21"/>
          <w:highlight w:val="none"/>
        </w:rPr>
      </w:pPr>
    </w:p>
    <w:p w14:paraId="38B46DBD">
      <w:pPr>
        <w:spacing w:line="360" w:lineRule="auto"/>
        <w:outlineLvl w:val="9"/>
        <w:rPr>
          <w:color w:val="auto"/>
          <w:szCs w:val="21"/>
          <w:highlight w:val="none"/>
        </w:rPr>
      </w:pPr>
      <w:r>
        <w:rPr>
          <w:rFonts w:hint="eastAsia" w:hAnsi="宋体" w:cs="宋体"/>
          <w:color w:val="auto"/>
          <w:szCs w:val="21"/>
          <w:highlight w:val="none"/>
        </w:rPr>
        <w:t>担保人：</w:t>
      </w:r>
      <w:r>
        <w:rPr>
          <w:color w:val="auto"/>
          <w:szCs w:val="21"/>
          <w:highlight w:val="none"/>
          <w:u w:val="single"/>
        </w:rPr>
        <w:t xml:space="preserve">                          </w:t>
      </w:r>
      <w:r>
        <w:rPr>
          <w:rFonts w:hint="eastAsia" w:hAnsi="宋体" w:cs="宋体"/>
          <w:color w:val="auto"/>
          <w:szCs w:val="21"/>
          <w:highlight w:val="none"/>
        </w:rPr>
        <w:t>（盖单位章）</w:t>
      </w:r>
    </w:p>
    <w:p w14:paraId="6FDCEC99">
      <w:pPr>
        <w:spacing w:line="360" w:lineRule="auto"/>
        <w:outlineLvl w:val="9"/>
        <w:rPr>
          <w:color w:val="auto"/>
          <w:szCs w:val="21"/>
          <w:highlight w:val="none"/>
        </w:rPr>
      </w:pPr>
      <w:r>
        <w:rPr>
          <w:rFonts w:hint="eastAsia" w:hAnsi="宋体" w:cs="宋体"/>
          <w:color w:val="auto"/>
          <w:szCs w:val="21"/>
          <w:highlight w:val="none"/>
        </w:rPr>
        <w:t>法定代表人或其委托代理人：</w:t>
      </w:r>
      <w:r>
        <w:rPr>
          <w:color w:val="auto"/>
          <w:szCs w:val="21"/>
          <w:highlight w:val="none"/>
          <w:u w:val="single"/>
        </w:rPr>
        <w:t xml:space="preserve">            </w:t>
      </w:r>
      <w:r>
        <w:rPr>
          <w:rFonts w:hint="eastAsia" w:hAnsi="宋体" w:cs="宋体"/>
          <w:color w:val="auto"/>
          <w:szCs w:val="21"/>
          <w:highlight w:val="none"/>
        </w:rPr>
        <w:t>（签字）</w:t>
      </w:r>
    </w:p>
    <w:p w14:paraId="00CF31E9">
      <w:pPr>
        <w:spacing w:line="360" w:lineRule="auto"/>
        <w:outlineLvl w:val="9"/>
        <w:rPr>
          <w:color w:val="auto"/>
          <w:szCs w:val="21"/>
          <w:highlight w:val="none"/>
        </w:rPr>
      </w:pP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p>
    <w:p w14:paraId="01AE830C">
      <w:pPr>
        <w:spacing w:line="360" w:lineRule="auto"/>
        <w:outlineLvl w:val="9"/>
        <w:rPr>
          <w:color w:val="auto"/>
          <w:szCs w:val="21"/>
          <w:highlight w:val="none"/>
          <w:u w:val="single"/>
        </w:rPr>
      </w:pPr>
      <w:r>
        <w:rPr>
          <w:rFonts w:hint="eastAsia" w:hAnsi="宋体" w:cs="宋体"/>
          <w:color w:val="auto"/>
          <w:szCs w:val="21"/>
          <w:highlight w:val="none"/>
        </w:rPr>
        <w:t>邮政编码：</w:t>
      </w:r>
      <w:r>
        <w:rPr>
          <w:color w:val="auto"/>
          <w:szCs w:val="21"/>
          <w:highlight w:val="none"/>
          <w:u w:val="single"/>
        </w:rPr>
        <w:t xml:space="preserve">                            </w:t>
      </w:r>
    </w:p>
    <w:p w14:paraId="348C37BE">
      <w:pPr>
        <w:spacing w:line="360" w:lineRule="auto"/>
        <w:outlineLvl w:val="9"/>
        <w:rPr>
          <w:color w:val="auto"/>
          <w:szCs w:val="21"/>
          <w:highlight w:val="none"/>
          <w:u w:val="single"/>
        </w:rPr>
      </w:pPr>
      <w:r>
        <w:rPr>
          <w:rFonts w:hint="eastAsia" w:hAnsi="宋体" w:cs="宋体"/>
          <w:color w:val="auto"/>
          <w:szCs w:val="21"/>
          <w:highlight w:val="none"/>
        </w:rPr>
        <w:t>电</w:t>
      </w:r>
      <w:r>
        <w:rPr>
          <w:color w:val="auto"/>
          <w:szCs w:val="21"/>
          <w:highlight w:val="none"/>
        </w:rPr>
        <w:t xml:space="preserve">    </w:t>
      </w:r>
      <w:r>
        <w:rPr>
          <w:rFonts w:hint="eastAsia" w:hAnsi="宋体" w:cs="宋体"/>
          <w:color w:val="auto"/>
          <w:szCs w:val="21"/>
          <w:highlight w:val="none"/>
        </w:rPr>
        <w:t>话：</w:t>
      </w:r>
      <w:r>
        <w:rPr>
          <w:color w:val="auto"/>
          <w:szCs w:val="21"/>
          <w:highlight w:val="none"/>
          <w:u w:val="single"/>
        </w:rPr>
        <w:t xml:space="preserve">                            </w:t>
      </w:r>
    </w:p>
    <w:p w14:paraId="34DB9C7E">
      <w:pPr>
        <w:spacing w:line="360" w:lineRule="auto"/>
        <w:outlineLvl w:val="9"/>
        <w:rPr>
          <w:color w:val="auto"/>
          <w:szCs w:val="21"/>
          <w:highlight w:val="none"/>
          <w:u w:val="single"/>
        </w:rPr>
      </w:pP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p>
    <w:p w14:paraId="4EB3EF41">
      <w:pPr>
        <w:spacing w:line="360" w:lineRule="auto"/>
        <w:outlineLvl w:val="9"/>
        <w:rPr>
          <w:color w:val="auto"/>
          <w:szCs w:val="21"/>
          <w:highlight w:val="none"/>
          <w:u w:val="single"/>
        </w:rPr>
      </w:pPr>
    </w:p>
    <w:p w14:paraId="4DF44119">
      <w:pPr>
        <w:spacing w:line="360" w:lineRule="auto"/>
        <w:outlineLvl w:val="9"/>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w:t>
      </w:r>
    </w:p>
    <w:p w14:paraId="0708DB36">
      <w:pPr>
        <w:spacing w:line="480" w:lineRule="auto"/>
        <w:outlineLvl w:val="9"/>
        <w:rPr>
          <w:rFonts w:hAnsi="宋体"/>
          <w:color w:val="auto"/>
          <w:szCs w:val="21"/>
          <w:highlight w:val="none"/>
        </w:rPr>
      </w:pPr>
    </w:p>
    <w:p w14:paraId="745B6F7A">
      <w:pPr>
        <w:spacing w:line="480" w:lineRule="auto"/>
        <w:outlineLvl w:val="9"/>
        <w:rPr>
          <w:rFonts w:hAnsi="宋体"/>
          <w:color w:val="auto"/>
          <w:szCs w:val="21"/>
          <w:highlight w:val="none"/>
        </w:rPr>
      </w:pPr>
    </w:p>
    <w:p w14:paraId="5CC5060A">
      <w:pPr>
        <w:spacing w:line="480" w:lineRule="auto"/>
        <w:outlineLvl w:val="9"/>
        <w:rPr>
          <w:rFonts w:hAnsi="宋体"/>
          <w:color w:val="auto"/>
          <w:szCs w:val="21"/>
          <w:highlight w:val="none"/>
        </w:rPr>
      </w:pPr>
    </w:p>
    <w:p w14:paraId="1AB86F32">
      <w:pPr>
        <w:spacing w:line="480" w:lineRule="auto"/>
        <w:outlineLvl w:val="9"/>
        <w:rPr>
          <w:rFonts w:hAnsi="宋体"/>
          <w:color w:val="auto"/>
          <w:szCs w:val="21"/>
          <w:highlight w:val="none"/>
        </w:rPr>
      </w:pPr>
    </w:p>
    <w:p w14:paraId="6F12153F">
      <w:pPr>
        <w:spacing w:line="480" w:lineRule="auto"/>
        <w:outlineLvl w:val="9"/>
        <w:rPr>
          <w:rFonts w:hAnsi="宋体"/>
          <w:color w:val="auto"/>
          <w:szCs w:val="21"/>
          <w:highlight w:val="none"/>
        </w:rPr>
      </w:pPr>
    </w:p>
    <w:p w14:paraId="4AFBFF4D">
      <w:pPr>
        <w:pStyle w:val="37"/>
        <w:outlineLvl w:val="9"/>
        <w:rPr>
          <w:rFonts w:hAnsi="宋体"/>
          <w:color w:val="auto"/>
          <w:szCs w:val="21"/>
          <w:highlight w:val="none"/>
        </w:rPr>
      </w:pPr>
    </w:p>
    <w:p w14:paraId="577BA17F">
      <w:pPr>
        <w:pStyle w:val="37"/>
        <w:outlineLvl w:val="9"/>
        <w:rPr>
          <w:rFonts w:hAnsi="宋体"/>
          <w:color w:val="auto"/>
          <w:szCs w:val="21"/>
          <w:highlight w:val="none"/>
        </w:rPr>
      </w:pPr>
    </w:p>
    <w:p w14:paraId="01F4058F">
      <w:pPr>
        <w:spacing w:line="480" w:lineRule="auto"/>
        <w:outlineLvl w:val="9"/>
        <w:rPr>
          <w:rFonts w:hAnsi="宋体"/>
          <w:color w:val="auto"/>
          <w:szCs w:val="21"/>
          <w:highlight w:val="none"/>
        </w:rPr>
      </w:pPr>
    </w:p>
    <w:p w14:paraId="1D720200">
      <w:pPr>
        <w:spacing w:line="440" w:lineRule="exact"/>
        <w:outlineLvl w:val="9"/>
        <w:rPr>
          <w:rFonts w:ascii="Calibri" w:hAnsi="Calibri"/>
          <w:color w:val="auto"/>
          <w:sz w:val="30"/>
          <w:szCs w:val="30"/>
          <w:highlight w:val="none"/>
        </w:rPr>
      </w:pPr>
      <w:r>
        <w:rPr>
          <w:rFonts w:hint="eastAsia" w:ascii="Calibri" w:hAnsi="宋体" w:cs="宋体"/>
          <w:color w:val="auto"/>
          <w:sz w:val="30"/>
          <w:szCs w:val="30"/>
          <w:highlight w:val="none"/>
        </w:rPr>
        <w:t>附件</w:t>
      </w:r>
      <w:r>
        <w:rPr>
          <w:rFonts w:ascii="Calibri" w:hAnsi="Calibri"/>
          <w:color w:val="auto"/>
          <w:sz w:val="30"/>
          <w:szCs w:val="30"/>
          <w:highlight w:val="none"/>
        </w:rPr>
        <w:t>8</w:t>
      </w:r>
      <w:r>
        <w:rPr>
          <w:rFonts w:hint="eastAsia" w:ascii="Calibri" w:hAnsi="宋体" w:cs="宋体"/>
          <w:color w:val="auto"/>
          <w:sz w:val="30"/>
          <w:szCs w:val="30"/>
          <w:highlight w:val="none"/>
        </w:rPr>
        <w:t>：</w:t>
      </w:r>
    </w:p>
    <w:p w14:paraId="540D054D">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工程质量保修书（市政公用工程）</w:t>
      </w:r>
    </w:p>
    <w:p w14:paraId="009C3C01">
      <w:pPr>
        <w:spacing w:line="360" w:lineRule="auto"/>
        <w:ind w:firstLine="420" w:firstLineChars="200"/>
        <w:rPr>
          <w:rFonts w:ascii="宋体"/>
          <w:color w:val="auto"/>
          <w:highlight w:val="none"/>
        </w:rPr>
      </w:pPr>
      <w:r>
        <w:rPr>
          <w:rFonts w:hint="eastAsia" w:ascii="宋体" w:hAnsi="宋体" w:cs="宋体"/>
          <w:color w:val="auto"/>
          <w:highlight w:val="none"/>
        </w:rPr>
        <w:t>发包人（全称）：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2DF0EA60">
      <w:pPr>
        <w:spacing w:line="360" w:lineRule="auto"/>
        <w:ind w:firstLine="420" w:firstLineChars="200"/>
        <w:rPr>
          <w:rFonts w:ascii="宋体"/>
          <w:color w:val="auto"/>
          <w:highlight w:val="none"/>
        </w:rPr>
      </w:pPr>
      <w:r>
        <w:rPr>
          <w:rFonts w:hint="eastAsia" w:ascii="宋体" w:hAnsi="宋体" w:cs="宋体"/>
          <w:color w:val="auto"/>
          <w:highlight w:val="none"/>
        </w:rPr>
        <w:t>承包人（全称）：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393D8B87">
      <w:pPr>
        <w:spacing w:line="360" w:lineRule="auto"/>
        <w:rPr>
          <w:rFonts w:ascii="宋体"/>
          <w:color w:val="auto"/>
          <w:highlight w:val="none"/>
        </w:rPr>
      </w:pPr>
    </w:p>
    <w:p w14:paraId="1EE77B21">
      <w:pPr>
        <w:spacing w:line="360" w:lineRule="auto"/>
        <w:ind w:firstLine="420"/>
        <w:rPr>
          <w:rFonts w:ascii="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ascii="宋体" w:hAnsi="宋体" w:cs="宋体"/>
          <w:color w:val="auto"/>
          <w:highlight w:val="none"/>
          <w:u w:val="single"/>
        </w:rPr>
        <w:t xml:space="preserve">                                     </w:t>
      </w:r>
      <w:r>
        <w:rPr>
          <w:rFonts w:hint="eastAsia" w:ascii="宋体" w:hAnsi="宋体" w:cs="宋体"/>
          <w:color w:val="auto"/>
          <w:highlight w:val="none"/>
        </w:rPr>
        <w:t>（工程全称）签订工程质量保修书。</w:t>
      </w:r>
    </w:p>
    <w:p w14:paraId="70BC07A5">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20880D20">
      <w:pPr>
        <w:spacing w:line="360" w:lineRule="auto"/>
        <w:ind w:firstLine="420" w:firstLineChars="200"/>
        <w:rPr>
          <w:rFonts w:ascii="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2E8AAA63">
      <w:pPr>
        <w:spacing w:line="360" w:lineRule="auto"/>
        <w:ind w:firstLine="420" w:firstLineChars="200"/>
        <w:rPr>
          <w:rFonts w:ascii="宋体"/>
          <w:color w:val="auto"/>
          <w:highlight w:val="none"/>
        </w:rPr>
      </w:pPr>
      <w:r>
        <w:rPr>
          <w:rFonts w:hint="eastAsia" w:ascii="宋体" w:hAnsi="宋体" w:cs="宋体"/>
          <w:color w:val="auto"/>
          <w:highlight w:val="none"/>
        </w:rPr>
        <w:t>质量保修范围包括</w:t>
      </w:r>
      <w:r>
        <w:rPr>
          <w:rFonts w:ascii="宋体" w:hAnsi="宋体" w:cs="宋体"/>
          <w:color w:val="auto"/>
          <w:highlight w:val="none"/>
          <w:u w:val="single"/>
        </w:rPr>
        <w:t xml:space="preserve">                                </w:t>
      </w:r>
      <w:r>
        <w:rPr>
          <w:rFonts w:hint="eastAsia" w:ascii="宋体" w:hAnsi="宋体" w:cs="宋体"/>
          <w:color w:val="auto"/>
          <w:highlight w:val="none"/>
        </w:rPr>
        <w:t>，以及双方约定的其他项目。具体保修的内容，双方约定如下：</w:t>
      </w:r>
    </w:p>
    <w:p w14:paraId="28E56DBA">
      <w:pPr>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234E28DF">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二、质量保修期</w:t>
      </w:r>
    </w:p>
    <w:p w14:paraId="41730A4E">
      <w:pPr>
        <w:spacing w:line="360" w:lineRule="auto"/>
        <w:ind w:firstLine="420" w:firstLineChars="200"/>
        <w:rPr>
          <w:rFonts w:ascii="宋体"/>
          <w:color w:val="auto"/>
          <w:highlight w:val="none"/>
        </w:rPr>
      </w:pPr>
      <w:r>
        <w:rPr>
          <w:rFonts w:hint="eastAsia" w:ascii="宋体" w:hAnsi="宋体" w:cs="宋体"/>
          <w:color w:val="auto"/>
          <w:highlight w:val="none"/>
        </w:rPr>
        <w:t>根据《建设工程质量管理条例》及有关规定，工程的质量保修期如下：</w:t>
      </w:r>
    </w:p>
    <w:p w14:paraId="427569F7">
      <w:pPr>
        <w:spacing w:line="360" w:lineRule="auto"/>
        <w:ind w:firstLine="426"/>
        <w:rPr>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cs="宋体"/>
          <w:color w:val="auto"/>
          <w:highlight w:val="none"/>
        </w:rPr>
        <w:t>桥梁工程为</w:t>
      </w:r>
      <w:r>
        <w:rPr>
          <w:color w:val="auto"/>
          <w:highlight w:val="none"/>
          <w:u w:val="single"/>
        </w:rPr>
        <w:t xml:space="preserve">     </w:t>
      </w:r>
      <w:r>
        <w:rPr>
          <w:rFonts w:hint="eastAsia" w:cs="宋体"/>
          <w:color w:val="auto"/>
          <w:highlight w:val="none"/>
        </w:rPr>
        <w:t>年（建议桥梁隧道主体结构工程为设计文件规定的合理使用年限）；</w:t>
      </w:r>
    </w:p>
    <w:p w14:paraId="6A2E1F30">
      <w:pPr>
        <w:spacing w:line="360" w:lineRule="auto"/>
        <w:ind w:firstLine="426"/>
        <w:rPr>
          <w:color w:val="auto"/>
          <w:highlight w:val="none"/>
        </w:rPr>
      </w:pPr>
      <w:r>
        <w:rPr>
          <w:color w:val="auto"/>
          <w:highlight w:val="none"/>
        </w:rPr>
        <w:t>2</w:t>
      </w:r>
      <w:r>
        <w:rPr>
          <w:rFonts w:hint="eastAsia" w:ascii="宋体" w:hAnsi="宋体" w:cs="宋体"/>
          <w:color w:val="auto"/>
          <w:highlight w:val="none"/>
        </w:rPr>
        <w:t>．</w:t>
      </w:r>
      <w:r>
        <w:rPr>
          <w:rFonts w:hint="eastAsia" w:cs="宋体"/>
          <w:color w:val="auto"/>
          <w:highlight w:val="none"/>
        </w:rPr>
        <w:t>道路工程为</w:t>
      </w:r>
      <w:r>
        <w:rPr>
          <w:color w:val="auto"/>
          <w:highlight w:val="none"/>
          <w:u w:val="single"/>
        </w:rPr>
        <w:t xml:space="preserve">     </w:t>
      </w:r>
      <w:r>
        <w:rPr>
          <w:rFonts w:hint="eastAsia" w:cs="宋体"/>
          <w:color w:val="auto"/>
          <w:highlight w:val="none"/>
        </w:rPr>
        <w:t>年（建议路基、路面、桥面为</w:t>
      </w:r>
      <w:r>
        <w:rPr>
          <w:color w:val="auto"/>
          <w:highlight w:val="none"/>
        </w:rPr>
        <w:t>2</w:t>
      </w:r>
      <w:r>
        <w:rPr>
          <w:rFonts w:hint="eastAsia" w:cs="宋体"/>
          <w:color w:val="auto"/>
          <w:highlight w:val="none"/>
        </w:rPr>
        <w:t>年）；</w:t>
      </w:r>
    </w:p>
    <w:p w14:paraId="22D983BE">
      <w:pPr>
        <w:spacing w:line="360" w:lineRule="auto"/>
        <w:ind w:firstLine="426"/>
        <w:rPr>
          <w:color w:val="auto"/>
          <w:highlight w:val="none"/>
        </w:rPr>
      </w:pPr>
      <w:r>
        <w:rPr>
          <w:color w:val="auto"/>
          <w:highlight w:val="none"/>
        </w:rPr>
        <w:t>3</w:t>
      </w:r>
      <w:r>
        <w:rPr>
          <w:rFonts w:hint="eastAsia" w:ascii="宋体" w:hAnsi="宋体" w:cs="宋体"/>
          <w:color w:val="auto"/>
          <w:highlight w:val="none"/>
        </w:rPr>
        <w:t>．</w:t>
      </w:r>
      <w:r>
        <w:rPr>
          <w:rFonts w:hint="eastAsia" w:cs="宋体"/>
          <w:color w:val="auto"/>
          <w:highlight w:val="none"/>
        </w:rPr>
        <w:t>排水（雨水）工程为</w:t>
      </w:r>
      <w:r>
        <w:rPr>
          <w:color w:val="auto"/>
          <w:highlight w:val="none"/>
          <w:u w:val="single"/>
        </w:rPr>
        <w:t xml:space="preserve">     </w:t>
      </w:r>
      <w:r>
        <w:rPr>
          <w:rFonts w:hint="eastAsia" w:cs="宋体"/>
          <w:color w:val="auto"/>
          <w:highlight w:val="none"/>
        </w:rPr>
        <w:t>年（建议道路工程中的排水工程为</w:t>
      </w:r>
      <w:r>
        <w:rPr>
          <w:color w:val="auto"/>
          <w:highlight w:val="none"/>
        </w:rPr>
        <w:t>3</w:t>
      </w:r>
      <w:r>
        <w:rPr>
          <w:rFonts w:hint="eastAsia" w:cs="宋体"/>
          <w:color w:val="auto"/>
          <w:highlight w:val="none"/>
        </w:rPr>
        <w:t>年）；</w:t>
      </w:r>
    </w:p>
    <w:p w14:paraId="4815D1C7">
      <w:pPr>
        <w:spacing w:line="360" w:lineRule="auto"/>
        <w:ind w:firstLine="426"/>
        <w:rPr>
          <w:color w:val="auto"/>
          <w:highlight w:val="none"/>
        </w:rPr>
      </w:pPr>
      <w:r>
        <w:rPr>
          <w:color w:val="auto"/>
          <w:highlight w:val="none"/>
        </w:rPr>
        <w:t>4</w:t>
      </w:r>
      <w:r>
        <w:rPr>
          <w:rFonts w:hint="eastAsia" w:ascii="宋体" w:hAnsi="宋体" w:cs="宋体"/>
          <w:color w:val="auto"/>
          <w:highlight w:val="none"/>
        </w:rPr>
        <w:t>．</w:t>
      </w:r>
      <w:r>
        <w:rPr>
          <w:rFonts w:hint="eastAsia" w:cs="宋体"/>
          <w:color w:val="auto"/>
          <w:highlight w:val="none"/>
        </w:rPr>
        <w:t>绿化工程为</w:t>
      </w:r>
      <w:r>
        <w:rPr>
          <w:color w:val="auto"/>
          <w:highlight w:val="none"/>
        </w:rPr>
        <w:t xml:space="preserve"> </w:t>
      </w:r>
      <w:r>
        <w:rPr>
          <w:rFonts w:hint="eastAsia" w:cs="宋体"/>
          <w:color w:val="auto"/>
          <w:highlight w:val="none"/>
          <w:u w:val="single"/>
        </w:rPr>
        <w:t>单位工程竣工验收合格后</w:t>
      </w:r>
      <w:r>
        <w:rPr>
          <w:color w:val="auto"/>
          <w:highlight w:val="none"/>
          <w:u w:val="single"/>
        </w:rPr>
        <w:t xml:space="preserve">    </w:t>
      </w:r>
      <w:r>
        <w:rPr>
          <w:rFonts w:hint="eastAsia" w:cs="宋体"/>
          <w:color w:val="auto"/>
          <w:highlight w:val="none"/>
          <w:u w:val="single"/>
        </w:rPr>
        <w:t>年</w:t>
      </w:r>
      <w:r>
        <w:rPr>
          <w:rFonts w:hint="eastAsia" w:cs="宋体"/>
          <w:color w:val="auto"/>
          <w:highlight w:val="none"/>
        </w:rPr>
        <w:t>；</w:t>
      </w:r>
    </w:p>
    <w:p w14:paraId="4B99C2AF">
      <w:pPr>
        <w:spacing w:line="360" w:lineRule="auto"/>
        <w:ind w:firstLine="426"/>
        <w:rPr>
          <w:color w:val="auto"/>
          <w:highlight w:val="none"/>
        </w:rPr>
      </w:pPr>
      <w:r>
        <w:rPr>
          <w:color w:val="auto"/>
          <w:highlight w:val="none"/>
        </w:rPr>
        <w:t xml:space="preserve">5.  </w:t>
      </w:r>
      <w:r>
        <w:rPr>
          <w:rFonts w:hint="eastAsia" w:cs="宋体"/>
          <w:color w:val="auto"/>
          <w:highlight w:val="none"/>
        </w:rPr>
        <w:t>地下防水工程为</w:t>
      </w:r>
      <w:r>
        <w:rPr>
          <w:color w:val="auto"/>
          <w:highlight w:val="none"/>
          <w:u w:val="single"/>
        </w:rPr>
        <w:t xml:space="preserve">     </w:t>
      </w:r>
      <w:r>
        <w:rPr>
          <w:rFonts w:hint="eastAsia" w:cs="宋体"/>
          <w:color w:val="auto"/>
          <w:highlight w:val="none"/>
        </w:rPr>
        <w:t>年（建议为</w:t>
      </w:r>
      <w:r>
        <w:rPr>
          <w:color w:val="auto"/>
          <w:highlight w:val="none"/>
        </w:rPr>
        <w:t>5</w:t>
      </w:r>
      <w:r>
        <w:rPr>
          <w:rFonts w:hint="eastAsia" w:cs="宋体"/>
          <w:color w:val="auto"/>
          <w:highlight w:val="none"/>
        </w:rPr>
        <w:t>年）；</w:t>
      </w:r>
    </w:p>
    <w:p w14:paraId="671F6779">
      <w:pPr>
        <w:spacing w:line="360" w:lineRule="auto"/>
        <w:ind w:firstLine="426"/>
        <w:rPr>
          <w:color w:val="auto"/>
          <w:highlight w:val="none"/>
        </w:rPr>
      </w:pPr>
      <w:r>
        <w:rPr>
          <w:color w:val="auto"/>
          <w:highlight w:val="none"/>
        </w:rPr>
        <w:t>6</w:t>
      </w:r>
      <w:r>
        <w:rPr>
          <w:rFonts w:hint="eastAsia" w:ascii="宋体" w:hAnsi="宋体" w:cs="宋体"/>
          <w:color w:val="auto"/>
          <w:highlight w:val="none"/>
        </w:rPr>
        <w:t>．</w:t>
      </w:r>
      <w:r>
        <w:rPr>
          <w:rFonts w:hint="eastAsia" w:cs="宋体"/>
          <w:color w:val="auto"/>
          <w:highlight w:val="none"/>
        </w:rPr>
        <w:t>其他附属工程为</w:t>
      </w:r>
      <w:r>
        <w:rPr>
          <w:color w:val="auto"/>
          <w:highlight w:val="none"/>
          <w:u w:val="single"/>
        </w:rPr>
        <w:t xml:space="preserve">      </w:t>
      </w:r>
      <w:r>
        <w:rPr>
          <w:rFonts w:hint="eastAsia" w:cs="宋体"/>
          <w:color w:val="auto"/>
          <w:highlight w:val="none"/>
        </w:rPr>
        <w:t>年；</w:t>
      </w:r>
    </w:p>
    <w:p w14:paraId="13DD5830">
      <w:pPr>
        <w:spacing w:line="360" w:lineRule="auto"/>
        <w:ind w:firstLine="420" w:firstLineChars="200"/>
        <w:rPr>
          <w:rFonts w:ascii="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p>
    <w:p w14:paraId="4FD3E1DA">
      <w:pPr>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45A2BEBC">
      <w:pPr>
        <w:spacing w:line="360" w:lineRule="auto"/>
        <w:ind w:firstLine="420" w:firstLineChars="200"/>
        <w:rPr>
          <w:rFonts w:ascii="宋体"/>
          <w:color w:val="auto"/>
          <w:highlight w:val="none"/>
        </w:rPr>
      </w:pPr>
      <w:r>
        <w:rPr>
          <w:rFonts w:hint="eastAsia" w:ascii="宋体" w:hAnsi="宋体" w:cs="宋体"/>
          <w:color w:val="auto"/>
          <w:highlight w:val="none"/>
        </w:rPr>
        <w:t>质量保修期自工程竣工验收合格之日起计算。</w:t>
      </w:r>
    </w:p>
    <w:p w14:paraId="1DD1EC11">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三、缺陷责任期</w:t>
      </w:r>
    </w:p>
    <w:p w14:paraId="12386F03">
      <w:pPr>
        <w:spacing w:line="360" w:lineRule="auto"/>
        <w:ind w:firstLine="420" w:firstLineChars="200"/>
        <w:rPr>
          <w:rFonts w:ascii="宋体"/>
          <w:color w:val="auto"/>
          <w:highlight w:val="none"/>
        </w:rPr>
      </w:pPr>
      <w:r>
        <w:rPr>
          <w:rFonts w:hint="eastAsia" w:ascii="宋体" w:hAnsi="宋体" w:cs="宋体"/>
          <w:color w:val="auto"/>
          <w:highlight w:val="none"/>
        </w:rPr>
        <w:t>工程缺陷责任期为</w:t>
      </w:r>
      <w:r>
        <w:rPr>
          <w:rFonts w:ascii="宋体" w:hAnsi="宋体" w:cs="宋体"/>
          <w:color w:val="auto"/>
          <w:highlight w:val="none"/>
          <w:u w:val="single"/>
        </w:rPr>
        <w:t xml:space="preserve">         </w:t>
      </w:r>
      <w:r>
        <w:rPr>
          <w:rFonts w:hint="eastAsia" w:ascii="宋体" w:hAnsi="宋体" w:cs="宋体"/>
          <w:color w:val="auto"/>
          <w:highlight w:val="none"/>
        </w:rPr>
        <w:t>个月</w:t>
      </w:r>
      <w:r>
        <w:rPr>
          <w:rFonts w:hint="eastAsia" w:hAnsi="宋体" w:cs="宋体"/>
          <w:color w:val="auto"/>
          <w:highlight w:val="none"/>
        </w:rPr>
        <w:t>（最长不超过</w:t>
      </w:r>
      <w:r>
        <w:rPr>
          <w:rFonts w:hAnsi="宋体"/>
          <w:color w:val="auto"/>
          <w:highlight w:val="none"/>
        </w:rPr>
        <w:t>24</w:t>
      </w:r>
      <w:r>
        <w:rPr>
          <w:rFonts w:hint="eastAsia" w:hAnsi="宋体" w:cs="宋体"/>
          <w:color w:val="auto"/>
          <w:highlight w:val="none"/>
        </w:rPr>
        <w:t>个月）</w:t>
      </w:r>
      <w:r>
        <w:rPr>
          <w:rFonts w:hint="eastAsia" w:ascii="宋体" w:hAnsi="宋体" w:cs="宋体"/>
          <w:color w:val="auto"/>
          <w:highlight w:val="none"/>
        </w:rPr>
        <w:t>，缺陷责任期自工程竣工验收合格之日起计算。单位工程先于全部工程进行验收，单位工程缺陷责任期自单位工程验收合格之日起算。</w:t>
      </w:r>
    </w:p>
    <w:p w14:paraId="22FD60E7">
      <w:pPr>
        <w:spacing w:line="360" w:lineRule="auto"/>
        <w:ind w:firstLine="420" w:firstLineChars="200"/>
        <w:rPr>
          <w:rFonts w:ascii="宋体"/>
          <w:color w:val="auto"/>
          <w:highlight w:val="none"/>
        </w:rPr>
      </w:pPr>
      <w:r>
        <w:rPr>
          <w:rFonts w:hint="eastAsia" w:ascii="宋体"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ascii="宋体" w:hAnsi="宋体" w:cs="宋体"/>
          <w:color w:val="auto"/>
          <w:highlight w:val="none"/>
        </w:rPr>
        <w:t>发包人应退还剩余的质量保证金。</w:t>
      </w:r>
    </w:p>
    <w:p w14:paraId="34D39A1F">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四、质量保修责任</w:t>
      </w:r>
    </w:p>
    <w:p w14:paraId="4D8DE37C">
      <w:pPr>
        <w:spacing w:line="360"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．属于保修范围、内容的项目，承包人应当在接到保修通知之日起</w:t>
      </w:r>
      <w:r>
        <w:rPr>
          <w:rFonts w:ascii="宋体" w:hAnsi="宋体" w:cs="宋体"/>
          <w:color w:val="auto"/>
          <w:highlight w:val="none"/>
          <w:u w:val="single"/>
        </w:rPr>
        <w:t xml:space="preserve">      </w:t>
      </w:r>
      <w:r>
        <w:rPr>
          <w:rFonts w:hint="eastAsia" w:ascii="宋体" w:hAnsi="宋体" w:cs="宋体"/>
          <w:color w:val="auto"/>
          <w:highlight w:val="none"/>
        </w:rPr>
        <w:t>天内派人保修。承包人不在约定期限内派人保修的，发包人可以委托他人修理</w:t>
      </w:r>
      <w:r>
        <w:rPr>
          <w:rFonts w:hint="eastAsia" w:hAnsi="宋体" w:cs="宋体"/>
          <w:color w:val="auto"/>
          <w:highlight w:val="none"/>
        </w:rPr>
        <w:t>，修理费用从质量保证金内扣除。</w:t>
      </w:r>
    </w:p>
    <w:p w14:paraId="7D7D1A4B">
      <w:pPr>
        <w:spacing w:line="360" w:lineRule="auto"/>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．发生紧急事故需抢修的，承包人在接到事故通知后，应当立即到达事故现场抢修。</w:t>
      </w:r>
    </w:p>
    <w:p w14:paraId="0CE8194B">
      <w:pPr>
        <w:spacing w:line="360" w:lineRule="auto"/>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4C50013">
      <w:pPr>
        <w:spacing w:line="360" w:lineRule="auto"/>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．质量保修完成后，由发包人组织验收。</w:t>
      </w:r>
    </w:p>
    <w:p w14:paraId="4AD521B1">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五、保修费用</w:t>
      </w:r>
    </w:p>
    <w:p w14:paraId="5BAF1516">
      <w:pPr>
        <w:spacing w:line="360" w:lineRule="auto"/>
        <w:ind w:firstLine="420" w:firstLineChars="200"/>
        <w:rPr>
          <w:rFonts w:ascii="宋体"/>
          <w:color w:val="auto"/>
          <w:highlight w:val="none"/>
        </w:rPr>
      </w:pPr>
      <w:r>
        <w:rPr>
          <w:rFonts w:hint="eastAsia" w:ascii="宋体" w:hAnsi="宋体" w:cs="宋体"/>
          <w:color w:val="auto"/>
          <w:highlight w:val="none"/>
        </w:rPr>
        <w:t>保修费用由造成质量缺陷的责任方承担。</w:t>
      </w:r>
    </w:p>
    <w:p w14:paraId="5DE80FB6">
      <w:pPr>
        <w:spacing w:line="360" w:lineRule="auto"/>
        <w:ind w:firstLine="420" w:firstLineChars="200"/>
        <w:rPr>
          <w:rFonts w:ascii="黑体" w:hAnsi="宋体" w:eastAsia="黑体" w:cs="黑体"/>
          <w:color w:val="auto"/>
          <w:highlight w:val="none"/>
          <w:u w:val="singl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u w:val="single"/>
        </w:rPr>
        <w:t xml:space="preserve">                                          </w:t>
      </w:r>
    </w:p>
    <w:p w14:paraId="536FD4C5">
      <w:pPr>
        <w:spacing w:line="360" w:lineRule="auto"/>
        <w:jc w:val="left"/>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5BBB6898">
      <w:pPr>
        <w:spacing w:line="360" w:lineRule="auto"/>
        <w:ind w:firstLine="399" w:firstLineChars="190"/>
        <w:rPr>
          <w:rFonts w:ascii="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31828E2E">
      <w:pPr>
        <w:spacing w:line="360" w:lineRule="auto"/>
        <w:ind w:firstLine="420"/>
        <w:rPr>
          <w:rFonts w:ascii="宋体"/>
          <w:color w:val="auto"/>
          <w:highlight w:val="none"/>
        </w:rPr>
      </w:pPr>
    </w:p>
    <w:p w14:paraId="3424350B">
      <w:pPr>
        <w:spacing w:line="360" w:lineRule="auto"/>
        <w:ind w:firstLine="420"/>
        <w:rPr>
          <w:rFonts w:ascii="宋体"/>
          <w:color w:val="auto"/>
          <w:highlight w:val="none"/>
        </w:rPr>
      </w:pPr>
    </w:p>
    <w:p w14:paraId="5BE21791">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018EC0C3">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3A979871">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950E648">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1325719">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36580C8">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27510D2A">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CC2FCD4">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0110F7A">
      <w:pPr>
        <w:spacing w:line="360" w:lineRule="auto"/>
        <w:rPr>
          <w:rFonts w:ascii="宋体"/>
          <w:color w:val="auto"/>
          <w:highlight w:val="none"/>
          <w:u w:val="singl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p>
    <w:p w14:paraId="378BEEF4">
      <w:pPr>
        <w:spacing w:line="540" w:lineRule="exact"/>
        <w:outlineLvl w:val="9"/>
        <w:rPr>
          <w:rFonts w:ascii="宋体" w:hAnsi="宋体" w:cs="宋体"/>
          <w:color w:val="auto"/>
          <w:sz w:val="24"/>
          <w:highlight w:val="none"/>
        </w:rPr>
      </w:pPr>
    </w:p>
    <w:p w14:paraId="0EE21AA4">
      <w:pPr>
        <w:spacing w:line="50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277B26F">
      <w:pPr>
        <w:outlineLvl w:val="9"/>
        <w:rPr>
          <w:color w:val="auto"/>
          <w:sz w:val="24"/>
          <w:highlight w:val="none"/>
        </w:rPr>
      </w:pPr>
    </w:p>
    <w:p w14:paraId="5592BD43">
      <w:pPr>
        <w:outlineLvl w:val="9"/>
        <w:rPr>
          <w:color w:val="auto"/>
          <w:sz w:val="24"/>
          <w:szCs w:val="24"/>
          <w:highlight w:val="none"/>
        </w:rPr>
      </w:pPr>
    </w:p>
    <w:p w14:paraId="494DD86D">
      <w:pPr>
        <w:outlineLvl w:val="9"/>
        <w:rPr>
          <w:color w:val="auto"/>
          <w:sz w:val="24"/>
          <w:highlight w:val="none"/>
        </w:rPr>
      </w:pPr>
    </w:p>
    <w:p w14:paraId="088ED6B4">
      <w:pPr>
        <w:pStyle w:val="37"/>
        <w:outlineLvl w:val="9"/>
        <w:rPr>
          <w:color w:val="auto"/>
          <w:szCs w:val="24"/>
          <w:highlight w:val="none"/>
        </w:rPr>
      </w:pPr>
    </w:p>
    <w:p w14:paraId="05DD2904">
      <w:pPr>
        <w:pStyle w:val="37"/>
        <w:outlineLvl w:val="9"/>
        <w:rPr>
          <w:color w:val="auto"/>
          <w:szCs w:val="24"/>
          <w:highlight w:val="none"/>
        </w:rPr>
      </w:pPr>
    </w:p>
    <w:p w14:paraId="42C4881B">
      <w:pPr>
        <w:pStyle w:val="37"/>
        <w:outlineLvl w:val="9"/>
        <w:rPr>
          <w:color w:val="auto"/>
          <w:szCs w:val="24"/>
          <w:highlight w:val="none"/>
        </w:rPr>
      </w:pPr>
    </w:p>
    <w:p w14:paraId="7B369C44">
      <w:pPr>
        <w:pStyle w:val="37"/>
        <w:outlineLvl w:val="9"/>
        <w:rPr>
          <w:color w:val="auto"/>
          <w:szCs w:val="24"/>
          <w:highlight w:val="none"/>
        </w:rPr>
      </w:pPr>
    </w:p>
    <w:p w14:paraId="6337CD98">
      <w:pPr>
        <w:pStyle w:val="37"/>
        <w:outlineLvl w:val="9"/>
        <w:rPr>
          <w:color w:val="auto"/>
          <w:szCs w:val="24"/>
          <w:highlight w:val="none"/>
        </w:rPr>
      </w:pPr>
    </w:p>
    <w:p w14:paraId="2E76E86D">
      <w:pPr>
        <w:pStyle w:val="37"/>
        <w:outlineLvl w:val="9"/>
        <w:rPr>
          <w:color w:val="auto"/>
          <w:szCs w:val="24"/>
          <w:highlight w:val="none"/>
        </w:rPr>
      </w:pPr>
    </w:p>
    <w:p w14:paraId="59665377">
      <w:pPr>
        <w:pStyle w:val="37"/>
        <w:outlineLvl w:val="9"/>
        <w:rPr>
          <w:color w:val="auto"/>
          <w:szCs w:val="24"/>
          <w:highlight w:val="none"/>
        </w:rPr>
      </w:pPr>
    </w:p>
    <w:p w14:paraId="79323D7D">
      <w:pPr>
        <w:pStyle w:val="37"/>
        <w:outlineLvl w:val="9"/>
        <w:rPr>
          <w:color w:val="auto"/>
          <w:szCs w:val="24"/>
          <w:highlight w:val="none"/>
        </w:rPr>
      </w:pPr>
    </w:p>
    <w:p w14:paraId="0EE7F31E">
      <w:pPr>
        <w:pStyle w:val="748"/>
        <w:pageBreakBefore/>
        <w:spacing w:before="60" w:after="60" w:line="360" w:lineRule="auto"/>
        <w:outlineLvl w:val="9"/>
        <w:rPr>
          <w:rFonts w:ascii="宋体" w:hAnsi="宋体"/>
          <w:b/>
          <w:bCs/>
          <w:color w:val="auto"/>
          <w:sz w:val="24"/>
          <w:szCs w:val="32"/>
          <w:highlight w:val="none"/>
        </w:rPr>
      </w:pPr>
      <w:bookmarkStart w:id="1872" w:name="_Toc21343"/>
      <w:r>
        <w:rPr>
          <w:rFonts w:hint="eastAsia" w:ascii="宋体" w:hAnsi="宋体"/>
          <w:b/>
          <w:bCs/>
          <w:color w:val="auto"/>
          <w:sz w:val="28"/>
          <w:szCs w:val="28"/>
          <w:highlight w:val="none"/>
        </w:rPr>
        <w:t>附件9：</w:t>
      </w:r>
      <w:r>
        <w:rPr>
          <w:rFonts w:ascii="宋体" w:hAnsi="宋体"/>
          <w:b/>
          <w:bCs/>
          <w:color w:val="auto"/>
          <w:sz w:val="28"/>
          <w:szCs w:val="28"/>
          <w:highlight w:val="none"/>
        </w:rPr>
        <w:t xml:space="preserve"> </w:t>
      </w:r>
      <w:r>
        <w:rPr>
          <w:rFonts w:hint="eastAsia" w:ascii="宋体" w:hAnsi="宋体"/>
          <w:b/>
          <w:bCs/>
          <w:color w:val="auto"/>
          <w:sz w:val="28"/>
          <w:szCs w:val="28"/>
          <w:highlight w:val="none"/>
        </w:rPr>
        <w:t>廉政合同</w:t>
      </w:r>
      <w:bookmarkEnd w:id="1872"/>
    </w:p>
    <w:p w14:paraId="323EA1E1">
      <w:pPr>
        <w:pStyle w:val="748"/>
        <w:spacing w:line="360" w:lineRule="auto"/>
        <w:jc w:val="center"/>
        <w:outlineLvl w:val="9"/>
        <w:rPr>
          <w:rFonts w:ascii="宋体" w:hAnsi="宋体"/>
          <w:color w:val="auto"/>
          <w:sz w:val="28"/>
          <w:szCs w:val="28"/>
          <w:highlight w:val="none"/>
        </w:rPr>
      </w:pPr>
      <w:r>
        <w:rPr>
          <w:rFonts w:hint="eastAsia" w:ascii="宋体" w:hAnsi="宋体"/>
          <w:color w:val="auto"/>
          <w:sz w:val="28"/>
          <w:szCs w:val="28"/>
          <w:highlight w:val="none"/>
        </w:rPr>
        <w:t>廉政合同</w:t>
      </w:r>
    </w:p>
    <w:p w14:paraId="1D89ABAB">
      <w:pPr>
        <w:pStyle w:val="748"/>
        <w:spacing w:line="360" w:lineRule="auto"/>
        <w:jc w:val="center"/>
        <w:outlineLvl w:val="9"/>
        <w:rPr>
          <w:rFonts w:ascii="宋体" w:hAnsi="宋体"/>
          <w:color w:val="auto"/>
          <w:sz w:val="28"/>
          <w:szCs w:val="28"/>
          <w:highlight w:val="none"/>
        </w:rPr>
      </w:pPr>
    </w:p>
    <w:p w14:paraId="313FFF9D">
      <w:pPr>
        <w:pStyle w:val="748"/>
        <w:snapToGrid w:val="0"/>
        <w:spacing w:line="360" w:lineRule="auto"/>
        <w:ind w:firstLine="420" w:firstLineChars="200"/>
        <w:outlineLvl w:val="9"/>
        <w:rPr>
          <w:rFonts w:ascii="宋体" w:hAnsi="宋体"/>
          <w:color w:val="auto"/>
          <w:szCs w:val="21"/>
          <w:highlight w:val="none"/>
          <w:u w:val="single"/>
        </w:rPr>
      </w:pPr>
      <w:r>
        <w:rPr>
          <w:rFonts w:hint="eastAsia" w:ascii="宋体" w:hAnsi="宋体"/>
          <w:color w:val="auto"/>
          <w:szCs w:val="21"/>
          <w:highlight w:val="none"/>
        </w:rPr>
        <w:t>根据国家有关工程建设、廉政建设的规定，为做好工程建设中的党风廉政建设，保证工程建设高效优质，保证建设资金的安全和有效使用以及投资效益，建设工程的项目法人</w:t>
      </w:r>
      <w:r>
        <w:rPr>
          <w:rFonts w:hint="eastAsia" w:ascii="宋体" w:hAnsi="宋体"/>
          <w:b/>
          <w:bCs/>
          <w:color w:val="auto"/>
          <w:szCs w:val="21"/>
          <w:highlight w:val="none"/>
          <w:u w:val="single"/>
        </w:rPr>
        <w:t xml:space="preserve">                             </w:t>
      </w:r>
      <w:r>
        <w:rPr>
          <w:rFonts w:hint="eastAsia" w:ascii="宋体" w:hAnsi="宋体"/>
          <w:color w:val="auto"/>
          <w:szCs w:val="21"/>
          <w:highlight w:val="none"/>
        </w:rPr>
        <w:t>（以下简称“发包人”）与总承包单位</w:t>
      </w:r>
      <w:r>
        <w:rPr>
          <w:rFonts w:hint="eastAsia" w:ascii="宋体" w:hAnsi="宋体"/>
          <w:b/>
          <w:bCs/>
          <w:color w:val="auto"/>
          <w:szCs w:val="21"/>
          <w:highlight w:val="none"/>
          <w:u w:val="single"/>
        </w:rPr>
        <w:t xml:space="preserve">                      </w:t>
      </w:r>
      <w:r>
        <w:rPr>
          <w:rFonts w:hint="eastAsia" w:ascii="宋体" w:hAnsi="宋体"/>
          <w:color w:val="auto"/>
          <w:szCs w:val="21"/>
          <w:highlight w:val="none"/>
        </w:rPr>
        <w:t>（以下简称“承包人”），特订立如下合同。</w:t>
      </w:r>
    </w:p>
    <w:p w14:paraId="05F2E2F9">
      <w:pPr>
        <w:pStyle w:val="748"/>
        <w:snapToGrid w:val="0"/>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1.双方的权利和义务</w:t>
      </w:r>
    </w:p>
    <w:p w14:paraId="1707FAA0">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（1）严格遵守党和国家的有关法律法规及中纪委监察部的有关规定。</w:t>
      </w:r>
    </w:p>
    <w:p w14:paraId="10B8FC87">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（2）严格执行工程的合同文件，自觉按合同办事。</w:t>
      </w:r>
    </w:p>
    <w:p w14:paraId="61F87BC6">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7BDDEA55">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14:paraId="12E6B448">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（5）发现对方在业务活动中有违反廉政规定的行为，有及时提醒对方纠正的权利及义务。</w:t>
      </w:r>
    </w:p>
    <w:p w14:paraId="6EBB0700">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（6）发现对方严重违反本合同义务条款的行为，有向其上级有关部门举报、建议给予处理并要求告知处理结果的权利。</w:t>
      </w:r>
    </w:p>
    <w:p w14:paraId="0C3CE145">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2.发包人的义务</w:t>
      </w:r>
    </w:p>
    <w:p w14:paraId="351C6725">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（1）发包人及其工作人员不得索要或接受承包人的礼金、有价证券和贵重物品，不得在承包人报销任何应由发包人或发包人工作人员个人支付的费用等。</w:t>
      </w:r>
    </w:p>
    <w:p w14:paraId="008B075C">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（2）发包人工作人员不得参加承包人安排的超标准宴请和娱乐活动；不得接受承包人提供的通讯工具、交通工具和高档办公用品等。</w:t>
      </w:r>
    </w:p>
    <w:p w14:paraId="76E01D43">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（3）发包人及其工作人员不得要求或者接受承包人为其住房装修、婚丧嫁娶活动、配偶子女的工作安排以及出国出境、旅游等提供方便等。</w:t>
      </w:r>
    </w:p>
    <w:p w14:paraId="162ECA67">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（4）发包人工作人及其配偶、子女不得从事与发包人工程有关的材料设备供应、工程分包、劳务等经济活动等。</w:t>
      </w:r>
    </w:p>
    <w:p w14:paraId="386F5133">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（5）发包人及其工作人员不得以任何理由向承包人推荐分包单位或推销材料，不得要求承包人购买合同规定外的材料和设备。</w:t>
      </w:r>
    </w:p>
    <w:p w14:paraId="3A826546">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14:paraId="30765C46">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3.承包人义务</w:t>
      </w:r>
    </w:p>
    <w:p w14:paraId="39E599E1">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14:paraId="0576CF1B">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14:paraId="090F0D3E">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（3）承包人不得以任何理由安排发包人工作人员参加超标准宴请及娱乐活动。</w:t>
      </w:r>
    </w:p>
    <w:p w14:paraId="13F473FB">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（4）承包人不得为发包人单位和个人购置或提供通讯工具、交通工具和高档办公用品等。</w:t>
      </w:r>
    </w:p>
    <w:p w14:paraId="23FA5AA2">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4.违约责任</w:t>
      </w:r>
    </w:p>
    <w:p w14:paraId="08E33E4E">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（1）发包人及其工作人员违反本合同第一、二条，按管理权限，依据有关规定给予党纪、政纪或组织处理；涉嫌犯罪的，移交司法机关追究刑事责任；给承包人单位造成经济损失的，应予以赔偿。</w:t>
      </w:r>
    </w:p>
    <w:p w14:paraId="1112762C">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2）承包人及其工作人员违反本合同第一、三条，按管理权限，依据有关规定给予党纪、政纪或组织处理；给发包人单位造成经济损失的，应予以赔偿；情节严重的，发包人建议工程建设主管部门给予承包人一至三年内不得进入其主管的工程建设市场的处罚。</w:t>
      </w:r>
    </w:p>
    <w:p w14:paraId="49B60A89">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5.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14:paraId="4390654F">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6.本合同有效期为双方签署之日起至该工程项目竣工验收后止。</w:t>
      </w:r>
    </w:p>
    <w:p w14:paraId="42F250C5">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7.本合同作为工程总承包合同的附件，与工程施工合同具有同等的法律效力。</w:t>
      </w:r>
    </w:p>
    <w:p w14:paraId="5D4A5E7E">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8.本合同作为主合同附件，正本和副本份数与本合同专用条款约定相同。由双方法定代表人或其授权的代理人签署与加盖公章后生效，全部工程竣工验收后失效。</w:t>
      </w:r>
    </w:p>
    <w:p w14:paraId="09F62DFE">
      <w:pPr>
        <w:pStyle w:val="748"/>
        <w:snapToGrid w:val="0"/>
        <w:spacing w:line="360" w:lineRule="auto"/>
        <w:ind w:firstLine="420" w:firstLineChars="200"/>
        <w:outlineLvl w:val="9"/>
        <w:rPr>
          <w:rFonts w:ascii="宋体" w:hAnsi="宋体"/>
          <w:color w:val="auto"/>
          <w:szCs w:val="21"/>
          <w:highlight w:val="none"/>
        </w:rPr>
      </w:pPr>
    </w:p>
    <w:p w14:paraId="48AA85EF">
      <w:pPr>
        <w:pStyle w:val="748"/>
        <w:snapToGrid w:val="0"/>
        <w:spacing w:line="360" w:lineRule="auto"/>
        <w:ind w:firstLine="420" w:firstLineChars="200"/>
        <w:outlineLvl w:val="9"/>
        <w:rPr>
          <w:rFonts w:ascii="宋体" w:hAnsi="宋体"/>
          <w:color w:val="auto"/>
          <w:szCs w:val="21"/>
          <w:highlight w:val="none"/>
        </w:rPr>
      </w:pPr>
    </w:p>
    <w:p w14:paraId="284A9DBE">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发包人：                                    承包人：   </w:t>
      </w:r>
    </w:p>
    <w:p w14:paraId="4133F8EC">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（公章或合同专用章）                             （公章或合同专用章）</w:t>
      </w:r>
    </w:p>
    <w:p w14:paraId="02735F95">
      <w:pPr>
        <w:pStyle w:val="748"/>
        <w:snapToGrid w:val="0"/>
        <w:spacing w:line="360" w:lineRule="auto"/>
        <w:ind w:firstLine="420" w:firstLineChars="200"/>
        <w:outlineLvl w:val="9"/>
        <w:rPr>
          <w:rFonts w:ascii="宋体" w:hAnsi="宋体"/>
          <w:color w:val="auto"/>
          <w:szCs w:val="21"/>
          <w:highlight w:val="none"/>
        </w:rPr>
      </w:pPr>
    </w:p>
    <w:p w14:paraId="2CDD984B">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法定代表人：                               法定代表人：</w:t>
      </w:r>
    </w:p>
    <w:p w14:paraId="4DF24A02">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（签字或盖章）                                （签字或盖章）</w:t>
      </w:r>
    </w:p>
    <w:p w14:paraId="10137D99">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或授权代理人：                             或授权代理人：</w:t>
      </w:r>
    </w:p>
    <w:p w14:paraId="1828298C">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（签字或盖章）                              （签字或盖章）                　　</w:t>
      </w:r>
    </w:p>
    <w:p w14:paraId="6FC6C29C">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地   址：                                  地址：</w:t>
      </w:r>
    </w:p>
    <w:p w14:paraId="7E6F2A61">
      <w:pPr>
        <w:pStyle w:val="748"/>
        <w:snapToGrid w:val="0"/>
        <w:spacing w:line="360" w:lineRule="auto"/>
        <w:ind w:firstLine="420" w:firstLineChars="200"/>
        <w:outlineLvl w:val="9"/>
        <w:rPr>
          <w:rFonts w:ascii="宋体" w:hAnsi="宋体"/>
          <w:color w:val="auto"/>
          <w:szCs w:val="21"/>
          <w:highlight w:val="none"/>
        </w:rPr>
      </w:pPr>
    </w:p>
    <w:p w14:paraId="37E8DC59">
      <w:pPr>
        <w:pStyle w:val="748"/>
        <w:keepNext/>
        <w:keepLines/>
        <w:pageBreakBefore/>
        <w:spacing w:before="60" w:after="60" w:line="360" w:lineRule="auto"/>
        <w:outlineLvl w:val="9"/>
        <w:rPr>
          <w:rFonts w:ascii="宋体" w:hAnsi="宋体"/>
          <w:b/>
          <w:bCs/>
          <w:color w:val="auto"/>
          <w:sz w:val="28"/>
          <w:szCs w:val="28"/>
          <w:highlight w:val="none"/>
        </w:rPr>
      </w:pPr>
      <w:bookmarkStart w:id="1873" w:name="_Toc17747"/>
      <w:r>
        <w:rPr>
          <w:rFonts w:hint="eastAsia" w:ascii="宋体" w:hAnsi="宋体"/>
          <w:b/>
          <w:bCs/>
          <w:color w:val="auto"/>
          <w:sz w:val="28"/>
          <w:szCs w:val="28"/>
          <w:highlight w:val="none"/>
        </w:rPr>
        <w:t>附件10：</w:t>
      </w:r>
      <w:r>
        <w:rPr>
          <w:rFonts w:ascii="宋体" w:hAnsi="宋体"/>
          <w:b/>
          <w:bCs/>
          <w:color w:val="auto"/>
          <w:sz w:val="28"/>
          <w:szCs w:val="28"/>
          <w:highlight w:val="none"/>
        </w:rPr>
        <w:t xml:space="preserve"> </w:t>
      </w:r>
      <w:r>
        <w:rPr>
          <w:rFonts w:hint="eastAsia" w:ascii="宋体" w:hAnsi="宋体"/>
          <w:b/>
          <w:bCs/>
          <w:color w:val="auto"/>
          <w:sz w:val="28"/>
          <w:szCs w:val="28"/>
          <w:highlight w:val="none"/>
        </w:rPr>
        <w:t>安全生产合同</w:t>
      </w:r>
      <w:bookmarkEnd w:id="1873"/>
    </w:p>
    <w:p w14:paraId="6691AE6E">
      <w:pPr>
        <w:pStyle w:val="748"/>
        <w:spacing w:line="360" w:lineRule="auto"/>
        <w:jc w:val="center"/>
        <w:outlineLvl w:val="9"/>
        <w:rPr>
          <w:rFonts w:ascii="宋体" w:hAnsi="宋体"/>
          <w:color w:val="auto"/>
          <w:sz w:val="28"/>
          <w:szCs w:val="28"/>
          <w:highlight w:val="none"/>
        </w:rPr>
      </w:pPr>
      <w:r>
        <w:rPr>
          <w:rFonts w:hint="eastAsia" w:ascii="宋体" w:hAnsi="宋体"/>
          <w:color w:val="auto"/>
          <w:sz w:val="28"/>
          <w:szCs w:val="28"/>
          <w:highlight w:val="none"/>
        </w:rPr>
        <w:t>安全生产合同</w:t>
      </w:r>
    </w:p>
    <w:p w14:paraId="3A8367D4">
      <w:pPr>
        <w:pStyle w:val="748"/>
        <w:spacing w:line="360" w:lineRule="auto"/>
        <w:jc w:val="center"/>
        <w:outlineLvl w:val="9"/>
        <w:rPr>
          <w:rFonts w:ascii="宋体" w:hAnsi="宋体"/>
          <w:color w:val="auto"/>
          <w:sz w:val="28"/>
          <w:szCs w:val="28"/>
          <w:highlight w:val="none"/>
        </w:rPr>
      </w:pPr>
    </w:p>
    <w:p w14:paraId="2FDBB57F">
      <w:pPr>
        <w:pStyle w:val="748"/>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为在</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施工合同的实施过程中创造安全、高效的施工环境，切实搞好本项目的安全管理工作，本项目业主</w:t>
      </w:r>
      <w:r>
        <w:rPr>
          <w:rFonts w:hint="eastAsia" w:ascii="宋体" w:hAnsi="宋体"/>
          <w:b/>
          <w:bCs/>
          <w:color w:val="auto"/>
          <w:szCs w:val="21"/>
          <w:highlight w:val="none"/>
          <w:u w:val="single"/>
        </w:rPr>
        <w:t xml:space="preserve">                             </w:t>
      </w:r>
      <w:r>
        <w:rPr>
          <w:rFonts w:hint="eastAsia" w:ascii="宋体" w:hAnsi="宋体"/>
          <w:color w:val="auto"/>
          <w:szCs w:val="21"/>
          <w:highlight w:val="none"/>
        </w:rPr>
        <w:t>（以下简称“发包人”）与承包人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rPr>
        <w:t>（以下简称“承包人”）特此签订安全生产合同：</w:t>
      </w:r>
    </w:p>
    <w:p w14:paraId="2832813D">
      <w:pPr>
        <w:pStyle w:val="748"/>
        <w:snapToGrid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rPr>
        <w:t>一、发包人职责</w:t>
      </w:r>
    </w:p>
    <w:p w14:paraId="1EE4379D">
      <w:pPr>
        <w:pStyle w:val="748"/>
        <w:snapToGrid w:val="0"/>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严格遵守国家有关安全生产的法律法规，认真执行工程承包合同中的有关安全要求。</w:t>
      </w:r>
    </w:p>
    <w:p w14:paraId="64E91B83">
      <w:pPr>
        <w:pStyle w:val="748"/>
        <w:snapToGrid w:val="0"/>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按照“安全第一、预防为主”和坚持“管生产必须管安全”的原则进行安全生产管理，做到生产与安全工作同时计划、布置、检查、总结和评比。</w:t>
      </w:r>
    </w:p>
    <w:p w14:paraId="36E74325">
      <w:pPr>
        <w:pStyle w:val="748"/>
        <w:snapToGrid w:val="0"/>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重要的安全设施必须坚持与主体工程“三同时”的原则，即：同时设计、审批，同时施工，同时验收，投入使用。</w:t>
      </w:r>
    </w:p>
    <w:p w14:paraId="1FC8ED1D">
      <w:pPr>
        <w:pStyle w:val="748"/>
        <w:snapToGrid w:val="0"/>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定期召开安全生产调度会，及时传达中央及地方有关安全生产的精神。</w:t>
      </w:r>
    </w:p>
    <w:p w14:paraId="67273F58">
      <w:pPr>
        <w:pStyle w:val="748"/>
        <w:snapToGrid w:val="0"/>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组织对承包人施工现场安全生产检查，监督承包人及时处理发现的各种安全隐患。</w:t>
      </w:r>
    </w:p>
    <w:p w14:paraId="667CB040">
      <w:pPr>
        <w:pStyle w:val="748"/>
        <w:snapToGrid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rPr>
        <w:t>二、承包人职责</w:t>
      </w:r>
    </w:p>
    <w:p w14:paraId="2CF94D09">
      <w:pPr>
        <w:pStyle w:val="748"/>
        <w:snapToGrid w:val="0"/>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严格遵守国家有关安全生产的法律法规及建筑工程有关安全生产的规定，认真执行工程承包合同中的有关安全要求。</w:t>
      </w:r>
    </w:p>
    <w:p w14:paraId="4151ABB5">
      <w:pPr>
        <w:pStyle w:val="748"/>
        <w:spacing w:line="360" w:lineRule="auto"/>
        <w:outlineLvl w:val="9"/>
        <w:rPr>
          <w:rFonts w:ascii="宋体" w:hAnsi="宋体"/>
          <w:color w:val="auto"/>
          <w:szCs w:val="21"/>
          <w:highlight w:val="none"/>
        </w:rPr>
      </w:pPr>
      <w:r>
        <w:rPr>
          <w:rFonts w:ascii="宋体" w:hAnsi="宋体"/>
          <w:color w:val="auto"/>
          <w:szCs w:val="21"/>
          <w:highlight w:val="none"/>
        </w:rPr>
        <w:t xml:space="preserve">    2.</w:t>
      </w:r>
      <w:r>
        <w:rPr>
          <w:rFonts w:hint="eastAsia" w:ascii="宋体" w:hAnsi="宋体"/>
          <w:color w:val="auto"/>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AB8BAB1">
      <w:pPr>
        <w:pStyle w:val="748"/>
        <w:spacing w:line="360" w:lineRule="auto"/>
        <w:outlineLvl w:val="9"/>
        <w:rPr>
          <w:rFonts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w:t>
      </w:r>
      <w:r>
        <w:rPr>
          <w:rFonts w:ascii="宋体" w:hAnsi="宋体"/>
          <w:color w:val="auto"/>
          <w:szCs w:val="21"/>
          <w:highlight w:val="none"/>
        </w:rPr>
        <w:t>1%~3%</w:t>
      </w:r>
      <w:r>
        <w:rPr>
          <w:rFonts w:hint="eastAsia" w:ascii="宋体" w:hAnsi="宋体"/>
          <w:color w:val="auto"/>
          <w:szCs w:val="21"/>
          <w:highlight w:val="none"/>
        </w:rPr>
        <w:t>配备安全员，专职负责所有员工的安全和治安保卫工作及预防事故的发生。安全机构人员，有权按有关规定发布指令，并采取保护性措施防止事故发生。</w:t>
      </w:r>
    </w:p>
    <w:p w14:paraId="66F71862">
      <w:pPr>
        <w:pStyle w:val="748"/>
        <w:spacing w:line="360" w:lineRule="auto"/>
        <w:outlineLvl w:val="9"/>
        <w:rPr>
          <w:rFonts w:ascii="宋体" w:hAnsi="宋体"/>
          <w:color w:val="auto"/>
          <w:szCs w:val="21"/>
          <w:highlight w:val="none"/>
        </w:rPr>
      </w:pPr>
      <w:r>
        <w:rPr>
          <w:rFonts w:ascii="宋体" w:hAnsi="宋体"/>
          <w:color w:val="auto"/>
          <w:szCs w:val="21"/>
          <w:highlight w:val="none"/>
        </w:rPr>
        <w:t xml:space="preserve">    4.</w:t>
      </w:r>
      <w:r>
        <w:rPr>
          <w:rFonts w:hint="eastAsia" w:ascii="宋体" w:hAnsi="宋体"/>
          <w:color w:val="auto"/>
          <w:szCs w:val="21"/>
          <w:highlight w:val="none"/>
        </w:rPr>
        <w:t>承包人在任何时候都应采取各种合理的预防措施，防止其员工发生任何违法、违禁、暴力或妨碍治安的行为。</w:t>
      </w:r>
    </w:p>
    <w:p w14:paraId="599E578A">
      <w:pPr>
        <w:pStyle w:val="748"/>
        <w:spacing w:line="360" w:lineRule="auto"/>
        <w:outlineLvl w:val="9"/>
        <w:rPr>
          <w:rFonts w:ascii="宋体" w:hAnsi="宋体"/>
          <w:color w:val="auto"/>
          <w:szCs w:val="21"/>
          <w:highlight w:val="none"/>
        </w:rPr>
      </w:pPr>
      <w:r>
        <w:rPr>
          <w:rFonts w:ascii="宋体" w:hAnsi="宋体"/>
          <w:color w:val="auto"/>
          <w:szCs w:val="21"/>
          <w:highlight w:val="none"/>
        </w:rPr>
        <w:t xml:space="preserve">    5.</w:t>
      </w:r>
      <w:r>
        <w:rPr>
          <w:rFonts w:hint="eastAsia" w:ascii="宋体" w:hAnsi="宋体"/>
          <w:color w:val="auto"/>
          <w:szCs w:val="21"/>
          <w:highlight w:val="none"/>
        </w:rPr>
        <w:t>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781C4824">
      <w:pPr>
        <w:pStyle w:val="748"/>
        <w:spacing w:line="360" w:lineRule="auto"/>
        <w:outlineLvl w:val="9"/>
        <w:rPr>
          <w:rFonts w:ascii="宋体" w:hAnsi="宋体"/>
          <w:color w:val="auto"/>
          <w:szCs w:val="21"/>
          <w:highlight w:val="none"/>
        </w:rPr>
      </w:pPr>
      <w:r>
        <w:rPr>
          <w:rFonts w:ascii="宋体" w:hAnsi="宋体"/>
          <w:color w:val="auto"/>
          <w:szCs w:val="21"/>
          <w:highlight w:val="none"/>
        </w:rPr>
        <w:t xml:space="preserve">    6.</w:t>
      </w:r>
      <w:r>
        <w:rPr>
          <w:rFonts w:hint="eastAsia" w:ascii="宋体" w:hAnsi="宋体"/>
          <w:color w:val="auto"/>
          <w:szCs w:val="21"/>
          <w:highlight w:val="none"/>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FAAB796">
      <w:pPr>
        <w:pStyle w:val="748"/>
        <w:spacing w:line="360" w:lineRule="auto"/>
        <w:outlineLvl w:val="9"/>
        <w:rPr>
          <w:rFonts w:ascii="宋体" w:hAnsi="宋体"/>
          <w:color w:val="auto"/>
          <w:szCs w:val="21"/>
          <w:highlight w:val="none"/>
        </w:rPr>
      </w:pPr>
      <w:r>
        <w:rPr>
          <w:rFonts w:ascii="宋体" w:hAnsi="宋体"/>
          <w:color w:val="auto"/>
          <w:szCs w:val="21"/>
          <w:highlight w:val="none"/>
        </w:rPr>
        <w:t xml:space="preserve">    7.</w:t>
      </w:r>
      <w:r>
        <w:rPr>
          <w:rFonts w:hint="eastAsia" w:ascii="宋体" w:hAnsi="宋体"/>
          <w:color w:val="auto"/>
          <w:szCs w:val="21"/>
          <w:highlight w:val="none"/>
        </w:rPr>
        <w:t>操作人员上岗，必须按规定穿戴防护用品。项目经理和安全检查员应随时检查劳动防护用品的穿戴情况，不按规定穿戴防护用品的人员不得上岗。</w:t>
      </w:r>
    </w:p>
    <w:p w14:paraId="3C63EA8C">
      <w:pPr>
        <w:pStyle w:val="748"/>
        <w:spacing w:line="360" w:lineRule="auto"/>
        <w:outlineLvl w:val="9"/>
        <w:rPr>
          <w:rFonts w:ascii="宋体" w:hAnsi="宋体"/>
          <w:color w:val="auto"/>
          <w:szCs w:val="21"/>
          <w:highlight w:val="none"/>
        </w:rPr>
      </w:pPr>
      <w:r>
        <w:rPr>
          <w:rFonts w:ascii="宋体" w:hAnsi="宋体"/>
          <w:color w:val="auto"/>
          <w:szCs w:val="21"/>
          <w:highlight w:val="none"/>
        </w:rPr>
        <w:t xml:space="preserve">    8.</w:t>
      </w:r>
      <w:r>
        <w:rPr>
          <w:rFonts w:hint="eastAsia" w:ascii="宋体" w:hAnsi="宋体"/>
          <w:color w:val="auto"/>
          <w:szCs w:val="21"/>
          <w:highlight w:val="none"/>
        </w:rPr>
        <w:t>所有施工机械设备和高空作业的设备均应定期检查，并有安全员的签字记录，保证其经常处于完好状态；不合格的机具、设备和劳动保护用品严禁使用。</w:t>
      </w:r>
    </w:p>
    <w:p w14:paraId="6C74E46B">
      <w:pPr>
        <w:pStyle w:val="748"/>
        <w:spacing w:line="360" w:lineRule="auto"/>
        <w:outlineLvl w:val="9"/>
        <w:rPr>
          <w:rFonts w:ascii="宋体" w:hAnsi="宋体"/>
          <w:color w:val="auto"/>
          <w:szCs w:val="21"/>
          <w:highlight w:val="none"/>
        </w:rPr>
      </w:pPr>
      <w:r>
        <w:rPr>
          <w:rFonts w:ascii="宋体" w:hAnsi="宋体"/>
          <w:color w:val="auto"/>
          <w:szCs w:val="21"/>
          <w:highlight w:val="none"/>
        </w:rPr>
        <w:t xml:space="preserve">    9.</w:t>
      </w:r>
      <w:r>
        <w:rPr>
          <w:rFonts w:hint="eastAsia" w:ascii="宋体" w:hAnsi="宋体"/>
          <w:color w:val="auto"/>
          <w:szCs w:val="21"/>
          <w:highlight w:val="none"/>
        </w:rPr>
        <w:t>施工中采用新技术、新工艺、新设备、新材料时，必须制定相应的安全技术措施，施工现场必须具有相关的安全标志牌。</w:t>
      </w:r>
    </w:p>
    <w:p w14:paraId="4AA4E642">
      <w:pPr>
        <w:pStyle w:val="748"/>
        <w:spacing w:line="360" w:lineRule="auto"/>
        <w:outlineLvl w:val="9"/>
        <w:rPr>
          <w:rFonts w:ascii="宋体" w:hAnsi="宋体"/>
          <w:color w:val="auto"/>
          <w:szCs w:val="21"/>
          <w:highlight w:val="none"/>
        </w:rPr>
      </w:pPr>
      <w:r>
        <w:rPr>
          <w:rFonts w:ascii="宋体" w:hAnsi="宋体"/>
          <w:color w:val="auto"/>
          <w:szCs w:val="21"/>
          <w:highlight w:val="none"/>
        </w:rPr>
        <w:t xml:space="preserve">    10.</w:t>
      </w:r>
      <w:r>
        <w:rPr>
          <w:rFonts w:hint="eastAsia" w:ascii="宋体" w:hAnsi="宋体"/>
          <w:color w:val="auto"/>
          <w:szCs w:val="21"/>
          <w:highlight w:val="none"/>
        </w:rPr>
        <w:t>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01BE502C">
      <w:pPr>
        <w:pStyle w:val="748"/>
        <w:spacing w:line="360" w:lineRule="auto"/>
        <w:outlineLvl w:val="9"/>
        <w:rPr>
          <w:rFonts w:ascii="宋体" w:hAnsi="宋体"/>
          <w:b/>
          <w:color w:val="auto"/>
          <w:szCs w:val="21"/>
          <w:highlight w:val="none"/>
        </w:rPr>
      </w:pPr>
      <w:r>
        <w:rPr>
          <w:rFonts w:ascii="宋体" w:hAnsi="宋体"/>
          <w:b/>
          <w:color w:val="auto"/>
          <w:szCs w:val="21"/>
          <w:highlight w:val="none"/>
        </w:rPr>
        <w:t xml:space="preserve">   </w:t>
      </w:r>
      <w:r>
        <w:rPr>
          <w:rFonts w:ascii="宋体" w:hAnsi="宋体"/>
          <w:color w:val="auto"/>
          <w:szCs w:val="21"/>
          <w:highlight w:val="none"/>
        </w:rPr>
        <w:t xml:space="preserve"> </w:t>
      </w:r>
      <w:r>
        <w:rPr>
          <w:rFonts w:hint="eastAsia" w:ascii="宋体" w:hAnsi="宋体"/>
          <w:b/>
          <w:color w:val="auto"/>
          <w:szCs w:val="21"/>
          <w:highlight w:val="none"/>
        </w:rPr>
        <w:t>三、违约责任</w:t>
      </w:r>
    </w:p>
    <w:p w14:paraId="06AA72C5">
      <w:pPr>
        <w:pStyle w:val="748"/>
        <w:spacing w:line="360" w:lineRule="auto"/>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如因发包人或承包人违约造成安全事故，将依法追究责任。</w:t>
      </w:r>
    </w:p>
    <w:p w14:paraId="64F6C4C2">
      <w:pPr>
        <w:pStyle w:val="748"/>
        <w:spacing w:line="360" w:lineRule="auto"/>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本合同作为主合同附件，正本和副本份数与本合同专用条款定相同。由双方法定代表人或其授权的代理人签署与加盖公章后生效，全部工程竣工验收后失效。</w:t>
      </w:r>
    </w:p>
    <w:p w14:paraId="6B664E3B">
      <w:pPr>
        <w:pStyle w:val="748"/>
        <w:spacing w:line="360" w:lineRule="auto"/>
        <w:outlineLvl w:val="9"/>
        <w:rPr>
          <w:rFonts w:ascii="宋体" w:hAnsi="宋体"/>
          <w:color w:val="auto"/>
          <w:szCs w:val="21"/>
          <w:highlight w:val="none"/>
        </w:rPr>
      </w:pPr>
    </w:p>
    <w:p w14:paraId="44D71DF2">
      <w:pPr>
        <w:pStyle w:val="748"/>
        <w:spacing w:line="360" w:lineRule="auto"/>
        <w:outlineLvl w:val="9"/>
        <w:rPr>
          <w:rFonts w:ascii="宋体" w:hAnsi="宋体"/>
          <w:color w:val="auto"/>
          <w:szCs w:val="21"/>
          <w:highlight w:val="none"/>
        </w:rPr>
      </w:pPr>
      <w:r>
        <w:rPr>
          <w:rFonts w:hint="eastAsia" w:ascii="宋体" w:hAnsi="宋体"/>
          <w:color w:val="auto"/>
          <w:szCs w:val="21"/>
          <w:highlight w:val="none"/>
        </w:rPr>
        <w:t>发包人：</w:t>
      </w:r>
      <w:r>
        <w:rPr>
          <w:rFonts w:ascii="宋体" w:hAnsi="宋体"/>
          <w:color w:val="auto"/>
          <w:szCs w:val="21"/>
          <w:highlight w:val="none"/>
        </w:rPr>
        <w:t xml:space="preserve"> </w:t>
      </w:r>
      <w:r>
        <w:rPr>
          <w:rFonts w:hint="eastAsia" w:ascii="宋体" w:hAnsi="宋体"/>
          <w:color w:val="auto"/>
          <w:szCs w:val="21"/>
          <w:highlight w:val="none"/>
        </w:rPr>
        <w:t xml:space="preserve">                                  承包人：    </w:t>
      </w:r>
    </w:p>
    <w:p w14:paraId="1165D7E3">
      <w:pPr>
        <w:pStyle w:val="748"/>
        <w:spacing w:line="360" w:lineRule="auto"/>
        <w:ind w:firstLine="840" w:firstLineChars="400"/>
        <w:outlineLvl w:val="9"/>
        <w:rPr>
          <w:rFonts w:ascii="宋体" w:hAnsi="宋体"/>
          <w:color w:val="auto"/>
          <w:szCs w:val="21"/>
          <w:highlight w:val="none"/>
        </w:rPr>
      </w:pPr>
      <w:r>
        <w:rPr>
          <w:rFonts w:hint="eastAsia" w:ascii="宋体" w:hAnsi="宋体"/>
          <w:color w:val="auto"/>
          <w:szCs w:val="21"/>
          <w:highlight w:val="none"/>
        </w:rPr>
        <w:t xml:space="preserve"> </w:t>
      </w:r>
    </w:p>
    <w:p w14:paraId="606C88AB">
      <w:pPr>
        <w:pStyle w:val="748"/>
        <w:spacing w:line="360" w:lineRule="auto"/>
        <w:outlineLvl w:val="9"/>
        <w:rPr>
          <w:rFonts w:ascii="宋体" w:hAnsi="宋体"/>
          <w:color w:val="auto"/>
          <w:szCs w:val="21"/>
          <w:highlight w:val="none"/>
        </w:rPr>
      </w:pPr>
      <w:r>
        <w:rPr>
          <w:rFonts w:hint="eastAsia" w:ascii="宋体" w:hAnsi="宋体"/>
          <w:color w:val="auto"/>
          <w:szCs w:val="21"/>
          <w:highlight w:val="none"/>
        </w:rPr>
        <w:t>（公章或合同专用章）</w:t>
      </w:r>
      <w:r>
        <w:rPr>
          <w:rFonts w:ascii="宋体" w:hAnsi="宋体"/>
          <w:color w:val="auto"/>
          <w:szCs w:val="21"/>
          <w:highlight w:val="none"/>
        </w:rPr>
        <w:t xml:space="preserve">          </w:t>
      </w:r>
      <w:r>
        <w:rPr>
          <w:rFonts w:hint="eastAsia" w:ascii="宋体" w:hAnsi="宋体"/>
          <w:color w:val="auto"/>
          <w:szCs w:val="21"/>
          <w:highlight w:val="none"/>
        </w:rPr>
        <w:t xml:space="preserve">                   （公章或合同专用章）</w:t>
      </w:r>
    </w:p>
    <w:p w14:paraId="05A40F1E">
      <w:pPr>
        <w:pStyle w:val="748"/>
        <w:spacing w:line="360" w:lineRule="auto"/>
        <w:outlineLvl w:val="9"/>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rPr>
        <w:t xml:space="preserve">        </w:t>
      </w:r>
      <w:r>
        <w:rPr>
          <w:rFonts w:hint="eastAsia" w:ascii="宋体" w:hAnsi="宋体"/>
          <w:color w:val="auto"/>
          <w:szCs w:val="21"/>
          <w:highlight w:val="none"/>
        </w:rPr>
        <w:t xml:space="preserve">                       法定代表人：</w:t>
      </w:r>
    </w:p>
    <w:p w14:paraId="669A5AC6">
      <w:pPr>
        <w:pStyle w:val="748"/>
        <w:spacing w:line="360" w:lineRule="auto"/>
        <w:outlineLvl w:val="9"/>
        <w:rPr>
          <w:rFonts w:ascii="宋体" w:hAnsi="宋体"/>
          <w:color w:val="auto"/>
          <w:szCs w:val="21"/>
          <w:highlight w:val="none"/>
        </w:rPr>
      </w:pPr>
      <w:r>
        <w:rPr>
          <w:rFonts w:hint="eastAsia" w:ascii="宋体" w:hAnsi="宋体"/>
          <w:color w:val="auto"/>
          <w:szCs w:val="21"/>
          <w:highlight w:val="none"/>
        </w:rPr>
        <w:t>（签字或盖章）                                （签字或盖章）</w:t>
      </w:r>
    </w:p>
    <w:p w14:paraId="46F34112">
      <w:pPr>
        <w:pStyle w:val="748"/>
        <w:spacing w:line="360" w:lineRule="auto"/>
        <w:outlineLvl w:val="9"/>
        <w:rPr>
          <w:rFonts w:ascii="宋体" w:hAnsi="宋体"/>
          <w:color w:val="auto"/>
          <w:szCs w:val="21"/>
          <w:highlight w:val="none"/>
        </w:rPr>
      </w:pPr>
      <w:r>
        <w:rPr>
          <w:rFonts w:hint="eastAsia" w:ascii="宋体" w:hAnsi="宋体"/>
          <w:color w:val="auto"/>
          <w:szCs w:val="21"/>
          <w:highlight w:val="none"/>
        </w:rPr>
        <w:t>或授权代理人：                             或授权代理人：</w:t>
      </w:r>
    </w:p>
    <w:p w14:paraId="13DDEF31">
      <w:pPr>
        <w:pStyle w:val="748"/>
        <w:spacing w:line="360" w:lineRule="auto"/>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（签字或盖章）</w:t>
      </w:r>
      <w:r>
        <w:rPr>
          <w:rFonts w:ascii="宋体" w:hAnsi="宋体"/>
          <w:color w:val="auto"/>
          <w:szCs w:val="21"/>
          <w:highlight w:val="none"/>
        </w:rPr>
        <w:t xml:space="preserve">   </w:t>
      </w:r>
      <w:r>
        <w:rPr>
          <w:rFonts w:hint="eastAsia" w:ascii="宋体" w:hAnsi="宋体"/>
          <w:color w:val="auto"/>
          <w:szCs w:val="21"/>
          <w:highlight w:val="none"/>
        </w:rPr>
        <w:t xml:space="preserve">                           （签字或盖章）</w:t>
      </w:r>
      <w:r>
        <w:rPr>
          <w:rFonts w:ascii="宋体" w:hAnsi="宋体"/>
          <w:color w:val="auto"/>
          <w:szCs w:val="21"/>
          <w:highlight w:val="none"/>
        </w:rPr>
        <w:t xml:space="preserve">                </w:t>
      </w:r>
      <w:r>
        <w:rPr>
          <w:rFonts w:hint="eastAsia" w:ascii="宋体" w:hAnsi="宋体"/>
          <w:color w:val="auto"/>
          <w:szCs w:val="21"/>
          <w:highlight w:val="none"/>
        </w:rPr>
        <w:t>　　</w:t>
      </w:r>
    </w:p>
    <w:p w14:paraId="1129D12D">
      <w:pPr>
        <w:pStyle w:val="748"/>
        <w:spacing w:line="360" w:lineRule="auto"/>
        <w:outlineLvl w:val="9"/>
        <w:rPr>
          <w:rFonts w:ascii="宋体" w:hAnsi="宋体"/>
          <w:color w:val="auto"/>
          <w:szCs w:val="21"/>
          <w:highlight w:val="none"/>
        </w:rPr>
      </w:pPr>
      <w:r>
        <w:rPr>
          <w:rFonts w:hint="eastAsia" w:ascii="宋体" w:hAnsi="宋体"/>
          <w:color w:val="auto"/>
          <w:szCs w:val="21"/>
          <w:highlight w:val="none"/>
        </w:rPr>
        <w:t>地   址：                                  地址：</w:t>
      </w:r>
    </w:p>
    <w:p w14:paraId="766371BA">
      <w:pPr>
        <w:spacing w:line="720" w:lineRule="auto"/>
        <w:jc w:val="center"/>
        <w:outlineLvl w:val="9"/>
        <w:rPr>
          <w:rFonts w:hint="eastAsia" w:ascii="黑体" w:hAnsi="黑体" w:eastAsia="黑体" w:cs="黑体"/>
          <w:b/>
          <w:color w:val="auto"/>
          <w:sz w:val="56"/>
          <w:szCs w:val="48"/>
          <w:highlight w:val="none"/>
        </w:rPr>
      </w:pPr>
    </w:p>
    <w:p w14:paraId="4174CDAE">
      <w:pPr>
        <w:pStyle w:val="37"/>
        <w:outlineLvl w:val="9"/>
        <w:rPr>
          <w:color w:val="auto"/>
          <w:szCs w:val="24"/>
          <w:highlight w:val="none"/>
        </w:rPr>
      </w:pPr>
    </w:p>
    <w:p w14:paraId="61ED75EF">
      <w:pPr>
        <w:pStyle w:val="37"/>
        <w:outlineLvl w:val="9"/>
        <w:rPr>
          <w:color w:val="auto"/>
          <w:szCs w:val="24"/>
          <w:highlight w:val="none"/>
        </w:rPr>
      </w:pPr>
    </w:p>
    <w:p w14:paraId="0ED609B0">
      <w:pPr>
        <w:pStyle w:val="37"/>
        <w:outlineLvl w:val="9"/>
        <w:rPr>
          <w:color w:val="auto"/>
          <w:szCs w:val="24"/>
          <w:highlight w:val="none"/>
        </w:rPr>
      </w:pPr>
    </w:p>
    <w:p w14:paraId="055C1C2C">
      <w:pPr>
        <w:pStyle w:val="37"/>
        <w:outlineLvl w:val="9"/>
        <w:rPr>
          <w:color w:val="auto"/>
          <w:szCs w:val="24"/>
          <w:highlight w:val="none"/>
        </w:rPr>
      </w:pPr>
    </w:p>
    <w:p w14:paraId="638D49B6">
      <w:pPr>
        <w:pStyle w:val="37"/>
        <w:outlineLvl w:val="9"/>
        <w:rPr>
          <w:color w:val="auto"/>
          <w:szCs w:val="24"/>
          <w:highlight w:val="none"/>
        </w:rPr>
      </w:pPr>
    </w:p>
    <w:p w14:paraId="1CC3B37F">
      <w:pPr>
        <w:pStyle w:val="37"/>
        <w:outlineLvl w:val="9"/>
        <w:rPr>
          <w:color w:val="auto"/>
          <w:szCs w:val="24"/>
          <w:highlight w:val="none"/>
        </w:rPr>
      </w:pPr>
    </w:p>
    <w:p w14:paraId="59605766">
      <w:pPr>
        <w:pStyle w:val="37"/>
        <w:outlineLvl w:val="9"/>
        <w:rPr>
          <w:color w:val="auto"/>
          <w:szCs w:val="24"/>
          <w:highlight w:val="none"/>
        </w:rPr>
      </w:pPr>
    </w:p>
    <w:p w14:paraId="75B0285A">
      <w:pPr>
        <w:spacing w:line="500" w:lineRule="exact"/>
        <w:jc w:val="center"/>
        <w:outlineLvl w:val="0"/>
        <w:rPr>
          <w:b/>
          <w:bCs/>
          <w:color w:val="auto"/>
          <w:sz w:val="32"/>
          <w:szCs w:val="32"/>
          <w:highlight w:val="none"/>
        </w:rPr>
      </w:pPr>
      <w:bookmarkStart w:id="1874" w:name="_Toc13032"/>
      <w:bookmarkStart w:id="1875" w:name="_Toc26328"/>
      <w:r>
        <w:rPr>
          <w:rFonts w:hint="eastAsia"/>
          <w:b/>
          <w:bCs/>
          <w:color w:val="auto"/>
          <w:sz w:val="32"/>
          <w:szCs w:val="32"/>
          <w:highlight w:val="none"/>
        </w:rPr>
        <w:t>第五章</w:t>
      </w:r>
      <w:r>
        <w:rPr>
          <w:b/>
          <w:bCs/>
          <w:color w:val="auto"/>
          <w:sz w:val="32"/>
          <w:szCs w:val="32"/>
          <w:highlight w:val="none"/>
        </w:rPr>
        <w:t xml:space="preserve"> </w:t>
      </w:r>
      <w:r>
        <w:rPr>
          <w:rFonts w:hint="eastAsia"/>
          <w:b/>
          <w:bCs/>
          <w:color w:val="auto"/>
          <w:sz w:val="32"/>
          <w:szCs w:val="32"/>
          <w:highlight w:val="none"/>
          <w:lang w:val="en-US" w:eastAsia="zh-CN"/>
        </w:rPr>
        <w:t xml:space="preserve"> </w:t>
      </w:r>
      <w:r>
        <w:rPr>
          <w:rFonts w:hint="eastAsia"/>
          <w:b/>
          <w:bCs/>
          <w:color w:val="auto"/>
          <w:sz w:val="32"/>
          <w:szCs w:val="32"/>
          <w:highlight w:val="none"/>
        </w:rPr>
        <w:t>响应文件格式</w:t>
      </w:r>
      <w:bookmarkEnd w:id="134"/>
      <w:bookmarkEnd w:id="1874"/>
      <w:bookmarkEnd w:id="1875"/>
    </w:p>
    <w:p w14:paraId="08F6D1F3">
      <w:pPr>
        <w:spacing w:line="500" w:lineRule="exact"/>
        <w:jc w:val="center"/>
        <w:outlineLvl w:val="9"/>
        <w:rPr>
          <w:b/>
          <w:color w:val="auto"/>
          <w:sz w:val="36"/>
          <w:szCs w:val="36"/>
          <w:highlight w:val="none"/>
        </w:rPr>
      </w:pPr>
    </w:p>
    <w:p w14:paraId="39D773E3">
      <w:pPr>
        <w:spacing w:line="500" w:lineRule="exact"/>
        <w:jc w:val="center"/>
        <w:outlineLvl w:val="9"/>
        <w:rPr>
          <w:b/>
          <w:color w:val="auto"/>
          <w:sz w:val="36"/>
          <w:szCs w:val="36"/>
          <w:highlight w:val="none"/>
        </w:rPr>
      </w:pPr>
    </w:p>
    <w:p w14:paraId="35790C69">
      <w:pPr>
        <w:outlineLvl w:val="9"/>
        <w:rPr>
          <w:color w:val="auto"/>
          <w:sz w:val="36"/>
          <w:szCs w:val="36"/>
          <w:highlight w:val="none"/>
        </w:rPr>
      </w:pPr>
    </w:p>
    <w:p w14:paraId="18D2370E">
      <w:pPr>
        <w:outlineLvl w:val="9"/>
        <w:rPr>
          <w:color w:val="auto"/>
          <w:highlight w:val="none"/>
        </w:rPr>
      </w:pPr>
    </w:p>
    <w:p w14:paraId="54C7FD73">
      <w:pPr>
        <w:spacing w:line="500" w:lineRule="exact"/>
        <w:jc w:val="center"/>
        <w:outlineLvl w:val="9"/>
        <w:rPr>
          <w:b/>
          <w:color w:val="auto"/>
          <w:sz w:val="36"/>
          <w:szCs w:val="36"/>
          <w:highlight w:val="none"/>
        </w:rPr>
      </w:pPr>
      <w:r>
        <w:rPr>
          <w:rFonts w:hint="eastAsia"/>
          <w:b/>
          <w:color w:val="auto"/>
          <w:sz w:val="36"/>
          <w:szCs w:val="36"/>
          <w:highlight w:val="none"/>
        </w:rPr>
        <w:t>（一）响应文件封面格式：</w:t>
      </w:r>
    </w:p>
    <w:p w14:paraId="1BB96333">
      <w:pPr>
        <w:spacing w:line="500" w:lineRule="exact"/>
        <w:jc w:val="center"/>
        <w:outlineLvl w:val="9"/>
        <w:rPr>
          <w:rFonts w:ascii="仿宋_GB2312" w:eastAsia="仿宋_GB2312"/>
          <w:b/>
          <w:color w:val="auto"/>
          <w:sz w:val="32"/>
          <w:szCs w:val="32"/>
          <w:highlight w:val="none"/>
        </w:rPr>
      </w:pPr>
    </w:p>
    <w:p w14:paraId="0A14BFED">
      <w:pPr>
        <w:pStyle w:val="42"/>
        <w:spacing w:line="500" w:lineRule="exact"/>
        <w:outlineLvl w:val="9"/>
        <w:rPr>
          <w:color w:val="auto"/>
          <w:sz w:val="36"/>
          <w:szCs w:val="36"/>
          <w:highlight w:val="none"/>
        </w:rPr>
      </w:pPr>
    </w:p>
    <w:p w14:paraId="19BF4A1F">
      <w:pPr>
        <w:pStyle w:val="42"/>
        <w:spacing w:line="800" w:lineRule="exact"/>
        <w:jc w:val="center"/>
        <w:outlineLvl w:val="9"/>
        <w:rPr>
          <w:color w:val="auto"/>
          <w:sz w:val="36"/>
          <w:szCs w:val="36"/>
          <w:highlight w:val="none"/>
        </w:rPr>
      </w:pPr>
    </w:p>
    <w:p w14:paraId="0DC0719F">
      <w:pPr>
        <w:pStyle w:val="42"/>
        <w:spacing w:line="800" w:lineRule="exact"/>
        <w:outlineLvl w:val="9"/>
        <w:rPr>
          <w:color w:val="auto"/>
          <w:sz w:val="36"/>
          <w:szCs w:val="36"/>
          <w:highlight w:val="none"/>
        </w:rPr>
      </w:pPr>
    </w:p>
    <w:p w14:paraId="7C94BAD1">
      <w:pPr>
        <w:pStyle w:val="42"/>
        <w:spacing w:line="800" w:lineRule="exact"/>
        <w:jc w:val="center"/>
        <w:outlineLvl w:val="9"/>
        <w:rPr>
          <w:color w:val="auto"/>
          <w:sz w:val="72"/>
          <w:szCs w:val="72"/>
          <w:highlight w:val="none"/>
        </w:rPr>
      </w:pPr>
      <w:r>
        <w:rPr>
          <w:rFonts w:hint="eastAsia"/>
          <w:color w:val="auto"/>
          <w:sz w:val="72"/>
          <w:szCs w:val="72"/>
          <w:highlight w:val="none"/>
        </w:rPr>
        <w:t>竞争性磋商响应文件</w:t>
      </w:r>
    </w:p>
    <w:p w14:paraId="130B0C6A">
      <w:pPr>
        <w:pStyle w:val="42"/>
        <w:spacing w:line="500" w:lineRule="exact"/>
        <w:outlineLvl w:val="9"/>
        <w:rPr>
          <w:color w:val="auto"/>
          <w:sz w:val="36"/>
          <w:szCs w:val="36"/>
          <w:highlight w:val="none"/>
        </w:rPr>
      </w:pPr>
    </w:p>
    <w:p w14:paraId="184BBF72">
      <w:pPr>
        <w:pStyle w:val="42"/>
        <w:spacing w:line="500" w:lineRule="exact"/>
        <w:jc w:val="center"/>
        <w:outlineLvl w:val="9"/>
        <w:rPr>
          <w:color w:val="auto"/>
          <w:sz w:val="36"/>
          <w:szCs w:val="36"/>
          <w:highlight w:val="none"/>
        </w:rPr>
      </w:pPr>
    </w:p>
    <w:p w14:paraId="2A58D416">
      <w:pPr>
        <w:pStyle w:val="42"/>
        <w:spacing w:line="500" w:lineRule="exact"/>
        <w:jc w:val="center"/>
        <w:outlineLvl w:val="9"/>
        <w:rPr>
          <w:color w:val="auto"/>
          <w:sz w:val="36"/>
          <w:szCs w:val="36"/>
          <w:highlight w:val="none"/>
        </w:rPr>
      </w:pPr>
    </w:p>
    <w:p w14:paraId="079CB2E2">
      <w:pPr>
        <w:pStyle w:val="42"/>
        <w:spacing w:line="500" w:lineRule="exact"/>
        <w:ind w:firstLine="800" w:firstLineChars="250"/>
        <w:outlineLvl w:val="9"/>
        <w:rPr>
          <w:color w:val="auto"/>
          <w:sz w:val="32"/>
          <w:szCs w:val="32"/>
          <w:highlight w:val="none"/>
          <w:u w:val="single"/>
        </w:rPr>
      </w:pPr>
      <w:r>
        <w:rPr>
          <w:rFonts w:hint="eastAsia"/>
          <w:color w:val="auto"/>
          <w:sz w:val="32"/>
          <w:szCs w:val="32"/>
          <w:highlight w:val="none"/>
        </w:rPr>
        <w:t>项目名称：</w:t>
      </w:r>
      <w:r>
        <w:rPr>
          <w:rFonts w:hint="eastAsia"/>
          <w:color w:val="auto"/>
          <w:sz w:val="32"/>
          <w:szCs w:val="32"/>
          <w:highlight w:val="none"/>
          <w:u w:val="single"/>
        </w:rPr>
        <w:t xml:space="preserve">                                     </w:t>
      </w:r>
    </w:p>
    <w:p w14:paraId="3CB61289">
      <w:pPr>
        <w:pStyle w:val="42"/>
        <w:spacing w:line="500" w:lineRule="exact"/>
        <w:ind w:firstLine="800" w:firstLineChars="250"/>
        <w:outlineLvl w:val="9"/>
        <w:rPr>
          <w:color w:val="auto"/>
          <w:sz w:val="32"/>
          <w:szCs w:val="32"/>
          <w:highlight w:val="none"/>
          <w:u w:val="single"/>
        </w:rPr>
      </w:pPr>
      <w:r>
        <w:rPr>
          <w:rFonts w:hint="eastAsia"/>
          <w:color w:val="auto"/>
          <w:sz w:val="32"/>
          <w:szCs w:val="32"/>
          <w:highlight w:val="none"/>
        </w:rPr>
        <w:t>项目编号：</w:t>
      </w:r>
      <w:r>
        <w:rPr>
          <w:rFonts w:hint="eastAsia"/>
          <w:color w:val="auto"/>
          <w:sz w:val="32"/>
          <w:szCs w:val="32"/>
          <w:highlight w:val="none"/>
          <w:u w:val="single"/>
        </w:rPr>
        <w:t xml:space="preserve">                                     </w:t>
      </w:r>
    </w:p>
    <w:p w14:paraId="6FC73BA7">
      <w:pPr>
        <w:pStyle w:val="42"/>
        <w:spacing w:line="500" w:lineRule="exact"/>
        <w:ind w:firstLine="800" w:firstLineChars="250"/>
        <w:outlineLvl w:val="9"/>
        <w:rPr>
          <w:color w:val="auto"/>
          <w:sz w:val="32"/>
          <w:szCs w:val="32"/>
          <w:highlight w:val="none"/>
          <w:u w:val="single"/>
        </w:rPr>
      </w:pPr>
      <w:r>
        <w:rPr>
          <w:rFonts w:hint="eastAsia"/>
          <w:color w:val="auto"/>
          <w:sz w:val="32"/>
          <w:szCs w:val="32"/>
          <w:highlight w:val="none"/>
        </w:rPr>
        <w:t>供 应 商：</w:t>
      </w:r>
      <w:r>
        <w:rPr>
          <w:rFonts w:hint="eastAsia"/>
          <w:color w:val="auto"/>
          <w:sz w:val="32"/>
          <w:szCs w:val="32"/>
          <w:highlight w:val="none"/>
          <w:u w:val="single"/>
        </w:rPr>
        <w:t xml:space="preserve">                                       </w:t>
      </w:r>
    </w:p>
    <w:p w14:paraId="34AB72D9">
      <w:pPr>
        <w:pStyle w:val="42"/>
        <w:spacing w:line="500" w:lineRule="exact"/>
        <w:ind w:firstLine="800" w:firstLineChars="250"/>
        <w:outlineLvl w:val="9"/>
        <w:rPr>
          <w:color w:val="auto"/>
          <w:sz w:val="32"/>
          <w:szCs w:val="32"/>
          <w:highlight w:val="none"/>
        </w:rPr>
      </w:pPr>
      <w:r>
        <w:rPr>
          <w:rFonts w:hint="eastAsia"/>
          <w:color w:val="auto"/>
          <w:sz w:val="32"/>
          <w:szCs w:val="32"/>
          <w:highlight w:val="none"/>
        </w:rPr>
        <w:t>法定代表人或其委托代理人：</w:t>
      </w:r>
      <w:r>
        <w:rPr>
          <w:rFonts w:hint="eastAsia"/>
          <w:color w:val="auto"/>
          <w:sz w:val="32"/>
          <w:szCs w:val="32"/>
          <w:highlight w:val="none"/>
          <w:u w:val="single"/>
        </w:rPr>
        <w:t xml:space="preserve">                     </w:t>
      </w:r>
    </w:p>
    <w:p w14:paraId="6085E402">
      <w:pPr>
        <w:pStyle w:val="42"/>
        <w:spacing w:line="500" w:lineRule="exact"/>
        <w:ind w:firstLine="480" w:firstLineChars="150"/>
        <w:outlineLvl w:val="9"/>
        <w:rPr>
          <w:color w:val="auto"/>
          <w:sz w:val="32"/>
          <w:szCs w:val="32"/>
          <w:highlight w:val="none"/>
        </w:rPr>
      </w:pPr>
    </w:p>
    <w:p w14:paraId="0E9A3A87">
      <w:pPr>
        <w:pStyle w:val="42"/>
        <w:spacing w:line="500" w:lineRule="exact"/>
        <w:jc w:val="center"/>
        <w:outlineLvl w:val="9"/>
        <w:rPr>
          <w:color w:val="auto"/>
          <w:sz w:val="32"/>
          <w:szCs w:val="32"/>
          <w:highlight w:val="none"/>
        </w:rPr>
      </w:pPr>
      <w:r>
        <w:rPr>
          <w:rFonts w:hint="eastAsia"/>
          <w:color w:val="auto"/>
          <w:sz w:val="32"/>
          <w:szCs w:val="32"/>
          <w:highlight w:val="none"/>
        </w:rPr>
        <w:t>日期：</w:t>
      </w:r>
      <w:r>
        <w:rPr>
          <w:rFonts w:hint="eastAsia"/>
          <w:color w:val="auto"/>
          <w:sz w:val="32"/>
          <w:szCs w:val="32"/>
          <w:highlight w:val="none"/>
          <w:u w:val="single"/>
        </w:rPr>
        <w:t xml:space="preserve">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rPr>
        <w:t>日</w:t>
      </w:r>
    </w:p>
    <w:p w14:paraId="13475A5F">
      <w:pPr>
        <w:pStyle w:val="42"/>
        <w:tabs>
          <w:tab w:val="left" w:pos="7560"/>
          <w:tab w:val="left" w:pos="7920"/>
        </w:tabs>
        <w:spacing w:line="500" w:lineRule="exact"/>
        <w:jc w:val="center"/>
        <w:outlineLvl w:val="9"/>
        <w:rPr>
          <w:color w:val="auto"/>
          <w:sz w:val="36"/>
          <w:szCs w:val="36"/>
          <w:highlight w:val="none"/>
        </w:rPr>
      </w:pPr>
      <w:bookmarkStart w:id="1876" w:name="_Toc397585461"/>
      <w:bookmarkStart w:id="1877" w:name="_Toc417029006"/>
    </w:p>
    <w:p w14:paraId="75003475">
      <w:pPr>
        <w:pStyle w:val="42"/>
        <w:tabs>
          <w:tab w:val="left" w:pos="7560"/>
          <w:tab w:val="left" w:pos="7920"/>
        </w:tabs>
        <w:spacing w:line="500" w:lineRule="exact"/>
        <w:jc w:val="center"/>
        <w:outlineLvl w:val="9"/>
        <w:rPr>
          <w:color w:val="auto"/>
          <w:sz w:val="36"/>
          <w:szCs w:val="36"/>
          <w:highlight w:val="none"/>
        </w:rPr>
      </w:pPr>
    </w:p>
    <w:bookmarkEnd w:id="1876"/>
    <w:bookmarkEnd w:id="1877"/>
    <w:p w14:paraId="13D83E87">
      <w:pPr>
        <w:outlineLvl w:val="9"/>
        <w:rPr>
          <w:color w:val="auto"/>
          <w:highlight w:val="none"/>
        </w:rPr>
      </w:pPr>
    </w:p>
    <w:p w14:paraId="0E23997B">
      <w:pPr>
        <w:outlineLvl w:val="9"/>
        <w:rPr>
          <w:color w:val="auto"/>
          <w:highlight w:val="none"/>
        </w:rPr>
      </w:pPr>
    </w:p>
    <w:p w14:paraId="3DE94178">
      <w:pPr>
        <w:jc w:val="center"/>
        <w:outlineLvl w:val="9"/>
        <w:rPr>
          <w:rFonts w:ascii="宋体"/>
          <w:color w:val="auto"/>
          <w:sz w:val="28"/>
          <w:szCs w:val="28"/>
          <w:highlight w:val="none"/>
        </w:rPr>
      </w:pPr>
    </w:p>
    <w:p w14:paraId="2B227560">
      <w:pPr>
        <w:jc w:val="center"/>
        <w:outlineLvl w:val="9"/>
        <w:rPr>
          <w:rFonts w:ascii="宋体"/>
          <w:color w:val="auto"/>
          <w:sz w:val="52"/>
          <w:szCs w:val="52"/>
          <w:highlight w:val="none"/>
        </w:rPr>
      </w:pPr>
    </w:p>
    <w:p w14:paraId="098B25BF">
      <w:pPr>
        <w:jc w:val="center"/>
        <w:outlineLvl w:val="9"/>
        <w:rPr>
          <w:rFonts w:ascii="宋体"/>
          <w:color w:val="auto"/>
          <w:sz w:val="52"/>
          <w:szCs w:val="52"/>
          <w:highlight w:val="none"/>
        </w:rPr>
      </w:pPr>
    </w:p>
    <w:p w14:paraId="62F3E0DF">
      <w:pPr>
        <w:jc w:val="center"/>
        <w:outlineLvl w:val="9"/>
        <w:rPr>
          <w:rFonts w:ascii="宋体"/>
          <w:color w:val="auto"/>
          <w:sz w:val="52"/>
          <w:szCs w:val="52"/>
          <w:highlight w:val="none"/>
        </w:rPr>
      </w:pPr>
    </w:p>
    <w:p w14:paraId="5772922E">
      <w:pPr>
        <w:jc w:val="center"/>
        <w:outlineLvl w:val="9"/>
        <w:rPr>
          <w:rFonts w:ascii="宋体"/>
          <w:color w:val="auto"/>
          <w:sz w:val="52"/>
          <w:szCs w:val="52"/>
          <w:highlight w:val="none"/>
        </w:rPr>
      </w:pPr>
      <w:r>
        <w:rPr>
          <w:rFonts w:hint="eastAsia" w:ascii="宋体"/>
          <w:color w:val="auto"/>
          <w:sz w:val="52"/>
          <w:szCs w:val="52"/>
          <w:highlight w:val="none"/>
        </w:rPr>
        <w:t>磋  商  文  件</w:t>
      </w:r>
    </w:p>
    <w:p w14:paraId="7FAA200D">
      <w:pPr>
        <w:jc w:val="center"/>
        <w:outlineLvl w:val="9"/>
        <w:rPr>
          <w:rFonts w:ascii="宋体"/>
          <w:color w:val="auto"/>
          <w:sz w:val="32"/>
          <w:szCs w:val="32"/>
          <w:highlight w:val="none"/>
        </w:rPr>
      </w:pPr>
    </w:p>
    <w:p w14:paraId="502629CF">
      <w:pPr>
        <w:outlineLvl w:val="9"/>
        <w:rPr>
          <w:rFonts w:ascii="宋体"/>
          <w:color w:val="auto"/>
          <w:sz w:val="32"/>
          <w:szCs w:val="32"/>
          <w:highlight w:val="none"/>
        </w:rPr>
      </w:pPr>
    </w:p>
    <w:p w14:paraId="01D11720">
      <w:pPr>
        <w:pStyle w:val="37"/>
        <w:outlineLvl w:val="9"/>
        <w:rPr>
          <w:color w:val="auto"/>
          <w:sz w:val="32"/>
          <w:szCs w:val="32"/>
          <w:highlight w:val="none"/>
        </w:rPr>
      </w:pPr>
    </w:p>
    <w:p w14:paraId="3E0785CB">
      <w:pPr>
        <w:pStyle w:val="37"/>
        <w:outlineLvl w:val="9"/>
        <w:rPr>
          <w:color w:val="auto"/>
          <w:sz w:val="32"/>
          <w:szCs w:val="32"/>
          <w:highlight w:val="none"/>
        </w:rPr>
      </w:pPr>
    </w:p>
    <w:p w14:paraId="266D4FD3">
      <w:pPr>
        <w:jc w:val="center"/>
        <w:outlineLvl w:val="9"/>
        <w:rPr>
          <w:rFonts w:ascii="宋体"/>
          <w:color w:val="auto"/>
          <w:sz w:val="32"/>
          <w:szCs w:val="32"/>
          <w:highlight w:val="none"/>
        </w:rPr>
      </w:pPr>
    </w:p>
    <w:p w14:paraId="1CEF066E">
      <w:pPr>
        <w:spacing w:line="360" w:lineRule="auto"/>
        <w:ind w:firstLine="2380" w:firstLineChars="850"/>
        <w:outlineLvl w:val="9"/>
        <w:rPr>
          <w:rFonts w:ascii="宋体"/>
          <w:color w:val="auto"/>
          <w:sz w:val="28"/>
          <w:szCs w:val="28"/>
          <w:highlight w:val="none"/>
          <w:u w:val="single"/>
        </w:rPr>
      </w:pPr>
      <w:r>
        <w:rPr>
          <w:rFonts w:hint="eastAsia" w:ascii="宋体"/>
          <w:color w:val="auto"/>
          <w:sz w:val="28"/>
          <w:szCs w:val="28"/>
          <w:highlight w:val="none"/>
        </w:rPr>
        <w:t>项目名称及编号：</w:t>
      </w:r>
      <w:r>
        <w:rPr>
          <w:rFonts w:hint="eastAsia" w:ascii="宋体"/>
          <w:color w:val="auto"/>
          <w:sz w:val="28"/>
          <w:szCs w:val="28"/>
          <w:highlight w:val="none"/>
          <w:u w:val="single"/>
        </w:rPr>
        <w:t xml:space="preserve">                   </w:t>
      </w:r>
    </w:p>
    <w:p w14:paraId="2FBF6528">
      <w:pPr>
        <w:jc w:val="center"/>
        <w:outlineLvl w:val="9"/>
        <w:rPr>
          <w:rFonts w:ascii="宋体"/>
          <w:color w:val="auto"/>
          <w:sz w:val="32"/>
          <w:szCs w:val="32"/>
          <w:highlight w:val="none"/>
        </w:rPr>
      </w:pPr>
    </w:p>
    <w:p w14:paraId="114CE282">
      <w:pPr>
        <w:jc w:val="center"/>
        <w:outlineLvl w:val="9"/>
        <w:rPr>
          <w:rFonts w:ascii="宋体"/>
          <w:color w:val="auto"/>
          <w:sz w:val="32"/>
          <w:szCs w:val="32"/>
          <w:highlight w:val="none"/>
        </w:rPr>
      </w:pPr>
      <w:r>
        <w:rPr>
          <w:rFonts w:hint="eastAsia" w:ascii="宋体"/>
          <w:color w:val="auto"/>
          <w:sz w:val="32"/>
          <w:szCs w:val="32"/>
          <w:highlight w:val="none"/>
        </w:rPr>
        <w:t xml:space="preserve">     </w:t>
      </w:r>
    </w:p>
    <w:p w14:paraId="01AEBA98">
      <w:pPr>
        <w:outlineLvl w:val="9"/>
        <w:rPr>
          <w:rFonts w:ascii="宋体"/>
          <w:color w:val="auto"/>
          <w:sz w:val="32"/>
          <w:szCs w:val="32"/>
          <w:highlight w:val="none"/>
        </w:rPr>
      </w:pPr>
    </w:p>
    <w:p w14:paraId="108E577E">
      <w:pPr>
        <w:jc w:val="center"/>
        <w:outlineLvl w:val="9"/>
        <w:rPr>
          <w:rFonts w:ascii="宋体"/>
          <w:color w:val="auto"/>
          <w:sz w:val="32"/>
          <w:szCs w:val="32"/>
          <w:highlight w:val="none"/>
        </w:rPr>
      </w:pPr>
    </w:p>
    <w:p w14:paraId="284DDF9D">
      <w:pPr>
        <w:outlineLvl w:val="9"/>
        <w:rPr>
          <w:rFonts w:ascii="宋体"/>
          <w:color w:val="auto"/>
          <w:sz w:val="32"/>
          <w:szCs w:val="32"/>
          <w:highlight w:val="none"/>
        </w:rPr>
      </w:pPr>
    </w:p>
    <w:p w14:paraId="2C5F4742">
      <w:pPr>
        <w:jc w:val="center"/>
        <w:outlineLvl w:val="9"/>
        <w:rPr>
          <w:rFonts w:ascii="宋体"/>
          <w:color w:val="auto"/>
          <w:sz w:val="32"/>
          <w:szCs w:val="32"/>
          <w:highlight w:val="none"/>
        </w:rPr>
      </w:pPr>
    </w:p>
    <w:p w14:paraId="3F1940D6">
      <w:pPr>
        <w:pStyle w:val="37"/>
        <w:outlineLvl w:val="9"/>
        <w:rPr>
          <w:color w:val="auto"/>
          <w:sz w:val="32"/>
          <w:szCs w:val="32"/>
          <w:highlight w:val="none"/>
        </w:rPr>
      </w:pPr>
    </w:p>
    <w:p w14:paraId="24591D37">
      <w:pPr>
        <w:pStyle w:val="37"/>
        <w:outlineLvl w:val="9"/>
        <w:rPr>
          <w:color w:val="auto"/>
          <w:sz w:val="32"/>
          <w:szCs w:val="32"/>
          <w:highlight w:val="none"/>
        </w:rPr>
      </w:pPr>
    </w:p>
    <w:p w14:paraId="3E93B8FA">
      <w:pPr>
        <w:pStyle w:val="37"/>
        <w:outlineLvl w:val="9"/>
        <w:rPr>
          <w:color w:val="auto"/>
          <w:sz w:val="32"/>
          <w:szCs w:val="32"/>
          <w:highlight w:val="none"/>
        </w:rPr>
      </w:pPr>
    </w:p>
    <w:p w14:paraId="5C15BA76">
      <w:pPr>
        <w:jc w:val="center"/>
        <w:outlineLvl w:val="9"/>
        <w:rPr>
          <w:rFonts w:ascii="宋体"/>
          <w:color w:val="auto"/>
          <w:sz w:val="32"/>
          <w:szCs w:val="32"/>
          <w:highlight w:val="none"/>
        </w:rPr>
      </w:pPr>
    </w:p>
    <w:p w14:paraId="4FAE1529">
      <w:pPr>
        <w:spacing w:line="360" w:lineRule="auto"/>
        <w:outlineLvl w:val="9"/>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资格审查              </w:t>
      </w:r>
    </w:p>
    <w:p w14:paraId="5B561EEE">
      <w:pPr>
        <w:spacing w:line="360" w:lineRule="auto"/>
        <w:outlineLvl w:val="9"/>
        <w:rPr>
          <w:rFonts w:ascii="宋体"/>
          <w:color w:val="auto"/>
          <w:sz w:val="28"/>
          <w:szCs w:val="28"/>
          <w:highlight w:val="none"/>
        </w:rPr>
      </w:pPr>
      <w:r>
        <w:rPr>
          <w:rFonts w:hint="eastAsia" w:ascii="宋体"/>
          <w:color w:val="auto"/>
          <w:sz w:val="28"/>
          <w:szCs w:val="28"/>
          <w:highlight w:val="none"/>
        </w:rPr>
        <w:t>供 应 商：</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6FED3FF5">
      <w:pPr>
        <w:spacing w:line="360" w:lineRule="auto"/>
        <w:outlineLvl w:val="9"/>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106A0C45">
      <w:pPr>
        <w:spacing w:line="360" w:lineRule="auto"/>
        <w:ind w:firstLine="1400" w:firstLineChars="500"/>
        <w:outlineLvl w:val="9"/>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25144687">
      <w:pPr>
        <w:spacing w:line="400" w:lineRule="exact"/>
        <w:outlineLvl w:val="9"/>
        <w:rPr>
          <w:rFonts w:ascii="宋体"/>
          <w:color w:val="auto"/>
          <w:highlight w:val="none"/>
        </w:rPr>
      </w:pPr>
      <w:r>
        <w:rPr>
          <w:rFonts w:hint="eastAsia" w:ascii="宋体"/>
          <w:color w:val="auto"/>
          <w:highlight w:val="none"/>
        </w:rPr>
        <w:br w:type="page"/>
      </w:r>
    </w:p>
    <w:p w14:paraId="64104741">
      <w:pPr>
        <w:tabs>
          <w:tab w:val="left" w:pos="826"/>
        </w:tabs>
        <w:snapToGrid w:val="0"/>
        <w:spacing w:line="360" w:lineRule="auto"/>
        <w:ind w:firstLine="422" w:firstLineChars="150"/>
        <w:jc w:val="center"/>
        <w:outlineLvl w:val="9"/>
        <w:rPr>
          <w:rFonts w:ascii="宋体"/>
          <w:b/>
          <w:color w:val="auto"/>
          <w:sz w:val="28"/>
          <w:szCs w:val="28"/>
          <w:highlight w:val="none"/>
        </w:rPr>
      </w:pPr>
      <w:r>
        <w:rPr>
          <w:rFonts w:hint="eastAsia" w:ascii="宋体"/>
          <w:b/>
          <w:color w:val="auto"/>
          <w:sz w:val="28"/>
          <w:szCs w:val="28"/>
          <w:highlight w:val="none"/>
        </w:rPr>
        <w:t>目  录</w:t>
      </w:r>
    </w:p>
    <w:p w14:paraId="30B2376E">
      <w:pPr>
        <w:snapToGrid w:val="0"/>
        <w:spacing w:before="120" w:beforeLines="50" w:after="50" w:line="360" w:lineRule="auto"/>
        <w:ind w:firstLine="645"/>
        <w:outlineLvl w:val="9"/>
        <w:rPr>
          <w:rFonts w:ascii="宋体" w:hAnsi="宋体"/>
          <w:color w:val="auto"/>
          <w:sz w:val="32"/>
          <w:szCs w:val="32"/>
        </w:rPr>
      </w:pPr>
      <w:r>
        <w:rPr>
          <w:rFonts w:hint="eastAsia" w:ascii="宋体" w:hAnsi="宋体"/>
          <w:color w:val="auto"/>
          <w:sz w:val="24"/>
          <w:szCs w:val="24"/>
        </w:rPr>
        <w:t>根据磋商文件规定及供应商提供的材料自行编写目录（部分格式后附）。</w:t>
      </w:r>
    </w:p>
    <w:p w14:paraId="13EA2CD1">
      <w:pPr>
        <w:outlineLvl w:val="9"/>
        <w:rPr>
          <w:rFonts w:ascii="宋体"/>
          <w:color w:val="auto"/>
          <w:sz w:val="24"/>
          <w:highlight w:val="none"/>
        </w:rPr>
      </w:pPr>
      <w:r>
        <w:rPr>
          <w:rFonts w:ascii="宋体"/>
          <w:color w:val="auto"/>
          <w:sz w:val="24"/>
          <w:highlight w:val="none"/>
        </w:rPr>
        <w:br w:type="page"/>
      </w:r>
    </w:p>
    <w:p w14:paraId="1D193F8A">
      <w:pPr>
        <w:pStyle w:val="384"/>
        <w:snapToGrid w:val="0"/>
        <w:spacing w:line="360" w:lineRule="auto"/>
        <w:jc w:val="center"/>
        <w:outlineLvl w:val="9"/>
        <w:rPr>
          <w:rFonts w:ascii="宋体" w:hAnsi="宋体"/>
          <w:b/>
          <w:color w:val="auto"/>
          <w:sz w:val="24"/>
          <w:highlight w:val="none"/>
        </w:rPr>
      </w:pPr>
      <w:bookmarkStart w:id="1878" w:name="_Toc251051976"/>
      <w:bookmarkStart w:id="1879" w:name="_Toc349555831"/>
      <w:bookmarkStart w:id="1880" w:name="_Toc349215544"/>
    </w:p>
    <w:p w14:paraId="3A478D71">
      <w:pPr>
        <w:pStyle w:val="384"/>
        <w:snapToGrid w:val="0"/>
        <w:spacing w:line="360" w:lineRule="auto"/>
        <w:jc w:val="center"/>
        <w:outlineLvl w:val="9"/>
        <w:rPr>
          <w:rFonts w:ascii="宋体" w:hAnsi="宋体"/>
          <w:b/>
          <w:bCs/>
          <w:color w:val="auto"/>
          <w:sz w:val="24"/>
          <w:highlight w:val="none"/>
        </w:rPr>
      </w:pPr>
      <w:r>
        <w:rPr>
          <w:rFonts w:hint="eastAsia" w:ascii="宋体"/>
          <w:b/>
          <w:bCs/>
          <w:color w:val="auto"/>
          <w:sz w:val="24"/>
          <w:highlight w:val="none"/>
        </w:rPr>
        <w:t>响应文件签署授权委托书</w:t>
      </w:r>
    </w:p>
    <w:p w14:paraId="05B51039">
      <w:pPr>
        <w:pStyle w:val="384"/>
        <w:snapToGrid w:val="0"/>
        <w:spacing w:line="360" w:lineRule="auto"/>
        <w:outlineLvl w:val="9"/>
        <w:rPr>
          <w:rFonts w:ascii="宋体" w:hAnsi="宋体"/>
          <w:color w:val="auto"/>
          <w:sz w:val="28"/>
          <w:szCs w:val="28"/>
          <w:highlight w:val="none"/>
        </w:rPr>
      </w:pPr>
    </w:p>
    <w:p w14:paraId="76C8C357">
      <w:pPr>
        <w:autoSpaceDE w:val="0"/>
        <w:autoSpaceDN w:val="0"/>
        <w:adjustRightInd w:val="0"/>
        <w:spacing w:line="600" w:lineRule="auto"/>
        <w:ind w:firstLine="420" w:firstLineChars="200"/>
        <w:outlineLvl w:val="9"/>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eastAsia="zh-CN"/>
        </w:rPr>
        <w:t>供应商</w:t>
      </w:r>
      <w:r>
        <w:rPr>
          <w:rFonts w:hint="eastAsia" w:ascii="宋体" w:hAnsi="宋体" w:cs="宋体"/>
          <w:color w:val="auto"/>
          <w:kern w:val="0"/>
          <w:sz w:val="21"/>
          <w:szCs w:val="22"/>
          <w:highlight w:val="none"/>
          <w:u w:val="single"/>
        </w:rPr>
        <w:t>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7244B42C">
      <w:pPr>
        <w:autoSpaceDE w:val="0"/>
        <w:autoSpaceDN w:val="0"/>
        <w:adjustRightInd w:val="0"/>
        <w:spacing w:line="600" w:lineRule="auto"/>
        <w:jc w:val="left"/>
        <w:outlineLvl w:val="9"/>
        <w:rPr>
          <w:rFonts w:ascii="宋体" w:cs="宋体"/>
          <w:color w:val="auto"/>
          <w:kern w:val="0"/>
          <w:sz w:val="21"/>
          <w:szCs w:val="22"/>
          <w:highlight w:val="none"/>
          <w:u w:val="single"/>
        </w:rPr>
      </w:pPr>
      <w:bookmarkStart w:id="1881" w:name="_Toc243584355"/>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日至</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w:t>
      </w:r>
    </w:p>
    <w:p w14:paraId="34AF1C9F">
      <w:pPr>
        <w:autoSpaceDE w:val="0"/>
        <w:autoSpaceDN w:val="0"/>
        <w:adjustRightInd w:val="0"/>
        <w:spacing w:line="600" w:lineRule="auto"/>
        <w:ind w:firstLine="105" w:firstLineChars="50"/>
        <w:jc w:val="left"/>
        <w:outlineLvl w:val="9"/>
        <w:rPr>
          <w:rFonts w:ascii="宋体" w:cs="宋体"/>
          <w:color w:val="auto"/>
          <w:kern w:val="0"/>
          <w:sz w:val="21"/>
          <w:szCs w:val="22"/>
          <w:highlight w:val="none"/>
        </w:rPr>
      </w:pPr>
      <w:bookmarkStart w:id="1882" w:name="_Toc17027"/>
      <w:r>
        <w:rPr>
          <w:rFonts w:hint="eastAsia" w:ascii="宋体" w:hAnsi="宋体" w:cs="宋体"/>
          <w:color w:val="auto"/>
          <w:kern w:val="0"/>
          <w:sz w:val="21"/>
          <w:szCs w:val="22"/>
          <w:highlight w:val="none"/>
        </w:rPr>
        <w:t>代理人无转委权。特此授权。</w:t>
      </w:r>
      <w:bookmarkEnd w:id="1881"/>
      <w:bookmarkEnd w:id="1882"/>
    </w:p>
    <w:p w14:paraId="44A7B65E">
      <w:pPr>
        <w:autoSpaceDE w:val="0"/>
        <w:autoSpaceDN w:val="0"/>
        <w:adjustRightInd w:val="0"/>
        <w:spacing w:line="600" w:lineRule="auto"/>
        <w:ind w:firstLine="420" w:firstLineChars="200"/>
        <w:jc w:val="left"/>
        <w:outlineLvl w:val="9"/>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性别：</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年龄：</w:t>
      </w:r>
      <w:r>
        <w:rPr>
          <w:rFonts w:hint="eastAsia" w:ascii="宋体" w:hAnsi="宋体" w:cs="宋体"/>
          <w:color w:val="auto"/>
          <w:kern w:val="0"/>
          <w:sz w:val="21"/>
          <w:szCs w:val="22"/>
          <w:highlight w:val="none"/>
          <w:u w:val="single"/>
          <w:lang w:val="en-US" w:eastAsia="zh-CN"/>
        </w:rPr>
        <w:t xml:space="preserve">            </w:t>
      </w:r>
    </w:p>
    <w:p w14:paraId="6F3F4BE5">
      <w:pPr>
        <w:autoSpaceDE w:val="0"/>
        <w:autoSpaceDN w:val="0"/>
        <w:adjustRightInd w:val="0"/>
        <w:spacing w:line="600" w:lineRule="auto"/>
        <w:ind w:firstLine="420" w:firstLineChars="200"/>
        <w:jc w:val="left"/>
        <w:outlineLvl w:val="9"/>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联系电话：</w:t>
      </w:r>
      <w:r>
        <w:rPr>
          <w:rFonts w:hint="eastAsia" w:ascii="宋体" w:hAnsi="宋体" w:cs="宋体"/>
          <w:color w:val="auto"/>
          <w:kern w:val="0"/>
          <w:sz w:val="21"/>
          <w:szCs w:val="22"/>
          <w:highlight w:val="none"/>
          <w:u w:val="single"/>
          <w:lang w:val="en-US" w:eastAsia="zh-CN"/>
        </w:rPr>
        <w:t xml:space="preserve">             </w:t>
      </w:r>
    </w:p>
    <w:p w14:paraId="00415C3E">
      <w:pPr>
        <w:autoSpaceDE w:val="0"/>
        <w:autoSpaceDN w:val="0"/>
        <w:adjustRightInd w:val="0"/>
        <w:spacing w:line="600" w:lineRule="auto"/>
        <w:ind w:firstLine="420" w:firstLineChars="200"/>
        <w:jc w:val="left"/>
        <w:outlineLvl w:val="9"/>
        <w:rPr>
          <w:rFonts w:ascii="宋体" w:cs="宋体"/>
          <w:color w:val="auto"/>
          <w:kern w:val="0"/>
          <w:sz w:val="21"/>
          <w:szCs w:val="22"/>
          <w:highlight w:val="none"/>
        </w:rPr>
      </w:pPr>
      <w:bookmarkStart w:id="1883" w:name="_Toc243584356"/>
      <w:bookmarkStart w:id="1884" w:name="_Toc31551"/>
      <w:r>
        <w:rPr>
          <w:rFonts w:hint="eastAsia" w:ascii="宋体" w:hAnsi="宋体" w:cs="宋体"/>
          <w:color w:val="auto"/>
          <w:kern w:val="0"/>
          <w:sz w:val="21"/>
          <w:szCs w:val="22"/>
          <w:highlight w:val="none"/>
          <w:lang w:eastAsia="zh-CN"/>
        </w:rPr>
        <w:t>供应商</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bookmarkEnd w:id="1883"/>
      <w:bookmarkEnd w:id="1884"/>
    </w:p>
    <w:p w14:paraId="2080E451">
      <w:pPr>
        <w:autoSpaceDE w:val="0"/>
        <w:autoSpaceDN w:val="0"/>
        <w:adjustRightInd w:val="0"/>
        <w:spacing w:line="600" w:lineRule="auto"/>
        <w:ind w:firstLine="420" w:firstLineChars="200"/>
        <w:jc w:val="left"/>
        <w:outlineLvl w:val="9"/>
        <w:rPr>
          <w:rFonts w:ascii="宋体" w:cs="宋体"/>
          <w:color w:val="auto"/>
          <w:kern w:val="0"/>
          <w:sz w:val="21"/>
          <w:szCs w:val="22"/>
          <w:highlight w:val="none"/>
        </w:rPr>
      </w:pPr>
      <w:bookmarkStart w:id="1885" w:name="_Toc4515"/>
      <w:bookmarkStart w:id="1886" w:name="_Toc243584357"/>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bookmarkEnd w:id="1885"/>
      <w:bookmarkEnd w:id="1886"/>
    </w:p>
    <w:p w14:paraId="4E61AB6C">
      <w:pPr>
        <w:autoSpaceDE w:val="0"/>
        <w:autoSpaceDN w:val="0"/>
        <w:adjustRightInd w:val="0"/>
        <w:spacing w:line="600" w:lineRule="auto"/>
        <w:ind w:firstLine="420" w:firstLineChars="200"/>
        <w:jc w:val="left"/>
        <w:outlineLvl w:val="9"/>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4F8F6248">
      <w:pPr>
        <w:pStyle w:val="384"/>
        <w:autoSpaceDE w:val="0"/>
        <w:autoSpaceDN w:val="0"/>
        <w:spacing w:line="360" w:lineRule="auto"/>
        <w:ind w:left="480" w:hanging="480"/>
        <w:outlineLvl w:val="9"/>
        <w:rPr>
          <w:rFonts w:ascii="宋体" w:hAnsi="宋体"/>
          <w:color w:val="auto"/>
          <w:szCs w:val="21"/>
          <w:highlight w:val="none"/>
        </w:rPr>
      </w:pPr>
    </w:p>
    <w:p w14:paraId="733989A0">
      <w:pPr>
        <w:pStyle w:val="37"/>
        <w:outlineLvl w:val="9"/>
        <w:rPr>
          <w:rFonts w:ascii="宋体" w:hAnsi="宋体"/>
          <w:b/>
          <w:color w:val="auto"/>
          <w:sz w:val="24"/>
          <w:highlight w:val="none"/>
        </w:rPr>
      </w:pPr>
      <w:r>
        <w:rPr>
          <w:rFonts w:ascii="宋体" w:hAnsi="宋体"/>
          <w:b/>
          <w:color w:val="auto"/>
          <w:sz w:val="24"/>
          <w:highlight w:val="none"/>
        </w:rPr>
        <w:t>附：代理人身份证复印件</w:t>
      </w:r>
    </w:p>
    <w:p w14:paraId="3E042641">
      <w:pPr>
        <w:outlineLvl w:val="9"/>
        <w:rPr>
          <w:rFonts w:ascii="宋体" w:hAnsi="宋体"/>
          <w:b/>
          <w:color w:val="auto"/>
          <w:sz w:val="24"/>
          <w:highlight w:val="none"/>
        </w:rPr>
      </w:pPr>
      <w:r>
        <w:rPr>
          <w:rFonts w:ascii="宋体" w:hAnsi="宋体"/>
          <w:b/>
          <w:color w:val="auto"/>
          <w:sz w:val="24"/>
          <w:highlight w:val="none"/>
        </w:rPr>
        <w:br w:type="page"/>
      </w:r>
    </w:p>
    <w:p w14:paraId="5822ED7B">
      <w:pPr>
        <w:pStyle w:val="37"/>
        <w:outlineLvl w:val="9"/>
        <w:rPr>
          <w:rFonts w:ascii="宋体"/>
          <w:color w:val="auto"/>
          <w:highlight w:val="none"/>
        </w:rPr>
      </w:pPr>
    </w:p>
    <w:p w14:paraId="726EAD7C">
      <w:pPr>
        <w:pStyle w:val="384"/>
        <w:snapToGrid w:val="0"/>
        <w:spacing w:line="360" w:lineRule="auto"/>
        <w:jc w:val="center"/>
        <w:outlineLvl w:val="9"/>
        <w:rPr>
          <w:rFonts w:ascii="宋体" w:hAnsi="宋体"/>
          <w:b/>
          <w:color w:val="auto"/>
          <w:sz w:val="24"/>
          <w:highlight w:val="none"/>
        </w:rPr>
      </w:pPr>
      <w:r>
        <w:rPr>
          <w:rFonts w:ascii="宋体" w:hAnsi="宋体"/>
          <w:b/>
          <w:color w:val="auto"/>
          <w:sz w:val="24"/>
          <w:highlight w:val="none"/>
        </w:rPr>
        <w:t>法定代表人身份证明书</w:t>
      </w:r>
    </w:p>
    <w:p w14:paraId="049978D6">
      <w:pPr>
        <w:autoSpaceDE w:val="0"/>
        <w:autoSpaceDN w:val="0"/>
        <w:adjustRightInd w:val="0"/>
        <w:spacing w:line="480" w:lineRule="auto"/>
        <w:jc w:val="left"/>
        <w:outlineLvl w:val="9"/>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u w:val="single"/>
          <w:lang w:val="en-US" w:eastAsia="zh-CN"/>
        </w:rPr>
        <w:t xml:space="preserve">                         </w:t>
      </w:r>
    </w:p>
    <w:p w14:paraId="6E5D9ABC">
      <w:pPr>
        <w:autoSpaceDE w:val="0"/>
        <w:autoSpaceDN w:val="0"/>
        <w:adjustRightInd w:val="0"/>
        <w:spacing w:line="480" w:lineRule="auto"/>
        <w:jc w:val="left"/>
        <w:outlineLvl w:val="9"/>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r>
        <w:rPr>
          <w:rFonts w:hint="eastAsia" w:ascii="宋体" w:hAnsi="宋体" w:cs="宋体"/>
          <w:color w:val="auto"/>
          <w:kern w:val="0"/>
          <w:sz w:val="21"/>
          <w:szCs w:val="21"/>
          <w:highlight w:val="none"/>
          <w:u w:val="single"/>
          <w:lang w:val="en-US" w:eastAsia="zh-CN"/>
        </w:rPr>
        <w:t xml:space="preserve">                         </w:t>
      </w:r>
    </w:p>
    <w:p w14:paraId="4860CB0A">
      <w:pPr>
        <w:autoSpaceDE w:val="0"/>
        <w:autoSpaceDN w:val="0"/>
        <w:adjustRightInd w:val="0"/>
        <w:spacing w:line="480" w:lineRule="auto"/>
        <w:jc w:val="left"/>
        <w:outlineLvl w:val="9"/>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lang w:val="en-US" w:eastAsia="zh-CN"/>
        </w:rPr>
        <w:t xml:space="preserve">                         </w:t>
      </w:r>
    </w:p>
    <w:p w14:paraId="50CDAB6A">
      <w:pPr>
        <w:autoSpaceDE w:val="0"/>
        <w:autoSpaceDN w:val="0"/>
        <w:adjustRightInd w:val="0"/>
        <w:spacing w:line="480" w:lineRule="auto"/>
        <w:jc w:val="left"/>
        <w:outlineLvl w:val="9"/>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r>
        <w:rPr>
          <w:rFonts w:hint="eastAsia" w:ascii="宋体" w:hAnsi="宋体" w:cs="宋体"/>
          <w:color w:val="auto"/>
          <w:kern w:val="0"/>
          <w:sz w:val="21"/>
          <w:szCs w:val="21"/>
          <w:highlight w:val="none"/>
          <w:u w:val="single"/>
          <w:lang w:val="en-US" w:eastAsia="zh-CN"/>
        </w:rPr>
        <w:t xml:space="preserve">                         </w:t>
      </w:r>
    </w:p>
    <w:p w14:paraId="6C4E45E2">
      <w:pPr>
        <w:autoSpaceDE w:val="0"/>
        <w:autoSpaceDN w:val="0"/>
        <w:adjustRightInd w:val="0"/>
        <w:spacing w:line="480" w:lineRule="auto"/>
        <w:jc w:val="left"/>
        <w:outlineLvl w:val="9"/>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r>
        <w:rPr>
          <w:rFonts w:hint="eastAsia" w:ascii="宋体" w:hAnsi="宋体" w:cs="宋体"/>
          <w:color w:val="auto"/>
          <w:kern w:val="0"/>
          <w:sz w:val="21"/>
          <w:szCs w:val="21"/>
          <w:highlight w:val="none"/>
          <w:u w:val="single"/>
          <w:lang w:val="en-US" w:eastAsia="zh-CN"/>
        </w:rPr>
        <w:t xml:space="preserve">                         </w:t>
      </w:r>
    </w:p>
    <w:p w14:paraId="552C8D16">
      <w:pPr>
        <w:autoSpaceDE w:val="0"/>
        <w:autoSpaceDN w:val="0"/>
        <w:adjustRightInd w:val="0"/>
        <w:spacing w:line="480" w:lineRule="auto"/>
        <w:jc w:val="left"/>
        <w:outlineLvl w:val="9"/>
        <w:rPr>
          <w:rFonts w:ascii="宋体" w:cs="宋体"/>
          <w:color w:val="auto"/>
          <w:kern w:val="0"/>
          <w:sz w:val="21"/>
          <w:szCs w:val="21"/>
          <w:highlight w:val="none"/>
        </w:rPr>
      </w:pPr>
      <w:r>
        <w:rPr>
          <w:rFonts w:hint="eastAsia" w:ascii="宋体" w:hAnsi="宋体" w:cs="宋体"/>
          <w:color w:val="auto"/>
          <w:kern w:val="0"/>
          <w:sz w:val="21"/>
          <w:szCs w:val="21"/>
          <w:highlight w:val="none"/>
        </w:rPr>
        <w:t>姓名：</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性别：</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年龄：</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职务：</w:t>
      </w:r>
      <w:r>
        <w:rPr>
          <w:rFonts w:hint="eastAsia" w:ascii="宋体" w:hAnsi="宋体" w:cs="宋体"/>
          <w:color w:val="auto"/>
          <w:kern w:val="0"/>
          <w:sz w:val="21"/>
          <w:szCs w:val="21"/>
          <w:highlight w:val="none"/>
          <w:u w:val="single"/>
          <w:lang w:val="en-US" w:eastAsia="zh-CN"/>
        </w:rPr>
        <w:t xml:space="preserve">            </w:t>
      </w:r>
    </w:p>
    <w:p w14:paraId="2D253F30">
      <w:pPr>
        <w:autoSpaceDE w:val="0"/>
        <w:autoSpaceDN w:val="0"/>
        <w:adjustRightInd w:val="0"/>
        <w:spacing w:line="480" w:lineRule="auto"/>
        <w:outlineLvl w:val="9"/>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eastAsia="zh-CN"/>
        </w:rPr>
        <w:t>供应商</w:t>
      </w:r>
      <w:r>
        <w:rPr>
          <w:rFonts w:hint="eastAsia" w:ascii="宋体" w:hAnsi="宋体" w:cs="宋体"/>
          <w:color w:val="auto"/>
          <w:kern w:val="0"/>
          <w:sz w:val="21"/>
          <w:szCs w:val="21"/>
          <w:highlight w:val="none"/>
          <w:u w:val="single"/>
        </w:rPr>
        <w:t>名称）</w:t>
      </w:r>
      <w:r>
        <w:rPr>
          <w:rFonts w:hint="eastAsia" w:ascii="宋体" w:hAnsi="宋体" w:cs="宋体"/>
          <w:color w:val="auto"/>
          <w:kern w:val="0"/>
          <w:sz w:val="21"/>
          <w:szCs w:val="21"/>
          <w:highlight w:val="none"/>
        </w:rPr>
        <w:t>的法定代表人。</w:t>
      </w:r>
    </w:p>
    <w:p w14:paraId="1FE6D7C3">
      <w:pPr>
        <w:autoSpaceDE w:val="0"/>
        <w:autoSpaceDN w:val="0"/>
        <w:adjustRightInd w:val="0"/>
        <w:spacing w:line="480" w:lineRule="auto"/>
        <w:outlineLvl w:val="9"/>
        <w:rPr>
          <w:rFonts w:ascii="宋体" w:cs="宋体"/>
          <w:color w:val="auto"/>
          <w:kern w:val="0"/>
          <w:sz w:val="21"/>
          <w:szCs w:val="21"/>
          <w:highlight w:val="none"/>
        </w:rPr>
      </w:pPr>
    </w:p>
    <w:p w14:paraId="4A5BAD4C">
      <w:pPr>
        <w:autoSpaceDE w:val="0"/>
        <w:autoSpaceDN w:val="0"/>
        <w:adjustRightInd w:val="0"/>
        <w:spacing w:line="480" w:lineRule="auto"/>
        <w:ind w:firstLine="420" w:firstLineChars="200"/>
        <w:outlineLvl w:val="9"/>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2332793D">
      <w:pPr>
        <w:autoSpaceDE w:val="0"/>
        <w:autoSpaceDN w:val="0"/>
        <w:adjustRightInd w:val="0"/>
        <w:spacing w:line="360" w:lineRule="auto"/>
        <w:jc w:val="left"/>
        <w:outlineLvl w:val="9"/>
        <w:rPr>
          <w:rFonts w:ascii="宋体" w:cs="宋体"/>
          <w:color w:val="auto"/>
          <w:kern w:val="0"/>
          <w:sz w:val="21"/>
          <w:szCs w:val="21"/>
          <w:highlight w:val="none"/>
        </w:rPr>
      </w:pPr>
    </w:p>
    <w:p w14:paraId="26E3054C">
      <w:pPr>
        <w:autoSpaceDE w:val="0"/>
        <w:autoSpaceDN w:val="0"/>
        <w:adjustRightInd w:val="0"/>
        <w:spacing w:line="360" w:lineRule="auto"/>
        <w:outlineLvl w:val="9"/>
        <w:rPr>
          <w:rFonts w:ascii="宋体" w:cs="宋体"/>
          <w:color w:val="auto"/>
          <w:kern w:val="0"/>
          <w:sz w:val="21"/>
          <w:szCs w:val="21"/>
          <w:highlight w:val="none"/>
        </w:rPr>
      </w:pPr>
    </w:p>
    <w:p w14:paraId="613B2563">
      <w:pPr>
        <w:autoSpaceDE w:val="0"/>
        <w:autoSpaceDN w:val="0"/>
        <w:adjustRightInd w:val="0"/>
        <w:spacing w:line="360" w:lineRule="auto"/>
        <w:jc w:val="left"/>
        <w:outlineLvl w:val="9"/>
        <w:rPr>
          <w:rFonts w:ascii="宋体" w:cs="宋体"/>
          <w:color w:val="auto"/>
          <w:kern w:val="0"/>
          <w:sz w:val="21"/>
          <w:szCs w:val="21"/>
          <w:highlight w:val="none"/>
        </w:rPr>
      </w:pPr>
    </w:p>
    <w:p w14:paraId="5728B562">
      <w:pPr>
        <w:autoSpaceDE w:val="0"/>
        <w:autoSpaceDN w:val="0"/>
        <w:adjustRightInd w:val="0"/>
        <w:spacing w:line="360" w:lineRule="auto"/>
        <w:jc w:val="left"/>
        <w:outlineLvl w:val="9"/>
        <w:rPr>
          <w:rFonts w:ascii="宋体" w:cs="宋体"/>
          <w:color w:val="auto"/>
          <w:kern w:val="0"/>
          <w:sz w:val="21"/>
          <w:szCs w:val="21"/>
          <w:highlight w:val="none"/>
          <w:u w:val="single"/>
        </w:rPr>
      </w:pPr>
      <w:bookmarkStart w:id="1887" w:name="_Toc243584353"/>
      <w:bookmarkStart w:id="1888" w:name="_Toc23018"/>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u w:val="single"/>
        </w:rPr>
        <w:t>：</w:t>
      </w:r>
      <w:bookmarkEnd w:id="1887"/>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（盖章）</w:t>
      </w:r>
      <w:bookmarkEnd w:id="1888"/>
    </w:p>
    <w:p w14:paraId="2E38727C">
      <w:pPr>
        <w:autoSpaceDE w:val="0"/>
        <w:autoSpaceDN w:val="0"/>
        <w:adjustRightInd w:val="0"/>
        <w:spacing w:line="360" w:lineRule="auto"/>
        <w:jc w:val="left"/>
        <w:outlineLvl w:val="9"/>
        <w:rPr>
          <w:rFonts w:ascii="宋体" w:cs="宋体"/>
          <w:color w:val="auto"/>
          <w:kern w:val="0"/>
          <w:sz w:val="21"/>
          <w:szCs w:val="21"/>
          <w:highlight w:val="none"/>
        </w:rPr>
      </w:pPr>
    </w:p>
    <w:p w14:paraId="78ADA518">
      <w:pPr>
        <w:autoSpaceDE w:val="0"/>
        <w:autoSpaceDN w:val="0"/>
        <w:adjustRightInd w:val="0"/>
        <w:spacing w:line="360" w:lineRule="auto"/>
        <w:jc w:val="left"/>
        <w:outlineLvl w:val="9"/>
        <w:rPr>
          <w:rFonts w:ascii="宋体" w:cs="宋体"/>
          <w:color w:val="auto"/>
          <w:kern w:val="0"/>
          <w:sz w:val="21"/>
          <w:szCs w:val="21"/>
          <w:highlight w:val="none"/>
        </w:rPr>
      </w:pPr>
      <w:r>
        <w:rPr>
          <w:rFonts w:hint="eastAsia" w:ascii="宋体" w:hAnsi="宋体" w:cs="宋体"/>
          <w:color w:val="auto"/>
          <w:kern w:val="0"/>
          <w:sz w:val="21"/>
          <w:szCs w:val="21"/>
          <w:highlight w:val="none"/>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日</w:t>
      </w:r>
    </w:p>
    <w:p w14:paraId="7D9CFF13">
      <w:pPr>
        <w:autoSpaceDE w:val="0"/>
        <w:autoSpaceDN w:val="0"/>
        <w:adjustRightInd w:val="0"/>
        <w:spacing w:line="360" w:lineRule="auto"/>
        <w:jc w:val="left"/>
        <w:outlineLvl w:val="9"/>
        <w:rPr>
          <w:rFonts w:ascii="宋体" w:cs="宋体"/>
          <w:color w:val="auto"/>
          <w:kern w:val="0"/>
          <w:sz w:val="21"/>
          <w:szCs w:val="21"/>
          <w:highlight w:val="none"/>
        </w:rPr>
      </w:pPr>
    </w:p>
    <w:p w14:paraId="208918B5">
      <w:pPr>
        <w:autoSpaceDE w:val="0"/>
        <w:autoSpaceDN w:val="0"/>
        <w:adjustRightInd w:val="0"/>
        <w:spacing w:line="360" w:lineRule="auto"/>
        <w:jc w:val="left"/>
        <w:outlineLvl w:val="9"/>
        <w:rPr>
          <w:rFonts w:ascii="宋体" w:cs="宋体"/>
          <w:color w:val="auto"/>
          <w:kern w:val="0"/>
          <w:sz w:val="21"/>
          <w:szCs w:val="21"/>
          <w:highlight w:val="none"/>
        </w:rPr>
      </w:pPr>
    </w:p>
    <w:p w14:paraId="2580D3BE">
      <w:pPr>
        <w:autoSpaceDE w:val="0"/>
        <w:autoSpaceDN w:val="0"/>
        <w:adjustRightInd w:val="0"/>
        <w:spacing w:line="360" w:lineRule="auto"/>
        <w:jc w:val="left"/>
        <w:outlineLvl w:val="9"/>
        <w:rPr>
          <w:rFonts w:ascii="宋体" w:cs="宋体"/>
          <w:color w:val="auto"/>
          <w:kern w:val="0"/>
          <w:sz w:val="21"/>
          <w:szCs w:val="21"/>
          <w:highlight w:val="none"/>
          <w:u w:val="dash"/>
        </w:rPr>
      </w:pPr>
      <w:r>
        <w:rPr>
          <w:rFonts w:hint="eastAsia" w:ascii="宋体" w:hAnsi="宋体" w:cs="宋体"/>
          <w:color w:val="auto"/>
          <w:kern w:val="0"/>
          <w:sz w:val="21"/>
          <w:szCs w:val="21"/>
          <w:highlight w:val="none"/>
          <w:u w:val="none"/>
        </w:rPr>
        <w:t>附：法定代表人身份证正反面复印件及营业执照复印复印件</w:t>
      </w:r>
    </w:p>
    <w:p w14:paraId="673CD48A">
      <w:pPr>
        <w:pStyle w:val="384"/>
        <w:spacing w:line="360" w:lineRule="auto"/>
        <w:ind w:right="97"/>
        <w:outlineLvl w:val="9"/>
        <w:rPr>
          <w:rFonts w:ascii="宋体" w:hAnsi="宋体" w:cs="宋体"/>
          <w:color w:val="auto"/>
          <w:sz w:val="21"/>
          <w:szCs w:val="21"/>
          <w:highlight w:val="none"/>
        </w:rPr>
      </w:pPr>
    </w:p>
    <w:p w14:paraId="0AFCBE88">
      <w:pPr>
        <w:pStyle w:val="384"/>
        <w:spacing w:line="360" w:lineRule="auto"/>
        <w:ind w:right="97"/>
        <w:outlineLvl w:val="9"/>
        <w:rPr>
          <w:rFonts w:ascii="宋体" w:hAnsi="宋体" w:cs="宋体"/>
          <w:color w:val="auto"/>
          <w:sz w:val="21"/>
          <w:szCs w:val="21"/>
          <w:highlight w:val="none"/>
        </w:rPr>
      </w:pPr>
      <w:r>
        <w:rPr>
          <w:rFonts w:ascii="宋体" w:hAnsi="宋体" w:cs="宋体"/>
          <w:color w:val="auto"/>
          <w:sz w:val="21"/>
          <w:szCs w:val="21"/>
          <w:highlight w:val="none"/>
        </w:rPr>
        <w:t>备注：</w:t>
      </w:r>
    </w:p>
    <w:p w14:paraId="46E7C1B9">
      <w:pPr>
        <w:pStyle w:val="384"/>
        <w:spacing w:line="360" w:lineRule="auto"/>
        <w:ind w:right="97"/>
        <w:outlineLvl w:val="9"/>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51FD40DD">
      <w:pPr>
        <w:pStyle w:val="37"/>
        <w:outlineLvl w:val="9"/>
        <w:rPr>
          <w:rFonts w:hint="eastAsia" w:ascii="宋体" w:hAnsi="宋体"/>
          <w:b/>
          <w:color w:val="auto"/>
          <w:sz w:val="24"/>
          <w:highlight w:val="none"/>
          <w:lang w:val="en-US" w:eastAsia="zh-CN"/>
        </w:rPr>
      </w:pPr>
    </w:p>
    <w:p w14:paraId="562363FE">
      <w:pPr>
        <w:pageBreakBefore/>
        <w:spacing w:line="480" w:lineRule="auto"/>
        <w:jc w:val="center"/>
        <w:outlineLvl w:val="9"/>
        <w:rPr>
          <w:rFonts w:ascii="宋体"/>
          <w:b/>
          <w:color w:val="auto"/>
          <w:sz w:val="28"/>
          <w:szCs w:val="28"/>
          <w:highlight w:val="none"/>
        </w:rPr>
      </w:pPr>
      <w:r>
        <w:rPr>
          <w:rFonts w:hint="eastAsia" w:ascii="宋体"/>
          <w:b/>
          <w:color w:val="auto"/>
          <w:sz w:val="28"/>
          <w:szCs w:val="28"/>
          <w:highlight w:val="none"/>
        </w:rPr>
        <w:t>供应商基本情况表</w:t>
      </w:r>
    </w:p>
    <w:tbl>
      <w:tblPr>
        <w:tblStyle w:val="84"/>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0D95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C96745F">
            <w:pPr>
              <w:jc w:val="center"/>
              <w:outlineLvl w:val="9"/>
              <w:rPr>
                <w:rFonts w:ascii="宋体"/>
                <w:color w:val="auto"/>
                <w:szCs w:val="21"/>
                <w:highlight w:val="none"/>
              </w:rPr>
            </w:pPr>
            <w:r>
              <w:rPr>
                <w:rFonts w:hint="eastAsia" w:ascii="宋体"/>
                <w:color w:val="auto"/>
                <w:szCs w:val="21"/>
                <w:highlight w:val="none"/>
              </w:rPr>
              <w:t>供应商名称</w:t>
            </w:r>
          </w:p>
        </w:tc>
        <w:tc>
          <w:tcPr>
            <w:tcW w:w="7341" w:type="dxa"/>
            <w:gridSpan w:val="8"/>
            <w:vAlign w:val="center"/>
          </w:tcPr>
          <w:p w14:paraId="3A95917D">
            <w:pPr>
              <w:jc w:val="center"/>
              <w:outlineLvl w:val="9"/>
              <w:rPr>
                <w:rFonts w:ascii="宋体"/>
                <w:color w:val="auto"/>
                <w:szCs w:val="21"/>
                <w:highlight w:val="none"/>
              </w:rPr>
            </w:pPr>
          </w:p>
        </w:tc>
      </w:tr>
      <w:tr w14:paraId="5BB1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34C4648">
            <w:pPr>
              <w:jc w:val="center"/>
              <w:outlineLvl w:val="9"/>
              <w:rPr>
                <w:rFonts w:ascii="宋体"/>
                <w:color w:val="auto"/>
                <w:szCs w:val="21"/>
                <w:highlight w:val="none"/>
              </w:rPr>
            </w:pPr>
            <w:r>
              <w:rPr>
                <w:rFonts w:hint="eastAsia" w:ascii="宋体"/>
                <w:color w:val="auto"/>
                <w:szCs w:val="21"/>
                <w:highlight w:val="none"/>
              </w:rPr>
              <w:t>注册地址</w:t>
            </w:r>
          </w:p>
        </w:tc>
        <w:tc>
          <w:tcPr>
            <w:tcW w:w="3389" w:type="dxa"/>
            <w:gridSpan w:val="4"/>
            <w:vAlign w:val="center"/>
          </w:tcPr>
          <w:p w14:paraId="1ABA492B">
            <w:pPr>
              <w:jc w:val="center"/>
              <w:outlineLvl w:val="9"/>
              <w:rPr>
                <w:rFonts w:ascii="宋体"/>
                <w:color w:val="auto"/>
                <w:szCs w:val="21"/>
                <w:highlight w:val="none"/>
              </w:rPr>
            </w:pPr>
          </w:p>
        </w:tc>
        <w:tc>
          <w:tcPr>
            <w:tcW w:w="1246" w:type="dxa"/>
            <w:vAlign w:val="center"/>
          </w:tcPr>
          <w:p w14:paraId="721D94D0">
            <w:pPr>
              <w:jc w:val="center"/>
              <w:outlineLvl w:val="9"/>
              <w:rPr>
                <w:rFonts w:ascii="宋体"/>
                <w:color w:val="auto"/>
                <w:szCs w:val="21"/>
                <w:highlight w:val="none"/>
              </w:rPr>
            </w:pPr>
            <w:r>
              <w:rPr>
                <w:rFonts w:hint="eastAsia" w:ascii="宋体"/>
                <w:color w:val="auto"/>
                <w:szCs w:val="21"/>
                <w:highlight w:val="none"/>
              </w:rPr>
              <w:t>邮政编码</w:t>
            </w:r>
          </w:p>
        </w:tc>
        <w:tc>
          <w:tcPr>
            <w:tcW w:w="2706" w:type="dxa"/>
            <w:gridSpan w:val="3"/>
            <w:vAlign w:val="center"/>
          </w:tcPr>
          <w:p w14:paraId="477F6817">
            <w:pPr>
              <w:jc w:val="center"/>
              <w:outlineLvl w:val="9"/>
              <w:rPr>
                <w:rFonts w:ascii="宋体"/>
                <w:color w:val="auto"/>
                <w:szCs w:val="21"/>
                <w:highlight w:val="none"/>
              </w:rPr>
            </w:pPr>
          </w:p>
        </w:tc>
      </w:tr>
      <w:tr w14:paraId="6935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14:paraId="69296924">
            <w:pPr>
              <w:jc w:val="center"/>
              <w:outlineLvl w:val="9"/>
              <w:rPr>
                <w:rFonts w:ascii="宋体"/>
                <w:color w:val="auto"/>
                <w:szCs w:val="21"/>
                <w:highlight w:val="none"/>
              </w:rPr>
            </w:pPr>
            <w:r>
              <w:rPr>
                <w:rFonts w:hint="eastAsia" w:ascii="宋体"/>
                <w:color w:val="auto"/>
                <w:szCs w:val="21"/>
                <w:highlight w:val="none"/>
              </w:rPr>
              <w:t>联系方式</w:t>
            </w:r>
          </w:p>
        </w:tc>
        <w:tc>
          <w:tcPr>
            <w:tcW w:w="897" w:type="dxa"/>
            <w:vAlign w:val="center"/>
          </w:tcPr>
          <w:p w14:paraId="2EAE3515">
            <w:pPr>
              <w:jc w:val="center"/>
              <w:outlineLvl w:val="9"/>
              <w:rPr>
                <w:rFonts w:ascii="宋体"/>
                <w:color w:val="auto"/>
                <w:szCs w:val="21"/>
                <w:highlight w:val="none"/>
              </w:rPr>
            </w:pPr>
            <w:r>
              <w:rPr>
                <w:rFonts w:hint="eastAsia" w:ascii="宋体"/>
                <w:color w:val="auto"/>
                <w:szCs w:val="21"/>
                <w:highlight w:val="none"/>
              </w:rPr>
              <w:t>联系人</w:t>
            </w:r>
          </w:p>
        </w:tc>
        <w:tc>
          <w:tcPr>
            <w:tcW w:w="2492" w:type="dxa"/>
            <w:gridSpan w:val="3"/>
            <w:vAlign w:val="center"/>
          </w:tcPr>
          <w:p w14:paraId="31AD6CB0">
            <w:pPr>
              <w:jc w:val="center"/>
              <w:outlineLvl w:val="9"/>
              <w:rPr>
                <w:rFonts w:ascii="宋体"/>
                <w:color w:val="auto"/>
                <w:szCs w:val="21"/>
                <w:highlight w:val="none"/>
              </w:rPr>
            </w:pPr>
          </w:p>
        </w:tc>
        <w:tc>
          <w:tcPr>
            <w:tcW w:w="1246" w:type="dxa"/>
            <w:vAlign w:val="center"/>
          </w:tcPr>
          <w:p w14:paraId="3F13B903">
            <w:pPr>
              <w:jc w:val="center"/>
              <w:outlineLvl w:val="9"/>
              <w:rPr>
                <w:rFonts w:ascii="宋体"/>
                <w:color w:val="auto"/>
                <w:szCs w:val="21"/>
                <w:highlight w:val="none"/>
              </w:rPr>
            </w:pPr>
            <w:r>
              <w:rPr>
                <w:rFonts w:hint="eastAsia" w:ascii="宋体"/>
                <w:color w:val="auto"/>
                <w:szCs w:val="21"/>
                <w:highlight w:val="none"/>
              </w:rPr>
              <w:t>电  话</w:t>
            </w:r>
          </w:p>
        </w:tc>
        <w:tc>
          <w:tcPr>
            <w:tcW w:w="2706" w:type="dxa"/>
            <w:gridSpan w:val="3"/>
            <w:vAlign w:val="center"/>
          </w:tcPr>
          <w:p w14:paraId="6A895B93">
            <w:pPr>
              <w:jc w:val="center"/>
              <w:outlineLvl w:val="9"/>
              <w:rPr>
                <w:rFonts w:ascii="宋体"/>
                <w:color w:val="auto"/>
                <w:szCs w:val="21"/>
                <w:highlight w:val="none"/>
              </w:rPr>
            </w:pPr>
          </w:p>
        </w:tc>
      </w:tr>
      <w:tr w14:paraId="47DF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14:paraId="39E57367">
            <w:pPr>
              <w:outlineLvl w:val="9"/>
              <w:rPr>
                <w:color w:val="auto"/>
                <w:highlight w:val="none"/>
              </w:rPr>
            </w:pPr>
          </w:p>
        </w:tc>
        <w:tc>
          <w:tcPr>
            <w:tcW w:w="897" w:type="dxa"/>
            <w:vAlign w:val="center"/>
          </w:tcPr>
          <w:p w14:paraId="13B7FD4C">
            <w:pPr>
              <w:jc w:val="center"/>
              <w:outlineLvl w:val="9"/>
              <w:rPr>
                <w:rFonts w:ascii="宋体"/>
                <w:color w:val="auto"/>
                <w:szCs w:val="21"/>
                <w:highlight w:val="none"/>
              </w:rPr>
            </w:pPr>
            <w:r>
              <w:rPr>
                <w:rFonts w:hint="eastAsia" w:ascii="宋体"/>
                <w:color w:val="auto"/>
                <w:szCs w:val="21"/>
                <w:highlight w:val="none"/>
              </w:rPr>
              <w:t>传  真</w:t>
            </w:r>
          </w:p>
        </w:tc>
        <w:tc>
          <w:tcPr>
            <w:tcW w:w="2492" w:type="dxa"/>
            <w:gridSpan w:val="3"/>
            <w:vAlign w:val="center"/>
          </w:tcPr>
          <w:p w14:paraId="2CD373CF">
            <w:pPr>
              <w:jc w:val="center"/>
              <w:outlineLvl w:val="9"/>
              <w:rPr>
                <w:rFonts w:ascii="宋体"/>
                <w:color w:val="auto"/>
                <w:szCs w:val="21"/>
                <w:highlight w:val="none"/>
              </w:rPr>
            </w:pPr>
          </w:p>
        </w:tc>
        <w:tc>
          <w:tcPr>
            <w:tcW w:w="1246" w:type="dxa"/>
            <w:vAlign w:val="center"/>
          </w:tcPr>
          <w:p w14:paraId="1907C646">
            <w:pPr>
              <w:jc w:val="center"/>
              <w:outlineLvl w:val="9"/>
              <w:rPr>
                <w:rFonts w:ascii="宋体"/>
                <w:color w:val="auto"/>
                <w:szCs w:val="21"/>
                <w:highlight w:val="none"/>
              </w:rPr>
            </w:pPr>
            <w:r>
              <w:rPr>
                <w:rFonts w:hint="eastAsia" w:ascii="宋体"/>
                <w:color w:val="auto"/>
                <w:szCs w:val="21"/>
                <w:highlight w:val="none"/>
              </w:rPr>
              <w:t>网  址</w:t>
            </w:r>
          </w:p>
        </w:tc>
        <w:tc>
          <w:tcPr>
            <w:tcW w:w="2706" w:type="dxa"/>
            <w:gridSpan w:val="3"/>
            <w:vAlign w:val="center"/>
          </w:tcPr>
          <w:p w14:paraId="2F3DE904">
            <w:pPr>
              <w:jc w:val="center"/>
              <w:outlineLvl w:val="9"/>
              <w:rPr>
                <w:rFonts w:ascii="宋体"/>
                <w:color w:val="auto"/>
                <w:szCs w:val="21"/>
                <w:highlight w:val="none"/>
              </w:rPr>
            </w:pPr>
          </w:p>
        </w:tc>
      </w:tr>
      <w:tr w14:paraId="05F4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1B266DC5">
            <w:pPr>
              <w:jc w:val="center"/>
              <w:outlineLvl w:val="9"/>
              <w:rPr>
                <w:rFonts w:ascii="宋体"/>
                <w:color w:val="auto"/>
                <w:szCs w:val="21"/>
                <w:highlight w:val="none"/>
              </w:rPr>
            </w:pPr>
            <w:r>
              <w:rPr>
                <w:rFonts w:hint="eastAsia" w:ascii="宋体"/>
                <w:color w:val="auto"/>
                <w:highlight w:val="none"/>
              </w:rPr>
              <w:t>统一社会信用代码</w:t>
            </w:r>
          </w:p>
        </w:tc>
        <w:tc>
          <w:tcPr>
            <w:tcW w:w="7341" w:type="dxa"/>
            <w:gridSpan w:val="8"/>
            <w:vAlign w:val="center"/>
          </w:tcPr>
          <w:p w14:paraId="058432AA">
            <w:pPr>
              <w:jc w:val="center"/>
              <w:outlineLvl w:val="9"/>
              <w:rPr>
                <w:rFonts w:ascii="宋体"/>
                <w:color w:val="auto"/>
                <w:szCs w:val="21"/>
                <w:highlight w:val="none"/>
              </w:rPr>
            </w:pPr>
          </w:p>
        </w:tc>
      </w:tr>
      <w:tr w14:paraId="5E00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1B437A8">
            <w:pPr>
              <w:jc w:val="center"/>
              <w:outlineLvl w:val="9"/>
              <w:rPr>
                <w:rFonts w:ascii="宋体"/>
                <w:color w:val="auto"/>
                <w:szCs w:val="21"/>
                <w:highlight w:val="none"/>
              </w:rPr>
            </w:pPr>
            <w:r>
              <w:rPr>
                <w:rFonts w:hint="eastAsia" w:ascii="宋体"/>
                <w:color w:val="auto"/>
                <w:szCs w:val="21"/>
                <w:highlight w:val="none"/>
              </w:rPr>
              <w:t>法定代表人</w:t>
            </w:r>
          </w:p>
        </w:tc>
        <w:tc>
          <w:tcPr>
            <w:tcW w:w="897" w:type="dxa"/>
            <w:vAlign w:val="center"/>
          </w:tcPr>
          <w:p w14:paraId="7B750366">
            <w:pPr>
              <w:jc w:val="center"/>
              <w:outlineLvl w:val="9"/>
              <w:rPr>
                <w:rFonts w:ascii="宋体"/>
                <w:color w:val="auto"/>
                <w:szCs w:val="21"/>
                <w:highlight w:val="none"/>
              </w:rPr>
            </w:pPr>
            <w:r>
              <w:rPr>
                <w:rFonts w:hint="eastAsia" w:ascii="宋体"/>
                <w:color w:val="auto"/>
                <w:szCs w:val="21"/>
                <w:highlight w:val="none"/>
              </w:rPr>
              <w:t>姓名</w:t>
            </w:r>
          </w:p>
        </w:tc>
        <w:tc>
          <w:tcPr>
            <w:tcW w:w="1021" w:type="dxa"/>
            <w:vAlign w:val="center"/>
          </w:tcPr>
          <w:p w14:paraId="5A3E4746">
            <w:pPr>
              <w:jc w:val="center"/>
              <w:outlineLvl w:val="9"/>
              <w:rPr>
                <w:rFonts w:ascii="宋体"/>
                <w:color w:val="auto"/>
                <w:szCs w:val="21"/>
                <w:highlight w:val="none"/>
              </w:rPr>
            </w:pPr>
          </w:p>
        </w:tc>
        <w:tc>
          <w:tcPr>
            <w:tcW w:w="1160" w:type="dxa"/>
            <w:vAlign w:val="center"/>
          </w:tcPr>
          <w:p w14:paraId="1EDE655E">
            <w:pPr>
              <w:jc w:val="center"/>
              <w:outlineLvl w:val="9"/>
              <w:rPr>
                <w:rFonts w:ascii="宋体"/>
                <w:color w:val="auto"/>
                <w:szCs w:val="21"/>
                <w:highlight w:val="none"/>
              </w:rPr>
            </w:pPr>
            <w:r>
              <w:rPr>
                <w:rFonts w:hint="eastAsia" w:ascii="宋体"/>
                <w:color w:val="auto"/>
                <w:szCs w:val="21"/>
                <w:highlight w:val="none"/>
              </w:rPr>
              <w:t>技术职称</w:t>
            </w:r>
          </w:p>
        </w:tc>
        <w:tc>
          <w:tcPr>
            <w:tcW w:w="1620" w:type="dxa"/>
            <w:gridSpan w:val="3"/>
            <w:vAlign w:val="center"/>
          </w:tcPr>
          <w:p w14:paraId="7D78F9A9">
            <w:pPr>
              <w:jc w:val="center"/>
              <w:outlineLvl w:val="9"/>
              <w:rPr>
                <w:rFonts w:ascii="宋体"/>
                <w:color w:val="auto"/>
                <w:szCs w:val="21"/>
                <w:highlight w:val="none"/>
              </w:rPr>
            </w:pPr>
          </w:p>
        </w:tc>
        <w:tc>
          <w:tcPr>
            <w:tcW w:w="720" w:type="dxa"/>
            <w:vAlign w:val="center"/>
          </w:tcPr>
          <w:p w14:paraId="38BBBE22">
            <w:pPr>
              <w:jc w:val="center"/>
              <w:outlineLvl w:val="9"/>
              <w:rPr>
                <w:rFonts w:ascii="宋体"/>
                <w:color w:val="auto"/>
                <w:szCs w:val="21"/>
                <w:highlight w:val="none"/>
              </w:rPr>
            </w:pPr>
            <w:r>
              <w:rPr>
                <w:rFonts w:hint="eastAsia" w:ascii="宋体"/>
                <w:color w:val="auto"/>
                <w:szCs w:val="21"/>
                <w:highlight w:val="none"/>
              </w:rPr>
              <w:t>电话</w:t>
            </w:r>
          </w:p>
        </w:tc>
        <w:tc>
          <w:tcPr>
            <w:tcW w:w="1923" w:type="dxa"/>
            <w:vAlign w:val="center"/>
          </w:tcPr>
          <w:p w14:paraId="69EBE0E7">
            <w:pPr>
              <w:jc w:val="center"/>
              <w:outlineLvl w:val="9"/>
              <w:rPr>
                <w:rFonts w:ascii="宋体"/>
                <w:color w:val="auto"/>
                <w:szCs w:val="21"/>
                <w:highlight w:val="none"/>
              </w:rPr>
            </w:pPr>
          </w:p>
        </w:tc>
      </w:tr>
      <w:tr w14:paraId="2AA5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F06D840">
            <w:pPr>
              <w:jc w:val="center"/>
              <w:outlineLvl w:val="9"/>
              <w:rPr>
                <w:rFonts w:ascii="宋体"/>
                <w:color w:val="auto"/>
                <w:szCs w:val="21"/>
                <w:highlight w:val="none"/>
              </w:rPr>
            </w:pPr>
            <w:r>
              <w:rPr>
                <w:rFonts w:hint="eastAsia" w:ascii="宋体"/>
                <w:color w:val="auto"/>
                <w:szCs w:val="21"/>
                <w:highlight w:val="none"/>
              </w:rPr>
              <w:t>技术负责人</w:t>
            </w:r>
          </w:p>
        </w:tc>
        <w:tc>
          <w:tcPr>
            <w:tcW w:w="897" w:type="dxa"/>
            <w:vAlign w:val="center"/>
          </w:tcPr>
          <w:p w14:paraId="37D0F644">
            <w:pPr>
              <w:jc w:val="center"/>
              <w:outlineLvl w:val="9"/>
              <w:rPr>
                <w:rFonts w:ascii="宋体"/>
                <w:color w:val="auto"/>
                <w:szCs w:val="21"/>
                <w:highlight w:val="none"/>
              </w:rPr>
            </w:pPr>
            <w:r>
              <w:rPr>
                <w:rFonts w:hint="eastAsia" w:ascii="宋体"/>
                <w:color w:val="auto"/>
                <w:szCs w:val="21"/>
                <w:highlight w:val="none"/>
              </w:rPr>
              <w:t>姓名</w:t>
            </w:r>
          </w:p>
        </w:tc>
        <w:tc>
          <w:tcPr>
            <w:tcW w:w="1021" w:type="dxa"/>
            <w:vAlign w:val="center"/>
          </w:tcPr>
          <w:p w14:paraId="42C07E16">
            <w:pPr>
              <w:jc w:val="center"/>
              <w:outlineLvl w:val="9"/>
              <w:rPr>
                <w:rFonts w:ascii="宋体"/>
                <w:color w:val="auto"/>
                <w:szCs w:val="21"/>
                <w:highlight w:val="none"/>
              </w:rPr>
            </w:pPr>
          </w:p>
        </w:tc>
        <w:tc>
          <w:tcPr>
            <w:tcW w:w="1160" w:type="dxa"/>
            <w:vAlign w:val="center"/>
          </w:tcPr>
          <w:p w14:paraId="2836E534">
            <w:pPr>
              <w:jc w:val="center"/>
              <w:outlineLvl w:val="9"/>
              <w:rPr>
                <w:rFonts w:ascii="宋体"/>
                <w:color w:val="auto"/>
                <w:szCs w:val="21"/>
                <w:highlight w:val="none"/>
              </w:rPr>
            </w:pPr>
            <w:r>
              <w:rPr>
                <w:rFonts w:hint="eastAsia" w:ascii="宋体"/>
                <w:color w:val="auto"/>
                <w:szCs w:val="21"/>
                <w:highlight w:val="none"/>
              </w:rPr>
              <w:t>技术职称</w:t>
            </w:r>
          </w:p>
        </w:tc>
        <w:tc>
          <w:tcPr>
            <w:tcW w:w="1620" w:type="dxa"/>
            <w:gridSpan w:val="3"/>
            <w:vAlign w:val="center"/>
          </w:tcPr>
          <w:p w14:paraId="6439326B">
            <w:pPr>
              <w:jc w:val="center"/>
              <w:outlineLvl w:val="9"/>
              <w:rPr>
                <w:rFonts w:ascii="宋体"/>
                <w:color w:val="auto"/>
                <w:szCs w:val="21"/>
                <w:highlight w:val="none"/>
              </w:rPr>
            </w:pPr>
          </w:p>
        </w:tc>
        <w:tc>
          <w:tcPr>
            <w:tcW w:w="720" w:type="dxa"/>
            <w:vAlign w:val="center"/>
          </w:tcPr>
          <w:p w14:paraId="287729F6">
            <w:pPr>
              <w:jc w:val="center"/>
              <w:outlineLvl w:val="9"/>
              <w:rPr>
                <w:rFonts w:ascii="宋体"/>
                <w:color w:val="auto"/>
                <w:szCs w:val="21"/>
                <w:highlight w:val="none"/>
              </w:rPr>
            </w:pPr>
            <w:r>
              <w:rPr>
                <w:rFonts w:hint="eastAsia" w:ascii="宋体"/>
                <w:color w:val="auto"/>
                <w:szCs w:val="21"/>
                <w:highlight w:val="none"/>
              </w:rPr>
              <w:t>电话</w:t>
            </w:r>
          </w:p>
        </w:tc>
        <w:tc>
          <w:tcPr>
            <w:tcW w:w="1923" w:type="dxa"/>
            <w:vAlign w:val="center"/>
          </w:tcPr>
          <w:p w14:paraId="05F90093">
            <w:pPr>
              <w:jc w:val="center"/>
              <w:outlineLvl w:val="9"/>
              <w:rPr>
                <w:rFonts w:ascii="宋体"/>
                <w:color w:val="auto"/>
                <w:szCs w:val="21"/>
                <w:highlight w:val="none"/>
              </w:rPr>
            </w:pPr>
          </w:p>
        </w:tc>
      </w:tr>
      <w:tr w14:paraId="7C1A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475469B">
            <w:pPr>
              <w:jc w:val="center"/>
              <w:outlineLvl w:val="9"/>
              <w:rPr>
                <w:rFonts w:ascii="宋体"/>
                <w:color w:val="auto"/>
                <w:szCs w:val="21"/>
                <w:highlight w:val="none"/>
              </w:rPr>
            </w:pPr>
            <w:r>
              <w:rPr>
                <w:rFonts w:hint="eastAsia" w:ascii="宋体"/>
                <w:color w:val="auto"/>
                <w:szCs w:val="21"/>
                <w:highlight w:val="none"/>
              </w:rPr>
              <w:t>成立时间</w:t>
            </w:r>
          </w:p>
        </w:tc>
        <w:tc>
          <w:tcPr>
            <w:tcW w:w="1918" w:type="dxa"/>
            <w:gridSpan w:val="2"/>
            <w:vAlign w:val="center"/>
          </w:tcPr>
          <w:p w14:paraId="0BD13E13">
            <w:pPr>
              <w:jc w:val="center"/>
              <w:outlineLvl w:val="9"/>
              <w:rPr>
                <w:rFonts w:ascii="宋体"/>
                <w:color w:val="auto"/>
                <w:szCs w:val="21"/>
                <w:highlight w:val="none"/>
              </w:rPr>
            </w:pPr>
          </w:p>
        </w:tc>
        <w:tc>
          <w:tcPr>
            <w:tcW w:w="5423" w:type="dxa"/>
            <w:gridSpan w:val="6"/>
            <w:vAlign w:val="center"/>
          </w:tcPr>
          <w:p w14:paraId="7D9586A9">
            <w:pPr>
              <w:jc w:val="center"/>
              <w:outlineLvl w:val="9"/>
              <w:rPr>
                <w:rFonts w:ascii="宋体"/>
                <w:color w:val="auto"/>
                <w:szCs w:val="21"/>
                <w:highlight w:val="none"/>
              </w:rPr>
            </w:pPr>
            <w:r>
              <w:rPr>
                <w:rFonts w:hint="eastAsia" w:ascii="宋体"/>
                <w:color w:val="auto"/>
                <w:szCs w:val="21"/>
                <w:highlight w:val="none"/>
              </w:rPr>
              <w:t>员工总人数：</w:t>
            </w:r>
          </w:p>
        </w:tc>
      </w:tr>
      <w:tr w14:paraId="07C0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6001A83">
            <w:pPr>
              <w:jc w:val="center"/>
              <w:outlineLvl w:val="9"/>
              <w:rPr>
                <w:rFonts w:ascii="宋体"/>
                <w:color w:val="auto"/>
                <w:szCs w:val="21"/>
                <w:highlight w:val="none"/>
              </w:rPr>
            </w:pPr>
            <w:r>
              <w:rPr>
                <w:rFonts w:hint="eastAsia" w:ascii="宋体"/>
                <w:color w:val="auto"/>
                <w:szCs w:val="21"/>
                <w:highlight w:val="none"/>
              </w:rPr>
              <w:t>企业资质等级</w:t>
            </w:r>
          </w:p>
        </w:tc>
        <w:tc>
          <w:tcPr>
            <w:tcW w:w="1918" w:type="dxa"/>
            <w:gridSpan w:val="2"/>
            <w:vAlign w:val="center"/>
          </w:tcPr>
          <w:p w14:paraId="2006B70F">
            <w:pPr>
              <w:jc w:val="center"/>
              <w:outlineLvl w:val="9"/>
              <w:rPr>
                <w:rFonts w:ascii="宋体"/>
                <w:color w:val="auto"/>
                <w:szCs w:val="21"/>
                <w:highlight w:val="none"/>
              </w:rPr>
            </w:pPr>
          </w:p>
        </w:tc>
        <w:tc>
          <w:tcPr>
            <w:tcW w:w="1160" w:type="dxa"/>
            <w:vMerge w:val="restart"/>
            <w:vAlign w:val="center"/>
          </w:tcPr>
          <w:p w14:paraId="04819DCF">
            <w:pPr>
              <w:jc w:val="center"/>
              <w:outlineLvl w:val="9"/>
              <w:rPr>
                <w:rFonts w:ascii="宋体"/>
                <w:color w:val="auto"/>
                <w:szCs w:val="21"/>
                <w:highlight w:val="none"/>
              </w:rPr>
            </w:pPr>
            <w:r>
              <w:rPr>
                <w:rFonts w:hint="eastAsia" w:ascii="宋体"/>
                <w:color w:val="auto"/>
                <w:szCs w:val="21"/>
                <w:highlight w:val="none"/>
              </w:rPr>
              <w:t>其中</w:t>
            </w:r>
          </w:p>
        </w:tc>
        <w:tc>
          <w:tcPr>
            <w:tcW w:w="1620" w:type="dxa"/>
            <w:gridSpan w:val="3"/>
            <w:vAlign w:val="center"/>
          </w:tcPr>
          <w:p w14:paraId="2848AFD5">
            <w:pPr>
              <w:jc w:val="center"/>
              <w:outlineLvl w:val="9"/>
              <w:rPr>
                <w:rFonts w:ascii="宋体"/>
                <w:color w:val="auto"/>
                <w:szCs w:val="21"/>
                <w:highlight w:val="none"/>
              </w:rPr>
            </w:pPr>
            <w:r>
              <w:rPr>
                <w:rFonts w:hint="eastAsia" w:ascii="宋体"/>
                <w:color w:val="auto"/>
                <w:szCs w:val="21"/>
                <w:highlight w:val="none"/>
              </w:rPr>
              <w:t>项目经理</w:t>
            </w:r>
          </w:p>
        </w:tc>
        <w:tc>
          <w:tcPr>
            <w:tcW w:w="2643" w:type="dxa"/>
            <w:gridSpan w:val="2"/>
            <w:vAlign w:val="center"/>
          </w:tcPr>
          <w:p w14:paraId="64B869E2">
            <w:pPr>
              <w:jc w:val="center"/>
              <w:outlineLvl w:val="9"/>
              <w:rPr>
                <w:rFonts w:ascii="宋体"/>
                <w:color w:val="auto"/>
                <w:szCs w:val="21"/>
                <w:highlight w:val="none"/>
              </w:rPr>
            </w:pPr>
          </w:p>
        </w:tc>
      </w:tr>
      <w:tr w14:paraId="4A53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769781D7">
            <w:pPr>
              <w:jc w:val="center"/>
              <w:outlineLvl w:val="9"/>
              <w:rPr>
                <w:rFonts w:ascii="宋体"/>
                <w:color w:val="auto"/>
                <w:szCs w:val="21"/>
                <w:highlight w:val="none"/>
              </w:rPr>
            </w:pPr>
            <w:r>
              <w:rPr>
                <w:rFonts w:hint="eastAsia" w:ascii="宋体"/>
                <w:color w:val="auto"/>
                <w:szCs w:val="21"/>
                <w:highlight w:val="none"/>
              </w:rPr>
              <w:t>安全生产许可证号（如有）</w:t>
            </w:r>
          </w:p>
        </w:tc>
        <w:tc>
          <w:tcPr>
            <w:tcW w:w="1918" w:type="dxa"/>
            <w:gridSpan w:val="2"/>
            <w:vAlign w:val="center"/>
          </w:tcPr>
          <w:p w14:paraId="7830153D">
            <w:pPr>
              <w:jc w:val="center"/>
              <w:outlineLvl w:val="9"/>
              <w:rPr>
                <w:rFonts w:ascii="宋体"/>
                <w:color w:val="auto"/>
                <w:szCs w:val="21"/>
                <w:highlight w:val="none"/>
              </w:rPr>
            </w:pPr>
          </w:p>
        </w:tc>
        <w:tc>
          <w:tcPr>
            <w:tcW w:w="1160" w:type="dxa"/>
            <w:vMerge w:val="continue"/>
            <w:vAlign w:val="center"/>
          </w:tcPr>
          <w:p w14:paraId="69EBAE7E">
            <w:pPr>
              <w:outlineLvl w:val="9"/>
              <w:rPr>
                <w:color w:val="auto"/>
                <w:highlight w:val="none"/>
              </w:rPr>
            </w:pPr>
          </w:p>
        </w:tc>
        <w:tc>
          <w:tcPr>
            <w:tcW w:w="1620" w:type="dxa"/>
            <w:gridSpan w:val="3"/>
            <w:vAlign w:val="center"/>
          </w:tcPr>
          <w:p w14:paraId="51331F79">
            <w:pPr>
              <w:jc w:val="center"/>
              <w:outlineLvl w:val="9"/>
              <w:rPr>
                <w:rFonts w:ascii="宋体"/>
                <w:color w:val="auto"/>
                <w:szCs w:val="21"/>
                <w:highlight w:val="none"/>
              </w:rPr>
            </w:pPr>
            <w:r>
              <w:rPr>
                <w:rFonts w:hint="eastAsia" w:ascii="宋体"/>
                <w:color w:val="auto"/>
                <w:szCs w:val="21"/>
                <w:highlight w:val="none"/>
              </w:rPr>
              <w:t>高级职称人员</w:t>
            </w:r>
          </w:p>
        </w:tc>
        <w:tc>
          <w:tcPr>
            <w:tcW w:w="2643" w:type="dxa"/>
            <w:gridSpan w:val="2"/>
            <w:vAlign w:val="center"/>
          </w:tcPr>
          <w:p w14:paraId="1C805FC3">
            <w:pPr>
              <w:jc w:val="center"/>
              <w:outlineLvl w:val="9"/>
              <w:rPr>
                <w:rFonts w:ascii="宋体"/>
                <w:color w:val="auto"/>
                <w:szCs w:val="21"/>
                <w:highlight w:val="none"/>
              </w:rPr>
            </w:pPr>
          </w:p>
        </w:tc>
      </w:tr>
      <w:tr w14:paraId="61FA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A857751">
            <w:pPr>
              <w:jc w:val="center"/>
              <w:outlineLvl w:val="9"/>
              <w:rPr>
                <w:rFonts w:ascii="宋体"/>
                <w:color w:val="auto"/>
                <w:szCs w:val="21"/>
                <w:highlight w:val="none"/>
              </w:rPr>
            </w:pPr>
            <w:r>
              <w:rPr>
                <w:rFonts w:hint="eastAsia" w:ascii="宋体"/>
                <w:color w:val="auto"/>
                <w:szCs w:val="21"/>
                <w:highlight w:val="none"/>
              </w:rPr>
              <w:t>注册资金</w:t>
            </w:r>
          </w:p>
        </w:tc>
        <w:tc>
          <w:tcPr>
            <w:tcW w:w="1918" w:type="dxa"/>
            <w:gridSpan w:val="2"/>
            <w:vAlign w:val="center"/>
          </w:tcPr>
          <w:p w14:paraId="5069DEB6">
            <w:pPr>
              <w:jc w:val="center"/>
              <w:outlineLvl w:val="9"/>
              <w:rPr>
                <w:rFonts w:ascii="宋体"/>
                <w:color w:val="auto"/>
                <w:szCs w:val="21"/>
                <w:highlight w:val="none"/>
              </w:rPr>
            </w:pPr>
          </w:p>
        </w:tc>
        <w:tc>
          <w:tcPr>
            <w:tcW w:w="1160" w:type="dxa"/>
            <w:vMerge w:val="continue"/>
            <w:vAlign w:val="center"/>
          </w:tcPr>
          <w:p w14:paraId="2C34D5CC">
            <w:pPr>
              <w:outlineLvl w:val="9"/>
              <w:rPr>
                <w:color w:val="auto"/>
                <w:highlight w:val="none"/>
              </w:rPr>
            </w:pPr>
          </w:p>
        </w:tc>
        <w:tc>
          <w:tcPr>
            <w:tcW w:w="1620" w:type="dxa"/>
            <w:gridSpan w:val="3"/>
            <w:vAlign w:val="center"/>
          </w:tcPr>
          <w:p w14:paraId="7B2116FF">
            <w:pPr>
              <w:jc w:val="center"/>
              <w:outlineLvl w:val="9"/>
              <w:rPr>
                <w:rFonts w:ascii="宋体"/>
                <w:color w:val="auto"/>
                <w:szCs w:val="21"/>
                <w:highlight w:val="none"/>
              </w:rPr>
            </w:pPr>
            <w:r>
              <w:rPr>
                <w:rFonts w:hint="eastAsia" w:ascii="宋体"/>
                <w:color w:val="auto"/>
                <w:szCs w:val="21"/>
                <w:highlight w:val="none"/>
              </w:rPr>
              <w:t>中级职称人员</w:t>
            </w:r>
          </w:p>
        </w:tc>
        <w:tc>
          <w:tcPr>
            <w:tcW w:w="2643" w:type="dxa"/>
            <w:gridSpan w:val="2"/>
            <w:vAlign w:val="center"/>
          </w:tcPr>
          <w:p w14:paraId="0CDEBD6A">
            <w:pPr>
              <w:jc w:val="center"/>
              <w:outlineLvl w:val="9"/>
              <w:rPr>
                <w:rFonts w:ascii="宋体"/>
                <w:color w:val="auto"/>
                <w:szCs w:val="21"/>
                <w:highlight w:val="none"/>
              </w:rPr>
            </w:pPr>
          </w:p>
        </w:tc>
      </w:tr>
      <w:tr w14:paraId="5B25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092703C">
            <w:pPr>
              <w:jc w:val="center"/>
              <w:outlineLvl w:val="9"/>
              <w:rPr>
                <w:rFonts w:ascii="宋体"/>
                <w:color w:val="auto"/>
                <w:szCs w:val="21"/>
                <w:highlight w:val="none"/>
              </w:rPr>
            </w:pPr>
            <w:r>
              <w:rPr>
                <w:rFonts w:hint="eastAsia" w:ascii="宋体"/>
                <w:color w:val="auto"/>
                <w:szCs w:val="21"/>
                <w:highlight w:val="none"/>
              </w:rPr>
              <w:t>开户银行</w:t>
            </w:r>
          </w:p>
        </w:tc>
        <w:tc>
          <w:tcPr>
            <w:tcW w:w="1918" w:type="dxa"/>
            <w:gridSpan w:val="2"/>
            <w:vAlign w:val="center"/>
          </w:tcPr>
          <w:p w14:paraId="2E636979">
            <w:pPr>
              <w:jc w:val="center"/>
              <w:outlineLvl w:val="9"/>
              <w:rPr>
                <w:rFonts w:ascii="宋体"/>
                <w:color w:val="auto"/>
                <w:szCs w:val="21"/>
                <w:highlight w:val="none"/>
              </w:rPr>
            </w:pPr>
          </w:p>
        </w:tc>
        <w:tc>
          <w:tcPr>
            <w:tcW w:w="1160" w:type="dxa"/>
            <w:vMerge w:val="continue"/>
            <w:vAlign w:val="center"/>
          </w:tcPr>
          <w:p w14:paraId="133E3B36">
            <w:pPr>
              <w:outlineLvl w:val="9"/>
              <w:rPr>
                <w:color w:val="auto"/>
                <w:highlight w:val="none"/>
              </w:rPr>
            </w:pPr>
          </w:p>
        </w:tc>
        <w:tc>
          <w:tcPr>
            <w:tcW w:w="1620" w:type="dxa"/>
            <w:gridSpan w:val="3"/>
            <w:vAlign w:val="center"/>
          </w:tcPr>
          <w:p w14:paraId="244080C3">
            <w:pPr>
              <w:jc w:val="center"/>
              <w:outlineLvl w:val="9"/>
              <w:rPr>
                <w:rFonts w:ascii="宋体"/>
                <w:color w:val="auto"/>
                <w:szCs w:val="21"/>
                <w:highlight w:val="none"/>
              </w:rPr>
            </w:pPr>
            <w:r>
              <w:rPr>
                <w:rFonts w:hint="eastAsia" w:ascii="宋体"/>
                <w:color w:val="auto"/>
                <w:szCs w:val="21"/>
                <w:highlight w:val="none"/>
              </w:rPr>
              <w:t>初级职称人员</w:t>
            </w:r>
          </w:p>
        </w:tc>
        <w:tc>
          <w:tcPr>
            <w:tcW w:w="2643" w:type="dxa"/>
            <w:gridSpan w:val="2"/>
            <w:vAlign w:val="center"/>
          </w:tcPr>
          <w:p w14:paraId="38CEDA9B">
            <w:pPr>
              <w:jc w:val="center"/>
              <w:outlineLvl w:val="9"/>
              <w:rPr>
                <w:rFonts w:ascii="宋体"/>
                <w:color w:val="auto"/>
                <w:szCs w:val="21"/>
                <w:highlight w:val="none"/>
              </w:rPr>
            </w:pPr>
          </w:p>
        </w:tc>
      </w:tr>
      <w:tr w14:paraId="5CC3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8270D70">
            <w:pPr>
              <w:jc w:val="center"/>
              <w:outlineLvl w:val="9"/>
              <w:rPr>
                <w:rFonts w:ascii="宋体"/>
                <w:color w:val="auto"/>
                <w:szCs w:val="21"/>
                <w:highlight w:val="none"/>
              </w:rPr>
            </w:pPr>
            <w:r>
              <w:rPr>
                <w:rFonts w:hint="eastAsia" w:ascii="宋体"/>
                <w:color w:val="auto"/>
                <w:szCs w:val="21"/>
                <w:highlight w:val="none"/>
              </w:rPr>
              <w:t>账号</w:t>
            </w:r>
          </w:p>
        </w:tc>
        <w:tc>
          <w:tcPr>
            <w:tcW w:w="1918" w:type="dxa"/>
            <w:gridSpan w:val="2"/>
            <w:vAlign w:val="center"/>
          </w:tcPr>
          <w:p w14:paraId="0ECFCA70">
            <w:pPr>
              <w:jc w:val="center"/>
              <w:outlineLvl w:val="9"/>
              <w:rPr>
                <w:rFonts w:ascii="宋体"/>
                <w:color w:val="auto"/>
                <w:szCs w:val="21"/>
                <w:highlight w:val="none"/>
              </w:rPr>
            </w:pPr>
          </w:p>
        </w:tc>
        <w:tc>
          <w:tcPr>
            <w:tcW w:w="1160" w:type="dxa"/>
            <w:vMerge w:val="continue"/>
            <w:vAlign w:val="center"/>
          </w:tcPr>
          <w:p w14:paraId="673FE931">
            <w:pPr>
              <w:outlineLvl w:val="9"/>
              <w:rPr>
                <w:color w:val="auto"/>
                <w:highlight w:val="none"/>
              </w:rPr>
            </w:pPr>
          </w:p>
        </w:tc>
        <w:tc>
          <w:tcPr>
            <w:tcW w:w="1620" w:type="dxa"/>
            <w:gridSpan w:val="3"/>
            <w:vAlign w:val="center"/>
          </w:tcPr>
          <w:p w14:paraId="78962929">
            <w:pPr>
              <w:jc w:val="center"/>
              <w:outlineLvl w:val="9"/>
              <w:rPr>
                <w:rFonts w:ascii="宋体"/>
                <w:color w:val="auto"/>
                <w:szCs w:val="21"/>
                <w:highlight w:val="none"/>
              </w:rPr>
            </w:pPr>
            <w:r>
              <w:rPr>
                <w:rFonts w:hint="eastAsia" w:ascii="宋体"/>
                <w:color w:val="auto"/>
                <w:szCs w:val="21"/>
                <w:highlight w:val="none"/>
              </w:rPr>
              <w:t>技  工</w:t>
            </w:r>
          </w:p>
        </w:tc>
        <w:tc>
          <w:tcPr>
            <w:tcW w:w="2643" w:type="dxa"/>
            <w:gridSpan w:val="2"/>
            <w:vAlign w:val="center"/>
          </w:tcPr>
          <w:p w14:paraId="567E19B8">
            <w:pPr>
              <w:jc w:val="center"/>
              <w:outlineLvl w:val="9"/>
              <w:rPr>
                <w:rFonts w:ascii="宋体"/>
                <w:color w:val="auto"/>
                <w:szCs w:val="21"/>
                <w:highlight w:val="none"/>
              </w:rPr>
            </w:pPr>
          </w:p>
        </w:tc>
      </w:tr>
      <w:tr w14:paraId="4907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vAlign w:val="center"/>
          </w:tcPr>
          <w:p w14:paraId="49D62A73">
            <w:pPr>
              <w:jc w:val="center"/>
              <w:outlineLvl w:val="9"/>
              <w:rPr>
                <w:rFonts w:ascii="宋体"/>
                <w:color w:val="auto"/>
                <w:szCs w:val="21"/>
                <w:highlight w:val="none"/>
              </w:rPr>
            </w:pPr>
            <w:r>
              <w:rPr>
                <w:rFonts w:hint="eastAsia" w:ascii="宋体"/>
                <w:color w:val="auto"/>
                <w:szCs w:val="21"/>
                <w:highlight w:val="none"/>
              </w:rPr>
              <w:t>经营范围</w:t>
            </w:r>
          </w:p>
        </w:tc>
        <w:tc>
          <w:tcPr>
            <w:tcW w:w="7341" w:type="dxa"/>
            <w:gridSpan w:val="8"/>
            <w:vAlign w:val="center"/>
          </w:tcPr>
          <w:p w14:paraId="7A799699">
            <w:pPr>
              <w:jc w:val="center"/>
              <w:outlineLvl w:val="9"/>
              <w:rPr>
                <w:rFonts w:ascii="宋体"/>
                <w:color w:val="auto"/>
                <w:szCs w:val="21"/>
                <w:highlight w:val="none"/>
              </w:rPr>
            </w:pPr>
          </w:p>
        </w:tc>
      </w:tr>
      <w:tr w14:paraId="14C7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E140227">
            <w:pPr>
              <w:jc w:val="center"/>
              <w:outlineLvl w:val="9"/>
              <w:rPr>
                <w:rFonts w:ascii="宋体"/>
                <w:color w:val="auto"/>
                <w:szCs w:val="21"/>
                <w:highlight w:val="none"/>
              </w:rPr>
            </w:pPr>
            <w:r>
              <w:rPr>
                <w:rFonts w:hint="eastAsia" w:ascii="宋体"/>
                <w:color w:val="auto"/>
                <w:szCs w:val="21"/>
                <w:highlight w:val="none"/>
              </w:rPr>
              <w:t>备注</w:t>
            </w:r>
          </w:p>
        </w:tc>
        <w:tc>
          <w:tcPr>
            <w:tcW w:w="7341" w:type="dxa"/>
            <w:gridSpan w:val="8"/>
            <w:vAlign w:val="center"/>
          </w:tcPr>
          <w:p w14:paraId="76CE74E1">
            <w:pPr>
              <w:jc w:val="center"/>
              <w:outlineLvl w:val="9"/>
              <w:rPr>
                <w:rFonts w:ascii="宋体"/>
                <w:color w:val="auto"/>
                <w:szCs w:val="21"/>
                <w:highlight w:val="none"/>
              </w:rPr>
            </w:pPr>
          </w:p>
        </w:tc>
      </w:tr>
    </w:tbl>
    <w:p w14:paraId="67000D29">
      <w:pPr>
        <w:spacing w:line="440" w:lineRule="exact"/>
        <w:outlineLvl w:val="9"/>
        <w:rPr>
          <w:rFonts w:ascii="宋体"/>
          <w:color w:val="auto"/>
          <w:szCs w:val="21"/>
          <w:highlight w:val="none"/>
        </w:rPr>
      </w:pPr>
    </w:p>
    <w:p w14:paraId="1079BFB9">
      <w:pPr>
        <w:spacing w:line="480" w:lineRule="auto"/>
        <w:outlineLvl w:val="9"/>
        <w:rPr>
          <w:rFonts w:ascii="宋体"/>
          <w:color w:val="auto"/>
          <w:szCs w:val="21"/>
          <w:highlight w:val="none"/>
        </w:rPr>
      </w:pPr>
      <w:r>
        <w:rPr>
          <w:rFonts w:hint="eastAsia" w:ascii="宋体"/>
          <w:color w:val="auto"/>
          <w:szCs w:val="21"/>
          <w:highlight w:val="none"/>
        </w:rPr>
        <w:t>备注：附企业法人营业执照副本、企业资质证书副本、安全生产许可证副本等材料的复印件。</w:t>
      </w:r>
    </w:p>
    <w:p w14:paraId="43C8CA60">
      <w:pPr>
        <w:spacing w:line="480" w:lineRule="auto"/>
        <w:jc w:val="center"/>
        <w:outlineLvl w:val="9"/>
        <w:rPr>
          <w:b/>
          <w:color w:val="auto"/>
          <w:sz w:val="28"/>
          <w:szCs w:val="28"/>
          <w:highlight w:val="none"/>
        </w:rPr>
      </w:pPr>
      <w:r>
        <w:rPr>
          <w:rFonts w:hint="eastAsia" w:ascii="宋体"/>
          <w:color w:val="auto"/>
          <w:highlight w:val="none"/>
        </w:rPr>
        <w:br w:type="page"/>
      </w:r>
    </w:p>
    <w:p w14:paraId="0EB3AA00">
      <w:pPr>
        <w:pageBreakBefore/>
        <w:spacing w:line="480" w:lineRule="auto"/>
        <w:ind w:firstLine="2811" w:firstLineChars="1000"/>
        <w:jc w:val="left"/>
        <w:outlineLvl w:val="9"/>
        <w:rPr>
          <w:rFonts w:ascii="宋体"/>
          <w:b/>
          <w:color w:val="auto"/>
          <w:sz w:val="28"/>
          <w:szCs w:val="28"/>
          <w:highlight w:val="none"/>
        </w:rPr>
      </w:pPr>
      <w:r>
        <w:rPr>
          <w:rFonts w:hint="eastAsia" w:ascii="宋体"/>
          <w:b/>
          <w:color w:val="auto"/>
          <w:sz w:val="28"/>
          <w:szCs w:val="28"/>
          <w:highlight w:val="none"/>
        </w:rPr>
        <w:t>建设工程项目管理承诺书</w:t>
      </w:r>
    </w:p>
    <w:p w14:paraId="440E1963">
      <w:pPr>
        <w:spacing w:line="480" w:lineRule="auto"/>
        <w:jc w:val="left"/>
        <w:outlineLvl w:val="9"/>
        <w:rPr>
          <w:rFonts w:ascii="宋体"/>
          <w:color w:val="auto"/>
          <w:highlight w:val="none"/>
        </w:rPr>
      </w:pPr>
    </w:p>
    <w:p w14:paraId="1E91D493">
      <w:pPr>
        <w:spacing w:line="480" w:lineRule="auto"/>
        <w:jc w:val="left"/>
        <w:outlineLvl w:val="9"/>
        <w:rPr>
          <w:rFonts w:ascii="宋体"/>
          <w:color w:val="auto"/>
          <w:highlight w:val="none"/>
        </w:rPr>
      </w:pPr>
      <w:r>
        <w:rPr>
          <w:rFonts w:hint="eastAsia" w:ascii="宋体"/>
          <w:color w:val="auto"/>
          <w:highlight w:val="none"/>
        </w:rPr>
        <w:t>致</w:t>
      </w:r>
      <w:r>
        <w:rPr>
          <w:rFonts w:hint="eastAsia" w:ascii="宋体"/>
          <w:color w:val="auto"/>
          <w:highlight w:val="none"/>
          <w:u w:val="single"/>
        </w:rPr>
        <w:t xml:space="preserve">                        </w:t>
      </w:r>
      <w:r>
        <w:rPr>
          <w:rFonts w:hint="eastAsia" w:ascii="宋体"/>
          <w:color w:val="auto"/>
          <w:highlight w:val="none"/>
        </w:rPr>
        <w:t>（采购人名称）：</w:t>
      </w:r>
    </w:p>
    <w:p w14:paraId="2A70EC7B">
      <w:pPr>
        <w:spacing w:line="520" w:lineRule="exact"/>
        <w:ind w:left="-10" w:firstLine="455" w:firstLineChars="217"/>
        <w:jc w:val="left"/>
        <w:outlineLvl w:val="9"/>
        <w:rPr>
          <w:rFonts w:ascii="宋体"/>
          <w:color w:val="auto"/>
          <w:highlight w:val="none"/>
        </w:rPr>
      </w:pPr>
      <w:r>
        <w:rPr>
          <w:rFonts w:hint="eastAsia" w:ascii="宋体"/>
          <w:color w:val="auto"/>
          <w:highlight w:val="none"/>
        </w:rPr>
        <w:t>作为参与</w:t>
      </w:r>
      <w:r>
        <w:rPr>
          <w:rFonts w:hint="eastAsia" w:ascii="宋体"/>
          <w:color w:val="auto"/>
          <w:szCs w:val="21"/>
          <w:highlight w:val="none"/>
          <w:u w:val="single"/>
        </w:rPr>
        <w:t>                  </w:t>
      </w:r>
      <w:r>
        <w:rPr>
          <w:rFonts w:hint="eastAsia" w:ascii="宋体"/>
          <w:color w:val="auto"/>
          <w:highlight w:val="none"/>
        </w:rPr>
        <w:t>（工程名称）项目的投标方，根据国家、自治区相关文件规定，我方在此向采购人承诺：</w:t>
      </w:r>
    </w:p>
    <w:p w14:paraId="121041D1">
      <w:pPr>
        <w:spacing w:line="520" w:lineRule="exact"/>
        <w:ind w:left="-10" w:firstLine="455" w:firstLineChars="217"/>
        <w:jc w:val="left"/>
        <w:outlineLvl w:val="9"/>
        <w:rPr>
          <w:rFonts w:ascii="宋体"/>
          <w:color w:val="auto"/>
          <w:highlight w:val="none"/>
        </w:rPr>
      </w:pPr>
      <w:r>
        <w:rPr>
          <w:rFonts w:hint="eastAsia" w:ascii="宋体"/>
          <w:color w:val="auto"/>
          <w:highlight w:val="none"/>
        </w:rPr>
        <w:t>1、一旦中标，我方保证按照政府相关部门的规定，在发出中标通知书之日起7个工作日内足额将农民工工资保证金转入农民工工资保证金专用账户。一旦我方所承包的该项目中出现拖欠农民工工资情况，由劳动保障、住房城乡建设行政主管部门按照《关于进一步完善建筑行业农民工工资保证金制度的通知》（桂劳社发〔2009〕50号）从我方农民工工资保证金中先予划支。</w:t>
      </w:r>
    </w:p>
    <w:p w14:paraId="5D818138">
      <w:pPr>
        <w:spacing w:line="520" w:lineRule="exact"/>
        <w:ind w:left="-10" w:firstLine="455" w:firstLineChars="217"/>
        <w:jc w:val="left"/>
        <w:outlineLvl w:val="9"/>
        <w:rPr>
          <w:rFonts w:ascii="宋体"/>
          <w:color w:val="auto"/>
          <w:highlight w:val="none"/>
        </w:rPr>
      </w:pPr>
      <w:r>
        <w:rPr>
          <w:rFonts w:hint="eastAsia" w:ascii="宋体"/>
          <w:color w:val="auto"/>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053B7B8">
      <w:pPr>
        <w:spacing w:line="520" w:lineRule="exact"/>
        <w:ind w:left="-2" w:leftChars="-1" w:firstLine="449" w:firstLineChars="214"/>
        <w:jc w:val="left"/>
        <w:outlineLvl w:val="9"/>
        <w:rPr>
          <w:rFonts w:ascii="宋体"/>
          <w:color w:val="auto"/>
          <w:highlight w:val="none"/>
        </w:rPr>
      </w:pPr>
      <w:r>
        <w:rPr>
          <w:rFonts w:hint="eastAsia" w:ascii="宋体"/>
          <w:color w:val="auto"/>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C914553">
      <w:pPr>
        <w:spacing w:line="520" w:lineRule="exact"/>
        <w:ind w:left="-10" w:firstLine="455" w:firstLineChars="217"/>
        <w:jc w:val="left"/>
        <w:outlineLvl w:val="9"/>
        <w:rPr>
          <w:rFonts w:ascii="宋体"/>
          <w:color w:val="auto"/>
          <w:highlight w:val="none"/>
        </w:rPr>
      </w:pPr>
      <w:r>
        <w:rPr>
          <w:rFonts w:hint="eastAsia" w:ascii="宋体"/>
          <w:color w:val="auto"/>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7F4D5654">
      <w:pPr>
        <w:spacing w:line="360" w:lineRule="auto"/>
        <w:jc w:val="left"/>
        <w:outlineLvl w:val="9"/>
        <w:rPr>
          <w:rFonts w:ascii="宋体"/>
          <w:color w:val="auto"/>
          <w:highlight w:val="none"/>
        </w:rPr>
      </w:pPr>
    </w:p>
    <w:p w14:paraId="1592B3F2">
      <w:pPr>
        <w:spacing w:line="360" w:lineRule="auto"/>
        <w:ind w:firstLine="2940" w:firstLineChars="1400"/>
        <w:jc w:val="left"/>
        <w:outlineLvl w:val="9"/>
        <w:rPr>
          <w:rFonts w:ascii="宋体"/>
          <w:color w:val="auto"/>
          <w:highlight w:val="none"/>
          <w:u w:val="single"/>
        </w:rPr>
      </w:pPr>
      <w:r>
        <w:rPr>
          <w:rFonts w:hint="eastAsia" w:ascii="宋体"/>
          <w:color w:val="auto"/>
          <w:highlight w:val="none"/>
        </w:rPr>
        <w:t>供应商：</w:t>
      </w:r>
      <w:r>
        <w:rPr>
          <w:rFonts w:hint="eastAsia" w:ascii="宋体"/>
          <w:color w:val="auto"/>
          <w:highlight w:val="none"/>
          <w:u w:val="single"/>
        </w:rPr>
        <w:t xml:space="preserve">                     （盖单位章）</w:t>
      </w:r>
    </w:p>
    <w:p w14:paraId="092993CC">
      <w:pPr>
        <w:spacing w:line="360" w:lineRule="auto"/>
        <w:ind w:firstLine="2940" w:firstLineChars="1400"/>
        <w:jc w:val="left"/>
        <w:outlineLvl w:val="9"/>
        <w:rPr>
          <w:rFonts w:ascii="宋体"/>
          <w:color w:val="auto"/>
          <w:highlight w:val="none"/>
        </w:rPr>
      </w:pPr>
    </w:p>
    <w:p w14:paraId="786CEF7D">
      <w:pPr>
        <w:spacing w:line="360" w:lineRule="auto"/>
        <w:ind w:firstLine="2940" w:firstLineChars="1400"/>
        <w:jc w:val="left"/>
        <w:outlineLvl w:val="9"/>
        <w:rPr>
          <w:rFonts w:ascii="宋体"/>
          <w:color w:val="auto"/>
          <w:highlight w:val="none"/>
          <w:u w:val="single"/>
        </w:rPr>
      </w:pPr>
      <w:r>
        <w:rPr>
          <w:rFonts w:hint="eastAsia" w:ascii="宋体"/>
          <w:color w:val="auto"/>
          <w:highlight w:val="none"/>
        </w:rPr>
        <w:t>法定代表人或授权代理人：</w:t>
      </w:r>
      <w:r>
        <w:rPr>
          <w:rFonts w:hint="eastAsia" w:ascii="宋体"/>
          <w:color w:val="auto"/>
          <w:highlight w:val="none"/>
          <w:u w:val="single"/>
        </w:rPr>
        <w:t xml:space="preserve">              （签字或盖章）</w:t>
      </w:r>
    </w:p>
    <w:p w14:paraId="05D1098F">
      <w:pPr>
        <w:spacing w:line="360" w:lineRule="auto"/>
        <w:ind w:firstLine="2940" w:firstLineChars="1400"/>
        <w:jc w:val="left"/>
        <w:outlineLvl w:val="9"/>
        <w:rPr>
          <w:rFonts w:ascii="宋体"/>
          <w:color w:val="auto"/>
          <w:highlight w:val="none"/>
        </w:rPr>
      </w:pPr>
    </w:p>
    <w:p w14:paraId="6101121A">
      <w:pPr>
        <w:spacing w:line="360" w:lineRule="auto"/>
        <w:ind w:firstLine="2940" w:firstLineChars="1400"/>
        <w:jc w:val="left"/>
        <w:outlineLvl w:val="9"/>
        <w:rPr>
          <w:rFonts w:ascii="宋体"/>
          <w:color w:val="auto"/>
          <w:highlight w:val="none"/>
        </w:rPr>
      </w:pPr>
      <w:r>
        <w:rPr>
          <w:rFonts w:hint="eastAsia" w:ascii="宋体"/>
          <w:color w:val="auto"/>
          <w:highlight w:val="none"/>
        </w:rPr>
        <w:t>日期：</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w:t>
      </w:r>
    </w:p>
    <w:p w14:paraId="1A1AC11D">
      <w:pPr>
        <w:spacing w:line="360" w:lineRule="auto"/>
        <w:jc w:val="center"/>
        <w:outlineLvl w:val="9"/>
        <w:rPr>
          <w:rFonts w:ascii="宋体"/>
          <w:b/>
          <w:color w:val="auto"/>
          <w:sz w:val="28"/>
          <w:szCs w:val="28"/>
          <w:highlight w:val="none"/>
        </w:rPr>
      </w:pPr>
      <w:r>
        <w:rPr>
          <w:rFonts w:hint="eastAsia" w:ascii="宋体"/>
          <w:color w:val="auto"/>
          <w:szCs w:val="21"/>
          <w:highlight w:val="none"/>
        </w:rPr>
        <w:br w:type="page"/>
      </w:r>
      <w:r>
        <w:rPr>
          <w:rFonts w:hint="eastAsia" w:ascii="宋体"/>
          <w:b/>
          <w:color w:val="auto"/>
          <w:sz w:val="28"/>
          <w:szCs w:val="28"/>
          <w:highlight w:val="none"/>
        </w:rPr>
        <w:t>广西壮族自治区建筑工程安全文明施工措施项目清单内容</w:t>
      </w:r>
    </w:p>
    <w:p w14:paraId="69091DE8">
      <w:pPr>
        <w:ind w:firstLine="3045" w:firstLineChars="1450"/>
        <w:outlineLvl w:val="9"/>
        <w:rPr>
          <w:rFonts w:ascii="宋体"/>
          <w:color w:val="auto"/>
          <w:highlight w:val="none"/>
        </w:rPr>
      </w:pPr>
      <w:r>
        <w:rPr>
          <w:rFonts w:hint="eastAsia" w:ascii="宋体"/>
          <w:color w:val="auto"/>
          <w:highlight w:val="none"/>
        </w:rPr>
        <w:t>（桂建质〔2015〕16号文附件一）</w:t>
      </w:r>
    </w:p>
    <w:p w14:paraId="1EDA946C">
      <w:pPr>
        <w:pStyle w:val="447"/>
        <w:spacing w:line="0" w:lineRule="atLeast"/>
        <w:jc w:val="center"/>
        <w:outlineLvl w:val="9"/>
        <w:rPr>
          <w:rFonts w:ascii="宋体"/>
          <w:b/>
          <w:bCs/>
          <w:color w:val="auto"/>
          <w:sz w:val="24"/>
          <w:highlight w:val="none"/>
        </w:rPr>
      </w:pPr>
      <w:r>
        <w:rPr>
          <w:rFonts w:hint="eastAsia" w:ascii="宋体"/>
          <w:b/>
          <w:bCs/>
          <w:color w:val="auto"/>
          <w:sz w:val="24"/>
          <w:highlight w:val="none"/>
        </w:rPr>
        <w:t>广西壮族自治区</w:t>
      </w:r>
    </w:p>
    <w:p w14:paraId="0712139E">
      <w:pPr>
        <w:pStyle w:val="447"/>
        <w:spacing w:line="0" w:lineRule="atLeast"/>
        <w:jc w:val="center"/>
        <w:outlineLvl w:val="9"/>
        <w:rPr>
          <w:rFonts w:ascii="宋体"/>
          <w:b/>
          <w:bCs/>
          <w:color w:val="auto"/>
          <w:w w:val="90"/>
          <w:sz w:val="24"/>
          <w:highlight w:val="none"/>
        </w:rPr>
      </w:pPr>
      <w:r>
        <w:rPr>
          <w:rFonts w:hint="eastAsia" w:ascii="宋体"/>
          <w:b/>
          <w:bCs/>
          <w:color w:val="auto"/>
          <w:w w:val="90"/>
          <w:sz w:val="24"/>
          <w:highlight w:val="none"/>
        </w:rPr>
        <w:t>建设工程安全文明施工措施项目清单内容</w:t>
      </w:r>
    </w:p>
    <w:tbl>
      <w:tblPr>
        <w:tblStyle w:val="84"/>
        <w:tblW w:w="98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999"/>
      </w:tblGrid>
      <w:tr w14:paraId="3244C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blHeader/>
          <w:jc w:val="center"/>
        </w:trPr>
        <w:tc>
          <w:tcPr>
            <w:tcW w:w="738" w:type="dxa"/>
            <w:shd w:val="clear" w:color="auto" w:fill="EAEAEA"/>
            <w:vAlign w:val="center"/>
          </w:tcPr>
          <w:p w14:paraId="68339AB0">
            <w:pPr>
              <w:pStyle w:val="447"/>
              <w:spacing w:line="300" w:lineRule="exact"/>
              <w:jc w:val="center"/>
              <w:outlineLvl w:val="9"/>
              <w:rPr>
                <w:rFonts w:ascii="宋体"/>
                <w:b/>
                <w:bCs/>
                <w:color w:val="auto"/>
                <w:szCs w:val="21"/>
                <w:highlight w:val="none"/>
              </w:rPr>
            </w:pPr>
            <w:r>
              <w:rPr>
                <w:rFonts w:hint="eastAsia" w:ascii="宋体"/>
                <w:b/>
                <w:bCs/>
                <w:color w:val="auto"/>
                <w:szCs w:val="21"/>
                <w:highlight w:val="none"/>
              </w:rPr>
              <w:t>类别</w:t>
            </w:r>
          </w:p>
        </w:tc>
        <w:tc>
          <w:tcPr>
            <w:tcW w:w="2070" w:type="dxa"/>
            <w:gridSpan w:val="2"/>
            <w:shd w:val="clear" w:color="auto" w:fill="EAEAEA"/>
            <w:vAlign w:val="center"/>
          </w:tcPr>
          <w:p w14:paraId="37B3FBEA">
            <w:pPr>
              <w:pStyle w:val="447"/>
              <w:spacing w:line="300" w:lineRule="exact"/>
              <w:jc w:val="center"/>
              <w:outlineLvl w:val="9"/>
              <w:rPr>
                <w:rFonts w:ascii="宋体"/>
                <w:b/>
                <w:bCs/>
                <w:color w:val="auto"/>
                <w:szCs w:val="21"/>
                <w:highlight w:val="none"/>
              </w:rPr>
            </w:pPr>
            <w:r>
              <w:rPr>
                <w:rFonts w:hint="eastAsia" w:ascii="宋体"/>
                <w:b/>
                <w:bCs/>
                <w:color w:val="auto"/>
                <w:szCs w:val="21"/>
                <w:highlight w:val="none"/>
              </w:rPr>
              <w:t>项目名称</w:t>
            </w:r>
          </w:p>
        </w:tc>
        <w:tc>
          <w:tcPr>
            <w:tcW w:w="6999" w:type="dxa"/>
            <w:shd w:val="clear" w:color="auto" w:fill="EAEAEA"/>
            <w:vAlign w:val="center"/>
          </w:tcPr>
          <w:p w14:paraId="09925AB0">
            <w:pPr>
              <w:pStyle w:val="447"/>
              <w:spacing w:line="300" w:lineRule="exact"/>
              <w:jc w:val="center"/>
              <w:outlineLvl w:val="9"/>
              <w:rPr>
                <w:rFonts w:ascii="宋体"/>
                <w:b/>
                <w:bCs/>
                <w:color w:val="auto"/>
                <w:szCs w:val="21"/>
                <w:highlight w:val="none"/>
              </w:rPr>
            </w:pPr>
            <w:r>
              <w:rPr>
                <w:rFonts w:hint="eastAsia" w:ascii="宋体"/>
                <w:b/>
                <w:bCs/>
                <w:color w:val="auto"/>
                <w:szCs w:val="21"/>
                <w:highlight w:val="none"/>
              </w:rPr>
              <w:t>主要内容和要求</w:t>
            </w:r>
          </w:p>
        </w:tc>
      </w:tr>
      <w:tr w14:paraId="14B47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7C277679">
            <w:pPr>
              <w:pStyle w:val="447"/>
              <w:spacing w:line="300" w:lineRule="exact"/>
              <w:jc w:val="center"/>
              <w:outlineLvl w:val="9"/>
              <w:rPr>
                <w:rFonts w:ascii="宋体"/>
                <w:color w:val="auto"/>
                <w:szCs w:val="21"/>
                <w:highlight w:val="none"/>
              </w:rPr>
            </w:pPr>
            <w:r>
              <w:rPr>
                <w:rFonts w:hint="eastAsia" w:ascii="宋体"/>
                <w:color w:val="auto"/>
                <w:szCs w:val="21"/>
                <w:highlight w:val="none"/>
              </w:rPr>
              <w:t>文明</w:t>
            </w:r>
          </w:p>
          <w:p w14:paraId="2066C947">
            <w:pPr>
              <w:pStyle w:val="447"/>
              <w:spacing w:line="300" w:lineRule="exact"/>
              <w:jc w:val="center"/>
              <w:outlineLvl w:val="9"/>
              <w:rPr>
                <w:rFonts w:ascii="宋体"/>
                <w:color w:val="auto"/>
                <w:szCs w:val="21"/>
                <w:highlight w:val="none"/>
              </w:rPr>
            </w:pPr>
            <w:r>
              <w:rPr>
                <w:rFonts w:hint="eastAsia" w:ascii="宋体"/>
                <w:color w:val="auto"/>
                <w:szCs w:val="21"/>
                <w:highlight w:val="none"/>
              </w:rPr>
              <w:t>施工</w:t>
            </w:r>
          </w:p>
          <w:p w14:paraId="23C25A26">
            <w:pPr>
              <w:pStyle w:val="447"/>
              <w:spacing w:line="300" w:lineRule="exact"/>
              <w:jc w:val="center"/>
              <w:outlineLvl w:val="9"/>
              <w:rPr>
                <w:rFonts w:ascii="宋体"/>
                <w:color w:val="auto"/>
                <w:szCs w:val="21"/>
                <w:highlight w:val="none"/>
              </w:rPr>
            </w:pPr>
            <w:r>
              <w:rPr>
                <w:rFonts w:hint="eastAsia" w:ascii="宋体"/>
                <w:color w:val="auto"/>
                <w:szCs w:val="21"/>
                <w:highlight w:val="none"/>
              </w:rPr>
              <w:t>与</w:t>
            </w:r>
          </w:p>
          <w:p w14:paraId="65246728">
            <w:pPr>
              <w:pStyle w:val="447"/>
              <w:spacing w:line="300" w:lineRule="exact"/>
              <w:jc w:val="center"/>
              <w:outlineLvl w:val="9"/>
              <w:rPr>
                <w:rFonts w:ascii="宋体"/>
                <w:color w:val="auto"/>
                <w:szCs w:val="21"/>
                <w:highlight w:val="none"/>
              </w:rPr>
            </w:pPr>
            <w:r>
              <w:rPr>
                <w:rFonts w:hint="eastAsia" w:ascii="宋体"/>
                <w:color w:val="auto"/>
                <w:szCs w:val="21"/>
                <w:highlight w:val="none"/>
              </w:rPr>
              <w:t>环境</w:t>
            </w:r>
          </w:p>
          <w:p w14:paraId="172D80B3">
            <w:pPr>
              <w:pStyle w:val="447"/>
              <w:spacing w:line="300" w:lineRule="exact"/>
              <w:jc w:val="center"/>
              <w:outlineLvl w:val="9"/>
              <w:rPr>
                <w:rFonts w:ascii="宋体"/>
                <w:color w:val="auto"/>
                <w:szCs w:val="21"/>
                <w:highlight w:val="none"/>
              </w:rPr>
            </w:pPr>
            <w:r>
              <w:rPr>
                <w:rFonts w:hint="eastAsia" w:ascii="宋体"/>
                <w:color w:val="auto"/>
                <w:szCs w:val="21"/>
                <w:highlight w:val="none"/>
              </w:rPr>
              <w:t>保护</w:t>
            </w:r>
          </w:p>
        </w:tc>
        <w:tc>
          <w:tcPr>
            <w:tcW w:w="2070" w:type="dxa"/>
            <w:gridSpan w:val="2"/>
            <w:vAlign w:val="center"/>
          </w:tcPr>
          <w:p w14:paraId="5E11EEAC">
            <w:pPr>
              <w:pStyle w:val="447"/>
              <w:spacing w:line="300" w:lineRule="exact"/>
              <w:jc w:val="center"/>
              <w:outlineLvl w:val="9"/>
              <w:rPr>
                <w:rFonts w:ascii="宋体"/>
                <w:color w:val="auto"/>
                <w:szCs w:val="21"/>
                <w:highlight w:val="none"/>
              </w:rPr>
            </w:pPr>
            <w:r>
              <w:rPr>
                <w:rFonts w:hint="eastAsia" w:ascii="宋体"/>
                <w:color w:val="auto"/>
                <w:szCs w:val="21"/>
                <w:highlight w:val="none"/>
              </w:rPr>
              <w:t>安全警示</w:t>
            </w:r>
          </w:p>
          <w:p w14:paraId="459E30ED">
            <w:pPr>
              <w:pStyle w:val="447"/>
              <w:spacing w:line="300" w:lineRule="exact"/>
              <w:jc w:val="center"/>
              <w:outlineLvl w:val="9"/>
              <w:rPr>
                <w:rFonts w:ascii="宋体"/>
                <w:color w:val="auto"/>
                <w:szCs w:val="21"/>
                <w:highlight w:val="none"/>
              </w:rPr>
            </w:pPr>
            <w:r>
              <w:rPr>
                <w:rFonts w:hint="eastAsia" w:ascii="宋体"/>
                <w:color w:val="auto"/>
                <w:szCs w:val="21"/>
                <w:highlight w:val="none"/>
              </w:rPr>
              <w:t>标志牌</w:t>
            </w:r>
          </w:p>
        </w:tc>
        <w:tc>
          <w:tcPr>
            <w:tcW w:w="6999" w:type="dxa"/>
            <w:vAlign w:val="center"/>
          </w:tcPr>
          <w:p w14:paraId="3A076BAA">
            <w:pPr>
              <w:pStyle w:val="447"/>
              <w:spacing w:line="300" w:lineRule="exact"/>
              <w:outlineLvl w:val="9"/>
              <w:rPr>
                <w:rFonts w:ascii="宋体"/>
                <w:color w:val="auto"/>
                <w:szCs w:val="21"/>
                <w:highlight w:val="none"/>
              </w:rPr>
            </w:pPr>
            <w:r>
              <w:rPr>
                <w:rFonts w:hint="eastAsia" w:ascii="宋体"/>
                <w:color w:val="auto"/>
                <w:szCs w:val="21"/>
                <w:highlight w:val="none"/>
              </w:rPr>
              <w:t>在易发伤亡事故（或危险）处设置明显的、符合国家标准要求的安全警示标志牌。</w:t>
            </w:r>
          </w:p>
        </w:tc>
      </w:tr>
      <w:tr w14:paraId="61E5E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45CC5ED3">
            <w:pPr>
              <w:outlineLvl w:val="9"/>
              <w:rPr>
                <w:color w:val="auto"/>
                <w:highlight w:val="none"/>
              </w:rPr>
            </w:pPr>
          </w:p>
        </w:tc>
        <w:tc>
          <w:tcPr>
            <w:tcW w:w="2070" w:type="dxa"/>
            <w:gridSpan w:val="2"/>
            <w:vAlign w:val="center"/>
          </w:tcPr>
          <w:p w14:paraId="5569B8F8">
            <w:pPr>
              <w:pStyle w:val="447"/>
              <w:spacing w:line="300" w:lineRule="exact"/>
              <w:jc w:val="center"/>
              <w:outlineLvl w:val="9"/>
              <w:rPr>
                <w:rFonts w:ascii="宋体"/>
                <w:color w:val="auto"/>
                <w:szCs w:val="21"/>
                <w:highlight w:val="none"/>
              </w:rPr>
            </w:pPr>
            <w:r>
              <w:rPr>
                <w:rFonts w:hint="eastAsia" w:ascii="宋体"/>
                <w:color w:val="auto"/>
                <w:szCs w:val="21"/>
                <w:highlight w:val="none"/>
              </w:rPr>
              <w:t>现场围挡</w:t>
            </w:r>
          </w:p>
        </w:tc>
        <w:tc>
          <w:tcPr>
            <w:tcW w:w="6999" w:type="dxa"/>
            <w:vAlign w:val="center"/>
          </w:tcPr>
          <w:p w14:paraId="32BF158A">
            <w:pPr>
              <w:pStyle w:val="447"/>
              <w:spacing w:line="300" w:lineRule="exact"/>
              <w:outlineLvl w:val="9"/>
              <w:rPr>
                <w:rFonts w:ascii="宋体"/>
                <w:color w:val="auto"/>
                <w:szCs w:val="21"/>
                <w:highlight w:val="none"/>
              </w:rPr>
            </w:pPr>
            <w:r>
              <w:rPr>
                <w:rFonts w:hint="eastAsia" w:ascii="宋体"/>
                <w:color w:val="auto"/>
                <w:szCs w:val="21"/>
                <w:highlight w:val="none"/>
              </w:rPr>
              <w:t>1. 现场采用封闭围挡，高度不小于1.8m。</w:t>
            </w:r>
          </w:p>
          <w:p w14:paraId="4F9D2DA6">
            <w:pPr>
              <w:pStyle w:val="447"/>
              <w:spacing w:line="300" w:lineRule="exact"/>
              <w:outlineLvl w:val="9"/>
              <w:rPr>
                <w:rFonts w:ascii="宋体"/>
                <w:color w:val="auto"/>
                <w:szCs w:val="21"/>
                <w:highlight w:val="none"/>
              </w:rPr>
            </w:pPr>
            <w:r>
              <w:rPr>
                <w:rFonts w:hint="eastAsia" w:ascii="宋体"/>
                <w:color w:val="auto"/>
                <w:szCs w:val="21"/>
                <w:highlight w:val="none"/>
              </w:rPr>
              <w:t>2. 围挡材料可用彩色、定型钢板，砌块等墙体。</w:t>
            </w:r>
          </w:p>
        </w:tc>
      </w:tr>
      <w:tr w14:paraId="421D8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70D4EC07">
            <w:pPr>
              <w:outlineLvl w:val="9"/>
              <w:rPr>
                <w:color w:val="auto"/>
                <w:highlight w:val="none"/>
              </w:rPr>
            </w:pPr>
          </w:p>
        </w:tc>
        <w:tc>
          <w:tcPr>
            <w:tcW w:w="2070" w:type="dxa"/>
            <w:gridSpan w:val="2"/>
            <w:vAlign w:val="center"/>
          </w:tcPr>
          <w:p w14:paraId="3B531738">
            <w:pPr>
              <w:pStyle w:val="447"/>
              <w:spacing w:line="300" w:lineRule="exact"/>
              <w:jc w:val="center"/>
              <w:outlineLvl w:val="9"/>
              <w:rPr>
                <w:rFonts w:ascii="宋体"/>
                <w:color w:val="auto"/>
                <w:szCs w:val="21"/>
                <w:highlight w:val="none"/>
              </w:rPr>
            </w:pPr>
            <w:r>
              <w:rPr>
                <w:rFonts w:hint="eastAsia" w:ascii="宋体"/>
                <w:color w:val="auto"/>
                <w:szCs w:val="21"/>
                <w:highlight w:val="none"/>
              </w:rPr>
              <w:t>七牌二图</w:t>
            </w:r>
          </w:p>
        </w:tc>
        <w:tc>
          <w:tcPr>
            <w:tcW w:w="6999" w:type="dxa"/>
            <w:vAlign w:val="center"/>
          </w:tcPr>
          <w:p w14:paraId="7001AFDE">
            <w:pPr>
              <w:pStyle w:val="447"/>
              <w:spacing w:line="300" w:lineRule="exact"/>
              <w:outlineLvl w:val="9"/>
              <w:rPr>
                <w:rFonts w:ascii="宋体"/>
                <w:color w:val="auto"/>
                <w:szCs w:val="21"/>
                <w:highlight w:val="none"/>
              </w:rPr>
            </w:pPr>
            <w:r>
              <w:rPr>
                <w:rFonts w:hint="eastAsia" w:ascii="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54F19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vAlign w:val="center"/>
          </w:tcPr>
          <w:p w14:paraId="254B07D1">
            <w:pPr>
              <w:outlineLvl w:val="9"/>
              <w:rPr>
                <w:color w:val="auto"/>
                <w:highlight w:val="none"/>
              </w:rPr>
            </w:pPr>
          </w:p>
        </w:tc>
        <w:tc>
          <w:tcPr>
            <w:tcW w:w="2070" w:type="dxa"/>
            <w:gridSpan w:val="2"/>
            <w:vAlign w:val="center"/>
          </w:tcPr>
          <w:p w14:paraId="77D28BC1">
            <w:pPr>
              <w:pStyle w:val="447"/>
              <w:spacing w:line="300" w:lineRule="exact"/>
              <w:jc w:val="center"/>
              <w:outlineLvl w:val="9"/>
              <w:rPr>
                <w:rFonts w:ascii="宋体"/>
                <w:color w:val="auto"/>
                <w:szCs w:val="21"/>
                <w:highlight w:val="none"/>
              </w:rPr>
            </w:pPr>
            <w:r>
              <w:rPr>
                <w:rFonts w:hint="eastAsia" w:ascii="宋体"/>
                <w:color w:val="auto"/>
                <w:szCs w:val="21"/>
                <w:highlight w:val="none"/>
              </w:rPr>
              <w:t>企业标志</w:t>
            </w:r>
          </w:p>
        </w:tc>
        <w:tc>
          <w:tcPr>
            <w:tcW w:w="6999" w:type="dxa"/>
            <w:vAlign w:val="center"/>
          </w:tcPr>
          <w:p w14:paraId="7D6700E1">
            <w:pPr>
              <w:pStyle w:val="447"/>
              <w:spacing w:line="300" w:lineRule="exact"/>
              <w:outlineLvl w:val="9"/>
              <w:rPr>
                <w:rFonts w:ascii="宋体"/>
                <w:color w:val="auto"/>
                <w:szCs w:val="21"/>
                <w:highlight w:val="none"/>
              </w:rPr>
            </w:pPr>
            <w:r>
              <w:rPr>
                <w:rFonts w:hint="eastAsia" w:ascii="宋体"/>
                <w:color w:val="auto"/>
                <w:szCs w:val="21"/>
                <w:highlight w:val="none"/>
              </w:rPr>
              <w:t>现场出入的大门应设有本企业标志或企业标识。</w:t>
            </w:r>
          </w:p>
        </w:tc>
      </w:tr>
      <w:tr w14:paraId="2548E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2AD63378">
            <w:pPr>
              <w:outlineLvl w:val="9"/>
              <w:rPr>
                <w:color w:val="auto"/>
                <w:highlight w:val="none"/>
              </w:rPr>
            </w:pPr>
          </w:p>
        </w:tc>
        <w:tc>
          <w:tcPr>
            <w:tcW w:w="2070" w:type="dxa"/>
            <w:gridSpan w:val="2"/>
            <w:vAlign w:val="center"/>
          </w:tcPr>
          <w:p w14:paraId="29BD088F">
            <w:pPr>
              <w:pStyle w:val="447"/>
              <w:spacing w:line="300" w:lineRule="exact"/>
              <w:jc w:val="center"/>
              <w:outlineLvl w:val="9"/>
              <w:rPr>
                <w:rFonts w:ascii="宋体"/>
                <w:color w:val="auto"/>
                <w:szCs w:val="21"/>
                <w:highlight w:val="none"/>
              </w:rPr>
            </w:pPr>
            <w:r>
              <w:rPr>
                <w:rFonts w:hint="eastAsia" w:ascii="宋体"/>
                <w:color w:val="auto"/>
                <w:szCs w:val="21"/>
                <w:highlight w:val="none"/>
              </w:rPr>
              <w:t>场容场貌</w:t>
            </w:r>
          </w:p>
        </w:tc>
        <w:tc>
          <w:tcPr>
            <w:tcW w:w="6999" w:type="dxa"/>
            <w:vAlign w:val="center"/>
          </w:tcPr>
          <w:p w14:paraId="56195248">
            <w:pPr>
              <w:pStyle w:val="447"/>
              <w:spacing w:line="300" w:lineRule="exact"/>
              <w:outlineLvl w:val="9"/>
              <w:rPr>
                <w:rFonts w:ascii="宋体"/>
                <w:color w:val="auto"/>
                <w:szCs w:val="21"/>
                <w:highlight w:val="none"/>
              </w:rPr>
            </w:pPr>
            <w:r>
              <w:rPr>
                <w:rFonts w:hint="eastAsia" w:ascii="宋体"/>
                <w:color w:val="auto"/>
                <w:szCs w:val="21"/>
                <w:highlight w:val="none"/>
              </w:rPr>
              <w:t>1. 道路畅通。</w:t>
            </w:r>
          </w:p>
          <w:p w14:paraId="6B1200B4">
            <w:pPr>
              <w:pStyle w:val="447"/>
              <w:spacing w:line="300" w:lineRule="exact"/>
              <w:outlineLvl w:val="9"/>
              <w:rPr>
                <w:rFonts w:ascii="宋体"/>
                <w:color w:val="auto"/>
                <w:szCs w:val="21"/>
                <w:highlight w:val="none"/>
              </w:rPr>
            </w:pPr>
            <w:r>
              <w:rPr>
                <w:rFonts w:hint="eastAsia" w:ascii="宋体"/>
                <w:color w:val="auto"/>
                <w:szCs w:val="21"/>
                <w:highlight w:val="none"/>
              </w:rPr>
              <w:t>2. 排水设施齐全畅通。</w:t>
            </w:r>
          </w:p>
          <w:p w14:paraId="23EB20EB">
            <w:pPr>
              <w:pStyle w:val="447"/>
              <w:spacing w:line="300" w:lineRule="exact"/>
              <w:outlineLvl w:val="9"/>
              <w:rPr>
                <w:rFonts w:ascii="宋体"/>
                <w:color w:val="auto"/>
                <w:szCs w:val="21"/>
                <w:highlight w:val="none"/>
              </w:rPr>
            </w:pPr>
            <w:r>
              <w:rPr>
                <w:rFonts w:hint="eastAsia" w:ascii="宋体"/>
                <w:color w:val="auto"/>
                <w:szCs w:val="21"/>
                <w:highlight w:val="none"/>
              </w:rPr>
              <w:t>3. 工地地面硬化处理（办公区、生活区、现场道路、材料堆放、混凝土搅拌、砂浆搅拌、钢筋加工等场地和外脚手架基础等）。</w:t>
            </w:r>
          </w:p>
        </w:tc>
      </w:tr>
      <w:tr w14:paraId="3C5EF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7661AB6D">
            <w:pPr>
              <w:outlineLvl w:val="9"/>
              <w:rPr>
                <w:color w:val="auto"/>
                <w:highlight w:val="none"/>
              </w:rPr>
            </w:pPr>
          </w:p>
        </w:tc>
        <w:tc>
          <w:tcPr>
            <w:tcW w:w="2070" w:type="dxa"/>
            <w:gridSpan w:val="2"/>
            <w:vAlign w:val="center"/>
          </w:tcPr>
          <w:p w14:paraId="6617C241">
            <w:pPr>
              <w:pStyle w:val="447"/>
              <w:spacing w:line="300" w:lineRule="exact"/>
              <w:jc w:val="center"/>
              <w:outlineLvl w:val="9"/>
              <w:rPr>
                <w:rFonts w:ascii="宋体"/>
                <w:color w:val="auto"/>
                <w:szCs w:val="21"/>
                <w:highlight w:val="none"/>
              </w:rPr>
            </w:pPr>
            <w:r>
              <w:rPr>
                <w:rFonts w:hint="eastAsia" w:ascii="宋体"/>
                <w:color w:val="auto"/>
                <w:szCs w:val="21"/>
                <w:highlight w:val="none"/>
              </w:rPr>
              <w:t>材料堆放</w:t>
            </w:r>
          </w:p>
        </w:tc>
        <w:tc>
          <w:tcPr>
            <w:tcW w:w="6999" w:type="dxa"/>
            <w:vAlign w:val="center"/>
          </w:tcPr>
          <w:p w14:paraId="48AB2381">
            <w:pPr>
              <w:pStyle w:val="447"/>
              <w:numPr>
                <w:ilvl w:val="0"/>
                <w:numId w:val="8"/>
              </w:numPr>
              <w:spacing w:line="300" w:lineRule="exact"/>
              <w:outlineLvl w:val="9"/>
              <w:rPr>
                <w:rFonts w:ascii="宋体"/>
                <w:color w:val="auto"/>
                <w:szCs w:val="21"/>
                <w:highlight w:val="none"/>
              </w:rPr>
            </w:pPr>
            <w:r>
              <w:rPr>
                <w:rFonts w:hint="eastAsia" w:ascii="宋体"/>
                <w:color w:val="auto"/>
                <w:szCs w:val="21"/>
                <w:highlight w:val="none"/>
              </w:rPr>
              <w:t>材料、构件、料具等堆放时，应有名称、品种、规格等标牌。</w:t>
            </w:r>
          </w:p>
          <w:p w14:paraId="67960E4E">
            <w:pPr>
              <w:pStyle w:val="447"/>
              <w:spacing w:line="300" w:lineRule="exact"/>
              <w:outlineLvl w:val="9"/>
              <w:rPr>
                <w:rFonts w:ascii="宋体"/>
                <w:color w:val="auto"/>
                <w:szCs w:val="21"/>
                <w:highlight w:val="none"/>
              </w:rPr>
            </w:pPr>
            <w:r>
              <w:rPr>
                <w:rFonts w:hint="eastAsia" w:ascii="宋体"/>
                <w:color w:val="auto"/>
                <w:szCs w:val="21"/>
                <w:highlight w:val="none"/>
              </w:rPr>
              <w:t>2. 水泥和其它易飞扬细颗粒建筑材料应封闭存放或采取覆盖等措施。</w:t>
            </w:r>
          </w:p>
          <w:p w14:paraId="40D19937">
            <w:pPr>
              <w:pStyle w:val="447"/>
              <w:spacing w:line="300" w:lineRule="exact"/>
              <w:outlineLvl w:val="9"/>
              <w:rPr>
                <w:rFonts w:ascii="宋体"/>
                <w:color w:val="auto"/>
                <w:szCs w:val="21"/>
                <w:highlight w:val="none"/>
              </w:rPr>
            </w:pPr>
            <w:r>
              <w:rPr>
                <w:rFonts w:hint="eastAsia" w:ascii="宋体"/>
                <w:color w:val="auto"/>
                <w:szCs w:val="21"/>
                <w:highlight w:val="none"/>
              </w:rPr>
              <w:t>3. 易燃、易爆和有毒有害物品分类存放。</w:t>
            </w:r>
          </w:p>
        </w:tc>
      </w:tr>
      <w:tr w14:paraId="52D91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33771D8A">
            <w:pPr>
              <w:outlineLvl w:val="9"/>
              <w:rPr>
                <w:color w:val="auto"/>
                <w:highlight w:val="none"/>
              </w:rPr>
            </w:pPr>
          </w:p>
        </w:tc>
        <w:tc>
          <w:tcPr>
            <w:tcW w:w="2070" w:type="dxa"/>
            <w:gridSpan w:val="2"/>
            <w:vAlign w:val="center"/>
          </w:tcPr>
          <w:p w14:paraId="658461CC">
            <w:pPr>
              <w:pStyle w:val="447"/>
              <w:spacing w:line="300" w:lineRule="exact"/>
              <w:jc w:val="center"/>
              <w:outlineLvl w:val="9"/>
              <w:rPr>
                <w:rFonts w:ascii="宋体"/>
                <w:color w:val="auto"/>
                <w:szCs w:val="21"/>
                <w:highlight w:val="none"/>
              </w:rPr>
            </w:pPr>
            <w:r>
              <w:rPr>
                <w:rFonts w:hint="eastAsia" w:ascii="宋体"/>
                <w:color w:val="auto"/>
                <w:szCs w:val="21"/>
                <w:highlight w:val="none"/>
              </w:rPr>
              <w:t>现场防火</w:t>
            </w:r>
          </w:p>
        </w:tc>
        <w:tc>
          <w:tcPr>
            <w:tcW w:w="6999" w:type="dxa"/>
            <w:vAlign w:val="center"/>
          </w:tcPr>
          <w:p w14:paraId="75860545">
            <w:pPr>
              <w:pStyle w:val="447"/>
              <w:spacing w:line="300" w:lineRule="exact"/>
              <w:outlineLvl w:val="9"/>
              <w:rPr>
                <w:rFonts w:ascii="宋体"/>
                <w:color w:val="auto"/>
                <w:szCs w:val="21"/>
                <w:highlight w:val="none"/>
              </w:rPr>
            </w:pPr>
            <w:r>
              <w:rPr>
                <w:rFonts w:hint="eastAsia" w:ascii="宋体"/>
                <w:color w:val="auto"/>
                <w:szCs w:val="21"/>
                <w:highlight w:val="none"/>
              </w:rPr>
              <w:t>消防器材配置合理，符合消防要求。</w:t>
            </w:r>
          </w:p>
        </w:tc>
      </w:tr>
      <w:tr w14:paraId="4D99F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6677DF80">
            <w:pPr>
              <w:outlineLvl w:val="9"/>
              <w:rPr>
                <w:color w:val="auto"/>
                <w:highlight w:val="none"/>
              </w:rPr>
            </w:pPr>
          </w:p>
        </w:tc>
        <w:tc>
          <w:tcPr>
            <w:tcW w:w="2070" w:type="dxa"/>
            <w:gridSpan w:val="2"/>
            <w:vAlign w:val="center"/>
          </w:tcPr>
          <w:p w14:paraId="45124C63">
            <w:pPr>
              <w:pStyle w:val="447"/>
              <w:spacing w:line="300" w:lineRule="exact"/>
              <w:jc w:val="center"/>
              <w:outlineLvl w:val="9"/>
              <w:rPr>
                <w:rFonts w:ascii="宋体"/>
                <w:color w:val="auto"/>
                <w:szCs w:val="21"/>
                <w:highlight w:val="none"/>
              </w:rPr>
            </w:pPr>
            <w:r>
              <w:rPr>
                <w:rFonts w:hint="eastAsia" w:ascii="宋体"/>
                <w:color w:val="auto"/>
                <w:szCs w:val="21"/>
                <w:highlight w:val="none"/>
              </w:rPr>
              <w:t>垃圾清运</w:t>
            </w:r>
          </w:p>
        </w:tc>
        <w:tc>
          <w:tcPr>
            <w:tcW w:w="6999" w:type="dxa"/>
            <w:vAlign w:val="center"/>
          </w:tcPr>
          <w:p w14:paraId="69907B07">
            <w:pPr>
              <w:pStyle w:val="447"/>
              <w:spacing w:line="300" w:lineRule="exact"/>
              <w:outlineLvl w:val="9"/>
              <w:rPr>
                <w:rFonts w:ascii="宋体"/>
                <w:color w:val="auto"/>
                <w:szCs w:val="21"/>
                <w:highlight w:val="none"/>
              </w:rPr>
            </w:pPr>
            <w:r>
              <w:rPr>
                <w:rFonts w:hint="eastAsia" w:ascii="宋体"/>
                <w:color w:val="auto"/>
                <w:szCs w:val="21"/>
                <w:highlight w:val="none"/>
              </w:rPr>
              <w:t>1. 施工现场应设置密闭式垃圾站，施工垃圾、生活垃圾应分类存放。</w:t>
            </w:r>
          </w:p>
          <w:p w14:paraId="6EFCE001">
            <w:pPr>
              <w:pStyle w:val="447"/>
              <w:spacing w:line="300" w:lineRule="exact"/>
              <w:outlineLvl w:val="9"/>
              <w:rPr>
                <w:rFonts w:ascii="宋体"/>
                <w:color w:val="auto"/>
                <w:szCs w:val="21"/>
                <w:highlight w:val="none"/>
              </w:rPr>
            </w:pPr>
            <w:r>
              <w:rPr>
                <w:rFonts w:hint="eastAsia" w:ascii="宋体"/>
                <w:color w:val="auto"/>
                <w:szCs w:val="21"/>
                <w:highlight w:val="none"/>
              </w:rPr>
              <w:t>2. 施工垃圾必须采用相应容器或管道运输。</w:t>
            </w:r>
          </w:p>
        </w:tc>
      </w:tr>
      <w:tr w14:paraId="1E36D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4657F65">
            <w:pPr>
              <w:outlineLvl w:val="9"/>
              <w:rPr>
                <w:color w:val="auto"/>
                <w:highlight w:val="none"/>
              </w:rPr>
            </w:pPr>
          </w:p>
        </w:tc>
        <w:tc>
          <w:tcPr>
            <w:tcW w:w="2070" w:type="dxa"/>
            <w:gridSpan w:val="2"/>
            <w:vAlign w:val="center"/>
          </w:tcPr>
          <w:p w14:paraId="44FA5178">
            <w:pPr>
              <w:pStyle w:val="447"/>
              <w:spacing w:line="300" w:lineRule="exact"/>
              <w:outlineLvl w:val="9"/>
              <w:rPr>
                <w:rFonts w:ascii="宋体"/>
                <w:color w:val="auto"/>
                <w:szCs w:val="21"/>
                <w:highlight w:val="none"/>
              </w:rPr>
            </w:pPr>
            <w:r>
              <w:rPr>
                <w:rFonts w:hint="eastAsia" w:ascii="宋体"/>
                <w:color w:val="auto"/>
                <w:szCs w:val="21"/>
                <w:highlight w:val="none"/>
              </w:rPr>
              <w:t>宣传栏、环保及不扰民措施</w:t>
            </w:r>
          </w:p>
        </w:tc>
        <w:tc>
          <w:tcPr>
            <w:tcW w:w="6999" w:type="dxa"/>
            <w:vAlign w:val="center"/>
          </w:tcPr>
          <w:p w14:paraId="3BBC6DC5">
            <w:pPr>
              <w:pStyle w:val="447"/>
              <w:spacing w:line="300" w:lineRule="exact"/>
              <w:outlineLvl w:val="9"/>
              <w:rPr>
                <w:rFonts w:ascii="宋体"/>
                <w:color w:val="auto"/>
                <w:szCs w:val="21"/>
                <w:highlight w:val="none"/>
              </w:rPr>
            </w:pPr>
            <w:r>
              <w:rPr>
                <w:rFonts w:hint="eastAsia" w:ascii="宋体"/>
                <w:color w:val="auto"/>
                <w:szCs w:val="21"/>
                <w:highlight w:val="none"/>
              </w:rPr>
              <w:t>宣传栏、安全宣传标语等，洗车（防止污染市区道路）、粉尘、噪声控制和排污（污水、废气）措施等。</w:t>
            </w:r>
          </w:p>
        </w:tc>
      </w:tr>
      <w:tr w14:paraId="02EE2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73188BB2">
            <w:pPr>
              <w:pStyle w:val="447"/>
              <w:spacing w:line="300" w:lineRule="exact"/>
              <w:jc w:val="center"/>
              <w:outlineLvl w:val="9"/>
              <w:rPr>
                <w:rFonts w:ascii="宋体"/>
                <w:color w:val="auto"/>
                <w:szCs w:val="21"/>
                <w:highlight w:val="none"/>
              </w:rPr>
            </w:pPr>
            <w:r>
              <w:rPr>
                <w:rFonts w:hint="eastAsia" w:ascii="宋体"/>
                <w:color w:val="auto"/>
                <w:szCs w:val="21"/>
                <w:highlight w:val="none"/>
              </w:rPr>
              <w:t>临时设施</w:t>
            </w:r>
          </w:p>
        </w:tc>
        <w:tc>
          <w:tcPr>
            <w:tcW w:w="2070" w:type="dxa"/>
            <w:gridSpan w:val="2"/>
            <w:vAlign w:val="center"/>
          </w:tcPr>
          <w:p w14:paraId="0F1F561A">
            <w:pPr>
              <w:pStyle w:val="447"/>
              <w:spacing w:line="300" w:lineRule="exact"/>
              <w:jc w:val="center"/>
              <w:outlineLvl w:val="9"/>
              <w:rPr>
                <w:rFonts w:ascii="宋体"/>
                <w:color w:val="auto"/>
                <w:szCs w:val="21"/>
                <w:highlight w:val="none"/>
              </w:rPr>
            </w:pPr>
            <w:r>
              <w:rPr>
                <w:rFonts w:hint="eastAsia" w:ascii="宋体"/>
                <w:color w:val="auto"/>
                <w:szCs w:val="21"/>
                <w:highlight w:val="none"/>
              </w:rPr>
              <w:t>现场办公</w:t>
            </w:r>
          </w:p>
          <w:p w14:paraId="611C0CEE">
            <w:pPr>
              <w:pStyle w:val="447"/>
              <w:spacing w:line="300" w:lineRule="exact"/>
              <w:jc w:val="center"/>
              <w:outlineLvl w:val="9"/>
              <w:rPr>
                <w:rFonts w:ascii="宋体"/>
                <w:color w:val="auto"/>
                <w:szCs w:val="21"/>
                <w:highlight w:val="none"/>
              </w:rPr>
            </w:pPr>
            <w:r>
              <w:rPr>
                <w:rFonts w:hint="eastAsia" w:ascii="宋体"/>
                <w:color w:val="auto"/>
                <w:szCs w:val="21"/>
                <w:highlight w:val="none"/>
              </w:rPr>
              <w:t>生活设施</w:t>
            </w:r>
          </w:p>
        </w:tc>
        <w:tc>
          <w:tcPr>
            <w:tcW w:w="6999" w:type="dxa"/>
            <w:vAlign w:val="center"/>
          </w:tcPr>
          <w:p w14:paraId="441B28C8">
            <w:pPr>
              <w:pStyle w:val="447"/>
              <w:spacing w:line="300" w:lineRule="exact"/>
              <w:outlineLvl w:val="9"/>
              <w:rPr>
                <w:rFonts w:ascii="宋体"/>
                <w:color w:val="auto"/>
                <w:szCs w:val="21"/>
                <w:highlight w:val="none"/>
              </w:rPr>
            </w:pPr>
            <w:r>
              <w:rPr>
                <w:rFonts w:hint="eastAsia" w:ascii="宋体"/>
                <w:color w:val="auto"/>
                <w:szCs w:val="21"/>
                <w:highlight w:val="none"/>
              </w:rPr>
              <w:t>1. 施工现场办公、生活区与作业区分开设置，保持安全距离。</w:t>
            </w:r>
          </w:p>
          <w:p w14:paraId="416CFF1D">
            <w:pPr>
              <w:pStyle w:val="447"/>
              <w:spacing w:line="300" w:lineRule="exact"/>
              <w:outlineLvl w:val="9"/>
              <w:rPr>
                <w:rFonts w:ascii="宋体"/>
                <w:color w:val="auto"/>
                <w:szCs w:val="21"/>
                <w:highlight w:val="none"/>
              </w:rPr>
            </w:pPr>
            <w:r>
              <w:rPr>
                <w:rFonts w:hint="eastAsia" w:ascii="宋体"/>
                <w:color w:val="auto"/>
                <w:szCs w:val="21"/>
                <w:highlight w:val="none"/>
              </w:rPr>
              <w:t>2. 工地办公室、现场宿舍、食堂、厕所、饮水、沐浴、休息场所等符合卫生、消防安全要求。</w:t>
            </w:r>
          </w:p>
        </w:tc>
      </w:tr>
      <w:tr w14:paraId="49457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56E590CE">
            <w:pPr>
              <w:outlineLvl w:val="9"/>
              <w:rPr>
                <w:color w:val="auto"/>
                <w:highlight w:val="none"/>
              </w:rPr>
            </w:pPr>
          </w:p>
        </w:tc>
        <w:tc>
          <w:tcPr>
            <w:tcW w:w="525" w:type="dxa"/>
            <w:vMerge w:val="restart"/>
            <w:vAlign w:val="center"/>
          </w:tcPr>
          <w:p w14:paraId="0AD49E51">
            <w:pPr>
              <w:pStyle w:val="447"/>
              <w:spacing w:line="300" w:lineRule="exact"/>
              <w:jc w:val="center"/>
              <w:outlineLvl w:val="9"/>
              <w:rPr>
                <w:rFonts w:ascii="宋体"/>
                <w:color w:val="auto"/>
                <w:szCs w:val="21"/>
                <w:highlight w:val="none"/>
              </w:rPr>
            </w:pPr>
            <w:r>
              <w:rPr>
                <w:rFonts w:hint="eastAsia" w:ascii="宋体"/>
                <w:color w:val="auto"/>
                <w:szCs w:val="21"/>
                <w:highlight w:val="none"/>
              </w:rPr>
              <w:t>施工现场</w:t>
            </w:r>
          </w:p>
          <w:p w14:paraId="74EAC67B">
            <w:pPr>
              <w:pStyle w:val="447"/>
              <w:spacing w:line="300" w:lineRule="exact"/>
              <w:jc w:val="center"/>
              <w:outlineLvl w:val="9"/>
              <w:rPr>
                <w:rFonts w:ascii="宋体"/>
                <w:color w:val="auto"/>
                <w:szCs w:val="21"/>
                <w:highlight w:val="none"/>
              </w:rPr>
            </w:pPr>
            <w:r>
              <w:rPr>
                <w:rFonts w:hint="eastAsia" w:ascii="宋体"/>
                <w:color w:val="auto"/>
                <w:szCs w:val="21"/>
                <w:highlight w:val="none"/>
              </w:rPr>
              <w:t>临时用电</w:t>
            </w:r>
          </w:p>
        </w:tc>
        <w:tc>
          <w:tcPr>
            <w:tcW w:w="1545" w:type="dxa"/>
            <w:vAlign w:val="center"/>
          </w:tcPr>
          <w:p w14:paraId="152C6DF0">
            <w:pPr>
              <w:pStyle w:val="447"/>
              <w:spacing w:line="300" w:lineRule="exact"/>
              <w:jc w:val="center"/>
              <w:outlineLvl w:val="9"/>
              <w:rPr>
                <w:rFonts w:ascii="宋体"/>
                <w:color w:val="auto"/>
                <w:szCs w:val="21"/>
                <w:highlight w:val="none"/>
              </w:rPr>
            </w:pPr>
            <w:r>
              <w:rPr>
                <w:rFonts w:hint="eastAsia" w:ascii="宋体"/>
                <w:color w:val="auto"/>
                <w:szCs w:val="21"/>
                <w:highlight w:val="none"/>
              </w:rPr>
              <w:t>配电线路</w:t>
            </w:r>
          </w:p>
        </w:tc>
        <w:tc>
          <w:tcPr>
            <w:tcW w:w="6999" w:type="dxa"/>
            <w:vAlign w:val="center"/>
          </w:tcPr>
          <w:p w14:paraId="799CC24D">
            <w:pPr>
              <w:pStyle w:val="447"/>
              <w:spacing w:line="300" w:lineRule="exact"/>
              <w:outlineLvl w:val="9"/>
              <w:rPr>
                <w:rFonts w:ascii="宋体"/>
                <w:color w:val="auto"/>
                <w:szCs w:val="21"/>
                <w:highlight w:val="none"/>
              </w:rPr>
            </w:pPr>
            <w:r>
              <w:rPr>
                <w:rFonts w:hint="eastAsia" w:ascii="宋体"/>
                <w:color w:val="auto"/>
                <w:szCs w:val="21"/>
                <w:highlight w:val="none"/>
              </w:rPr>
              <w:t>1. 按照TN-S系统要求配备五芯电缆、四芯电缆和三芯电缆。</w:t>
            </w:r>
          </w:p>
          <w:p w14:paraId="5E72A7B4">
            <w:pPr>
              <w:pStyle w:val="447"/>
              <w:spacing w:line="300" w:lineRule="exact"/>
              <w:outlineLvl w:val="9"/>
              <w:rPr>
                <w:rFonts w:ascii="宋体"/>
                <w:color w:val="auto"/>
                <w:szCs w:val="21"/>
                <w:highlight w:val="none"/>
              </w:rPr>
            </w:pPr>
            <w:r>
              <w:rPr>
                <w:rFonts w:hint="eastAsia" w:ascii="宋体"/>
                <w:color w:val="auto"/>
                <w:szCs w:val="21"/>
                <w:highlight w:val="none"/>
              </w:rPr>
              <w:t>2. 按要求架设临时用电线路的电杆、横担、瓷夹、瓷瓶等，或电缆埋地的地沟。</w:t>
            </w:r>
          </w:p>
          <w:p w14:paraId="6659C2EF">
            <w:pPr>
              <w:pStyle w:val="447"/>
              <w:spacing w:line="300" w:lineRule="exact"/>
              <w:outlineLvl w:val="9"/>
              <w:rPr>
                <w:rFonts w:ascii="宋体"/>
                <w:color w:val="auto"/>
                <w:szCs w:val="21"/>
                <w:highlight w:val="none"/>
              </w:rPr>
            </w:pPr>
            <w:r>
              <w:rPr>
                <w:rFonts w:hint="eastAsia" w:ascii="宋体"/>
                <w:color w:val="auto"/>
                <w:szCs w:val="21"/>
                <w:highlight w:val="none"/>
              </w:rPr>
              <w:t>3. 对靠近施工现场的外电线路，设置木质、塑料等绝缘体的防护设施。</w:t>
            </w:r>
          </w:p>
        </w:tc>
      </w:tr>
      <w:tr w14:paraId="5AE8F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014CFF6">
            <w:pPr>
              <w:outlineLvl w:val="9"/>
              <w:rPr>
                <w:color w:val="auto"/>
                <w:highlight w:val="none"/>
              </w:rPr>
            </w:pPr>
          </w:p>
        </w:tc>
        <w:tc>
          <w:tcPr>
            <w:tcW w:w="525" w:type="dxa"/>
            <w:vMerge w:val="continue"/>
            <w:vAlign w:val="center"/>
          </w:tcPr>
          <w:p w14:paraId="49F9BFB8">
            <w:pPr>
              <w:outlineLvl w:val="9"/>
              <w:rPr>
                <w:color w:val="auto"/>
                <w:highlight w:val="none"/>
              </w:rPr>
            </w:pPr>
          </w:p>
        </w:tc>
        <w:tc>
          <w:tcPr>
            <w:tcW w:w="1545" w:type="dxa"/>
            <w:vAlign w:val="center"/>
          </w:tcPr>
          <w:p w14:paraId="58A477AC">
            <w:pPr>
              <w:pStyle w:val="447"/>
              <w:spacing w:line="300" w:lineRule="exact"/>
              <w:jc w:val="center"/>
              <w:outlineLvl w:val="9"/>
              <w:rPr>
                <w:rFonts w:ascii="宋体"/>
                <w:color w:val="auto"/>
                <w:szCs w:val="21"/>
                <w:highlight w:val="none"/>
              </w:rPr>
            </w:pPr>
            <w:r>
              <w:rPr>
                <w:rFonts w:hint="eastAsia" w:ascii="宋体"/>
                <w:color w:val="auto"/>
                <w:szCs w:val="21"/>
                <w:highlight w:val="none"/>
              </w:rPr>
              <w:t>配电箱</w:t>
            </w:r>
          </w:p>
          <w:p w14:paraId="2ACD6967">
            <w:pPr>
              <w:pStyle w:val="447"/>
              <w:spacing w:line="300" w:lineRule="exact"/>
              <w:jc w:val="center"/>
              <w:outlineLvl w:val="9"/>
              <w:rPr>
                <w:rFonts w:ascii="宋体"/>
                <w:color w:val="auto"/>
                <w:szCs w:val="21"/>
                <w:highlight w:val="none"/>
              </w:rPr>
            </w:pPr>
            <w:r>
              <w:rPr>
                <w:rFonts w:hint="eastAsia" w:ascii="宋体"/>
                <w:color w:val="auto"/>
                <w:szCs w:val="21"/>
                <w:highlight w:val="none"/>
              </w:rPr>
              <w:t>开关箱</w:t>
            </w:r>
          </w:p>
        </w:tc>
        <w:tc>
          <w:tcPr>
            <w:tcW w:w="6999" w:type="dxa"/>
            <w:vAlign w:val="center"/>
          </w:tcPr>
          <w:p w14:paraId="223B925E">
            <w:pPr>
              <w:pStyle w:val="447"/>
              <w:spacing w:line="300" w:lineRule="exact"/>
              <w:outlineLvl w:val="9"/>
              <w:rPr>
                <w:rFonts w:ascii="宋体"/>
                <w:color w:val="auto"/>
                <w:szCs w:val="21"/>
                <w:highlight w:val="none"/>
              </w:rPr>
            </w:pPr>
            <w:r>
              <w:rPr>
                <w:rFonts w:hint="eastAsia" w:ascii="宋体"/>
                <w:color w:val="auto"/>
                <w:szCs w:val="21"/>
                <w:highlight w:val="none"/>
              </w:rPr>
              <w:t>1. 按三级配电要求，配备总配电箱、分配电箱、开关箱三类（铁质）标准电箱，开关箱应符合“一机、一箱、一闸、一漏”，三类电箱中的各类电器应是合格品。</w:t>
            </w:r>
          </w:p>
          <w:p w14:paraId="77665BC3">
            <w:pPr>
              <w:pStyle w:val="447"/>
              <w:spacing w:line="300" w:lineRule="exact"/>
              <w:outlineLvl w:val="9"/>
              <w:rPr>
                <w:rFonts w:ascii="宋体"/>
                <w:color w:val="auto"/>
                <w:szCs w:val="21"/>
                <w:highlight w:val="none"/>
              </w:rPr>
            </w:pPr>
            <w:r>
              <w:rPr>
                <w:rFonts w:hint="eastAsia" w:ascii="宋体"/>
                <w:color w:val="auto"/>
                <w:szCs w:val="21"/>
                <w:highlight w:val="none"/>
              </w:rPr>
              <w:t>2. 按两级保护的要求，选取符合容量要求和质量合格的总配电箱和开关箱中的漏电保护器。</w:t>
            </w:r>
          </w:p>
          <w:p w14:paraId="544A7909">
            <w:pPr>
              <w:pStyle w:val="447"/>
              <w:spacing w:line="300" w:lineRule="exact"/>
              <w:outlineLvl w:val="9"/>
              <w:rPr>
                <w:rFonts w:ascii="宋体"/>
                <w:color w:val="auto"/>
                <w:szCs w:val="21"/>
                <w:highlight w:val="none"/>
              </w:rPr>
            </w:pPr>
            <w:r>
              <w:rPr>
                <w:rFonts w:hint="eastAsia" w:ascii="宋体"/>
                <w:color w:val="auto"/>
                <w:szCs w:val="21"/>
                <w:highlight w:val="none"/>
              </w:rPr>
              <w:t>3. 对大型、落地式分配电箱、开关箱设置防护棚和通透式围挡。</w:t>
            </w:r>
          </w:p>
        </w:tc>
      </w:tr>
      <w:tr w14:paraId="39D3B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38" w:type="dxa"/>
            <w:vMerge w:val="continue"/>
            <w:vAlign w:val="center"/>
          </w:tcPr>
          <w:p w14:paraId="2F90F24D">
            <w:pPr>
              <w:outlineLvl w:val="9"/>
              <w:rPr>
                <w:color w:val="auto"/>
                <w:highlight w:val="none"/>
              </w:rPr>
            </w:pPr>
          </w:p>
        </w:tc>
        <w:tc>
          <w:tcPr>
            <w:tcW w:w="525" w:type="dxa"/>
            <w:vMerge w:val="continue"/>
            <w:vAlign w:val="center"/>
          </w:tcPr>
          <w:p w14:paraId="239643FE">
            <w:pPr>
              <w:outlineLvl w:val="9"/>
              <w:rPr>
                <w:color w:val="auto"/>
                <w:highlight w:val="none"/>
              </w:rPr>
            </w:pPr>
          </w:p>
        </w:tc>
        <w:tc>
          <w:tcPr>
            <w:tcW w:w="1545" w:type="dxa"/>
            <w:vAlign w:val="center"/>
          </w:tcPr>
          <w:p w14:paraId="10FC6780">
            <w:pPr>
              <w:pStyle w:val="447"/>
              <w:spacing w:line="300" w:lineRule="exact"/>
              <w:jc w:val="center"/>
              <w:outlineLvl w:val="9"/>
              <w:rPr>
                <w:rFonts w:ascii="宋体"/>
                <w:color w:val="auto"/>
                <w:szCs w:val="21"/>
                <w:highlight w:val="none"/>
              </w:rPr>
            </w:pPr>
            <w:r>
              <w:rPr>
                <w:rFonts w:hint="eastAsia" w:ascii="宋体"/>
                <w:color w:val="auto"/>
                <w:szCs w:val="21"/>
                <w:highlight w:val="none"/>
              </w:rPr>
              <w:t>接地装置</w:t>
            </w:r>
          </w:p>
        </w:tc>
        <w:tc>
          <w:tcPr>
            <w:tcW w:w="6999" w:type="dxa"/>
            <w:vAlign w:val="center"/>
          </w:tcPr>
          <w:p w14:paraId="06802DCF">
            <w:pPr>
              <w:pStyle w:val="447"/>
              <w:spacing w:line="300" w:lineRule="exact"/>
              <w:outlineLvl w:val="9"/>
              <w:rPr>
                <w:rFonts w:ascii="宋体"/>
                <w:color w:val="auto"/>
                <w:szCs w:val="21"/>
                <w:highlight w:val="none"/>
              </w:rPr>
            </w:pPr>
            <w:r>
              <w:rPr>
                <w:rFonts w:hint="eastAsia" w:ascii="宋体"/>
                <w:color w:val="auto"/>
                <w:szCs w:val="21"/>
                <w:highlight w:val="none"/>
              </w:rPr>
              <w:t>施工现场应设置不少于三处的重复接地装置。</w:t>
            </w:r>
          </w:p>
        </w:tc>
      </w:tr>
      <w:tr w14:paraId="70381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38" w:type="dxa"/>
            <w:vMerge w:val="continue"/>
            <w:vAlign w:val="center"/>
          </w:tcPr>
          <w:p w14:paraId="2037695C">
            <w:pPr>
              <w:outlineLvl w:val="9"/>
              <w:rPr>
                <w:color w:val="auto"/>
                <w:highlight w:val="none"/>
              </w:rPr>
            </w:pPr>
          </w:p>
        </w:tc>
        <w:tc>
          <w:tcPr>
            <w:tcW w:w="525" w:type="dxa"/>
            <w:vMerge w:val="continue"/>
            <w:vAlign w:val="center"/>
          </w:tcPr>
          <w:p w14:paraId="18D077B3">
            <w:pPr>
              <w:outlineLvl w:val="9"/>
              <w:rPr>
                <w:color w:val="auto"/>
                <w:highlight w:val="none"/>
              </w:rPr>
            </w:pPr>
          </w:p>
        </w:tc>
        <w:tc>
          <w:tcPr>
            <w:tcW w:w="1545" w:type="dxa"/>
            <w:vAlign w:val="center"/>
          </w:tcPr>
          <w:p w14:paraId="0ADD7FB0">
            <w:pPr>
              <w:pStyle w:val="447"/>
              <w:spacing w:line="300" w:lineRule="exact"/>
              <w:jc w:val="center"/>
              <w:outlineLvl w:val="9"/>
              <w:rPr>
                <w:rFonts w:ascii="宋体"/>
                <w:color w:val="auto"/>
                <w:szCs w:val="21"/>
                <w:highlight w:val="none"/>
              </w:rPr>
            </w:pPr>
            <w:r>
              <w:rPr>
                <w:rFonts w:hint="eastAsia" w:ascii="宋体"/>
                <w:color w:val="auto"/>
                <w:szCs w:val="21"/>
                <w:highlight w:val="none"/>
              </w:rPr>
              <w:t>现场变配电装置</w:t>
            </w:r>
          </w:p>
        </w:tc>
        <w:tc>
          <w:tcPr>
            <w:tcW w:w="6999" w:type="dxa"/>
            <w:vAlign w:val="center"/>
          </w:tcPr>
          <w:p w14:paraId="416B08FF">
            <w:pPr>
              <w:pStyle w:val="447"/>
              <w:spacing w:line="300" w:lineRule="exact"/>
              <w:outlineLvl w:val="9"/>
              <w:rPr>
                <w:rFonts w:ascii="宋体"/>
                <w:color w:val="auto"/>
                <w:szCs w:val="21"/>
                <w:highlight w:val="none"/>
              </w:rPr>
            </w:pPr>
            <w:r>
              <w:rPr>
                <w:rFonts w:hint="eastAsia" w:ascii="宋体"/>
                <w:color w:val="auto"/>
                <w:szCs w:val="21"/>
                <w:highlight w:val="none"/>
              </w:rPr>
              <w:t>总配电房建筑材料必须达到消防防火要求，室内做硬地坪、电缆沟。</w:t>
            </w:r>
          </w:p>
        </w:tc>
      </w:tr>
      <w:tr w14:paraId="0D125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72A9D57F">
            <w:pPr>
              <w:pStyle w:val="447"/>
              <w:spacing w:line="300" w:lineRule="exact"/>
              <w:jc w:val="center"/>
              <w:outlineLvl w:val="9"/>
              <w:rPr>
                <w:rFonts w:ascii="宋体"/>
                <w:color w:val="auto"/>
                <w:szCs w:val="21"/>
                <w:highlight w:val="none"/>
              </w:rPr>
            </w:pPr>
            <w:r>
              <w:rPr>
                <w:rFonts w:hint="eastAsia" w:ascii="宋体"/>
                <w:color w:val="auto"/>
                <w:szCs w:val="21"/>
                <w:highlight w:val="none"/>
              </w:rPr>
              <w:t>安全施工</w:t>
            </w:r>
          </w:p>
        </w:tc>
        <w:tc>
          <w:tcPr>
            <w:tcW w:w="525" w:type="dxa"/>
            <w:vMerge w:val="restart"/>
            <w:vAlign w:val="center"/>
          </w:tcPr>
          <w:p w14:paraId="6A1D3F82">
            <w:pPr>
              <w:pStyle w:val="447"/>
              <w:spacing w:line="300" w:lineRule="exact"/>
              <w:jc w:val="center"/>
              <w:outlineLvl w:val="9"/>
              <w:rPr>
                <w:rFonts w:ascii="宋体"/>
                <w:color w:val="auto"/>
                <w:szCs w:val="21"/>
                <w:highlight w:val="none"/>
              </w:rPr>
            </w:pPr>
            <w:r>
              <w:rPr>
                <w:rFonts w:hint="eastAsia" w:ascii="宋体"/>
                <w:color w:val="auto"/>
                <w:szCs w:val="21"/>
                <w:highlight w:val="none"/>
              </w:rPr>
              <w:t>高处作业防护</w:t>
            </w:r>
          </w:p>
        </w:tc>
        <w:tc>
          <w:tcPr>
            <w:tcW w:w="1545" w:type="dxa"/>
            <w:vAlign w:val="center"/>
          </w:tcPr>
          <w:p w14:paraId="4BA40750">
            <w:pPr>
              <w:pStyle w:val="447"/>
              <w:spacing w:line="300" w:lineRule="exact"/>
              <w:outlineLvl w:val="9"/>
              <w:rPr>
                <w:rFonts w:ascii="宋体"/>
                <w:color w:val="auto"/>
                <w:szCs w:val="21"/>
                <w:highlight w:val="none"/>
              </w:rPr>
            </w:pPr>
            <w:r>
              <w:rPr>
                <w:rFonts w:hint="eastAsia" w:ascii="宋体"/>
                <w:color w:val="auto"/>
                <w:szCs w:val="21"/>
                <w:highlight w:val="none"/>
              </w:rPr>
              <w:t>楼层、屋面、阳台等临边</w:t>
            </w:r>
          </w:p>
        </w:tc>
        <w:tc>
          <w:tcPr>
            <w:tcW w:w="6999" w:type="dxa"/>
            <w:vAlign w:val="center"/>
          </w:tcPr>
          <w:p w14:paraId="247E70E8">
            <w:pPr>
              <w:pStyle w:val="447"/>
              <w:spacing w:line="300" w:lineRule="exact"/>
              <w:outlineLvl w:val="9"/>
              <w:rPr>
                <w:rFonts w:ascii="宋体"/>
                <w:color w:val="auto"/>
                <w:szCs w:val="21"/>
                <w:highlight w:val="none"/>
              </w:rPr>
            </w:pPr>
            <w:r>
              <w:rPr>
                <w:rFonts w:hint="eastAsia" w:ascii="宋体"/>
                <w:color w:val="auto"/>
                <w:szCs w:val="21"/>
                <w:highlight w:val="none"/>
              </w:rPr>
              <w:t>设两道防护栏杆和18cm高的踢脚板，用密目式安全立网全封闭。</w:t>
            </w:r>
          </w:p>
        </w:tc>
      </w:tr>
      <w:tr w14:paraId="43E7B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53C64DD8">
            <w:pPr>
              <w:outlineLvl w:val="9"/>
              <w:rPr>
                <w:color w:val="auto"/>
                <w:highlight w:val="none"/>
              </w:rPr>
            </w:pPr>
          </w:p>
        </w:tc>
        <w:tc>
          <w:tcPr>
            <w:tcW w:w="525" w:type="dxa"/>
            <w:vMerge w:val="continue"/>
            <w:vAlign w:val="center"/>
          </w:tcPr>
          <w:p w14:paraId="4F74C0F6">
            <w:pPr>
              <w:outlineLvl w:val="9"/>
              <w:rPr>
                <w:color w:val="auto"/>
                <w:highlight w:val="none"/>
              </w:rPr>
            </w:pPr>
          </w:p>
        </w:tc>
        <w:tc>
          <w:tcPr>
            <w:tcW w:w="1545" w:type="dxa"/>
            <w:vAlign w:val="center"/>
          </w:tcPr>
          <w:p w14:paraId="399865E6">
            <w:pPr>
              <w:pStyle w:val="447"/>
              <w:spacing w:line="300" w:lineRule="exact"/>
              <w:outlineLvl w:val="9"/>
              <w:rPr>
                <w:rFonts w:ascii="宋体"/>
                <w:color w:val="auto"/>
                <w:szCs w:val="21"/>
                <w:highlight w:val="none"/>
              </w:rPr>
            </w:pPr>
            <w:r>
              <w:rPr>
                <w:rFonts w:hint="eastAsia" w:ascii="宋体"/>
                <w:color w:val="auto"/>
                <w:szCs w:val="21"/>
                <w:highlight w:val="none"/>
              </w:rPr>
              <w:t>通道口</w:t>
            </w:r>
          </w:p>
        </w:tc>
        <w:tc>
          <w:tcPr>
            <w:tcW w:w="6999" w:type="dxa"/>
            <w:vAlign w:val="center"/>
          </w:tcPr>
          <w:p w14:paraId="0A176FDA">
            <w:pPr>
              <w:pStyle w:val="447"/>
              <w:spacing w:line="300" w:lineRule="exact"/>
              <w:outlineLvl w:val="9"/>
              <w:rPr>
                <w:rFonts w:ascii="宋体"/>
                <w:color w:val="auto"/>
                <w:szCs w:val="21"/>
                <w:highlight w:val="none"/>
              </w:rPr>
            </w:pPr>
            <w:r>
              <w:rPr>
                <w:rFonts w:hint="eastAsia" w:ascii="宋体"/>
                <w:color w:val="auto"/>
                <w:szCs w:val="21"/>
                <w:highlight w:val="none"/>
              </w:rPr>
              <w:t>设防护棚，防护棚应为不小于5cm厚的木板或两道相距50cm的竹笆。两侧应沿栏杆架用密目式安全网封闭。</w:t>
            </w:r>
          </w:p>
        </w:tc>
      </w:tr>
      <w:tr w14:paraId="74309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417A523C">
            <w:pPr>
              <w:outlineLvl w:val="9"/>
              <w:rPr>
                <w:color w:val="auto"/>
                <w:highlight w:val="none"/>
              </w:rPr>
            </w:pPr>
          </w:p>
        </w:tc>
        <w:tc>
          <w:tcPr>
            <w:tcW w:w="525" w:type="dxa"/>
            <w:vMerge w:val="continue"/>
            <w:vAlign w:val="center"/>
          </w:tcPr>
          <w:p w14:paraId="09FE7A3B">
            <w:pPr>
              <w:outlineLvl w:val="9"/>
              <w:rPr>
                <w:color w:val="auto"/>
                <w:highlight w:val="none"/>
              </w:rPr>
            </w:pPr>
          </w:p>
        </w:tc>
        <w:tc>
          <w:tcPr>
            <w:tcW w:w="1545" w:type="dxa"/>
            <w:vAlign w:val="center"/>
          </w:tcPr>
          <w:p w14:paraId="4FEBC116">
            <w:pPr>
              <w:pStyle w:val="447"/>
              <w:spacing w:line="300" w:lineRule="exact"/>
              <w:outlineLvl w:val="9"/>
              <w:rPr>
                <w:rFonts w:ascii="宋体"/>
                <w:color w:val="auto"/>
                <w:szCs w:val="21"/>
                <w:highlight w:val="none"/>
              </w:rPr>
            </w:pPr>
            <w:r>
              <w:rPr>
                <w:rFonts w:hint="eastAsia" w:ascii="宋体"/>
                <w:color w:val="auto"/>
                <w:szCs w:val="21"/>
                <w:highlight w:val="none"/>
              </w:rPr>
              <w:t>预留洞口</w:t>
            </w:r>
          </w:p>
        </w:tc>
        <w:tc>
          <w:tcPr>
            <w:tcW w:w="6999" w:type="dxa"/>
            <w:vAlign w:val="center"/>
          </w:tcPr>
          <w:p w14:paraId="345CA579">
            <w:pPr>
              <w:pStyle w:val="447"/>
              <w:spacing w:line="300" w:lineRule="exact"/>
              <w:outlineLvl w:val="9"/>
              <w:rPr>
                <w:rFonts w:ascii="宋体"/>
                <w:color w:val="auto"/>
                <w:szCs w:val="21"/>
                <w:highlight w:val="none"/>
              </w:rPr>
            </w:pPr>
            <w:r>
              <w:rPr>
                <w:rFonts w:hint="eastAsia" w:ascii="宋体"/>
                <w:color w:val="auto"/>
                <w:szCs w:val="21"/>
                <w:highlight w:val="none"/>
              </w:rPr>
              <w:t>用硬质材料全封闭，短边超过1.5m长的洞口，除封闭外四周还应设有防护栏杆。</w:t>
            </w:r>
          </w:p>
        </w:tc>
      </w:tr>
      <w:tr w14:paraId="72563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38" w:type="dxa"/>
            <w:vMerge w:val="continue"/>
            <w:vAlign w:val="center"/>
          </w:tcPr>
          <w:p w14:paraId="1A44E3D0">
            <w:pPr>
              <w:outlineLvl w:val="9"/>
              <w:rPr>
                <w:color w:val="auto"/>
                <w:highlight w:val="none"/>
              </w:rPr>
            </w:pPr>
          </w:p>
        </w:tc>
        <w:tc>
          <w:tcPr>
            <w:tcW w:w="525" w:type="dxa"/>
            <w:vMerge w:val="continue"/>
            <w:vAlign w:val="center"/>
          </w:tcPr>
          <w:p w14:paraId="569A46B2">
            <w:pPr>
              <w:outlineLvl w:val="9"/>
              <w:rPr>
                <w:color w:val="auto"/>
                <w:highlight w:val="none"/>
              </w:rPr>
            </w:pPr>
          </w:p>
        </w:tc>
        <w:tc>
          <w:tcPr>
            <w:tcW w:w="1545" w:type="dxa"/>
            <w:vAlign w:val="center"/>
          </w:tcPr>
          <w:p w14:paraId="58EDE088">
            <w:pPr>
              <w:pStyle w:val="447"/>
              <w:spacing w:line="300" w:lineRule="exact"/>
              <w:outlineLvl w:val="9"/>
              <w:rPr>
                <w:rFonts w:ascii="宋体"/>
                <w:color w:val="auto"/>
                <w:szCs w:val="21"/>
                <w:highlight w:val="none"/>
              </w:rPr>
            </w:pPr>
            <w:r>
              <w:rPr>
                <w:rFonts w:hint="eastAsia" w:ascii="宋体"/>
                <w:color w:val="auto"/>
                <w:szCs w:val="21"/>
                <w:highlight w:val="none"/>
              </w:rPr>
              <w:t>电梯井口</w:t>
            </w:r>
          </w:p>
        </w:tc>
        <w:tc>
          <w:tcPr>
            <w:tcW w:w="6999" w:type="dxa"/>
            <w:vAlign w:val="center"/>
          </w:tcPr>
          <w:p w14:paraId="775786E8">
            <w:pPr>
              <w:pStyle w:val="447"/>
              <w:spacing w:line="300" w:lineRule="exact"/>
              <w:outlineLvl w:val="9"/>
              <w:rPr>
                <w:rFonts w:ascii="宋体"/>
                <w:color w:val="auto"/>
                <w:szCs w:val="21"/>
                <w:highlight w:val="none"/>
              </w:rPr>
            </w:pPr>
            <w:r>
              <w:rPr>
                <w:rFonts w:hint="eastAsia" w:ascii="宋体"/>
                <w:color w:val="auto"/>
                <w:szCs w:val="21"/>
                <w:highlight w:val="none"/>
              </w:rPr>
              <w:t>设置定型化、工具化的防护门，在电梯井内每隔2层（不大于10m）设置一道水平防护。</w:t>
            </w:r>
          </w:p>
        </w:tc>
      </w:tr>
      <w:tr w14:paraId="73878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C1C45A6">
            <w:pPr>
              <w:outlineLvl w:val="9"/>
              <w:rPr>
                <w:color w:val="auto"/>
                <w:highlight w:val="none"/>
              </w:rPr>
            </w:pPr>
          </w:p>
        </w:tc>
        <w:tc>
          <w:tcPr>
            <w:tcW w:w="525" w:type="dxa"/>
            <w:vMerge w:val="continue"/>
            <w:vAlign w:val="center"/>
          </w:tcPr>
          <w:p w14:paraId="48192961">
            <w:pPr>
              <w:outlineLvl w:val="9"/>
              <w:rPr>
                <w:color w:val="auto"/>
                <w:highlight w:val="none"/>
              </w:rPr>
            </w:pPr>
          </w:p>
        </w:tc>
        <w:tc>
          <w:tcPr>
            <w:tcW w:w="1545" w:type="dxa"/>
            <w:vAlign w:val="center"/>
          </w:tcPr>
          <w:p w14:paraId="4ECB4A0F">
            <w:pPr>
              <w:pStyle w:val="447"/>
              <w:spacing w:line="300" w:lineRule="exact"/>
              <w:outlineLvl w:val="9"/>
              <w:rPr>
                <w:rFonts w:ascii="宋体"/>
                <w:color w:val="auto"/>
                <w:szCs w:val="21"/>
                <w:highlight w:val="none"/>
              </w:rPr>
            </w:pPr>
            <w:r>
              <w:rPr>
                <w:rFonts w:hint="eastAsia" w:ascii="宋体"/>
                <w:color w:val="auto"/>
                <w:szCs w:val="21"/>
                <w:highlight w:val="none"/>
              </w:rPr>
              <w:t>楼梯边</w:t>
            </w:r>
          </w:p>
        </w:tc>
        <w:tc>
          <w:tcPr>
            <w:tcW w:w="6999" w:type="dxa"/>
            <w:vAlign w:val="center"/>
          </w:tcPr>
          <w:p w14:paraId="48C2B286">
            <w:pPr>
              <w:pStyle w:val="447"/>
              <w:spacing w:line="300" w:lineRule="exact"/>
              <w:outlineLvl w:val="9"/>
              <w:rPr>
                <w:rFonts w:ascii="宋体"/>
                <w:color w:val="auto"/>
                <w:szCs w:val="21"/>
                <w:highlight w:val="none"/>
              </w:rPr>
            </w:pPr>
            <w:r>
              <w:rPr>
                <w:rFonts w:hint="eastAsia" w:ascii="宋体"/>
                <w:color w:val="auto"/>
                <w:szCs w:val="21"/>
                <w:highlight w:val="none"/>
              </w:rPr>
              <w:t>设1.2m高的定型化、工具化的防护栏，18cm高的踢脚板。</w:t>
            </w:r>
          </w:p>
        </w:tc>
      </w:tr>
      <w:tr w14:paraId="019D7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7C9D2D70">
            <w:pPr>
              <w:outlineLvl w:val="9"/>
              <w:rPr>
                <w:color w:val="auto"/>
                <w:highlight w:val="none"/>
              </w:rPr>
            </w:pPr>
          </w:p>
        </w:tc>
        <w:tc>
          <w:tcPr>
            <w:tcW w:w="525" w:type="dxa"/>
            <w:vMerge w:val="continue"/>
            <w:vAlign w:val="center"/>
          </w:tcPr>
          <w:p w14:paraId="6BCDC371">
            <w:pPr>
              <w:outlineLvl w:val="9"/>
              <w:rPr>
                <w:color w:val="auto"/>
                <w:highlight w:val="none"/>
              </w:rPr>
            </w:pPr>
          </w:p>
        </w:tc>
        <w:tc>
          <w:tcPr>
            <w:tcW w:w="1545" w:type="dxa"/>
            <w:vAlign w:val="center"/>
          </w:tcPr>
          <w:p w14:paraId="0FA11DF3">
            <w:pPr>
              <w:pStyle w:val="447"/>
              <w:spacing w:line="300" w:lineRule="exact"/>
              <w:outlineLvl w:val="9"/>
              <w:rPr>
                <w:rFonts w:ascii="宋体"/>
                <w:color w:val="auto"/>
                <w:szCs w:val="21"/>
                <w:highlight w:val="none"/>
              </w:rPr>
            </w:pPr>
            <w:r>
              <w:rPr>
                <w:rFonts w:hint="eastAsia" w:ascii="宋体"/>
                <w:color w:val="auto"/>
                <w:szCs w:val="21"/>
                <w:highlight w:val="none"/>
              </w:rPr>
              <w:t>垂直方向交叉作业</w:t>
            </w:r>
          </w:p>
        </w:tc>
        <w:tc>
          <w:tcPr>
            <w:tcW w:w="6999" w:type="dxa"/>
            <w:vAlign w:val="center"/>
          </w:tcPr>
          <w:p w14:paraId="0BE50A6E">
            <w:pPr>
              <w:pStyle w:val="447"/>
              <w:spacing w:line="300" w:lineRule="exact"/>
              <w:outlineLvl w:val="9"/>
              <w:rPr>
                <w:rFonts w:ascii="宋体"/>
                <w:color w:val="auto"/>
                <w:szCs w:val="21"/>
                <w:highlight w:val="none"/>
              </w:rPr>
            </w:pPr>
            <w:r>
              <w:rPr>
                <w:rFonts w:hint="eastAsia" w:ascii="宋体"/>
                <w:color w:val="auto"/>
                <w:szCs w:val="21"/>
                <w:highlight w:val="none"/>
              </w:rPr>
              <w:t>设置防护隔离棚或其它设施。</w:t>
            </w:r>
          </w:p>
        </w:tc>
      </w:tr>
      <w:tr w14:paraId="6E562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11258361">
            <w:pPr>
              <w:outlineLvl w:val="9"/>
              <w:rPr>
                <w:color w:val="auto"/>
                <w:highlight w:val="none"/>
              </w:rPr>
            </w:pPr>
          </w:p>
        </w:tc>
        <w:tc>
          <w:tcPr>
            <w:tcW w:w="525" w:type="dxa"/>
            <w:vMerge w:val="continue"/>
            <w:vAlign w:val="center"/>
          </w:tcPr>
          <w:p w14:paraId="310E8815">
            <w:pPr>
              <w:outlineLvl w:val="9"/>
              <w:rPr>
                <w:color w:val="auto"/>
                <w:highlight w:val="none"/>
              </w:rPr>
            </w:pPr>
          </w:p>
        </w:tc>
        <w:tc>
          <w:tcPr>
            <w:tcW w:w="1545" w:type="dxa"/>
            <w:vAlign w:val="center"/>
          </w:tcPr>
          <w:p w14:paraId="236419D3">
            <w:pPr>
              <w:pStyle w:val="447"/>
              <w:spacing w:line="300" w:lineRule="exact"/>
              <w:outlineLvl w:val="9"/>
              <w:rPr>
                <w:rFonts w:ascii="宋体"/>
                <w:color w:val="auto"/>
                <w:szCs w:val="21"/>
                <w:highlight w:val="none"/>
              </w:rPr>
            </w:pPr>
            <w:r>
              <w:rPr>
                <w:rFonts w:hint="eastAsia" w:ascii="宋体"/>
                <w:color w:val="auto"/>
                <w:szCs w:val="21"/>
                <w:highlight w:val="none"/>
              </w:rPr>
              <w:t>高处作业</w:t>
            </w:r>
          </w:p>
        </w:tc>
        <w:tc>
          <w:tcPr>
            <w:tcW w:w="6999" w:type="dxa"/>
            <w:vAlign w:val="center"/>
          </w:tcPr>
          <w:p w14:paraId="67C6D88E">
            <w:pPr>
              <w:pStyle w:val="447"/>
              <w:spacing w:line="300" w:lineRule="exact"/>
              <w:outlineLvl w:val="9"/>
              <w:rPr>
                <w:rFonts w:ascii="宋体"/>
                <w:color w:val="auto"/>
                <w:szCs w:val="21"/>
                <w:highlight w:val="none"/>
              </w:rPr>
            </w:pPr>
            <w:r>
              <w:rPr>
                <w:rFonts w:hint="eastAsia" w:ascii="宋体"/>
                <w:color w:val="auto"/>
                <w:szCs w:val="21"/>
                <w:highlight w:val="none"/>
              </w:rPr>
              <w:t>有悬挂安全带的悬索或其它设施，有操作平台，有上下的梯子或其它形式的通道。</w:t>
            </w:r>
          </w:p>
        </w:tc>
      </w:tr>
      <w:tr w14:paraId="34D67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FE31AA6">
            <w:pPr>
              <w:outlineLvl w:val="9"/>
              <w:rPr>
                <w:color w:val="auto"/>
                <w:highlight w:val="none"/>
              </w:rPr>
            </w:pPr>
          </w:p>
        </w:tc>
        <w:tc>
          <w:tcPr>
            <w:tcW w:w="525" w:type="dxa"/>
            <w:vMerge w:val="continue"/>
            <w:vAlign w:val="center"/>
          </w:tcPr>
          <w:p w14:paraId="010BF17F">
            <w:pPr>
              <w:outlineLvl w:val="9"/>
              <w:rPr>
                <w:color w:val="auto"/>
                <w:highlight w:val="none"/>
              </w:rPr>
            </w:pPr>
          </w:p>
        </w:tc>
        <w:tc>
          <w:tcPr>
            <w:tcW w:w="1545" w:type="dxa"/>
            <w:vAlign w:val="center"/>
          </w:tcPr>
          <w:p w14:paraId="1EE9C314">
            <w:pPr>
              <w:pStyle w:val="447"/>
              <w:spacing w:line="300" w:lineRule="exact"/>
              <w:outlineLvl w:val="9"/>
              <w:rPr>
                <w:rFonts w:ascii="宋体"/>
                <w:color w:val="auto"/>
                <w:szCs w:val="21"/>
                <w:highlight w:val="none"/>
              </w:rPr>
            </w:pPr>
            <w:r>
              <w:rPr>
                <w:rFonts w:hint="eastAsia" w:ascii="宋体"/>
                <w:color w:val="auto"/>
                <w:szCs w:val="21"/>
                <w:highlight w:val="none"/>
              </w:rPr>
              <w:t>基坑、物料平台</w:t>
            </w:r>
          </w:p>
        </w:tc>
        <w:tc>
          <w:tcPr>
            <w:tcW w:w="6999" w:type="dxa"/>
            <w:vAlign w:val="center"/>
          </w:tcPr>
          <w:p w14:paraId="40495056">
            <w:pPr>
              <w:pStyle w:val="447"/>
              <w:spacing w:line="300" w:lineRule="exact"/>
              <w:outlineLvl w:val="9"/>
              <w:rPr>
                <w:rFonts w:ascii="宋体"/>
                <w:color w:val="auto"/>
                <w:szCs w:val="21"/>
                <w:highlight w:val="none"/>
              </w:rPr>
            </w:pPr>
            <w:r>
              <w:rPr>
                <w:rFonts w:hint="eastAsia" w:ascii="宋体"/>
                <w:color w:val="auto"/>
                <w:szCs w:val="21"/>
                <w:highlight w:val="none"/>
              </w:rPr>
              <w:t>设1.2m高标准化的防护栏，用密目式安全立网封闭，悬挂标识。</w:t>
            </w:r>
          </w:p>
        </w:tc>
      </w:tr>
      <w:tr w14:paraId="25679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7A7F243">
            <w:pPr>
              <w:outlineLvl w:val="9"/>
              <w:rPr>
                <w:color w:val="auto"/>
                <w:highlight w:val="none"/>
              </w:rPr>
            </w:pPr>
          </w:p>
        </w:tc>
        <w:tc>
          <w:tcPr>
            <w:tcW w:w="2070" w:type="dxa"/>
            <w:gridSpan w:val="2"/>
            <w:vAlign w:val="center"/>
          </w:tcPr>
          <w:p w14:paraId="749A5A95">
            <w:pPr>
              <w:pStyle w:val="447"/>
              <w:spacing w:line="300" w:lineRule="exact"/>
              <w:jc w:val="center"/>
              <w:outlineLvl w:val="9"/>
              <w:rPr>
                <w:rFonts w:ascii="宋体"/>
                <w:color w:val="auto"/>
                <w:szCs w:val="21"/>
                <w:highlight w:val="none"/>
              </w:rPr>
            </w:pPr>
            <w:r>
              <w:rPr>
                <w:rFonts w:hint="eastAsia" w:ascii="宋体"/>
                <w:color w:val="auto"/>
                <w:szCs w:val="21"/>
                <w:highlight w:val="none"/>
              </w:rPr>
              <w:t>安全防护用品</w:t>
            </w:r>
          </w:p>
        </w:tc>
        <w:tc>
          <w:tcPr>
            <w:tcW w:w="6999" w:type="dxa"/>
            <w:vAlign w:val="center"/>
          </w:tcPr>
          <w:p w14:paraId="30B22558">
            <w:pPr>
              <w:pStyle w:val="447"/>
              <w:spacing w:line="300" w:lineRule="exact"/>
              <w:outlineLvl w:val="9"/>
              <w:rPr>
                <w:rFonts w:ascii="宋体"/>
                <w:color w:val="auto"/>
                <w:szCs w:val="21"/>
                <w:highlight w:val="none"/>
              </w:rPr>
            </w:pPr>
            <w:r>
              <w:rPr>
                <w:rFonts w:hint="eastAsia" w:ascii="宋体"/>
                <w:color w:val="auto"/>
                <w:szCs w:val="21"/>
                <w:highlight w:val="none"/>
              </w:rPr>
              <w:t>安全帽、安全带、特种作业人员（电工、焊工、架子工等）防护服装、用品等。</w:t>
            </w:r>
          </w:p>
        </w:tc>
      </w:tr>
      <w:tr w14:paraId="6386E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38" w:type="dxa"/>
            <w:vMerge w:val="restart"/>
            <w:vAlign w:val="center"/>
          </w:tcPr>
          <w:p w14:paraId="7A91AA19">
            <w:pPr>
              <w:pStyle w:val="447"/>
              <w:spacing w:line="300" w:lineRule="exact"/>
              <w:jc w:val="center"/>
              <w:outlineLvl w:val="9"/>
              <w:rPr>
                <w:rFonts w:ascii="宋体"/>
                <w:color w:val="auto"/>
                <w:szCs w:val="21"/>
                <w:highlight w:val="none"/>
              </w:rPr>
            </w:pPr>
            <w:r>
              <w:rPr>
                <w:rFonts w:hint="eastAsia" w:ascii="宋体"/>
                <w:color w:val="auto"/>
                <w:szCs w:val="21"/>
                <w:highlight w:val="none"/>
              </w:rPr>
              <w:t>其它</w:t>
            </w:r>
          </w:p>
        </w:tc>
        <w:tc>
          <w:tcPr>
            <w:tcW w:w="525" w:type="dxa"/>
            <w:vMerge w:val="restart"/>
            <w:vAlign w:val="center"/>
          </w:tcPr>
          <w:p w14:paraId="52103D8D">
            <w:pPr>
              <w:pStyle w:val="447"/>
              <w:spacing w:line="300" w:lineRule="exact"/>
              <w:jc w:val="center"/>
              <w:outlineLvl w:val="9"/>
              <w:rPr>
                <w:rFonts w:ascii="宋体"/>
                <w:color w:val="auto"/>
                <w:szCs w:val="21"/>
                <w:highlight w:val="none"/>
              </w:rPr>
            </w:pPr>
            <w:r>
              <w:rPr>
                <w:rFonts w:hint="eastAsia" w:ascii="宋体"/>
                <w:color w:val="auto"/>
                <w:szCs w:val="21"/>
                <w:highlight w:val="none"/>
              </w:rPr>
              <w:t>机械设备防护</w:t>
            </w:r>
          </w:p>
        </w:tc>
        <w:tc>
          <w:tcPr>
            <w:tcW w:w="1545" w:type="dxa"/>
            <w:vAlign w:val="center"/>
          </w:tcPr>
          <w:p w14:paraId="477CAE9F">
            <w:pPr>
              <w:pStyle w:val="447"/>
              <w:spacing w:line="300" w:lineRule="exact"/>
              <w:jc w:val="center"/>
              <w:outlineLvl w:val="9"/>
              <w:rPr>
                <w:rFonts w:ascii="宋体"/>
                <w:color w:val="auto"/>
                <w:szCs w:val="21"/>
                <w:highlight w:val="none"/>
              </w:rPr>
            </w:pPr>
            <w:r>
              <w:rPr>
                <w:rFonts w:hint="eastAsia" w:ascii="宋体"/>
                <w:color w:val="auto"/>
                <w:szCs w:val="21"/>
                <w:highlight w:val="none"/>
              </w:rPr>
              <w:t>中小型机械</w:t>
            </w:r>
          </w:p>
        </w:tc>
        <w:tc>
          <w:tcPr>
            <w:tcW w:w="6999" w:type="dxa"/>
            <w:vAlign w:val="center"/>
          </w:tcPr>
          <w:p w14:paraId="1D6EF762">
            <w:pPr>
              <w:pStyle w:val="447"/>
              <w:spacing w:line="300" w:lineRule="exact"/>
              <w:outlineLvl w:val="9"/>
              <w:rPr>
                <w:rFonts w:ascii="宋体"/>
                <w:color w:val="auto"/>
                <w:szCs w:val="21"/>
                <w:highlight w:val="none"/>
              </w:rPr>
            </w:pPr>
            <w:r>
              <w:rPr>
                <w:rFonts w:hint="eastAsia" w:ascii="宋体"/>
                <w:color w:val="auto"/>
                <w:szCs w:val="21"/>
                <w:highlight w:val="none"/>
              </w:rPr>
              <w:t>设防护棚（同通道口防护并有防雨措施）。</w:t>
            </w:r>
          </w:p>
        </w:tc>
      </w:tr>
      <w:tr w14:paraId="77B28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65DFB7E4">
            <w:pPr>
              <w:outlineLvl w:val="9"/>
              <w:rPr>
                <w:color w:val="auto"/>
                <w:highlight w:val="none"/>
              </w:rPr>
            </w:pPr>
          </w:p>
        </w:tc>
        <w:tc>
          <w:tcPr>
            <w:tcW w:w="525" w:type="dxa"/>
            <w:vMerge w:val="continue"/>
            <w:vAlign w:val="center"/>
          </w:tcPr>
          <w:p w14:paraId="2235DA53">
            <w:pPr>
              <w:outlineLvl w:val="9"/>
              <w:rPr>
                <w:color w:val="auto"/>
                <w:highlight w:val="none"/>
              </w:rPr>
            </w:pPr>
          </w:p>
        </w:tc>
        <w:tc>
          <w:tcPr>
            <w:tcW w:w="1545" w:type="dxa"/>
            <w:vAlign w:val="center"/>
          </w:tcPr>
          <w:p w14:paraId="6277B2C7">
            <w:pPr>
              <w:pStyle w:val="447"/>
              <w:spacing w:line="300" w:lineRule="exact"/>
              <w:jc w:val="center"/>
              <w:outlineLvl w:val="9"/>
              <w:rPr>
                <w:rFonts w:ascii="宋体"/>
                <w:color w:val="auto"/>
                <w:szCs w:val="21"/>
                <w:highlight w:val="none"/>
              </w:rPr>
            </w:pPr>
            <w:r>
              <w:rPr>
                <w:rFonts w:hint="eastAsia" w:ascii="宋体"/>
                <w:color w:val="auto"/>
                <w:szCs w:val="21"/>
                <w:highlight w:val="none"/>
              </w:rPr>
              <w:t>垂直运输设备</w:t>
            </w:r>
          </w:p>
        </w:tc>
        <w:tc>
          <w:tcPr>
            <w:tcW w:w="6999" w:type="dxa"/>
            <w:vAlign w:val="center"/>
          </w:tcPr>
          <w:p w14:paraId="165A0F60">
            <w:pPr>
              <w:pStyle w:val="447"/>
              <w:spacing w:line="300" w:lineRule="exact"/>
              <w:outlineLvl w:val="9"/>
              <w:rPr>
                <w:rFonts w:ascii="宋体"/>
                <w:color w:val="auto"/>
                <w:szCs w:val="21"/>
                <w:highlight w:val="none"/>
              </w:rPr>
            </w:pPr>
            <w:r>
              <w:rPr>
                <w:rFonts w:hint="eastAsia" w:ascii="宋体"/>
                <w:color w:val="auto"/>
                <w:szCs w:val="21"/>
                <w:highlight w:val="none"/>
              </w:rPr>
              <w:t>1. 垂直运输设备检测、检验、日常维护、保养等。</w:t>
            </w:r>
          </w:p>
          <w:p w14:paraId="76A46AD2">
            <w:pPr>
              <w:pStyle w:val="447"/>
              <w:spacing w:line="300" w:lineRule="exact"/>
              <w:outlineLvl w:val="9"/>
              <w:rPr>
                <w:rFonts w:ascii="宋体"/>
                <w:color w:val="auto"/>
                <w:szCs w:val="21"/>
                <w:highlight w:val="none"/>
              </w:rPr>
            </w:pPr>
            <w:r>
              <w:rPr>
                <w:rFonts w:hint="eastAsia" w:ascii="宋体"/>
                <w:color w:val="auto"/>
                <w:szCs w:val="21"/>
                <w:highlight w:val="none"/>
              </w:rPr>
              <w:t>2. 物料提升机、施工电梯等物料平台搭设、外侧用密目式安全立网全封闭，有安全通道、安全防护门、防护棚等。</w:t>
            </w:r>
          </w:p>
        </w:tc>
      </w:tr>
      <w:tr w14:paraId="11934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4F4B0829">
            <w:pPr>
              <w:outlineLvl w:val="9"/>
              <w:rPr>
                <w:color w:val="auto"/>
                <w:highlight w:val="none"/>
              </w:rPr>
            </w:pPr>
          </w:p>
        </w:tc>
        <w:tc>
          <w:tcPr>
            <w:tcW w:w="2070" w:type="dxa"/>
            <w:gridSpan w:val="2"/>
            <w:vAlign w:val="center"/>
          </w:tcPr>
          <w:p w14:paraId="3D27A874">
            <w:pPr>
              <w:pStyle w:val="447"/>
              <w:spacing w:line="300" w:lineRule="exact"/>
              <w:jc w:val="center"/>
              <w:outlineLvl w:val="9"/>
              <w:rPr>
                <w:rFonts w:ascii="宋体"/>
                <w:color w:val="auto"/>
                <w:szCs w:val="21"/>
                <w:highlight w:val="none"/>
              </w:rPr>
            </w:pPr>
            <w:r>
              <w:rPr>
                <w:rFonts w:hint="eastAsia" w:ascii="宋体"/>
                <w:color w:val="auto"/>
                <w:szCs w:val="21"/>
                <w:highlight w:val="none"/>
              </w:rPr>
              <w:t>专家论证审查</w:t>
            </w:r>
          </w:p>
        </w:tc>
        <w:tc>
          <w:tcPr>
            <w:tcW w:w="6999" w:type="dxa"/>
            <w:vAlign w:val="center"/>
          </w:tcPr>
          <w:p w14:paraId="134F7548">
            <w:pPr>
              <w:pStyle w:val="447"/>
              <w:spacing w:line="300" w:lineRule="exact"/>
              <w:outlineLvl w:val="9"/>
              <w:rPr>
                <w:rFonts w:ascii="宋体"/>
                <w:color w:val="auto"/>
                <w:szCs w:val="21"/>
                <w:highlight w:val="none"/>
              </w:rPr>
            </w:pPr>
            <w:r>
              <w:rPr>
                <w:rFonts w:hint="eastAsia" w:ascii="宋体"/>
                <w:color w:val="auto"/>
                <w:szCs w:val="21"/>
                <w:highlight w:val="none"/>
              </w:rPr>
              <w:t>超过一定规模的危险性较大分部分项工程专家论证审查。</w:t>
            </w:r>
          </w:p>
        </w:tc>
      </w:tr>
      <w:tr w14:paraId="4F14F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0F17FCB8">
            <w:pPr>
              <w:outlineLvl w:val="9"/>
              <w:rPr>
                <w:color w:val="auto"/>
                <w:highlight w:val="none"/>
              </w:rPr>
            </w:pPr>
          </w:p>
        </w:tc>
        <w:tc>
          <w:tcPr>
            <w:tcW w:w="2070" w:type="dxa"/>
            <w:gridSpan w:val="2"/>
            <w:vAlign w:val="center"/>
          </w:tcPr>
          <w:p w14:paraId="1B7D4232">
            <w:pPr>
              <w:pStyle w:val="447"/>
              <w:spacing w:line="300" w:lineRule="exact"/>
              <w:jc w:val="center"/>
              <w:outlineLvl w:val="9"/>
              <w:rPr>
                <w:rFonts w:ascii="宋体"/>
                <w:color w:val="auto"/>
                <w:szCs w:val="21"/>
                <w:highlight w:val="none"/>
              </w:rPr>
            </w:pPr>
            <w:r>
              <w:rPr>
                <w:rFonts w:hint="eastAsia" w:ascii="宋体"/>
                <w:color w:val="auto"/>
                <w:szCs w:val="21"/>
                <w:highlight w:val="none"/>
              </w:rPr>
              <w:t>应急救援预案</w:t>
            </w:r>
          </w:p>
        </w:tc>
        <w:tc>
          <w:tcPr>
            <w:tcW w:w="6999" w:type="dxa"/>
            <w:vAlign w:val="center"/>
          </w:tcPr>
          <w:p w14:paraId="147B894B">
            <w:pPr>
              <w:pStyle w:val="447"/>
              <w:spacing w:line="300" w:lineRule="exact"/>
              <w:outlineLvl w:val="9"/>
              <w:rPr>
                <w:rFonts w:ascii="宋体"/>
                <w:color w:val="auto"/>
                <w:szCs w:val="21"/>
                <w:highlight w:val="none"/>
              </w:rPr>
            </w:pPr>
            <w:r>
              <w:rPr>
                <w:rFonts w:hint="eastAsia" w:ascii="宋体"/>
                <w:color w:val="auto"/>
                <w:szCs w:val="21"/>
                <w:highlight w:val="none"/>
              </w:rPr>
              <w:t>救援器材准备及演练等。</w:t>
            </w:r>
          </w:p>
        </w:tc>
      </w:tr>
      <w:tr w14:paraId="4CDE9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106CBE9">
            <w:pPr>
              <w:outlineLvl w:val="9"/>
              <w:rPr>
                <w:color w:val="auto"/>
                <w:highlight w:val="none"/>
              </w:rPr>
            </w:pPr>
          </w:p>
        </w:tc>
        <w:tc>
          <w:tcPr>
            <w:tcW w:w="2070" w:type="dxa"/>
            <w:gridSpan w:val="2"/>
            <w:vAlign w:val="center"/>
          </w:tcPr>
          <w:p w14:paraId="6A4C8AB3">
            <w:pPr>
              <w:pStyle w:val="447"/>
              <w:spacing w:line="300" w:lineRule="exact"/>
              <w:jc w:val="center"/>
              <w:outlineLvl w:val="9"/>
              <w:rPr>
                <w:rFonts w:ascii="宋体"/>
                <w:color w:val="auto"/>
                <w:szCs w:val="21"/>
                <w:highlight w:val="none"/>
              </w:rPr>
            </w:pPr>
            <w:r>
              <w:rPr>
                <w:rFonts w:hint="eastAsia" w:ascii="宋体"/>
                <w:color w:val="auto"/>
                <w:szCs w:val="21"/>
                <w:highlight w:val="none"/>
              </w:rPr>
              <w:t>非正常情况施工</w:t>
            </w:r>
          </w:p>
        </w:tc>
        <w:tc>
          <w:tcPr>
            <w:tcW w:w="6999" w:type="dxa"/>
            <w:vAlign w:val="center"/>
          </w:tcPr>
          <w:p w14:paraId="2C6B389F">
            <w:pPr>
              <w:pStyle w:val="447"/>
              <w:spacing w:line="300" w:lineRule="exact"/>
              <w:outlineLvl w:val="9"/>
              <w:rPr>
                <w:rFonts w:ascii="宋体"/>
                <w:color w:val="auto"/>
                <w:szCs w:val="21"/>
                <w:highlight w:val="none"/>
              </w:rPr>
            </w:pPr>
            <w:r>
              <w:rPr>
                <w:rFonts w:hint="eastAsia" w:ascii="宋体"/>
                <w:color w:val="auto"/>
                <w:szCs w:val="21"/>
                <w:highlight w:val="none"/>
              </w:rPr>
              <w:t>其它特殊情况下的防护费用，如：城市主干道、人流密集、河边等处施工及文物、古建筑、古树保护等。</w:t>
            </w:r>
          </w:p>
        </w:tc>
      </w:tr>
    </w:tbl>
    <w:p w14:paraId="42FC29CD">
      <w:pPr>
        <w:ind w:firstLine="2310" w:firstLineChars="1100"/>
        <w:outlineLvl w:val="9"/>
        <w:rPr>
          <w:rFonts w:ascii="宋体"/>
          <w:color w:val="auto"/>
          <w:highlight w:val="none"/>
        </w:rPr>
      </w:pPr>
    </w:p>
    <w:p w14:paraId="3C21771B">
      <w:pPr>
        <w:ind w:firstLine="420" w:firstLineChars="200"/>
        <w:outlineLvl w:val="9"/>
        <w:rPr>
          <w:rFonts w:hint="eastAsia" w:ascii="宋体"/>
          <w:color w:val="auto"/>
          <w:highlight w:val="none"/>
        </w:rPr>
      </w:pPr>
      <w:r>
        <w:rPr>
          <w:rFonts w:hint="eastAsia" w:ascii="宋体"/>
          <w:color w:val="auto"/>
          <w:highlight w:val="none"/>
        </w:rPr>
        <w:t>注：本表所列建设工程安全文明施工费，是依据现行律法规及标准规范确定的。如法律法规和标准规范修订，本表所列项目应按照修订后的法律法规和标准规范进行调整。</w:t>
      </w:r>
    </w:p>
    <w:p w14:paraId="5FE35E6B">
      <w:pPr>
        <w:pStyle w:val="37"/>
        <w:outlineLvl w:val="9"/>
        <w:rPr>
          <w:rFonts w:hint="eastAsia" w:ascii="宋体"/>
          <w:color w:val="auto"/>
          <w:highlight w:val="none"/>
        </w:rPr>
      </w:pPr>
    </w:p>
    <w:p w14:paraId="1F92B612">
      <w:pPr>
        <w:pStyle w:val="37"/>
        <w:outlineLvl w:val="9"/>
        <w:rPr>
          <w:rFonts w:hint="eastAsia" w:ascii="宋体"/>
          <w:color w:val="auto"/>
          <w:highlight w:val="none"/>
        </w:rPr>
      </w:pPr>
    </w:p>
    <w:p w14:paraId="646B1651">
      <w:pPr>
        <w:pStyle w:val="37"/>
        <w:outlineLvl w:val="9"/>
        <w:rPr>
          <w:rFonts w:hint="eastAsia" w:ascii="宋体"/>
          <w:color w:val="auto"/>
          <w:highlight w:val="none"/>
        </w:rPr>
      </w:pPr>
    </w:p>
    <w:p w14:paraId="7CE4808F">
      <w:pPr>
        <w:pStyle w:val="37"/>
        <w:outlineLvl w:val="9"/>
        <w:rPr>
          <w:rFonts w:hint="eastAsia" w:ascii="宋体"/>
          <w:color w:val="auto"/>
          <w:highlight w:val="none"/>
        </w:rPr>
      </w:pPr>
    </w:p>
    <w:p w14:paraId="5B179C25">
      <w:pPr>
        <w:pStyle w:val="37"/>
        <w:outlineLvl w:val="9"/>
        <w:rPr>
          <w:rFonts w:hint="eastAsia" w:ascii="宋体"/>
          <w:color w:val="auto"/>
          <w:highlight w:val="none"/>
        </w:rPr>
      </w:pPr>
    </w:p>
    <w:p w14:paraId="36E10069">
      <w:pPr>
        <w:pStyle w:val="37"/>
        <w:outlineLvl w:val="9"/>
        <w:rPr>
          <w:rFonts w:hint="eastAsia" w:ascii="宋体"/>
          <w:color w:val="auto"/>
          <w:highlight w:val="none"/>
        </w:rPr>
      </w:pPr>
    </w:p>
    <w:p w14:paraId="495269E8">
      <w:pPr>
        <w:pStyle w:val="37"/>
        <w:outlineLvl w:val="9"/>
        <w:rPr>
          <w:rFonts w:hint="eastAsia" w:ascii="宋体"/>
          <w:color w:val="auto"/>
          <w:highlight w:val="none"/>
        </w:rPr>
      </w:pPr>
    </w:p>
    <w:p w14:paraId="0EE3046C">
      <w:pPr>
        <w:pStyle w:val="37"/>
        <w:outlineLvl w:val="9"/>
        <w:rPr>
          <w:rFonts w:hint="eastAsia" w:ascii="宋体"/>
          <w:color w:val="auto"/>
          <w:highlight w:val="none"/>
        </w:rPr>
      </w:pPr>
    </w:p>
    <w:p w14:paraId="3F394621">
      <w:pPr>
        <w:pStyle w:val="37"/>
        <w:outlineLvl w:val="9"/>
        <w:rPr>
          <w:rFonts w:hint="eastAsia" w:ascii="宋体"/>
          <w:color w:val="auto"/>
          <w:highlight w:val="none"/>
        </w:rPr>
      </w:pPr>
    </w:p>
    <w:p w14:paraId="798C9FB3">
      <w:pPr>
        <w:pStyle w:val="37"/>
        <w:outlineLvl w:val="9"/>
        <w:rPr>
          <w:rFonts w:hint="eastAsia" w:ascii="宋体"/>
          <w:color w:val="auto"/>
          <w:highlight w:val="none"/>
        </w:rPr>
      </w:pPr>
    </w:p>
    <w:bookmarkEnd w:id="1878"/>
    <w:bookmarkEnd w:id="1879"/>
    <w:bookmarkEnd w:id="1880"/>
    <w:p w14:paraId="31BE3B73">
      <w:pPr>
        <w:pStyle w:val="37"/>
        <w:numPr>
          <w:ilvl w:val="0"/>
          <w:numId w:val="0"/>
        </w:numPr>
        <w:ind w:right="69" w:rightChars="0"/>
        <w:outlineLvl w:val="9"/>
        <w:rPr>
          <w:color w:val="auto"/>
          <w:sz w:val="28"/>
          <w:szCs w:val="28"/>
          <w:highlight w:val="none"/>
        </w:rPr>
      </w:pPr>
      <w:r>
        <w:rPr>
          <w:rFonts w:hint="eastAsia" w:ascii="宋体" w:hAnsi="宋体" w:cs="Times New Roman"/>
          <w:color w:val="auto"/>
          <w:sz w:val="28"/>
          <w:szCs w:val="28"/>
          <w:highlight w:val="none"/>
          <w:lang w:eastAsia="zh-CN"/>
        </w:rPr>
        <w:t>防城港</w:t>
      </w:r>
      <w:r>
        <w:rPr>
          <w:rFonts w:hint="eastAsia" w:ascii="宋体" w:hAnsi="宋体" w:cs="Times New Roman"/>
          <w:color w:val="auto"/>
          <w:sz w:val="28"/>
          <w:szCs w:val="28"/>
          <w:highlight w:val="none"/>
        </w:rPr>
        <w:t>市政府采购供应商信用承诺函</w:t>
      </w:r>
      <w:r>
        <w:rPr>
          <w:rFonts w:hint="eastAsia"/>
          <w:color w:val="auto"/>
          <w:sz w:val="28"/>
          <w:szCs w:val="28"/>
          <w:highlight w:val="none"/>
        </w:rPr>
        <w:t>；</w:t>
      </w:r>
    </w:p>
    <w:p w14:paraId="46286173">
      <w:pPr>
        <w:pStyle w:val="37"/>
        <w:ind w:left="0"/>
        <w:outlineLvl w:val="9"/>
        <w:rPr>
          <w:color w:val="auto"/>
          <w:sz w:val="28"/>
          <w:szCs w:val="28"/>
          <w:highlight w:val="none"/>
        </w:rPr>
      </w:pPr>
    </w:p>
    <w:p w14:paraId="40C54A8C">
      <w:pPr>
        <w:pStyle w:val="37"/>
        <w:ind w:left="0"/>
        <w:outlineLvl w:val="9"/>
        <w:rPr>
          <w:color w:val="auto"/>
          <w:sz w:val="28"/>
          <w:szCs w:val="28"/>
          <w:highlight w:val="none"/>
        </w:rPr>
      </w:pPr>
    </w:p>
    <w:p w14:paraId="0CD4A3B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方正小标宋简体" w:hAnsi="仿宋" w:eastAsia="方正小标宋简体"/>
          <w:color w:val="auto"/>
          <w:sz w:val="36"/>
          <w:szCs w:val="36"/>
          <w:highlight w:val="none"/>
        </w:rPr>
      </w:pPr>
      <w:r>
        <w:rPr>
          <w:rFonts w:hint="eastAsia" w:ascii="方正小标宋简体" w:hAnsi="仿宋" w:eastAsia="方正小标宋简体"/>
          <w:color w:val="auto"/>
          <w:sz w:val="36"/>
          <w:szCs w:val="36"/>
          <w:highlight w:val="none"/>
          <w:lang w:eastAsia="zh-CN"/>
        </w:rPr>
        <w:t>防城港</w:t>
      </w:r>
      <w:r>
        <w:rPr>
          <w:rFonts w:hint="eastAsia" w:ascii="方正小标宋简体" w:hAnsi="仿宋" w:eastAsia="方正小标宋简体"/>
          <w:color w:val="auto"/>
          <w:sz w:val="36"/>
          <w:szCs w:val="36"/>
          <w:highlight w:val="none"/>
        </w:rPr>
        <w:t>市政府采购供应商信用承诺函（格式</w:t>
      </w:r>
      <w:r>
        <w:rPr>
          <w:rFonts w:ascii="方正小标宋简体" w:hAnsi="仿宋" w:eastAsia="方正小标宋简体"/>
          <w:color w:val="auto"/>
          <w:sz w:val="36"/>
          <w:szCs w:val="36"/>
          <w:highlight w:val="none"/>
        </w:rPr>
        <w:t>）</w:t>
      </w:r>
    </w:p>
    <w:p w14:paraId="69715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黑体" w:eastAsia="仿宋_GB2312"/>
          <w:color w:val="auto"/>
          <w:sz w:val="32"/>
          <w:szCs w:val="32"/>
          <w:highlight w:val="none"/>
        </w:rPr>
      </w:pPr>
    </w:p>
    <w:p w14:paraId="6736E16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致（采购人或采购代理机构）</w:t>
      </w:r>
      <w:r>
        <w:rPr>
          <w:rFonts w:ascii="仿宋_GB2312" w:hAnsi="黑体" w:eastAsia="仿宋_GB2312"/>
          <w:color w:val="auto"/>
          <w:sz w:val="24"/>
          <w:szCs w:val="24"/>
          <w:highlight w:val="none"/>
        </w:rPr>
        <w:t xml:space="preserve"> ：</w:t>
      </w:r>
    </w:p>
    <w:p w14:paraId="784801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我方自愿参加</w:t>
      </w:r>
      <w:r>
        <w:rPr>
          <w:rFonts w:hint="eastAsia" w:ascii="仿宋_GB2312" w:hAnsi="黑体" w:eastAsia="仿宋_GB2312"/>
          <w:color w:val="auto"/>
          <w:sz w:val="24"/>
          <w:szCs w:val="24"/>
          <w:highlight w:val="none"/>
          <w:u w:val="single"/>
          <w:lang w:val="en-US" w:eastAsia="zh-CN"/>
        </w:rPr>
        <w:t xml:space="preserve"> （项目名称） </w:t>
      </w:r>
      <w:r>
        <w:rPr>
          <w:rFonts w:hint="eastAsia" w:ascii="仿宋_GB2312" w:hAnsi="黑体" w:eastAsia="仿宋_GB2312"/>
          <w:color w:val="auto"/>
          <w:sz w:val="24"/>
          <w:szCs w:val="24"/>
          <w:highlight w:val="none"/>
          <w:lang w:val="en-US" w:eastAsia="zh-CN"/>
        </w:rPr>
        <w:t>项目</w:t>
      </w:r>
      <w:r>
        <w:rPr>
          <w:rFonts w:hint="eastAsia" w:ascii="仿宋_GB2312" w:hAnsi="黑体" w:eastAsia="仿宋_GB2312"/>
          <w:color w:val="auto"/>
          <w:sz w:val="24"/>
          <w:szCs w:val="24"/>
          <w:highlight w:val="none"/>
        </w:rPr>
        <w:t>（</w:t>
      </w:r>
      <w:r>
        <w:rPr>
          <w:rFonts w:hint="eastAsia" w:ascii="仿宋_GB2312" w:hAnsi="黑体" w:eastAsia="仿宋_GB2312"/>
          <w:color w:val="auto"/>
          <w:sz w:val="24"/>
          <w:szCs w:val="24"/>
          <w:highlight w:val="none"/>
          <w:u w:val="single"/>
        </w:rPr>
        <w:t xml:space="preserve">项目编号：       </w:t>
      </w:r>
      <w:r>
        <w:rPr>
          <w:rFonts w:hint="eastAsia" w:ascii="仿宋_GB2312" w:hAnsi="黑体" w:eastAsia="仿宋_GB2312"/>
          <w:color w:val="auto"/>
          <w:sz w:val="24"/>
          <w:szCs w:val="24"/>
          <w:highlight w:val="none"/>
          <w:u w:val="single"/>
          <w:lang w:val="en-US" w:eastAsia="zh-CN"/>
        </w:rPr>
        <w:t xml:space="preserve">  </w:t>
      </w:r>
      <w:r>
        <w:rPr>
          <w:rFonts w:hint="eastAsia" w:ascii="仿宋_GB2312" w:hAnsi="黑体" w:eastAsia="仿宋_GB2312"/>
          <w:color w:val="auto"/>
          <w:sz w:val="24"/>
          <w:szCs w:val="24"/>
          <w:highlight w:val="none"/>
        </w:rPr>
        <w:t>）</w:t>
      </w:r>
      <w:r>
        <w:rPr>
          <w:rFonts w:hint="eastAsia" w:ascii="仿宋_GB2312" w:hAnsi="黑体" w:eastAsia="仿宋_GB2312"/>
          <w:color w:val="auto"/>
          <w:sz w:val="24"/>
          <w:szCs w:val="24"/>
          <w:highlight w:val="none"/>
          <w:lang w:val="en-US" w:eastAsia="zh-CN"/>
        </w:rPr>
        <w:t xml:space="preserve">的政府采购活动，严格遵守《中华人民共和国政府采购法》及相关法律法规，依法诚信经营，无条件遵守本次政府采购活动的各项规定，并郑重承诺： </w:t>
      </w:r>
    </w:p>
    <w:p w14:paraId="42EC21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 xml:space="preserve">1.我方具有符合采购文件资格要求的财务状况报告。 </w:t>
      </w:r>
    </w:p>
    <w:p w14:paraId="0FCE44E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 xml:space="preserve">2.我方具有符合采购文件资格要求的依法缴纳税收和社会保障资金的良好记录。 </w:t>
      </w:r>
    </w:p>
    <w:p w14:paraId="2B81BA8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 xml:space="preserve">3.我方参加政府采购活动前三年内在经营活动中没有重大违法记录。 </w:t>
      </w:r>
    </w:p>
    <w:p w14:paraId="6FD0CEF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color w:val="auto"/>
          <w:sz w:val="24"/>
          <w:szCs w:val="24"/>
          <w:highlight w:val="none"/>
        </w:rPr>
      </w:pPr>
      <w:r>
        <w:rPr>
          <w:rFonts w:hint="eastAsia" w:ascii="仿宋_GB2312" w:hAnsi="黑体" w:eastAsia="仿宋_GB2312"/>
          <w:color w:val="auto"/>
          <w:sz w:val="24"/>
          <w:szCs w:val="24"/>
          <w:highlight w:val="none"/>
          <w:lang w:val="en-US" w:eastAsia="zh-CN"/>
        </w:rPr>
        <w:t>我方对以上承诺内容的真实性负责。如有虚假，将依法承担相应责任。</w:t>
      </w:r>
    </w:p>
    <w:p w14:paraId="3D66B441">
      <w:pPr>
        <w:keepNext w:val="0"/>
        <w:keepLines w:val="0"/>
        <w:pageBreakBefore w:val="0"/>
        <w:widowControl w:val="0"/>
        <w:kinsoku/>
        <w:wordWrap/>
        <w:overflowPunct/>
        <w:topLinePunct w:val="0"/>
        <w:autoSpaceDE/>
        <w:autoSpaceDN/>
        <w:bidi w:val="0"/>
        <w:adjustRightInd/>
        <w:snapToGrid/>
        <w:spacing w:line="520" w:lineRule="exact"/>
        <w:ind w:firstLine="2760" w:firstLineChars="1150"/>
        <w:textAlignment w:val="auto"/>
        <w:outlineLvl w:val="9"/>
        <w:rPr>
          <w:rFonts w:hint="eastAsia" w:ascii="仿宋_GB2312" w:hAnsi="黑体" w:eastAsia="仿宋_GB2312"/>
          <w:color w:val="auto"/>
          <w:sz w:val="24"/>
          <w:szCs w:val="24"/>
          <w:highlight w:val="none"/>
        </w:rPr>
      </w:pPr>
    </w:p>
    <w:p w14:paraId="04FCB29F">
      <w:pPr>
        <w:keepNext w:val="0"/>
        <w:keepLines w:val="0"/>
        <w:pageBreakBefore w:val="0"/>
        <w:widowControl w:val="0"/>
        <w:kinsoku/>
        <w:wordWrap/>
        <w:overflowPunct/>
        <w:topLinePunct w:val="0"/>
        <w:autoSpaceDE/>
        <w:autoSpaceDN/>
        <w:bidi w:val="0"/>
        <w:adjustRightInd/>
        <w:snapToGrid/>
        <w:spacing w:line="520" w:lineRule="exact"/>
        <w:ind w:firstLine="2760" w:firstLineChars="1150"/>
        <w:textAlignment w:val="auto"/>
        <w:outlineLvl w:val="9"/>
        <w:rPr>
          <w:rFonts w:hint="eastAsia" w:ascii="仿宋_GB2312" w:hAnsi="黑体" w:eastAsia="仿宋_GB2312"/>
          <w:color w:val="auto"/>
          <w:sz w:val="24"/>
          <w:szCs w:val="24"/>
          <w:highlight w:val="none"/>
        </w:rPr>
      </w:pPr>
    </w:p>
    <w:p w14:paraId="644177EC">
      <w:pPr>
        <w:keepNext w:val="0"/>
        <w:keepLines w:val="0"/>
        <w:pageBreakBefore w:val="0"/>
        <w:widowControl w:val="0"/>
        <w:kinsoku/>
        <w:wordWrap/>
        <w:overflowPunct/>
        <w:topLinePunct w:val="0"/>
        <w:autoSpaceDE/>
        <w:autoSpaceDN/>
        <w:bidi w:val="0"/>
        <w:adjustRightInd/>
        <w:snapToGrid/>
        <w:spacing w:line="520" w:lineRule="exact"/>
        <w:ind w:firstLine="2760" w:firstLineChars="1150"/>
        <w:textAlignment w:val="auto"/>
        <w:outlineLvl w:val="9"/>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供应商名称（公章）：</w:t>
      </w:r>
    </w:p>
    <w:p w14:paraId="263C2507">
      <w:pPr>
        <w:keepNext w:val="0"/>
        <w:keepLines w:val="0"/>
        <w:pageBreakBefore w:val="0"/>
        <w:widowControl w:val="0"/>
        <w:kinsoku/>
        <w:wordWrap/>
        <w:overflowPunct/>
        <w:topLinePunct w:val="0"/>
        <w:autoSpaceDE/>
        <w:autoSpaceDN/>
        <w:bidi w:val="0"/>
        <w:adjustRightInd/>
        <w:snapToGrid/>
        <w:spacing w:line="600" w:lineRule="exact"/>
        <w:ind w:firstLine="2640" w:firstLineChars="1100"/>
        <w:textAlignment w:val="auto"/>
        <w:outlineLvl w:val="9"/>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统一社会信用代码：</w:t>
      </w:r>
    </w:p>
    <w:p w14:paraId="46550CF4">
      <w:pPr>
        <w:keepNext w:val="0"/>
        <w:keepLines w:val="0"/>
        <w:pageBreakBefore w:val="0"/>
        <w:widowControl w:val="0"/>
        <w:kinsoku/>
        <w:wordWrap/>
        <w:overflowPunct/>
        <w:topLinePunct w:val="0"/>
        <w:autoSpaceDE/>
        <w:autoSpaceDN/>
        <w:bidi w:val="0"/>
        <w:adjustRightInd/>
        <w:snapToGrid/>
        <w:spacing w:line="520" w:lineRule="exact"/>
        <w:ind w:firstLine="1680" w:firstLineChars="700"/>
        <w:textAlignment w:val="auto"/>
        <w:outlineLvl w:val="9"/>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法定代表人或授权代表</w:t>
      </w:r>
      <w:r>
        <w:rPr>
          <w:rFonts w:ascii="仿宋_GB2312" w:hAnsi="黑体" w:eastAsia="仿宋_GB2312"/>
          <w:color w:val="auto"/>
          <w:sz w:val="24"/>
          <w:szCs w:val="24"/>
          <w:highlight w:val="none"/>
        </w:rPr>
        <w:t>(签</w:t>
      </w:r>
      <w:r>
        <w:rPr>
          <w:rFonts w:hint="eastAsia" w:ascii="仿宋_GB2312" w:hAnsi="黑体" w:eastAsia="仿宋_GB2312"/>
          <w:color w:val="auto"/>
          <w:sz w:val="24"/>
          <w:szCs w:val="24"/>
          <w:highlight w:val="none"/>
        </w:rPr>
        <w:t>名)</w:t>
      </w:r>
      <w:r>
        <w:rPr>
          <w:rFonts w:ascii="仿宋_GB2312" w:hAnsi="黑体" w:eastAsia="仿宋_GB2312"/>
          <w:color w:val="auto"/>
          <w:sz w:val="24"/>
          <w:szCs w:val="24"/>
          <w:highlight w:val="none"/>
        </w:rPr>
        <w:t>：</w:t>
      </w:r>
    </w:p>
    <w:p w14:paraId="193FBA81">
      <w:pPr>
        <w:keepNext w:val="0"/>
        <w:keepLines w:val="0"/>
        <w:pageBreakBefore w:val="0"/>
        <w:widowControl w:val="0"/>
        <w:kinsoku/>
        <w:wordWrap/>
        <w:overflowPunct/>
        <w:topLinePunct w:val="0"/>
        <w:autoSpaceDE/>
        <w:autoSpaceDN/>
        <w:bidi w:val="0"/>
        <w:adjustRightInd/>
        <w:snapToGrid/>
        <w:spacing w:line="520" w:lineRule="exact"/>
        <w:ind w:firstLine="3120" w:firstLineChars="1300"/>
        <w:textAlignment w:val="auto"/>
        <w:outlineLvl w:val="9"/>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日期：</w:t>
      </w:r>
      <w:r>
        <w:rPr>
          <w:rFonts w:ascii="仿宋_GB2312" w:hAnsi="黑体" w:eastAsia="仿宋_GB2312"/>
          <w:color w:val="auto"/>
          <w:sz w:val="24"/>
          <w:szCs w:val="24"/>
          <w:highlight w:val="none"/>
        </w:rPr>
        <w:t xml:space="preserve"> </w:t>
      </w:r>
      <w:r>
        <w:rPr>
          <w:rFonts w:hint="eastAsia" w:ascii="仿宋_GB2312" w:hAnsi="黑体" w:eastAsia="仿宋_GB2312"/>
          <w:color w:val="auto"/>
          <w:sz w:val="24"/>
          <w:szCs w:val="24"/>
          <w:highlight w:val="none"/>
          <w:lang w:val="en-US" w:eastAsia="zh-CN"/>
        </w:rPr>
        <w:t xml:space="preserve">   </w:t>
      </w:r>
      <w:r>
        <w:rPr>
          <w:rFonts w:ascii="仿宋_GB2312" w:hAnsi="黑体" w:eastAsia="仿宋_GB2312"/>
          <w:color w:val="auto"/>
          <w:sz w:val="24"/>
          <w:szCs w:val="24"/>
          <w:highlight w:val="none"/>
        </w:rPr>
        <w:t>年 月 日</w:t>
      </w:r>
    </w:p>
    <w:p w14:paraId="628C74C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ascii="仿宋_GB2312" w:hAnsi="黑体" w:eastAsia="仿宋_GB2312"/>
          <w:color w:val="auto"/>
          <w:sz w:val="24"/>
          <w:szCs w:val="24"/>
          <w:highlight w:val="none"/>
        </w:rPr>
      </w:pPr>
    </w:p>
    <w:p w14:paraId="448F1F1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注：</w:t>
      </w:r>
      <w:r>
        <w:rPr>
          <w:rFonts w:ascii="仿宋_GB2312" w:hAnsi="黑体" w:eastAsia="仿宋_GB2312"/>
          <w:color w:val="auto"/>
          <w:sz w:val="24"/>
          <w:szCs w:val="24"/>
          <w:highlight w:val="none"/>
        </w:rPr>
        <w:t>1.供应商须在投标</w:t>
      </w:r>
      <w:r>
        <w:rPr>
          <w:rFonts w:hint="eastAsia" w:ascii="仿宋_GB2312" w:hAnsi="黑体" w:eastAsia="仿宋_GB2312"/>
          <w:color w:val="auto"/>
          <w:sz w:val="24"/>
          <w:szCs w:val="24"/>
          <w:highlight w:val="none"/>
        </w:rPr>
        <w:t>（响应）</w:t>
      </w:r>
      <w:r>
        <w:rPr>
          <w:rFonts w:ascii="仿宋_GB2312" w:hAnsi="黑体" w:eastAsia="仿宋_GB2312"/>
          <w:color w:val="auto"/>
          <w:sz w:val="24"/>
          <w:szCs w:val="24"/>
          <w:highlight w:val="none"/>
        </w:rPr>
        <w:t>文件中按此模板提供承诺函，未提供</w:t>
      </w:r>
      <w:r>
        <w:rPr>
          <w:rFonts w:hint="eastAsia" w:ascii="仿宋_GB2312" w:hAnsi="黑体" w:eastAsia="仿宋_GB2312"/>
          <w:color w:val="auto"/>
          <w:sz w:val="24"/>
          <w:szCs w:val="24"/>
          <w:highlight w:val="none"/>
        </w:rPr>
        <w:t>视为未实质性响应招标（采购）文件要求，按无效投标（响应）处理。</w:t>
      </w:r>
    </w:p>
    <w:p w14:paraId="76140AFB">
      <w:pPr>
        <w:pStyle w:val="37"/>
        <w:ind w:left="0" w:firstLine="964" w:firstLineChars="400"/>
        <w:outlineLvl w:val="9"/>
        <w:rPr>
          <w:color w:val="auto"/>
          <w:sz w:val="28"/>
          <w:szCs w:val="28"/>
          <w:highlight w:val="none"/>
        </w:rPr>
      </w:pPr>
      <w:r>
        <w:rPr>
          <w:rFonts w:ascii="仿宋_GB2312" w:hAnsi="黑体" w:eastAsia="仿宋_GB2312" w:cs="Times New Roman"/>
          <w:color w:val="auto"/>
          <w:sz w:val="24"/>
          <w:szCs w:val="24"/>
          <w:highlight w:val="none"/>
        </w:rPr>
        <w:t>2.供应商的法定代表人（其他组织的为负责人）或者授</w:t>
      </w:r>
      <w:r>
        <w:rPr>
          <w:rFonts w:hint="eastAsia" w:ascii="仿宋_GB2312" w:hAnsi="黑体" w:eastAsia="仿宋_GB2312" w:cs="Times New Roman"/>
          <w:color w:val="auto"/>
          <w:sz w:val="24"/>
          <w:szCs w:val="24"/>
          <w:highlight w:val="none"/>
        </w:rPr>
        <w:t>权代表的签名或盖章应真实、有效，如由授权代表签名或盖章的，应提供“法定代表人授权书”。</w:t>
      </w:r>
    </w:p>
    <w:p w14:paraId="5074DD83">
      <w:pPr>
        <w:outlineLvl w:val="9"/>
        <w:rPr>
          <w:rFonts w:hint="eastAsia" w:ascii="宋体"/>
          <w:b/>
          <w:color w:val="auto"/>
          <w:sz w:val="28"/>
          <w:szCs w:val="28"/>
          <w:highlight w:val="none"/>
          <w:lang w:val="en-US" w:eastAsia="zh-CN"/>
        </w:rPr>
      </w:pPr>
      <w:r>
        <w:rPr>
          <w:rFonts w:hint="eastAsia" w:ascii="宋体"/>
          <w:b/>
          <w:color w:val="auto"/>
          <w:sz w:val="28"/>
          <w:szCs w:val="28"/>
          <w:highlight w:val="none"/>
          <w:lang w:val="en-US" w:eastAsia="zh-CN"/>
        </w:rPr>
        <w:br w:type="page"/>
      </w:r>
    </w:p>
    <w:p w14:paraId="6EAD3360">
      <w:pPr>
        <w:spacing w:line="320" w:lineRule="exact"/>
        <w:jc w:val="center"/>
        <w:outlineLvl w:val="9"/>
        <w:rPr>
          <w:rFonts w:hint="eastAsia" w:ascii="宋体" w:hAnsi="宋体"/>
          <w:b/>
          <w:color w:val="auto"/>
          <w:sz w:val="32"/>
          <w:szCs w:val="32"/>
        </w:rPr>
      </w:pPr>
      <w:r>
        <w:rPr>
          <w:rFonts w:hint="eastAsia" w:ascii="宋体" w:hAnsi="宋体"/>
          <w:b/>
          <w:color w:val="auto"/>
          <w:sz w:val="32"/>
          <w:szCs w:val="32"/>
        </w:rPr>
        <w:t>供应商直接控股、管理关系信息表</w:t>
      </w:r>
    </w:p>
    <w:p w14:paraId="659C491F">
      <w:pPr>
        <w:snapToGrid w:val="0"/>
        <w:spacing w:before="120" w:beforeLines="50" w:after="50" w:line="360" w:lineRule="auto"/>
        <w:jc w:val="center"/>
        <w:outlineLvl w:val="9"/>
        <w:rPr>
          <w:rFonts w:hint="eastAsia" w:ascii="宋体" w:hAnsi="宋体"/>
          <w:b/>
          <w:color w:val="auto"/>
          <w:sz w:val="24"/>
        </w:rPr>
      </w:pPr>
    </w:p>
    <w:p w14:paraId="3C47FE66">
      <w:pPr>
        <w:spacing w:line="360" w:lineRule="auto"/>
        <w:contextualSpacing/>
        <w:jc w:val="center"/>
        <w:outlineLvl w:val="9"/>
        <w:rPr>
          <w:rFonts w:hint="eastAsia" w:ascii="宋体" w:hAnsi="宋体"/>
          <w:b/>
          <w:color w:val="auto"/>
          <w:sz w:val="32"/>
          <w:szCs w:val="32"/>
        </w:rPr>
      </w:pPr>
      <w:r>
        <w:rPr>
          <w:rFonts w:hint="eastAsia" w:ascii="宋体" w:hAnsi="宋体"/>
          <w:b/>
          <w:color w:val="auto"/>
          <w:sz w:val="32"/>
          <w:szCs w:val="32"/>
        </w:rPr>
        <w:t>供应商直接控股股东信息表</w:t>
      </w:r>
    </w:p>
    <w:p w14:paraId="16143767">
      <w:pPr>
        <w:spacing w:line="360" w:lineRule="auto"/>
        <w:contextualSpacing/>
        <w:jc w:val="center"/>
        <w:outlineLvl w:val="9"/>
        <w:rPr>
          <w:rFonts w:hint="eastAsia" w:ascii="宋体" w:hAnsi="宋体"/>
          <w:b/>
          <w:color w:val="auto"/>
          <w:sz w:val="24"/>
        </w:rPr>
      </w:pPr>
    </w:p>
    <w:tbl>
      <w:tblPr>
        <w:tblStyle w:val="8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2A66E9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500F5E">
            <w:pPr>
              <w:widowControl/>
              <w:spacing w:line="360" w:lineRule="auto"/>
              <w:contextualSpacing/>
              <w:jc w:val="center"/>
              <w:outlineLvl w:val="9"/>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8435E2">
            <w:pPr>
              <w:widowControl/>
              <w:spacing w:line="360" w:lineRule="auto"/>
              <w:contextualSpacing/>
              <w:jc w:val="center"/>
              <w:outlineLvl w:val="9"/>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760CAE">
            <w:pPr>
              <w:widowControl/>
              <w:spacing w:line="360" w:lineRule="auto"/>
              <w:contextualSpacing/>
              <w:jc w:val="center"/>
              <w:outlineLvl w:val="9"/>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30BB88">
            <w:pPr>
              <w:widowControl/>
              <w:spacing w:line="360" w:lineRule="auto"/>
              <w:contextualSpacing/>
              <w:jc w:val="center"/>
              <w:outlineLvl w:val="9"/>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3E32F4">
            <w:pPr>
              <w:widowControl/>
              <w:spacing w:line="360" w:lineRule="auto"/>
              <w:contextualSpacing/>
              <w:jc w:val="center"/>
              <w:outlineLvl w:val="9"/>
              <w:rPr>
                <w:rFonts w:hint="eastAsia" w:ascii="宋体" w:hAnsi="宋体" w:cs="宋体"/>
                <w:b/>
                <w:bCs/>
                <w:color w:val="auto"/>
                <w:kern w:val="0"/>
                <w:sz w:val="24"/>
              </w:rPr>
            </w:pPr>
            <w:r>
              <w:rPr>
                <w:rFonts w:hint="eastAsia" w:ascii="宋体" w:hAnsi="宋体" w:cs="宋体"/>
                <w:b/>
                <w:bCs/>
                <w:color w:val="auto"/>
                <w:kern w:val="0"/>
                <w:sz w:val="24"/>
              </w:rPr>
              <w:t>备注</w:t>
            </w:r>
          </w:p>
        </w:tc>
      </w:tr>
      <w:tr w14:paraId="5C66F53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E33C63">
            <w:pPr>
              <w:widowControl/>
              <w:spacing w:line="360" w:lineRule="auto"/>
              <w:contextualSpacing/>
              <w:jc w:val="center"/>
              <w:outlineLvl w:val="9"/>
              <w:rPr>
                <w:rFonts w:hint="eastAsia"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5BEB27">
            <w:pPr>
              <w:widowControl/>
              <w:spacing w:line="360" w:lineRule="auto"/>
              <w:contextualSpacing/>
              <w:jc w:val="center"/>
              <w:outlineLvl w:val="9"/>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228E05">
            <w:pPr>
              <w:widowControl/>
              <w:spacing w:line="360" w:lineRule="auto"/>
              <w:contextualSpacing/>
              <w:jc w:val="center"/>
              <w:outlineLvl w:val="9"/>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7623F1">
            <w:pPr>
              <w:widowControl/>
              <w:spacing w:line="360" w:lineRule="auto"/>
              <w:contextualSpacing/>
              <w:jc w:val="center"/>
              <w:outlineLvl w:val="9"/>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238843">
            <w:pPr>
              <w:widowControl/>
              <w:spacing w:line="360" w:lineRule="auto"/>
              <w:contextualSpacing/>
              <w:jc w:val="center"/>
              <w:outlineLvl w:val="9"/>
              <w:rPr>
                <w:rFonts w:hint="eastAsia" w:ascii="宋体" w:hAnsi="宋体" w:cs="宋体"/>
                <w:color w:val="auto"/>
                <w:kern w:val="0"/>
                <w:sz w:val="24"/>
              </w:rPr>
            </w:pPr>
          </w:p>
        </w:tc>
      </w:tr>
      <w:tr w14:paraId="3CD114A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6DEF9F">
            <w:pPr>
              <w:widowControl/>
              <w:spacing w:line="360" w:lineRule="auto"/>
              <w:contextualSpacing/>
              <w:jc w:val="center"/>
              <w:outlineLvl w:val="9"/>
              <w:rPr>
                <w:rFonts w:hint="eastAsia"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672BC2">
            <w:pPr>
              <w:widowControl/>
              <w:spacing w:line="360" w:lineRule="auto"/>
              <w:contextualSpacing/>
              <w:jc w:val="center"/>
              <w:outlineLvl w:val="9"/>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CDFDE3">
            <w:pPr>
              <w:widowControl/>
              <w:spacing w:line="360" w:lineRule="auto"/>
              <w:contextualSpacing/>
              <w:jc w:val="center"/>
              <w:outlineLvl w:val="9"/>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F2D855">
            <w:pPr>
              <w:widowControl/>
              <w:spacing w:line="360" w:lineRule="auto"/>
              <w:contextualSpacing/>
              <w:jc w:val="center"/>
              <w:outlineLvl w:val="9"/>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30165F">
            <w:pPr>
              <w:widowControl/>
              <w:spacing w:line="360" w:lineRule="auto"/>
              <w:contextualSpacing/>
              <w:jc w:val="center"/>
              <w:outlineLvl w:val="9"/>
              <w:rPr>
                <w:rFonts w:hint="eastAsia" w:ascii="宋体" w:hAnsi="宋体" w:cs="宋体"/>
                <w:color w:val="auto"/>
                <w:kern w:val="0"/>
                <w:sz w:val="24"/>
              </w:rPr>
            </w:pPr>
          </w:p>
        </w:tc>
      </w:tr>
      <w:tr w14:paraId="388440A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176766">
            <w:pPr>
              <w:widowControl/>
              <w:spacing w:line="360" w:lineRule="auto"/>
              <w:contextualSpacing/>
              <w:jc w:val="center"/>
              <w:outlineLvl w:val="9"/>
              <w:rPr>
                <w:rFonts w:hint="eastAsia"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92340">
            <w:pPr>
              <w:widowControl/>
              <w:spacing w:line="360" w:lineRule="auto"/>
              <w:contextualSpacing/>
              <w:jc w:val="center"/>
              <w:outlineLvl w:val="9"/>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8A4BA5">
            <w:pPr>
              <w:widowControl/>
              <w:spacing w:line="360" w:lineRule="auto"/>
              <w:contextualSpacing/>
              <w:jc w:val="center"/>
              <w:outlineLvl w:val="9"/>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B6B85D">
            <w:pPr>
              <w:widowControl/>
              <w:spacing w:line="360" w:lineRule="auto"/>
              <w:contextualSpacing/>
              <w:jc w:val="center"/>
              <w:outlineLvl w:val="9"/>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1714B5">
            <w:pPr>
              <w:widowControl/>
              <w:spacing w:line="360" w:lineRule="auto"/>
              <w:contextualSpacing/>
              <w:jc w:val="center"/>
              <w:outlineLvl w:val="9"/>
              <w:rPr>
                <w:rFonts w:hint="eastAsia" w:ascii="宋体" w:hAnsi="宋体" w:cs="宋体"/>
                <w:color w:val="auto"/>
                <w:kern w:val="0"/>
                <w:sz w:val="24"/>
              </w:rPr>
            </w:pPr>
          </w:p>
        </w:tc>
      </w:tr>
      <w:tr w14:paraId="2A59CD9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3A45DF">
            <w:pPr>
              <w:widowControl/>
              <w:spacing w:line="360" w:lineRule="auto"/>
              <w:contextualSpacing/>
              <w:jc w:val="center"/>
              <w:outlineLvl w:val="9"/>
              <w:rPr>
                <w:rFonts w:hint="eastAsia"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90AB5E">
            <w:pPr>
              <w:widowControl/>
              <w:spacing w:line="360" w:lineRule="auto"/>
              <w:contextualSpacing/>
              <w:jc w:val="center"/>
              <w:outlineLvl w:val="9"/>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AB4811">
            <w:pPr>
              <w:widowControl/>
              <w:spacing w:line="360" w:lineRule="auto"/>
              <w:contextualSpacing/>
              <w:jc w:val="center"/>
              <w:outlineLvl w:val="9"/>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F847DF">
            <w:pPr>
              <w:widowControl/>
              <w:spacing w:line="360" w:lineRule="auto"/>
              <w:contextualSpacing/>
              <w:jc w:val="center"/>
              <w:outlineLvl w:val="9"/>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E57703">
            <w:pPr>
              <w:widowControl/>
              <w:spacing w:line="360" w:lineRule="auto"/>
              <w:contextualSpacing/>
              <w:jc w:val="center"/>
              <w:outlineLvl w:val="9"/>
              <w:rPr>
                <w:rFonts w:hint="eastAsia" w:ascii="宋体" w:hAnsi="宋体" w:cs="宋体"/>
                <w:color w:val="auto"/>
                <w:kern w:val="0"/>
                <w:sz w:val="24"/>
              </w:rPr>
            </w:pPr>
          </w:p>
        </w:tc>
      </w:tr>
    </w:tbl>
    <w:p w14:paraId="4C2E51F7">
      <w:pPr>
        <w:spacing w:line="360" w:lineRule="auto"/>
        <w:contextualSpacing/>
        <w:jc w:val="left"/>
        <w:outlineLvl w:val="9"/>
        <w:rPr>
          <w:rFonts w:hint="eastAsia" w:ascii="宋体" w:hAnsi="宋体" w:cs="宋体"/>
          <w:color w:val="auto"/>
          <w:sz w:val="24"/>
        </w:rPr>
      </w:pPr>
      <w:r>
        <w:rPr>
          <w:rFonts w:hint="eastAsia" w:ascii="宋体" w:hAnsi="宋体" w:cs="宋体"/>
          <w:color w:val="auto"/>
          <w:sz w:val="24"/>
        </w:rPr>
        <w:t>注：</w:t>
      </w:r>
    </w:p>
    <w:p w14:paraId="077DFA39">
      <w:pPr>
        <w:spacing w:line="360" w:lineRule="auto"/>
        <w:ind w:firstLine="480" w:firstLineChars="200"/>
        <w:contextualSpacing/>
        <w:jc w:val="left"/>
        <w:outlineLvl w:val="9"/>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47D4DF3">
      <w:pPr>
        <w:spacing w:line="360" w:lineRule="auto"/>
        <w:ind w:firstLine="480" w:firstLineChars="200"/>
        <w:contextualSpacing/>
        <w:jc w:val="left"/>
        <w:outlineLvl w:val="9"/>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346E1AF3">
      <w:pPr>
        <w:spacing w:line="360" w:lineRule="auto"/>
        <w:ind w:firstLine="480" w:firstLineChars="200"/>
        <w:contextualSpacing/>
        <w:jc w:val="left"/>
        <w:outlineLvl w:val="9"/>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14:paraId="556912AA">
      <w:pPr>
        <w:spacing w:line="360" w:lineRule="auto"/>
        <w:ind w:firstLine="420" w:firstLineChars="200"/>
        <w:contextualSpacing/>
        <w:jc w:val="left"/>
        <w:outlineLvl w:val="9"/>
        <w:rPr>
          <w:rFonts w:ascii="宋体" w:hAnsi="宋体" w:cs="宋体"/>
          <w:color w:val="auto"/>
          <w:szCs w:val="21"/>
        </w:rPr>
      </w:pPr>
    </w:p>
    <w:p w14:paraId="2399D2BA">
      <w:pPr>
        <w:spacing w:line="360" w:lineRule="auto"/>
        <w:ind w:firstLine="560" w:firstLineChars="200"/>
        <w:contextualSpacing/>
        <w:jc w:val="left"/>
        <w:outlineLvl w:val="9"/>
        <w:rPr>
          <w:rFonts w:hint="eastAsia" w:ascii="宋体" w:hAnsi="宋体" w:cs="宋体"/>
          <w:color w:val="auto"/>
          <w:sz w:val="28"/>
          <w:szCs w:val="28"/>
        </w:rPr>
      </w:pPr>
    </w:p>
    <w:p w14:paraId="3E3CD5FB">
      <w:pPr>
        <w:spacing w:line="360" w:lineRule="auto"/>
        <w:ind w:right="480"/>
        <w:contextualSpacing/>
        <w:jc w:val="center"/>
        <w:outlineLvl w:val="9"/>
        <w:rPr>
          <w:rFonts w:hint="eastAsia" w:ascii="宋体" w:hAnsi="宋体" w:cs="宋体"/>
          <w:color w:val="auto"/>
          <w:sz w:val="24"/>
          <w:u w:val="single"/>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法定代表人或者委托代理人</w:t>
      </w:r>
      <w:r>
        <w:rPr>
          <w:rFonts w:hint="eastAsia" w:ascii="宋体" w:hAnsi="宋体" w:eastAsia="宋体" w:cs="宋体"/>
          <w:color w:val="auto"/>
          <w:sz w:val="24"/>
        </w:rPr>
        <w:t>（签字或盖章）：</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7EF2804B">
      <w:pPr>
        <w:spacing w:line="360" w:lineRule="auto"/>
        <w:ind w:right="480" w:firstLine="3000" w:firstLineChars="1250"/>
        <w:contextualSpacing/>
        <w:outlineLvl w:val="9"/>
        <w:rPr>
          <w:rFonts w:hint="eastAsia" w:ascii="宋体" w:hAnsi="宋体" w:cs="宋体"/>
          <w:color w:val="auto"/>
          <w:sz w:val="24"/>
          <w:u w:val="single"/>
        </w:rPr>
      </w:pPr>
      <w:r>
        <w:rPr>
          <w:rFonts w:hint="eastAsia" w:ascii="宋体" w:hAnsi="宋体" w:cs="宋体"/>
          <w:color w:val="auto"/>
          <w:sz w:val="24"/>
        </w:rPr>
        <w:t>供应商</w:t>
      </w:r>
      <w:r>
        <w:rPr>
          <w:rFonts w:hint="eastAsia" w:ascii="宋体" w:hAnsi="宋体"/>
          <w:color w:val="auto"/>
          <w:sz w:val="24"/>
        </w:rPr>
        <w:t>（</w:t>
      </w:r>
      <w:r>
        <w:rPr>
          <w:rFonts w:hint="eastAsia" w:ascii="宋体" w:hAnsi="宋体"/>
          <w:color w:val="auto"/>
          <w:sz w:val="24"/>
          <w:lang w:val="en-US" w:eastAsia="zh-CN"/>
        </w:rPr>
        <w:t>盖</w:t>
      </w:r>
      <w:r>
        <w:rPr>
          <w:rFonts w:hint="eastAsia" w:ascii="宋体" w:hAnsi="宋体"/>
          <w:color w:val="auto"/>
          <w:sz w:val="24"/>
        </w:rPr>
        <w:t>章）</w:t>
      </w:r>
      <w:r>
        <w:rPr>
          <w:rFonts w:hint="eastAsia" w:ascii="宋体" w:hAnsi="宋体" w:cs="宋体"/>
          <w:color w:val="auto"/>
          <w:sz w:val="24"/>
        </w:rPr>
        <w:t xml:space="preserve">： </w:t>
      </w:r>
      <w:r>
        <w:rPr>
          <w:rFonts w:hint="eastAsia" w:ascii="宋体" w:hAnsi="宋体" w:cs="宋体"/>
          <w:color w:val="auto"/>
          <w:sz w:val="24"/>
          <w:u w:val="single"/>
        </w:rPr>
        <w:t xml:space="preserve">                              </w:t>
      </w:r>
    </w:p>
    <w:p w14:paraId="37988E29">
      <w:pPr>
        <w:spacing w:line="360" w:lineRule="auto"/>
        <w:ind w:firstLine="480" w:firstLineChars="200"/>
        <w:contextualSpacing/>
        <w:jc w:val="right"/>
        <w:outlineLvl w:val="9"/>
        <w:rPr>
          <w:rFonts w:hint="eastAsia" w:ascii="宋体" w:hAnsi="宋体" w:cs="宋体"/>
          <w:color w:val="auto"/>
          <w:sz w:val="28"/>
          <w:szCs w:val="28"/>
        </w:rPr>
      </w:pPr>
      <w:r>
        <w:rPr>
          <w:rFonts w:hint="eastAsia" w:ascii="宋体" w:hAnsi="宋体" w:cs="宋体"/>
          <w:color w:val="auto"/>
          <w:sz w:val="24"/>
        </w:rPr>
        <w:t>年    月    日</w:t>
      </w:r>
    </w:p>
    <w:p w14:paraId="73D30843">
      <w:pPr>
        <w:snapToGrid w:val="0"/>
        <w:jc w:val="center"/>
        <w:outlineLvl w:val="9"/>
        <w:rPr>
          <w:rFonts w:hint="eastAsia" w:ascii="宋体" w:hAnsi="宋体"/>
          <w:b/>
          <w:color w:val="auto"/>
          <w:sz w:val="28"/>
          <w:szCs w:val="28"/>
        </w:rPr>
      </w:pPr>
      <w:r>
        <w:rPr>
          <w:rFonts w:ascii="宋体" w:hAnsi="宋体"/>
          <w:b/>
          <w:color w:val="auto"/>
          <w:sz w:val="28"/>
          <w:szCs w:val="28"/>
        </w:rPr>
        <w:br w:type="page"/>
      </w:r>
    </w:p>
    <w:p w14:paraId="6338EFAC">
      <w:pPr>
        <w:spacing w:line="320" w:lineRule="exact"/>
        <w:jc w:val="center"/>
        <w:outlineLvl w:val="9"/>
        <w:rPr>
          <w:rFonts w:hint="eastAsia" w:ascii="宋体" w:hAnsi="宋体"/>
          <w:b/>
          <w:color w:val="auto"/>
          <w:sz w:val="32"/>
          <w:szCs w:val="32"/>
        </w:rPr>
      </w:pPr>
      <w:r>
        <w:rPr>
          <w:rFonts w:hint="eastAsia" w:ascii="宋体" w:hAnsi="宋体"/>
          <w:b/>
          <w:color w:val="auto"/>
          <w:sz w:val="32"/>
          <w:szCs w:val="32"/>
        </w:rPr>
        <w:t>供应商直接管理关系信息表</w:t>
      </w:r>
    </w:p>
    <w:p w14:paraId="7717C187">
      <w:pPr>
        <w:snapToGrid w:val="0"/>
        <w:spacing w:line="360" w:lineRule="auto"/>
        <w:jc w:val="center"/>
        <w:outlineLvl w:val="9"/>
        <w:rPr>
          <w:rFonts w:hint="eastAsia" w:ascii="宋体" w:hAnsi="宋体"/>
          <w:b/>
          <w:color w:val="auto"/>
          <w:sz w:val="24"/>
        </w:rPr>
      </w:pPr>
    </w:p>
    <w:tbl>
      <w:tblPr>
        <w:tblStyle w:val="8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4DAEDA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E0630">
            <w:pPr>
              <w:widowControl/>
              <w:spacing w:line="360" w:lineRule="auto"/>
              <w:contextualSpacing/>
              <w:jc w:val="center"/>
              <w:outlineLvl w:val="9"/>
              <w:rPr>
                <w:rFonts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F3BC5A">
            <w:pPr>
              <w:widowControl/>
              <w:spacing w:line="360" w:lineRule="auto"/>
              <w:contextualSpacing/>
              <w:jc w:val="center"/>
              <w:outlineLvl w:val="9"/>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91AE91">
            <w:pPr>
              <w:widowControl/>
              <w:spacing w:line="360" w:lineRule="auto"/>
              <w:contextualSpacing/>
              <w:jc w:val="center"/>
              <w:outlineLvl w:val="9"/>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32F800">
            <w:pPr>
              <w:widowControl/>
              <w:spacing w:line="360" w:lineRule="auto"/>
              <w:contextualSpacing/>
              <w:jc w:val="center"/>
              <w:outlineLvl w:val="9"/>
              <w:rPr>
                <w:rFonts w:ascii="宋体" w:hAnsi="宋体" w:cs="宋体"/>
                <w:b/>
                <w:bCs/>
                <w:color w:val="auto"/>
                <w:kern w:val="0"/>
                <w:sz w:val="24"/>
              </w:rPr>
            </w:pPr>
            <w:r>
              <w:rPr>
                <w:rFonts w:hint="eastAsia" w:ascii="宋体" w:hAnsi="宋体" w:cs="宋体"/>
                <w:b/>
                <w:bCs/>
                <w:color w:val="auto"/>
                <w:kern w:val="0"/>
                <w:sz w:val="24"/>
              </w:rPr>
              <w:t>备注</w:t>
            </w:r>
          </w:p>
        </w:tc>
      </w:tr>
      <w:tr w14:paraId="34C483F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4EFF99">
            <w:pPr>
              <w:widowControl/>
              <w:spacing w:line="360" w:lineRule="auto"/>
              <w:contextualSpacing/>
              <w:jc w:val="center"/>
              <w:outlineLvl w:val="9"/>
              <w:rPr>
                <w:rFonts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E531C2">
            <w:pPr>
              <w:widowControl/>
              <w:spacing w:line="360" w:lineRule="auto"/>
              <w:contextualSpacing/>
              <w:jc w:val="center"/>
              <w:outlineLvl w:val="9"/>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D7ACBF">
            <w:pPr>
              <w:widowControl/>
              <w:spacing w:line="360" w:lineRule="auto"/>
              <w:contextualSpacing/>
              <w:jc w:val="center"/>
              <w:outlineLvl w:val="9"/>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C5A13D">
            <w:pPr>
              <w:widowControl/>
              <w:spacing w:line="360" w:lineRule="auto"/>
              <w:contextualSpacing/>
              <w:jc w:val="center"/>
              <w:outlineLvl w:val="9"/>
              <w:rPr>
                <w:rFonts w:ascii="宋体" w:hAnsi="宋体" w:cs="宋体"/>
                <w:color w:val="auto"/>
                <w:kern w:val="0"/>
                <w:sz w:val="24"/>
              </w:rPr>
            </w:pPr>
          </w:p>
        </w:tc>
      </w:tr>
      <w:tr w14:paraId="4E04040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49C987">
            <w:pPr>
              <w:widowControl/>
              <w:spacing w:line="360" w:lineRule="auto"/>
              <w:contextualSpacing/>
              <w:jc w:val="center"/>
              <w:outlineLvl w:val="9"/>
              <w:rPr>
                <w:rFonts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313299">
            <w:pPr>
              <w:widowControl/>
              <w:spacing w:line="360" w:lineRule="auto"/>
              <w:contextualSpacing/>
              <w:jc w:val="center"/>
              <w:outlineLvl w:val="9"/>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61DC05">
            <w:pPr>
              <w:widowControl/>
              <w:spacing w:line="360" w:lineRule="auto"/>
              <w:contextualSpacing/>
              <w:jc w:val="center"/>
              <w:outlineLvl w:val="9"/>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051503">
            <w:pPr>
              <w:widowControl/>
              <w:spacing w:line="360" w:lineRule="auto"/>
              <w:contextualSpacing/>
              <w:jc w:val="center"/>
              <w:outlineLvl w:val="9"/>
              <w:rPr>
                <w:rFonts w:ascii="宋体" w:hAnsi="宋体" w:cs="宋体"/>
                <w:color w:val="auto"/>
                <w:kern w:val="0"/>
                <w:sz w:val="24"/>
              </w:rPr>
            </w:pPr>
          </w:p>
        </w:tc>
      </w:tr>
      <w:tr w14:paraId="5E44ADF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80E944">
            <w:pPr>
              <w:widowControl/>
              <w:spacing w:line="360" w:lineRule="auto"/>
              <w:contextualSpacing/>
              <w:jc w:val="center"/>
              <w:outlineLvl w:val="9"/>
              <w:rPr>
                <w:rFonts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7825A1">
            <w:pPr>
              <w:widowControl/>
              <w:spacing w:line="360" w:lineRule="auto"/>
              <w:contextualSpacing/>
              <w:jc w:val="center"/>
              <w:outlineLvl w:val="9"/>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E7E05E">
            <w:pPr>
              <w:widowControl/>
              <w:spacing w:line="360" w:lineRule="auto"/>
              <w:contextualSpacing/>
              <w:jc w:val="center"/>
              <w:outlineLvl w:val="9"/>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5B06B3">
            <w:pPr>
              <w:widowControl/>
              <w:spacing w:line="360" w:lineRule="auto"/>
              <w:contextualSpacing/>
              <w:jc w:val="center"/>
              <w:outlineLvl w:val="9"/>
              <w:rPr>
                <w:rFonts w:ascii="宋体" w:hAnsi="宋体" w:cs="宋体"/>
                <w:color w:val="auto"/>
                <w:kern w:val="0"/>
                <w:sz w:val="24"/>
              </w:rPr>
            </w:pPr>
          </w:p>
        </w:tc>
      </w:tr>
      <w:tr w14:paraId="1FB5838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1286B3">
            <w:pPr>
              <w:widowControl/>
              <w:spacing w:line="360" w:lineRule="auto"/>
              <w:contextualSpacing/>
              <w:jc w:val="center"/>
              <w:outlineLvl w:val="9"/>
              <w:rPr>
                <w:rFonts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97E364">
            <w:pPr>
              <w:widowControl/>
              <w:spacing w:line="360" w:lineRule="auto"/>
              <w:contextualSpacing/>
              <w:jc w:val="center"/>
              <w:outlineLvl w:val="9"/>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DED51">
            <w:pPr>
              <w:widowControl/>
              <w:spacing w:line="360" w:lineRule="auto"/>
              <w:contextualSpacing/>
              <w:jc w:val="center"/>
              <w:outlineLvl w:val="9"/>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5CBF61">
            <w:pPr>
              <w:widowControl/>
              <w:spacing w:line="360" w:lineRule="auto"/>
              <w:contextualSpacing/>
              <w:jc w:val="center"/>
              <w:outlineLvl w:val="9"/>
              <w:rPr>
                <w:rFonts w:ascii="宋体" w:hAnsi="宋体" w:cs="宋体"/>
                <w:color w:val="auto"/>
                <w:kern w:val="0"/>
                <w:sz w:val="24"/>
              </w:rPr>
            </w:pPr>
          </w:p>
        </w:tc>
      </w:tr>
    </w:tbl>
    <w:p w14:paraId="7E26D082">
      <w:pPr>
        <w:spacing w:line="360" w:lineRule="auto"/>
        <w:contextualSpacing/>
        <w:jc w:val="left"/>
        <w:outlineLvl w:val="9"/>
        <w:rPr>
          <w:rFonts w:hint="eastAsia" w:ascii="宋体" w:hAnsi="宋体"/>
          <w:color w:val="auto"/>
          <w:sz w:val="24"/>
        </w:rPr>
      </w:pPr>
      <w:r>
        <w:rPr>
          <w:rFonts w:hint="eastAsia" w:ascii="宋体" w:hAnsi="宋体"/>
          <w:color w:val="auto"/>
          <w:sz w:val="24"/>
        </w:rPr>
        <w:t>注：</w:t>
      </w:r>
    </w:p>
    <w:p w14:paraId="569C1C71">
      <w:pPr>
        <w:spacing w:line="360" w:lineRule="auto"/>
        <w:ind w:firstLine="480" w:firstLineChars="200"/>
        <w:contextualSpacing/>
        <w:jc w:val="left"/>
        <w:outlineLvl w:val="9"/>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62036E6C">
      <w:pPr>
        <w:spacing w:line="360" w:lineRule="auto"/>
        <w:ind w:firstLine="480" w:firstLineChars="200"/>
        <w:contextualSpacing/>
        <w:jc w:val="left"/>
        <w:outlineLvl w:val="9"/>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431F3AB2">
      <w:pPr>
        <w:spacing w:line="360" w:lineRule="auto"/>
        <w:ind w:firstLine="480" w:firstLineChars="200"/>
        <w:contextualSpacing/>
        <w:jc w:val="left"/>
        <w:outlineLvl w:val="9"/>
        <w:rPr>
          <w:rFonts w:hint="eastAsia" w:ascii="宋体" w:hAnsi="宋体"/>
          <w:color w:val="auto"/>
          <w:sz w:val="24"/>
        </w:rPr>
      </w:pPr>
      <w:r>
        <w:rPr>
          <w:rFonts w:hint="eastAsia" w:ascii="宋体" w:hAnsi="宋体"/>
          <w:color w:val="auto"/>
          <w:sz w:val="24"/>
        </w:rPr>
        <w:t>3.供应商不存在直接管理关系的，则在“直接管理关系单位名称”填“无”。</w:t>
      </w:r>
    </w:p>
    <w:p w14:paraId="04DA94FC">
      <w:pPr>
        <w:spacing w:line="360" w:lineRule="auto"/>
        <w:contextualSpacing/>
        <w:jc w:val="left"/>
        <w:outlineLvl w:val="9"/>
        <w:rPr>
          <w:rFonts w:hint="eastAsia" w:ascii="宋体" w:hAnsi="宋体"/>
          <w:color w:val="auto"/>
          <w:sz w:val="28"/>
          <w:szCs w:val="28"/>
        </w:rPr>
      </w:pPr>
    </w:p>
    <w:p w14:paraId="0640220D">
      <w:pPr>
        <w:spacing w:line="360" w:lineRule="auto"/>
        <w:contextualSpacing/>
        <w:jc w:val="left"/>
        <w:outlineLvl w:val="9"/>
        <w:rPr>
          <w:rFonts w:hint="eastAsia" w:ascii="宋体" w:hAnsi="宋体"/>
          <w:color w:val="auto"/>
          <w:sz w:val="28"/>
          <w:szCs w:val="28"/>
        </w:rPr>
      </w:pPr>
    </w:p>
    <w:p w14:paraId="24C86739">
      <w:pPr>
        <w:spacing w:line="360" w:lineRule="auto"/>
        <w:contextualSpacing/>
        <w:jc w:val="left"/>
        <w:outlineLvl w:val="9"/>
        <w:rPr>
          <w:rFonts w:hint="eastAsia"/>
          <w:color w:val="auto"/>
          <w:sz w:val="28"/>
          <w:szCs w:val="28"/>
        </w:rPr>
      </w:pPr>
    </w:p>
    <w:p w14:paraId="523374DB">
      <w:pPr>
        <w:spacing w:line="360" w:lineRule="auto"/>
        <w:contextualSpacing/>
        <w:jc w:val="left"/>
        <w:outlineLvl w:val="9"/>
        <w:rPr>
          <w:rFonts w:hint="eastAsia"/>
          <w:color w:val="auto"/>
          <w:sz w:val="28"/>
          <w:szCs w:val="28"/>
        </w:rPr>
      </w:pPr>
    </w:p>
    <w:p w14:paraId="6DE8807F">
      <w:pPr>
        <w:spacing w:line="360" w:lineRule="auto"/>
        <w:contextualSpacing/>
        <w:jc w:val="left"/>
        <w:outlineLvl w:val="9"/>
        <w:rPr>
          <w:rFonts w:hint="eastAsia"/>
          <w:color w:val="auto"/>
          <w:sz w:val="28"/>
          <w:szCs w:val="28"/>
        </w:rPr>
      </w:pPr>
    </w:p>
    <w:p w14:paraId="532E63F5">
      <w:pPr>
        <w:spacing w:line="360" w:lineRule="auto"/>
        <w:contextualSpacing/>
        <w:jc w:val="left"/>
        <w:outlineLvl w:val="9"/>
        <w:rPr>
          <w:rFonts w:hint="eastAsia" w:ascii="宋体" w:hAnsi="宋体"/>
          <w:color w:val="auto"/>
          <w:sz w:val="28"/>
          <w:szCs w:val="28"/>
        </w:rPr>
      </w:pPr>
    </w:p>
    <w:p w14:paraId="241DD096">
      <w:pPr>
        <w:spacing w:line="360" w:lineRule="auto"/>
        <w:ind w:right="480"/>
        <w:contextualSpacing/>
        <w:jc w:val="center"/>
        <w:outlineLvl w:val="9"/>
        <w:rPr>
          <w:rFonts w:hint="eastAsia" w:ascii="宋体" w:hAnsi="宋体"/>
          <w:color w:val="auto"/>
          <w:sz w:val="24"/>
          <w:u w:val="single"/>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法定代表人或者委托代理人</w:t>
      </w:r>
      <w:r>
        <w:rPr>
          <w:rFonts w:hint="eastAsia" w:ascii="宋体" w:hAnsi="宋体" w:eastAsia="宋体" w:cs="宋体"/>
          <w:color w:val="auto"/>
          <w:sz w:val="24"/>
        </w:rPr>
        <w:t>（签字或盖章）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14:paraId="71603E4A">
      <w:pPr>
        <w:spacing w:line="360" w:lineRule="auto"/>
        <w:ind w:right="480" w:firstLine="3360" w:firstLineChars="1400"/>
        <w:contextualSpacing/>
        <w:outlineLvl w:val="9"/>
        <w:rPr>
          <w:rFonts w:hint="eastAsia" w:ascii="宋体" w:hAnsi="宋体"/>
          <w:color w:val="auto"/>
          <w:sz w:val="24"/>
        </w:rPr>
      </w:pPr>
      <w:r>
        <w:rPr>
          <w:rFonts w:hint="eastAsia" w:ascii="宋体" w:hAnsi="宋体"/>
          <w:color w:val="auto"/>
          <w:sz w:val="24"/>
        </w:rPr>
        <w:t>供应商（</w:t>
      </w:r>
      <w:r>
        <w:rPr>
          <w:rFonts w:hint="eastAsia" w:ascii="宋体" w:hAnsi="宋体"/>
          <w:color w:val="auto"/>
          <w:sz w:val="24"/>
          <w:lang w:val="en-US" w:eastAsia="zh-CN"/>
        </w:rPr>
        <w:t>盖</w:t>
      </w:r>
      <w:r>
        <w:rPr>
          <w:rFonts w:hint="eastAsia" w:ascii="宋体" w:hAnsi="宋体"/>
          <w:color w:val="auto"/>
          <w:sz w:val="24"/>
        </w:rPr>
        <w:t>章）：</w:t>
      </w:r>
      <w:r>
        <w:rPr>
          <w:rFonts w:hint="eastAsia" w:ascii="宋体" w:hAnsi="宋体"/>
          <w:color w:val="auto"/>
          <w:sz w:val="24"/>
          <w:u w:val="single"/>
        </w:rPr>
        <w:t xml:space="preserve">                </w:t>
      </w:r>
    </w:p>
    <w:p w14:paraId="32098CCA">
      <w:pPr>
        <w:spacing w:line="360" w:lineRule="auto"/>
        <w:ind w:firstLine="480" w:firstLineChars="200"/>
        <w:contextualSpacing/>
        <w:jc w:val="left"/>
        <w:outlineLvl w:val="9"/>
        <w:rPr>
          <w:rFonts w:ascii="宋体" w:hAnsi="宋体"/>
          <w:color w:val="auto"/>
          <w:sz w:val="28"/>
          <w:szCs w:val="28"/>
        </w:rPr>
      </w:pPr>
      <w:r>
        <w:rPr>
          <w:rFonts w:hint="eastAsia" w:ascii="宋体" w:hAnsi="宋体"/>
          <w:color w:val="auto"/>
          <w:sz w:val="24"/>
        </w:rPr>
        <w:t xml:space="preserve">                                        年    月    日</w:t>
      </w:r>
    </w:p>
    <w:p w14:paraId="7C1EBA6E">
      <w:pPr>
        <w:outlineLvl w:val="9"/>
        <w:rPr>
          <w:rFonts w:hint="eastAsia" w:ascii="宋体"/>
          <w:b/>
          <w:color w:val="auto"/>
          <w:sz w:val="28"/>
          <w:szCs w:val="28"/>
          <w:highlight w:val="none"/>
          <w:lang w:val="en-US" w:eastAsia="zh-CN"/>
        </w:rPr>
      </w:pPr>
      <w:r>
        <w:rPr>
          <w:rFonts w:hint="eastAsia" w:ascii="宋体"/>
          <w:b/>
          <w:color w:val="auto"/>
          <w:sz w:val="28"/>
          <w:szCs w:val="28"/>
          <w:highlight w:val="none"/>
          <w:lang w:val="en-US" w:eastAsia="zh-CN"/>
        </w:rPr>
        <w:br w:type="page"/>
      </w:r>
    </w:p>
    <w:p w14:paraId="1EE3CE18">
      <w:pPr>
        <w:pageBreakBefore/>
        <w:tabs>
          <w:tab w:val="left" w:pos="826"/>
        </w:tabs>
        <w:snapToGrid w:val="0"/>
        <w:spacing w:line="360" w:lineRule="auto"/>
        <w:ind w:firstLine="422" w:firstLineChars="150"/>
        <w:outlineLvl w:val="9"/>
        <w:rPr>
          <w:rFonts w:ascii="宋体"/>
          <w:b/>
          <w:color w:val="auto"/>
          <w:sz w:val="28"/>
          <w:szCs w:val="28"/>
          <w:highlight w:val="none"/>
        </w:rPr>
      </w:pPr>
      <w:r>
        <w:rPr>
          <w:rFonts w:hint="eastAsia" w:ascii="宋体"/>
          <w:b/>
          <w:color w:val="auto"/>
          <w:sz w:val="28"/>
          <w:szCs w:val="28"/>
          <w:highlight w:val="none"/>
        </w:rPr>
        <w:t>拟派项目经理、项目施工专职安全员基本情况</w:t>
      </w:r>
    </w:p>
    <w:p w14:paraId="5C53D642">
      <w:pPr>
        <w:tabs>
          <w:tab w:val="left" w:pos="0"/>
        </w:tabs>
        <w:spacing w:line="360" w:lineRule="auto"/>
        <w:ind w:right="-210" w:firstLine="420" w:firstLineChars="200"/>
        <w:outlineLvl w:val="9"/>
        <w:rPr>
          <w:rFonts w:ascii="宋体" w:cs="宋体"/>
          <w:color w:val="auto"/>
          <w:szCs w:val="21"/>
          <w:highlight w:val="none"/>
        </w:rPr>
      </w:pPr>
      <w:r>
        <w:rPr>
          <w:rFonts w:hint="eastAsia" w:ascii="宋体"/>
          <w:color w:val="auto"/>
          <w:highlight w:val="none"/>
        </w:rPr>
        <w:t>1.</w:t>
      </w:r>
      <w:r>
        <w:rPr>
          <w:rFonts w:hint="eastAsia" w:ascii="宋体"/>
          <w:color w:val="auto"/>
          <w:highlight w:val="none"/>
          <w:lang w:eastAsia="zh-CN"/>
        </w:rPr>
        <w:t>应附项目经理注册建造师证书和安全生产考核合格证书（B类）、项目施工专职安全员安全生产考核合格证书（C类）；（附其相应注册证书，建造师安全生产考核合格证书（B类），项目施工专职安全员安全生产考核合格证书（C类），职称证（如有）等材料的复印件）。</w:t>
      </w:r>
    </w:p>
    <w:p w14:paraId="091D442F">
      <w:pPr>
        <w:tabs>
          <w:tab w:val="left" w:pos="0"/>
        </w:tabs>
        <w:spacing w:line="360" w:lineRule="auto"/>
        <w:ind w:right="-210"/>
        <w:outlineLvl w:val="9"/>
        <w:rPr>
          <w:rFonts w:ascii="宋体" w:cs="宋体"/>
          <w:color w:val="auto"/>
          <w:szCs w:val="21"/>
          <w:highlight w:val="none"/>
        </w:rPr>
      </w:pPr>
    </w:p>
    <w:p w14:paraId="0A7837DB">
      <w:pPr>
        <w:tabs>
          <w:tab w:val="left" w:pos="0"/>
        </w:tabs>
        <w:spacing w:line="360" w:lineRule="auto"/>
        <w:ind w:right="-210"/>
        <w:outlineLvl w:val="9"/>
        <w:rPr>
          <w:rFonts w:ascii="宋体" w:cs="宋体"/>
          <w:color w:val="auto"/>
          <w:szCs w:val="21"/>
          <w:highlight w:val="none"/>
        </w:rPr>
      </w:pPr>
    </w:p>
    <w:p w14:paraId="55464F5A">
      <w:pPr>
        <w:tabs>
          <w:tab w:val="left" w:pos="0"/>
        </w:tabs>
        <w:spacing w:line="360" w:lineRule="auto"/>
        <w:ind w:right="-210"/>
        <w:outlineLvl w:val="9"/>
        <w:rPr>
          <w:rFonts w:ascii="宋体" w:cs="宋体"/>
          <w:color w:val="auto"/>
          <w:szCs w:val="21"/>
          <w:highlight w:val="none"/>
        </w:rPr>
      </w:pPr>
    </w:p>
    <w:p w14:paraId="0EBEE28F">
      <w:pPr>
        <w:outlineLvl w:val="9"/>
        <w:rPr>
          <w:color w:val="auto"/>
          <w:sz w:val="28"/>
          <w:szCs w:val="28"/>
          <w:highlight w:val="none"/>
        </w:rPr>
      </w:pPr>
      <w:r>
        <w:rPr>
          <w:color w:val="auto"/>
          <w:sz w:val="28"/>
          <w:szCs w:val="28"/>
          <w:highlight w:val="none"/>
        </w:rPr>
        <w:br w:type="page"/>
      </w:r>
    </w:p>
    <w:p w14:paraId="3BD412C6">
      <w:pPr>
        <w:pStyle w:val="37"/>
        <w:ind w:left="0"/>
        <w:outlineLvl w:val="9"/>
        <w:rPr>
          <w:color w:val="auto"/>
          <w:sz w:val="28"/>
          <w:szCs w:val="28"/>
          <w:highlight w:val="none"/>
        </w:rPr>
      </w:pPr>
    </w:p>
    <w:p w14:paraId="15141606">
      <w:pPr>
        <w:outlineLvl w:val="9"/>
        <w:rPr>
          <w:rFonts w:ascii="宋体"/>
          <w:color w:val="auto"/>
          <w:highlight w:val="none"/>
        </w:rPr>
      </w:pPr>
    </w:p>
    <w:p w14:paraId="0738ED85">
      <w:pPr>
        <w:pStyle w:val="42"/>
        <w:spacing w:line="460" w:lineRule="exact"/>
        <w:jc w:val="center"/>
        <w:outlineLvl w:val="9"/>
        <w:rPr>
          <w:rFonts w:hAnsi="宋体" w:cs="宋体"/>
          <w:b/>
          <w:bCs/>
          <w:color w:val="auto"/>
          <w:sz w:val="28"/>
          <w:szCs w:val="28"/>
        </w:rPr>
      </w:pPr>
      <w:r>
        <w:rPr>
          <w:rFonts w:hint="eastAsia" w:hAnsi="宋体" w:cs="宋体"/>
          <w:b/>
          <w:bCs/>
          <w:color w:val="auto"/>
          <w:sz w:val="28"/>
          <w:szCs w:val="28"/>
        </w:rPr>
        <w:t>中小企业声明函</w:t>
      </w:r>
    </w:p>
    <w:p w14:paraId="68D3B60E">
      <w:pPr>
        <w:pStyle w:val="17"/>
        <w:spacing w:line="460" w:lineRule="exact"/>
        <w:outlineLvl w:val="9"/>
        <w:rPr>
          <w:color w:val="auto"/>
        </w:rPr>
      </w:pPr>
    </w:p>
    <w:p w14:paraId="4F96F2B0">
      <w:pPr>
        <w:pStyle w:val="42"/>
        <w:spacing w:line="460" w:lineRule="exact"/>
        <w:ind w:firstLine="424" w:firstLineChars="200"/>
        <w:outlineLvl w:val="9"/>
        <w:rPr>
          <w:rFonts w:hAnsi="宋体" w:cs="宋体"/>
          <w:color w:val="auto"/>
          <w:spacing w:val="6"/>
          <w:szCs w:val="21"/>
        </w:rPr>
      </w:pPr>
      <w:r>
        <w:rPr>
          <w:rFonts w:hint="eastAsia" w:hAnsi="宋体" w:cs="宋体"/>
          <w:color w:val="auto"/>
          <w:spacing w:val="6"/>
          <w:szCs w:val="21"/>
        </w:rPr>
        <w:t>本公司（联合体）郑重声明，根据《政府采购促进中小企业发展管理办法》（财库﹝2020﹞46 号）的规定，本公司（联合体）参加（</w:t>
      </w:r>
      <w:r>
        <w:rPr>
          <w:rFonts w:hint="eastAsia" w:hAnsi="宋体" w:cs="宋体"/>
          <w:color w:val="auto"/>
          <w:spacing w:val="6"/>
          <w:szCs w:val="21"/>
          <w:u w:val="single"/>
        </w:rPr>
        <w:t>单位名称</w:t>
      </w:r>
      <w:r>
        <w:rPr>
          <w:rFonts w:hint="eastAsia" w:hAnsi="宋体" w:cs="宋体"/>
          <w:color w:val="auto"/>
          <w:spacing w:val="6"/>
          <w:szCs w:val="21"/>
        </w:rPr>
        <w:t>）的（</w:t>
      </w:r>
      <w:r>
        <w:rPr>
          <w:rFonts w:hint="eastAsia" w:hAnsi="宋体" w:cs="宋体"/>
          <w:color w:val="auto"/>
          <w:spacing w:val="6"/>
          <w:szCs w:val="21"/>
          <w:u w:val="single"/>
        </w:rPr>
        <w:t>项目名称</w:t>
      </w:r>
      <w:r>
        <w:rPr>
          <w:rFonts w:hint="eastAsia" w:hAnsi="宋体" w:cs="宋体"/>
          <w:color w:val="auto"/>
          <w:spacing w:val="6"/>
          <w:szCs w:val="21"/>
        </w:rPr>
        <w:t>）采购活动，工程的施工单位全部为符合政策要求的中小企业（或者：服务全部由符合政策要求的中小企业承接）。相关企业（含联合体中的中小企业、签订分包意向协议的中小企业）的具体情况如下：</w:t>
      </w:r>
    </w:p>
    <w:p w14:paraId="5EBC0745">
      <w:pPr>
        <w:pStyle w:val="42"/>
        <w:spacing w:line="460" w:lineRule="exact"/>
        <w:ind w:firstLine="424" w:firstLineChars="200"/>
        <w:outlineLvl w:val="9"/>
        <w:rPr>
          <w:rFonts w:hAnsi="宋体" w:cs="宋体"/>
          <w:color w:val="auto"/>
          <w:szCs w:val="21"/>
        </w:rPr>
      </w:pPr>
      <w:r>
        <w:rPr>
          <w:rFonts w:hint="eastAsia" w:hAnsi="宋体" w:cs="宋体"/>
          <w:color w:val="auto"/>
          <w:spacing w:val="6"/>
          <w:szCs w:val="21"/>
        </w:rPr>
        <w:t>1.</w:t>
      </w:r>
      <w:r>
        <w:rPr>
          <w:rFonts w:hint="eastAsia" w:hAnsi="宋体" w:cs="宋体"/>
          <w:color w:val="auto"/>
          <w:spacing w:val="6"/>
          <w:szCs w:val="21"/>
          <w:u w:val="single"/>
        </w:rPr>
        <w:t xml:space="preserve">（标的名称） </w:t>
      </w:r>
      <w:r>
        <w:rPr>
          <w:rFonts w:hint="eastAsia" w:hAnsi="宋体" w:cs="宋体"/>
          <w:color w:val="auto"/>
          <w:spacing w:val="6"/>
          <w:szCs w:val="21"/>
        </w:rPr>
        <w:t>，属于</w:t>
      </w:r>
      <w:r>
        <w:rPr>
          <w:rFonts w:hint="eastAsia" w:hAnsi="宋体" w:cs="宋体"/>
          <w:color w:val="auto"/>
          <w:spacing w:val="6"/>
          <w:szCs w:val="21"/>
          <w:u w:val="single"/>
        </w:rPr>
        <w:t>（采购文件中明确的所属行业）</w:t>
      </w:r>
      <w:r>
        <w:rPr>
          <w:rFonts w:hint="eastAsia" w:hAnsi="宋体" w:cs="宋体"/>
          <w:color w:val="auto"/>
          <w:spacing w:val="6"/>
          <w:szCs w:val="21"/>
        </w:rPr>
        <w:t>； 承建（承接）企业为（</w:t>
      </w:r>
      <w:r>
        <w:rPr>
          <w:rFonts w:hint="eastAsia" w:hAnsi="宋体" w:cs="宋体"/>
          <w:color w:val="auto"/>
          <w:spacing w:val="6"/>
          <w:szCs w:val="21"/>
          <w:u w:val="single"/>
        </w:rPr>
        <w:t>企业名称</w:t>
      </w:r>
      <w:r>
        <w:rPr>
          <w:rFonts w:hint="eastAsia" w:hAnsi="宋体" w:cs="宋体"/>
          <w:color w:val="auto"/>
          <w:spacing w:val="6"/>
          <w:szCs w:val="21"/>
        </w:rPr>
        <w:t>），从业人员人，营业 收入为万元，资产总额为 万元，属于（</w:t>
      </w:r>
      <w:r>
        <w:rPr>
          <w:rFonts w:hint="eastAsia" w:hAnsi="宋体" w:cs="宋体"/>
          <w:color w:val="auto"/>
          <w:spacing w:val="6"/>
          <w:szCs w:val="21"/>
          <w:u w:val="single"/>
        </w:rPr>
        <w:t>中型企业、 小型企业、微型企业</w:t>
      </w:r>
      <w:r>
        <w:rPr>
          <w:rFonts w:hint="eastAsia" w:hAnsi="宋体" w:cs="宋体"/>
          <w:color w:val="auto"/>
          <w:spacing w:val="6"/>
          <w:szCs w:val="21"/>
        </w:rPr>
        <w:t>）</w:t>
      </w:r>
    </w:p>
    <w:p w14:paraId="44BB275E">
      <w:pPr>
        <w:widowControl/>
        <w:spacing w:line="460" w:lineRule="exact"/>
        <w:ind w:firstLine="444" w:firstLineChars="200"/>
        <w:jc w:val="left"/>
        <w:outlineLvl w:val="9"/>
        <w:rPr>
          <w:rFonts w:ascii="宋体" w:hAnsi="宋体" w:cs="宋体"/>
          <w:color w:val="auto"/>
          <w:spacing w:val="6"/>
          <w:szCs w:val="21"/>
        </w:rPr>
      </w:pPr>
      <w:r>
        <w:rPr>
          <w:rFonts w:hint="eastAsia" w:ascii="宋体" w:hAnsi="宋体" w:cs="宋体"/>
          <w:color w:val="auto"/>
          <w:spacing w:val="6"/>
          <w:szCs w:val="21"/>
        </w:rPr>
        <w:t>2.</w:t>
      </w:r>
      <w:r>
        <w:rPr>
          <w:rFonts w:hint="eastAsia" w:ascii="宋体" w:hAnsi="宋体" w:cs="宋体"/>
          <w:color w:val="auto"/>
          <w:spacing w:val="6"/>
          <w:szCs w:val="21"/>
          <w:u w:val="single"/>
        </w:rPr>
        <w:t xml:space="preserve">（标的名称） </w:t>
      </w:r>
      <w:r>
        <w:rPr>
          <w:rFonts w:hint="eastAsia" w:ascii="宋体" w:hAnsi="宋体" w:cs="宋体"/>
          <w:color w:val="auto"/>
          <w:spacing w:val="6"/>
          <w:szCs w:val="21"/>
        </w:rPr>
        <w:t>，属于</w:t>
      </w:r>
      <w:r>
        <w:rPr>
          <w:rFonts w:hint="eastAsia" w:ascii="宋体" w:hAnsi="宋体" w:cs="宋体"/>
          <w:color w:val="auto"/>
          <w:spacing w:val="6"/>
          <w:szCs w:val="21"/>
          <w:u w:val="single"/>
        </w:rPr>
        <w:t>（采购文件中明确的所属行业）</w:t>
      </w:r>
      <w:r>
        <w:rPr>
          <w:rFonts w:hint="eastAsia" w:ascii="宋体" w:hAnsi="宋体" w:cs="宋体"/>
          <w:color w:val="auto"/>
          <w:spacing w:val="6"/>
          <w:szCs w:val="21"/>
        </w:rPr>
        <w:t>；承建（承接）企业为（</w:t>
      </w:r>
      <w:r>
        <w:rPr>
          <w:rFonts w:hint="eastAsia" w:ascii="宋体" w:hAnsi="宋体" w:cs="宋体"/>
          <w:color w:val="auto"/>
          <w:spacing w:val="6"/>
          <w:szCs w:val="21"/>
          <w:u w:val="single"/>
        </w:rPr>
        <w:t>企业名称</w:t>
      </w:r>
      <w:r>
        <w:rPr>
          <w:rFonts w:hint="eastAsia" w:ascii="宋体" w:hAnsi="宋体" w:cs="宋体"/>
          <w:color w:val="auto"/>
          <w:spacing w:val="6"/>
          <w:szCs w:val="21"/>
        </w:rPr>
        <w:t>），从业人员人，营业收入为万元，资产总额为万元，属于（</w:t>
      </w:r>
      <w:r>
        <w:rPr>
          <w:rFonts w:hint="eastAsia" w:ascii="宋体" w:hAnsi="宋体" w:cs="宋体"/>
          <w:color w:val="auto"/>
          <w:spacing w:val="6"/>
          <w:szCs w:val="21"/>
          <w:u w:val="single"/>
        </w:rPr>
        <w:t>中型企业、 小型企业、微型企业</w:t>
      </w:r>
      <w:r>
        <w:rPr>
          <w:rFonts w:hint="eastAsia" w:ascii="宋体" w:hAnsi="宋体" w:cs="宋体"/>
          <w:color w:val="auto"/>
          <w:spacing w:val="6"/>
          <w:szCs w:val="21"/>
        </w:rPr>
        <w:t>）；</w:t>
      </w:r>
    </w:p>
    <w:p w14:paraId="5442BD72">
      <w:pPr>
        <w:pStyle w:val="17"/>
        <w:spacing w:line="460" w:lineRule="exact"/>
        <w:ind w:left="0"/>
        <w:outlineLvl w:val="9"/>
        <w:rPr>
          <w:rFonts w:ascii="宋体" w:hAnsi="宋体" w:cs="宋体"/>
          <w:color w:val="auto"/>
          <w:szCs w:val="21"/>
        </w:rPr>
      </w:pPr>
      <w:r>
        <w:rPr>
          <w:rFonts w:hint="eastAsia" w:ascii="宋体" w:hAnsi="宋体" w:cs="宋体"/>
          <w:color w:val="auto"/>
          <w:szCs w:val="21"/>
        </w:rPr>
        <w:t>……</w:t>
      </w:r>
    </w:p>
    <w:p w14:paraId="7C20F68F">
      <w:pPr>
        <w:widowControl/>
        <w:spacing w:line="460" w:lineRule="exact"/>
        <w:ind w:firstLine="444" w:firstLineChars="200"/>
        <w:jc w:val="left"/>
        <w:outlineLvl w:val="9"/>
        <w:rPr>
          <w:rFonts w:ascii="宋体" w:hAnsi="宋体" w:cs="宋体"/>
          <w:color w:val="auto"/>
          <w:spacing w:val="6"/>
          <w:szCs w:val="21"/>
        </w:rPr>
      </w:pPr>
      <w:r>
        <w:rPr>
          <w:rFonts w:hint="eastAsia" w:ascii="宋体" w:hAnsi="宋体" w:cs="宋体"/>
          <w:color w:val="auto"/>
          <w:spacing w:val="6"/>
          <w:szCs w:val="21"/>
        </w:rPr>
        <w:t>以上企业，不属于大企业的分支机构，不存在控股股东为大企业的情形，也不存在与大企业的负责人为同一人的情形。</w:t>
      </w:r>
    </w:p>
    <w:p w14:paraId="222B6309">
      <w:pPr>
        <w:widowControl/>
        <w:spacing w:line="460" w:lineRule="exact"/>
        <w:ind w:firstLine="444" w:firstLineChars="200"/>
        <w:jc w:val="left"/>
        <w:outlineLvl w:val="9"/>
        <w:rPr>
          <w:rFonts w:ascii="宋体" w:hAnsi="宋体" w:cs="宋体"/>
          <w:color w:val="auto"/>
          <w:spacing w:val="6"/>
          <w:szCs w:val="21"/>
        </w:rPr>
      </w:pPr>
      <w:r>
        <w:rPr>
          <w:rFonts w:hint="eastAsia" w:ascii="宋体" w:hAnsi="宋体" w:cs="宋体"/>
          <w:color w:val="auto"/>
          <w:spacing w:val="6"/>
          <w:szCs w:val="21"/>
        </w:rPr>
        <w:t xml:space="preserve">本企业对上述声明内容的真实性负责。如有虚假，将依法承担相应责任。 </w:t>
      </w:r>
    </w:p>
    <w:p w14:paraId="37929D6D">
      <w:pPr>
        <w:pStyle w:val="26"/>
        <w:spacing w:line="460" w:lineRule="exact"/>
        <w:ind w:firstLine="4876" w:firstLineChars="2300"/>
        <w:outlineLvl w:val="9"/>
        <w:rPr>
          <w:rFonts w:ascii="宋体" w:hAnsi="宋体" w:cs="宋体"/>
          <w:color w:val="auto"/>
          <w:spacing w:val="6"/>
          <w:szCs w:val="21"/>
        </w:rPr>
      </w:pPr>
    </w:p>
    <w:p w14:paraId="26584A70">
      <w:pPr>
        <w:pStyle w:val="26"/>
        <w:spacing w:line="460" w:lineRule="exact"/>
        <w:ind w:firstLine="4876" w:firstLineChars="2300"/>
        <w:outlineLvl w:val="9"/>
        <w:rPr>
          <w:rFonts w:hint="eastAsia" w:asciiTheme="minorEastAsia" w:hAnsiTheme="minorEastAsia" w:eastAsiaTheme="minorEastAsia" w:cstheme="minorEastAsia"/>
          <w:color w:val="auto"/>
          <w:spacing w:val="6"/>
          <w:kern w:val="2"/>
          <w:sz w:val="24"/>
          <w:szCs w:val="24"/>
          <w:highlight w:val="none"/>
          <w:lang w:val="en-US" w:eastAsia="zh-CN" w:bidi="ar-SA"/>
        </w:rPr>
      </w:pPr>
      <w:r>
        <w:rPr>
          <w:rFonts w:hint="eastAsia" w:ascii="宋体" w:hAnsi="宋体" w:cs="宋体"/>
          <w:color w:val="auto"/>
          <w:spacing w:val="6"/>
          <w:szCs w:val="21"/>
        </w:rPr>
        <w:t>企业名</w:t>
      </w:r>
      <w:r>
        <w:rPr>
          <w:rFonts w:hint="eastAsia" w:asciiTheme="minorEastAsia" w:hAnsiTheme="minorEastAsia" w:eastAsiaTheme="minorEastAsia" w:cstheme="minorEastAsia"/>
          <w:color w:val="auto"/>
          <w:spacing w:val="6"/>
          <w:kern w:val="2"/>
          <w:sz w:val="24"/>
          <w:szCs w:val="24"/>
          <w:highlight w:val="none"/>
          <w:lang w:val="en-US" w:eastAsia="zh-CN" w:bidi="ar-SA"/>
        </w:rPr>
        <w:t xml:space="preserve">称（盖章）： </w:t>
      </w:r>
    </w:p>
    <w:p w14:paraId="4C95C4C1">
      <w:pPr>
        <w:widowControl/>
        <w:spacing w:line="460" w:lineRule="exact"/>
        <w:ind w:firstLine="5106" w:firstLineChars="2300"/>
        <w:jc w:val="left"/>
        <w:outlineLvl w:val="9"/>
        <w:rPr>
          <w:rFonts w:ascii="宋体" w:hAnsi="宋体" w:cs="宋体"/>
          <w:color w:val="auto"/>
          <w:spacing w:val="6"/>
          <w:szCs w:val="21"/>
        </w:rPr>
      </w:pPr>
      <w:r>
        <w:rPr>
          <w:rFonts w:hint="eastAsia" w:ascii="宋体" w:hAnsi="宋体" w:cs="宋体"/>
          <w:color w:val="auto"/>
          <w:spacing w:val="6"/>
          <w:szCs w:val="21"/>
        </w:rPr>
        <w:t>日 期：</w:t>
      </w:r>
    </w:p>
    <w:p w14:paraId="376CB92E">
      <w:pPr>
        <w:widowControl/>
        <w:spacing w:line="460" w:lineRule="exact"/>
        <w:jc w:val="left"/>
        <w:outlineLvl w:val="9"/>
        <w:rPr>
          <w:rFonts w:ascii="宋体" w:hAnsi="宋体" w:cs="宋体"/>
          <w:color w:val="auto"/>
        </w:rPr>
      </w:pPr>
    </w:p>
    <w:p w14:paraId="18C4BC1C">
      <w:pPr>
        <w:widowControl/>
        <w:spacing w:line="460" w:lineRule="exact"/>
        <w:jc w:val="left"/>
        <w:outlineLvl w:val="9"/>
        <w:rPr>
          <w:rFonts w:ascii="宋体" w:hAnsi="宋体" w:cs="宋体"/>
          <w:color w:val="auto"/>
          <w:szCs w:val="21"/>
        </w:rPr>
      </w:pPr>
      <w:r>
        <w:rPr>
          <w:rFonts w:hint="eastAsia" w:ascii="宋体" w:hAnsi="宋体" w:cs="宋体"/>
          <w:color w:val="auto"/>
          <w:kern w:val="0"/>
          <w:szCs w:val="21"/>
        </w:rPr>
        <w:t>从业人员、营业收入、资产总额填报上一年度数据，无上一年度数据的新成立企业可不填报。</w:t>
      </w:r>
    </w:p>
    <w:p w14:paraId="6358C53E">
      <w:pPr>
        <w:spacing w:line="460" w:lineRule="exact"/>
        <w:outlineLvl w:val="9"/>
        <w:rPr>
          <w:rFonts w:ascii="宋体" w:hAnsi="宋体" w:cs="宋体"/>
          <w:color w:val="auto"/>
        </w:rPr>
      </w:pPr>
    </w:p>
    <w:p w14:paraId="5E5F52E6">
      <w:pPr>
        <w:spacing w:line="460" w:lineRule="exact"/>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注：请根据国家统计局《统计上大中小微型企业划分办法（2017）》及自己的真实情况出具《中小企业声明函》。依法享受中小企业优惠政策的，采购人或者采购代理机构在公告成交结果时，同时公告其《中小企业声明函》，接受社会监督。</w:t>
      </w:r>
    </w:p>
    <w:p w14:paraId="2034E990">
      <w:pPr>
        <w:outlineLvl w:val="9"/>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br w:type="page"/>
      </w:r>
    </w:p>
    <w:p w14:paraId="6DD8515F">
      <w:pPr>
        <w:spacing w:line="588" w:lineRule="exact"/>
        <w:jc w:val="center"/>
        <w:outlineLvl w:val="9"/>
        <w:rPr>
          <w:rFonts w:hint="eastAsia" w:asciiTheme="minorEastAsia" w:hAnsiTheme="minorEastAsia" w:eastAsiaTheme="minorEastAsia" w:cstheme="minorEastAsia"/>
          <w:b/>
          <w:color w:val="auto"/>
          <w:spacing w:val="6"/>
          <w:sz w:val="24"/>
          <w:highlight w:val="none"/>
        </w:rPr>
      </w:pPr>
      <w:bookmarkStart w:id="1889" w:name="OLE_LINK13"/>
      <w:bookmarkStart w:id="1890" w:name="OLE_LINK14"/>
    </w:p>
    <w:p w14:paraId="2FF96B4D">
      <w:pPr>
        <w:pStyle w:val="3"/>
        <w:rPr>
          <w:rFonts w:hint="eastAsia"/>
          <w:color w:val="auto"/>
        </w:rPr>
      </w:pPr>
    </w:p>
    <w:p w14:paraId="65522FC5">
      <w:pPr>
        <w:spacing w:line="588" w:lineRule="exact"/>
        <w:jc w:val="center"/>
        <w:outlineLvl w:val="9"/>
        <w:rPr>
          <w:rFonts w:asciiTheme="minorEastAsia" w:hAnsiTheme="minorEastAsia" w:eastAsiaTheme="minorEastAsia" w:cstheme="minorEastAsia"/>
          <w:b/>
          <w:color w:val="auto"/>
          <w:spacing w:val="6"/>
          <w:sz w:val="24"/>
          <w:highlight w:val="none"/>
        </w:rPr>
      </w:pPr>
      <w:r>
        <w:rPr>
          <w:rFonts w:hint="eastAsia" w:asciiTheme="minorEastAsia" w:hAnsiTheme="minorEastAsia" w:eastAsiaTheme="minorEastAsia" w:cstheme="minorEastAsia"/>
          <w:b/>
          <w:color w:val="auto"/>
          <w:spacing w:val="6"/>
          <w:sz w:val="24"/>
          <w:highlight w:val="none"/>
        </w:rPr>
        <w:t>残疾人福利性单位声明函</w:t>
      </w:r>
    </w:p>
    <w:bookmarkEnd w:id="1889"/>
    <w:bookmarkEnd w:id="1890"/>
    <w:p w14:paraId="36AFA0A7">
      <w:pPr>
        <w:spacing w:line="588" w:lineRule="exact"/>
        <w:outlineLvl w:val="9"/>
        <w:rPr>
          <w:rFonts w:asciiTheme="minorEastAsia" w:hAnsiTheme="minorEastAsia" w:eastAsiaTheme="minorEastAsia" w:cstheme="minorEastAsia"/>
          <w:b/>
          <w:color w:val="auto"/>
          <w:spacing w:val="6"/>
          <w:sz w:val="24"/>
          <w:highlight w:val="none"/>
        </w:rPr>
      </w:pPr>
    </w:p>
    <w:p w14:paraId="1AA6622D">
      <w:pPr>
        <w:spacing w:line="588" w:lineRule="exact"/>
        <w:ind w:firstLine="504" w:firstLineChars="200"/>
        <w:outlineLvl w:val="9"/>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highlight w:val="none"/>
        </w:rPr>
        <w:t>〔2017〕 141</w:t>
      </w:r>
      <w:r>
        <w:rPr>
          <w:rFonts w:hint="eastAsia" w:asciiTheme="minorEastAsia" w:hAnsiTheme="minorEastAsia" w:eastAsiaTheme="minorEastAsia" w:cstheme="minorEastAsia"/>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6572C3">
      <w:pPr>
        <w:spacing w:line="588" w:lineRule="exact"/>
        <w:ind w:firstLine="504" w:firstLineChars="200"/>
        <w:outlineLvl w:val="9"/>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本单位对上述声明的真实性负责。如有虚假，将依法承担相应责任。</w:t>
      </w:r>
    </w:p>
    <w:p w14:paraId="2FB38149">
      <w:pPr>
        <w:spacing w:line="588" w:lineRule="exact"/>
        <w:ind w:firstLine="504" w:firstLineChars="200"/>
        <w:outlineLvl w:val="9"/>
        <w:rPr>
          <w:rFonts w:asciiTheme="minorEastAsia" w:hAnsiTheme="minorEastAsia" w:eastAsiaTheme="minorEastAsia" w:cstheme="minorEastAsia"/>
          <w:color w:val="auto"/>
          <w:spacing w:val="6"/>
          <w:sz w:val="24"/>
          <w:highlight w:val="none"/>
        </w:rPr>
      </w:pPr>
    </w:p>
    <w:p w14:paraId="501AD906">
      <w:pPr>
        <w:spacing w:line="588" w:lineRule="exact"/>
        <w:ind w:firstLine="504" w:firstLineChars="200"/>
        <w:outlineLvl w:val="9"/>
        <w:rPr>
          <w:rFonts w:asciiTheme="minorEastAsia" w:hAnsiTheme="minorEastAsia" w:eastAsiaTheme="minorEastAsia" w:cstheme="minorEastAsia"/>
          <w:color w:val="auto"/>
          <w:spacing w:val="6"/>
          <w:sz w:val="24"/>
          <w:highlight w:val="none"/>
        </w:rPr>
      </w:pPr>
    </w:p>
    <w:p w14:paraId="36E2D82E">
      <w:pPr>
        <w:tabs>
          <w:tab w:val="left" w:pos="4860"/>
        </w:tabs>
        <w:spacing w:line="588" w:lineRule="exact"/>
        <w:ind w:right="1560" w:firstLine="504" w:firstLineChars="200"/>
        <w:jc w:val="center"/>
        <w:outlineLvl w:val="9"/>
        <w:rPr>
          <w:rFonts w:hint="eastAsia" w:asciiTheme="minorEastAsia" w:hAnsiTheme="minorEastAsia" w:eastAsiaTheme="minorEastAsia" w:cstheme="minorEastAsia"/>
          <w:color w:val="auto"/>
          <w:spacing w:val="6"/>
          <w:kern w:val="2"/>
          <w:sz w:val="24"/>
          <w:szCs w:val="24"/>
          <w:highlight w:val="none"/>
          <w:lang w:val="en-US" w:eastAsia="zh-CN" w:bidi="ar-SA"/>
        </w:rPr>
      </w:pPr>
      <w:r>
        <w:rPr>
          <w:rFonts w:hint="eastAsia" w:asciiTheme="minorEastAsia" w:hAnsiTheme="minorEastAsia" w:eastAsiaTheme="minorEastAsia" w:cstheme="minorEastAsia"/>
          <w:color w:val="auto"/>
          <w:spacing w:val="6"/>
          <w:sz w:val="24"/>
          <w:highlight w:val="none"/>
        </w:rPr>
        <w:t xml:space="preserve">               单位名称</w:t>
      </w:r>
      <w:r>
        <w:rPr>
          <w:rFonts w:hint="eastAsia" w:asciiTheme="minorEastAsia" w:hAnsiTheme="minorEastAsia" w:eastAsiaTheme="minorEastAsia" w:cstheme="minorEastAsia"/>
          <w:color w:val="auto"/>
          <w:spacing w:val="6"/>
          <w:kern w:val="2"/>
          <w:sz w:val="24"/>
          <w:szCs w:val="24"/>
          <w:highlight w:val="none"/>
          <w:lang w:val="en-US" w:eastAsia="zh-CN" w:bidi="ar-SA"/>
        </w:rPr>
        <w:t>（盖章）：</w:t>
      </w:r>
    </w:p>
    <w:p w14:paraId="1D40ABA0">
      <w:pPr>
        <w:tabs>
          <w:tab w:val="left" w:pos="4860"/>
        </w:tabs>
        <w:spacing w:line="588" w:lineRule="exact"/>
        <w:ind w:right="1560" w:firstLine="504" w:firstLineChars="200"/>
        <w:jc w:val="center"/>
        <w:outlineLvl w:val="9"/>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       日  期：</w:t>
      </w:r>
    </w:p>
    <w:p w14:paraId="29A6385C">
      <w:pPr>
        <w:pStyle w:val="37"/>
        <w:ind w:left="0"/>
        <w:outlineLvl w:val="9"/>
        <w:rPr>
          <w:rFonts w:asciiTheme="minorEastAsia" w:hAnsiTheme="minorEastAsia" w:eastAsiaTheme="minorEastAsia" w:cstheme="minorEastAsia"/>
          <w:color w:val="auto"/>
          <w:szCs w:val="24"/>
          <w:highlight w:val="none"/>
        </w:rPr>
      </w:pPr>
    </w:p>
    <w:p w14:paraId="7359D30E">
      <w:pPr>
        <w:pStyle w:val="37"/>
        <w:ind w:left="0"/>
        <w:outlineLvl w:val="9"/>
        <w:rPr>
          <w:color w:val="auto"/>
          <w:highlight w:val="none"/>
        </w:rPr>
      </w:pPr>
    </w:p>
    <w:p w14:paraId="2480DDB2">
      <w:pPr>
        <w:spacing w:line="460" w:lineRule="exact"/>
        <w:outlineLvl w:val="9"/>
        <w:rPr>
          <w:rFonts w:hint="eastAsia" w:ascii="华文中宋" w:hAnsi="华文中宋" w:eastAsia="华文中宋" w:cs="华文中宋"/>
          <w:color w:val="auto"/>
          <w:szCs w:val="21"/>
        </w:rPr>
      </w:pPr>
    </w:p>
    <w:p w14:paraId="599DA930">
      <w:pPr>
        <w:spacing w:line="460" w:lineRule="exact"/>
        <w:outlineLvl w:val="9"/>
        <w:rPr>
          <w:rFonts w:hint="eastAsia" w:ascii="华文中宋" w:hAnsi="华文中宋" w:eastAsia="华文中宋" w:cs="华文中宋"/>
          <w:color w:val="auto"/>
          <w:szCs w:val="21"/>
        </w:rPr>
      </w:pPr>
    </w:p>
    <w:p w14:paraId="2AB76B43">
      <w:pPr>
        <w:spacing w:line="460" w:lineRule="exact"/>
        <w:outlineLvl w:val="9"/>
        <w:rPr>
          <w:rFonts w:hint="eastAsia" w:ascii="华文中宋" w:hAnsi="华文中宋" w:eastAsia="华文中宋" w:cs="华文中宋"/>
          <w:color w:val="auto"/>
          <w:szCs w:val="21"/>
        </w:rPr>
      </w:pPr>
    </w:p>
    <w:p w14:paraId="75FF7C40">
      <w:pPr>
        <w:spacing w:line="460" w:lineRule="exact"/>
        <w:outlineLvl w:val="9"/>
        <w:rPr>
          <w:rFonts w:hint="eastAsia" w:ascii="华文中宋" w:hAnsi="华文中宋" w:eastAsia="华文中宋" w:cs="华文中宋"/>
          <w:color w:val="auto"/>
          <w:szCs w:val="21"/>
        </w:rPr>
      </w:pPr>
    </w:p>
    <w:p w14:paraId="12CE3A70">
      <w:pPr>
        <w:outlineLvl w:val="9"/>
        <w:rPr>
          <w:rFonts w:ascii="宋体"/>
          <w:color w:val="auto"/>
          <w:highlight w:val="none"/>
        </w:rPr>
      </w:pPr>
    </w:p>
    <w:p w14:paraId="7E8C48C8">
      <w:pPr>
        <w:jc w:val="center"/>
        <w:outlineLvl w:val="9"/>
        <w:rPr>
          <w:rFonts w:ascii="宋体"/>
          <w:b/>
          <w:color w:val="auto"/>
          <w:sz w:val="28"/>
          <w:szCs w:val="28"/>
          <w:highlight w:val="none"/>
        </w:rPr>
      </w:pPr>
    </w:p>
    <w:p w14:paraId="3D3BE331">
      <w:pPr>
        <w:jc w:val="center"/>
        <w:outlineLvl w:val="9"/>
        <w:rPr>
          <w:rFonts w:ascii="宋体"/>
          <w:b/>
          <w:color w:val="auto"/>
          <w:sz w:val="28"/>
          <w:szCs w:val="28"/>
          <w:highlight w:val="none"/>
        </w:rPr>
      </w:pPr>
    </w:p>
    <w:p w14:paraId="70213D32">
      <w:pPr>
        <w:jc w:val="center"/>
        <w:outlineLvl w:val="9"/>
        <w:rPr>
          <w:rFonts w:ascii="宋体"/>
          <w:b/>
          <w:color w:val="auto"/>
          <w:sz w:val="28"/>
          <w:szCs w:val="28"/>
          <w:highlight w:val="none"/>
        </w:rPr>
      </w:pPr>
    </w:p>
    <w:p w14:paraId="5D030E70">
      <w:pPr>
        <w:jc w:val="center"/>
        <w:outlineLvl w:val="9"/>
        <w:rPr>
          <w:rFonts w:ascii="宋体"/>
          <w:b/>
          <w:color w:val="auto"/>
          <w:sz w:val="28"/>
          <w:szCs w:val="28"/>
          <w:highlight w:val="none"/>
        </w:rPr>
      </w:pPr>
    </w:p>
    <w:p w14:paraId="510334FE">
      <w:pPr>
        <w:jc w:val="center"/>
        <w:outlineLvl w:val="9"/>
        <w:rPr>
          <w:rFonts w:ascii="宋体"/>
          <w:b/>
          <w:color w:val="auto"/>
          <w:sz w:val="28"/>
          <w:szCs w:val="28"/>
          <w:highlight w:val="none"/>
        </w:rPr>
      </w:pPr>
    </w:p>
    <w:p w14:paraId="2D7323E7">
      <w:pPr>
        <w:jc w:val="center"/>
        <w:outlineLvl w:val="9"/>
        <w:rPr>
          <w:rFonts w:ascii="宋体"/>
          <w:b/>
          <w:color w:val="auto"/>
          <w:sz w:val="28"/>
          <w:szCs w:val="28"/>
          <w:highlight w:val="none"/>
        </w:rPr>
      </w:pPr>
    </w:p>
    <w:p w14:paraId="591202F8">
      <w:pPr>
        <w:jc w:val="center"/>
        <w:outlineLvl w:val="9"/>
        <w:rPr>
          <w:rFonts w:ascii="宋体"/>
          <w:b/>
          <w:color w:val="auto"/>
          <w:sz w:val="28"/>
          <w:szCs w:val="28"/>
          <w:highlight w:val="none"/>
        </w:rPr>
      </w:pPr>
    </w:p>
    <w:p w14:paraId="193CCE48">
      <w:pPr>
        <w:jc w:val="center"/>
        <w:outlineLvl w:val="9"/>
        <w:rPr>
          <w:rFonts w:ascii="宋体"/>
          <w:b/>
          <w:color w:val="auto"/>
          <w:sz w:val="28"/>
          <w:szCs w:val="28"/>
          <w:highlight w:val="none"/>
        </w:rPr>
      </w:pPr>
    </w:p>
    <w:p w14:paraId="5B237660">
      <w:pPr>
        <w:jc w:val="center"/>
        <w:outlineLvl w:val="9"/>
        <w:rPr>
          <w:rFonts w:ascii="宋体"/>
          <w:b/>
          <w:color w:val="auto"/>
          <w:sz w:val="28"/>
          <w:szCs w:val="28"/>
          <w:highlight w:val="none"/>
        </w:rPr>
      </w:pPr>
    </w:p>
    <w:p w14:paraId="4E6DF362">
      <w:pPr>
        <w:jc w:val="center"/>
        <w:outlineLvl w:val="9"/>
        <w:rPr>
          <w:rFonts w:ascii="宋体"/>
          <w:color w:val="auto"/>
          <w:sz w:val="52"/>
          <w:szCs w:val="52"/>
          <w:highlight w:val="none"/>
        </w:rPr>
      </w:pPr>
    </w:p>
    <w:p w14:paraId="1A5766B3">
      <w:pPr>
        <w:jc w:val="center"/>
        <w:outlineLvl w:val="9"/>
        <w:rPr>
          <w:rFonts w:ascii="宋体"/>
          <w:color w:val="auto"/>
          <w:sz w:val="52"/>
          <w:szCs w:val="52"/>
          <w:highlight w:val="none"/>
        </w:rPr>
      </w:pPr>
      <w:r>
        <w:rPr>
          <w:rFonts w:hint="eastAsia" w:ascii="宋体"/>
          <w:color w:val="auto"/>
          <w:sz w:val="52"/>
          <w:szCs w:val="52"/>
          <w:highlight w:val="none"/>
        </w:rPr>
        <w:t>磋  商  文  件</w:t>
      </w:r>
    </w:p>
    <w:p w14:paraId="2EBC63D2">
      <w:pPr>
        <w:jc w:val="center"/>
        <w:outlineLvl w:val="9"/>
        <w:rPr>
          <w:rFonts w:ascii="宋体"/>
          <w:color w:val="auto"/>
          <w:sz w:val="32"/>
          <w:szCs w:val="32"/>
          <w:highlight w:val="none"/>
        </w:rPr>
      </w:pPr>
    </w:p>
    <w:p w14:paraId="503CCE3F">
      <w:pPr>
        <w:pStyle w:val="37"/>
        <w:outlineLvl w:val="9"/>
        <w:rPr>
          <w:color w:val="auto"/>
          <w:sz w:val="32"/>
          <w:szCs w:val="32"/>
          <w:highlight w:val="none"/>
        </w:rPr>
      </w:pPr>
    </w:p>
    <w:p w14:paraId="4F4CE4FE">
      <w:pPr>
        <w:pStyle w:val="37"/>
        <w:outlineLvl w:val="9"/>
        <w:rPr>
          <w:color w:val="auto"/>
          <w:sz w:val="32"/>
          <w:szCs w:val="32"/>
          <w:highlight w:val="none"/>
        </w:rPr>
      </w:pPr>
    </w:p>
    <w:p w14:paraId="25602760">
      <w:pPr>
        <w:outlineLvl w:val="9"/>
        <w:rPr>
          <w:rFonts w:ascii="宋体"/>
          <w:color w:val="auto"/>
          <w:sz w:val="32"/>
          <w:szCs w:val="32"/>
          <w:highlight w:val="none"/>
        </w:rPr>
      </w:pPr>
    </w:p>
    <w:p w14:paraId="2107938E">
      <w:pPr>
        <w:jc w:val="center"/>
        <w:outlineLvl w:val="9"/>
        <w:rPr>
          <w:rFonts w:ascii="宋体"/>
          <w:color w:val="auto"/>
          <w:sz w:val="32"/>
          <w:szCs w:val="32"/>
          <w:highlight w:val="none"/>
        </w:rPr>
      </w:pPr>
    </w:p>
    <w:p w14:paraId="0B411B19">
      <w:pPr>
        <w:spacing w:line="360" w:lineRule="auto"/>
        <w:ind w:firstLine="2380" w:firstLineChars="850"/>
        <w:outlineLvl w:val="9"/>
        <w:rPr>
          <w:rFonts w:ascii="宋体"/>
          <w:color w:val="auto"/>
          <w:sz w:val="28"/>
          <w:szCs w:val="28"/>
          <w:highlight w:val="none"/>
          <w:u w:val="single"/>
        </w:rPr>
      </w:pPr>
      <w:r>
        <w:rPr>
          <w:rFonts w:hint="eastAsia" w:ascii="宋体"/>
          <w:color w:val="auto"/>
          <w:sz w:val="28"/>
          <w:szCs w:val="28"/>
          <w:highlight w:val="none"/>
        </w:rPr>
        <w:t>项目名称及编号：</w:t>
      </w:r>
      <w:r>
        <w:rPr>
          <w:rFonts w:hint="eastAsia" w:ascii="宋体"/>
          <w:color w:val="auto"/>
          <w:sz w:val="28"/>
          <w:szCs w:val="28"/>
          <w:highlight w:val="none"/>
          <w:u w:val="single"/>
        </w:rPr>
        <w:t xml:space="preserve">                   </w:t>
      </w:r>
    </w:p>
    <w:p w14:paraId="291B9FA4">
      <w:pPr>
        <w:jc w:val="center"/>
        <w:outlineLvl w:val="9"/>
        <w:rPr>
          <w:rFonts w:ascii="宋体"/>
          <w:color w:val="auto"/>
          <w:sz w:val="32"/>
          <w:szCs w:val="32"/>
          <w:highlight w:val="none"/>
        </w:rPr>
      </w:pPr>
    </w:p>
    <w:p w14:paraId="3726902A">
      <w:pPr>
        <w:jc w:val="center"/>
        <w:outlineLvl w:val="9"/>
        <w:rPr>
          <w:rFonts w:ascii="宋体"/>
          <w:color w:val="auto"/>
          <w:sz w:val="32"/>
          <w:szCs w:val="32"/>
          <w:highlight w:val="none"/>
        </w:rPr>
      </w:pPr>
      <w:r>
        <w:rPr>
          <w:rFonts w:hint="eastAsia" w:ascii="宋体"/>
          <w:color w:val="auto"/>
          <w:sz w:val="32"/>
          <w:szCs w:val="32"/>
          <w:highlight w:val="none"/>
        </w:rPr>
        <w:t xml:space="preserve">      </w:t>
      </w:r>
    </w:p>
    <w:p w14:paraId="0BDDF3A9">
      <w:pPr>
        <w:jc w:val="center"/>
        <w:outlineLvl w:val="9"/>
        <w:rPr>
          <w:rFonts w:ascii="宋体"/>
          <w:color w:val="auto"/>
          <w:sz w:val="32"/>
          <w:szCs w:val="32"/>
          <w:highlight w:val="none"/>
        </w:rPr>
      </w:pPr>
    </w:p>
    <w:p w14:paraId="580A319E">
      <w:pPr>
        <w:outlineLvl w:val="9"/>
        <w:rPr>
          <w:rFonts w:ascii="宋体"/>
          <w:color w:val="auto"/>
          <w:sz w:val="32"/>
          <w:szCs w:val="32"/>
          <w:highlight w:val="none"/>
        </w:rPr>
      </w:pPr>
    </w:p>
    <w:p w14:paraId="102E49D5">
      <w:pPr>
        <w:pStyle w:val="37"/>
        <w:outlineLvl w:val="9"/>
        <w:rPr>
          <w:color w:val="auto"/>
          <w:sz w:val="32"/>
          <w:szCs w:val="32"/>
          <w:highlight w:val="none"/>
        </w:rPr>
      </w:pPr>
    </w:p>
    <w:p w14:paraId="6F03C1A3">
      <w:pPr>
        <w:pStyle w:val="37"/>
        <w:outlineLvl w:val="9"/>
        <w:rPr>
          <w:color w:val="auto"/>
          <w:sz w:val="32"/>
          <w:szCs w:val="32"/>
          <w:highlight w:val="none"/>
        </w:rPr>
      </w:pPr>
    </w:p>
    <w:p w14:paraId="1F8A4DBC">
      <w:pPr>
        <w:jc w:val="center"/>
        <w:outlineLvl w:val="9"/>
        <w:rPr>
          <w:rFonts w:ascii="宋体"/>
          <w:color w:val="auto"/>
          <w:sz w:val="32"/>
          <w:szCs w:val="32"/>
          <w:highlight w:val="none"/>
        </w:rPr>
      </w:pPr>
    </w:p>
    <w:p w14:paraId="127EEA59">
      <w:pPr>
        <w:jc w:val="center"/>
        <w:outlineLvl w:val="9"/>
        <w:rPr>
          <w:rFonts w:ascii="宋体"/>
          <w:color w:val="auto"/>
          <w:sz w:val="32"/>
          <w:szCs w:val="32"/>
          <w:highlight w:val="none"/>
        </w:rPr>
      </w:pPr>
    </w:p>
    <w:p w14:paraId="4EA00070">
      <w:pPr>
        <w:spacing w:line="360" w:lineRule="auto"/>
        <w:outlineLvl w:val="9"/>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技术部分              </w:t>
      </w:r>
    </w:p>
    <w:p w14:paraId="7F4DD863">
      <w:pPr>
        <w:spacing w:line="360" w:lineRule="auto"/>
        <w:outlineLvl w:val="9"/>
        <w:rPr>
          <w:rFonts w:ascii="宋体"/>
          <w:color w:val="auto"/>
          <w:sz w:val="28"/>
          <w:szCs w:val="28"/>
          <w:highlight w:val="none"/>
        </w:rPr>
      </w:pPr>
      <w:r>
        <w:rPr>
          <w:rFonts w:hint="eastAsia" w:ascii="宋体"/>
          <w:color w:val="auto"/>
          <w:sz w:val="28"/>
          <w:szCs w:val="28"/>
          <w:highlight w:val="none"/>
        </w:rPr>
        <w:t>供 应 商：</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64F103AA">
      <w:pPr>
        <w:spacing w:line="360" w:lineRule="auto"/>
        <w:outlineLvl w:val="9"/>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00F79EB0">
      <w:pPr>
        <w:spacing w:line="360" w:lineRule="auto"/>
        <w:ind w:firstLine="1400" w:firstLineChars="500"/>
        <w:outlineLvl w:val="9"/>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319E00A">
      <w:pPr>
        <w:spacing w:line="400" w:lineRule="exact"/>
        <w:outlineLvl w:val="9"/>
        <w:rPr>
          <w:rFonts w:ascii="宋体"/>
          <w:color w:val="auto"/>
          <w:highlight w:val="none"/>
        </w:rPr>
      </w:pPr>
    </w:p>
    <w:p w14:paraId="54CE4662">
      <w:pPr>
        <w:spacing w:line="400" w:lineRule="exact"/>
        <w:outlineLvl w:val="9"/>
        <w:rPr>
          <w:rFonts w:ascii="宋体"/>
          <w:color w:val="auto"/>
          <w:highlight w:val="none"/>
        </w:rPr>
      </w:pPr>
    </w:p>
    <w:p w14:paraId="40F1C102">
      <w:pPr>
        <w:spacing w:line="400" w:lineRule="exact"/>
        <w:outlineLvl w:val="9"/>
        <w:rPr>
          <w:rFonts w:ascii="宋体"/>
          <w:color w:val="auto"/>
          <w:highlight w:val="none"/>
        </w:rPr>
      </w:pPr>
    </w:p>
    <w:p w14:paraId="5040320B">
      <w:pPr>
        <w:spacing w:line="400" w:lineRule="exact"/>
        <w:outlineLvl w:val="9"/>
        <w:rPr>
          <w:rFonts w:ascii="宋体"/>
          <w:color w:val="auto"/>
          <w:highlight w:val="none"/>
        </w:rPr>
      </w:pPr>
    </w:p>
    <w:p w14:paraId="5D95ADF5">
      <w:pPr>
        <w:spacing w:line="400" w:lineRule="exact"/>
        <w:outlineLvl w:val="9"/>
        <w:rPr>
          <w:rFonts w:ascii="宋体"/>
          <w:color w:val="auto"/>
          <w:highlight w:val="none"/>
        </w:rPr>
      </w:pPr>
    </w:p>
    <w:p w14:paraId="52989D27">
      <w:pPr>
        <w:spacing w:line="400" w:lineRule="exact"/>
        <w:outlineLvl w:val="9"/>
        <w:rPr>
          <w:rFonts w:ascii="宋体"/>
          <w:color w:val="auto"/>
          <w:highlight w:val="none"/>
        </w:rPr>
      </w:pPr>
    </w:p>
    <w:p w14:paraId="4550379A">
      <w:pPr>
        <w:pStyle w:val="37"/>
        <w:outlineLvl w:val="9"/>
        <w:rPr>
          <w:rFonts w:ascii="宋体"/>
          <w:color w:val="auto"/>
          <w:highlight w:val="none"/>
        </w:rPr>
      </w:pPr>
    </w:p>
    <w:p w14:paraId="245D3C06">
      <w:pPr>
        <w:pStyle w:val="37"/>
        <w:outlineLvl w:val="9"/>
        <w:rPr>
          <w:rFonts w:ascii="宋体"/>
          <w:color w:val="auto"/>
          <w:highlight w:val="none"/>
        </w:rPr>
      </w:pPr>
    </w:p>
    <w:p w14:paraId="0F26CB1A">
      <w:pPr>
        <w:pStyle w:val="37"/>
        <w:outlineLvl w:val="9"/>
        <w:rPr>
          <w:rFonts w:ascii="宋体"/>
          <w:color w:val="auto"/>
          <w:highlight w:val="none"/>
        </w:rPr>
      </w:pPr>
    </w:p>
    <w:p w14:paraId="58822305">
      <w:pPr>
        <w:spacing w:line="400" w:lineRule="exact"/>
        <w:outlineLvl w:val="9"/>
        <w:rPr>
          <w:rFonts w:ascii="宋体"/>
          <w:color w:val="auto"/>
          <w:highlight w:val="none"/>
        </w:rPr>
      </w:pPr>
    </w:p>
    <w:p w14:paraId="29DF1FE7">
      <w:pPr>
        <w:spacing w:line="400" w:lineRule="exact"/>
        <w:outlineLvl w:val="9"/>
        <w:rPr>
          <w:rFonts w:ascii="宋体"/>
          <w:color w:val="auto"/>
          <w:highlight w:val="none"/>
        </w:rPr>
      </w:pPr>
    </w:p>
    <w:p w14:paraId="2CBCAB63">
      <w:pPr>
        <w:spacing w:line="400" w:lineRule="exact"/>
        <w:outlineLvl w:val="9"/>
        <w:rPr>
          <w:rFonts w:ascii="宋体"/>
          <w:color w:val="auto"/>
          <w:highlight w:val="none"/>
        </w:rPr>
      </w:pPr>
    </w:p>
    <w:p w14:paraId="7334DD2D">
      <w:pPr>
        <w:spacing w:line="360" w:lineRule="auto"/>
        <w:ind w:firstLine="420"/>
        <w:jc w:val="center"/>
        <w:outlineLvl w:val="9"/>
        <w:rPr>
          <w:rFonts w:ascii="宋体"/>
          <w:b/>
          <w:color w:val="auto"/>
          <w:sz w:val="28"/>
          <w:szCs w:val="28"/>
          <w:highlight w:val="none"/>
        </w:rPr>
      </w:pPr>
      <w:r>
        <w:rPr>
          <w:rFonts w:hint="eastAsia" w:ascii="宋体"/>
          <w:b/>
          <w:color w:val="auto"/>
          <w:sz w:val="28"/>
          <w:szCs w:val="28"/>
          <w:highlight w:val="none"/>
        </w:rPr>
        <w:t>目 录</w:t>
      </w:r>
    </w:p>
    <w:p w14:paraId="58F3A320">
      <w:pPr>
        <w:spacing w:line="360" w:lineRule="auto"/>
        <w:outlineLvl w:val="9"/>
        <w:rPr>
          <w:rFonts w:ascii="宋体"/>
          <w:b/>
          <w:color w:val="auto"/>
          <w:sz w:val="24"/>
          <w:szCs w:val="28"/>
          <w:highlight w:val="none"/>
        </w:rPr>
      </w:pPr>
      <w:bookmarkStart w:id="1891" w:name="_Toc419363894"/>
    </w:p>
    <w:p w14:paraId="7DBE1B12">
      <w:pPr>
        <w:outlineLvl w:val="9"/>
        <w:rPr>
          <w:rFonts w:hint="eastAsia" w:ascii="宋体" w:eastAsia="宋体"/>
          <w:b/>
          <w:color w:val="auto"/>
          <w:sz w:val="28"/>
          <w:szCs w:val="28"/>
          <w:highlight w:val="none"/>
          <w:lang w:eastAsia="zh-CN"/>
        </w:rPr>
      </w:pPr>
    </w:p>
    <w:p w14:paraId="011A8726">
      <w:pPr>
        <w:outlineLvl w:val="9"/>
        <w:rPr>
          <w:rFonts w:hint="eastAsia" w:ascii="宋体" w:eastAsia="宋体"/>
          <w:b/>
          <w:color w:val="auto"/>
          <w:sz w:val="28"/>
          <w:szCs w:val="28"/>
          <w:highlight w:val="none"/>
          <w:lang w:eastAsia="zh-CN"/>
        </w:rPr>
      </w:pPr>
      <w:r>
        <w:rPr>
          <w:rFonts w:hint="eastAsia" w:ascii="宋体"/>
          <w:b/>
          <w:color w:val="auto"/>
          <w:sz w:val="28"/>
          <w:szCs w:val="28"/>
          <w:highlight w:val="none"/>
          <w:lang w:eastAsia="zh-CN"/>
        </w:rPr>
        <w:t>一</w:t>
      </w:r>
      <w:r>
        <w:rPr>
          <w:rFonts w:hint="eastAsia" w:ascii="宋体"/>
          <w:b/>
          <w:color w:val="auto"/>
          <w:sz w:val="28"/>
          <w:szCs w:val="28"/>
          <w:highlight w:val="none"/>
        </w:rPr>
        <w:t>、</w:t>
      </w:r>
      <w:bookmarkEnd w:id="1891"/>
      <w:bookmarkStart w:id="1892" w:name="_Toc419363895"/>
      <w:r>
        <w:rPr>
          <w:rFonts w:hint="eastAsia" w:ascii="宋体"/>
          <w:b/>
          <w:color w:val="auto"/>
          <w:sz w:val="28"/>
          <w:szCs w:val="28"/>
          <w:highlight w:val="none"/>
        </w:rPr>
        <w:t>施工组织</w:t>
      </w:r>
      <w:bookmarkEnd w:id="1892"/>
      <w:r>
        <w:rPr>
          <w:rFonts w:hint="eastAsia" w:ascii="宋体"/>
          <w:b/>
          <w:color w:val="auto"/>
          <w:sz w:val="28"/>
          <w:szCs w:val="28"/>
          <w:highlight w:val="none"/>
          <w:lang w:eastAsia="zh-CN"/>
        </w:rPr>
        <w:t>设计</w:t>
      </w:r>
    </w:p>
    <w:p w14:paraId="7AD3C565">
      <w:pPr>
        <w:spacing w:line="360" w:lineRule="auto"/>
        <w:outlineLvl w:val="9"/>
        <w:rPr>
          <w:rFonts w:ascii="宋体"/>
          <w:color w:val="auto"/>
          <w:highlight w:val="none"/>
        </w:rPr>
      </w:pPr>
    </w:p>
    <w:p w14:paraId="622D3A69">
      <w:pPr>
        <w:tabs>
          <w:tab w:val="left" w:pos="826"/>
        </w:tabs>
        <w:adjustRightInd w:val="0"/>
        <w:snapToGrid w:val="0"/>
        <w:spacing w:line="360" w:lineRule="auto"/>
        <w:ind w:firstLine="315" w:firstLineChars="150"/>
        <w:outlineLvl w:val="9"/>
        <w:rPr>
          <w:rFonts w:hint="eastAsia" w:ascii="宋体"/>
          <w:color w:val="auto"/>
          <w:szCs w:val="21"/>
          <w:highlight w:val="none"/>
        </w:rPr>
      </w:pPr>
      <w:r>
        <w:rPr>
          <w:rFonts w:hint="eastAsia" w:ascii="宋体"/>
          <w:color w:val="auto"/>
          <w:szCs w:val="21"/>
          <w:highlight w:val="none"/>
        </w:rPr>
        <w:t>【备注：格式自拟，以上资料均须加盖供应商单位公章】</w:t>
      </w:r>
    </w:p>
    <w:p w14:paraId="3E8B07D3">
      <w:pPr>
        <w:pStyle w:val="37"/>
        <w:outlineLvl w:val="9"/>
        <w:rPr>
          <w:color w:val="auto"/>
        </w:rPr>
      </w:pPr>
      <w:r>
        <w:rPr>
          <w:rFonts w:hint="eastAsia"/>
          <w:b/>
          <w:color w:val="auto"/>
          <w:sz w:val="28"/>
          <w:szCs w:val="28"/>
          <w:highlight w:val="none"/>
          <w:lang w:eastAsia="zh-CN"/>
        </w:rPr>
        <w:t>二</w:t>
      </w:r>
      <w:r>
        <w:rPr>
          <w:rFonts w:hint="eastAsia" w:ascii="宋体"/>
          <w:b/>
          <w:color w:val="auto"/>
          <w:sz w:val="28"/>
          <w:szCs w:val="28"/>
          <w:highlight w:val="none"/>
          <w:lang w:eastAsia="zh-CN"/>
        </w:rPr>
        <w:t>、项目管理机构（格式自拟）</w:t>
      </w:r>
    </w:p>
    <w:p w14:paraId="6DBFBD87">
      <w:pPr>
        <w:spacing w:line="360" w:lineRule="auto"/>
        <w:outlineLvl w:val="9"/>
        <w:rPr>
          <w:rFonts w:ascii="宋体"/>
          <w:color w:val="auto"/>
          <w:highlight w:val="none"/>
        </w:rPr>
      </w:pPr>
    </w:p>
    <w:p w14:paraId="6749BF1D">
      <w:pPr>
        <w:spacing w:line="360" w:lineRule="auto"/>
        <w:outlineLvl w:val="9"/>
        <w:rPr>
          <w:rFonts w:ascii="宋体"/>
          <w:color w:val="auto"/>
          <w:highlight w:val="none"/>
        </w:rPr>
      </w:pPr>
    </w:p>
    <w:p w14:paraId="64EE093C">
      <w:pPr>
        <w:spacing w:line="360" w:lineRule="auto"/>
        <w:outlineLvl w:val="9"/>
        <w:rPr>
          <w:rFonts w:ascii="宋体"/>
          <w:color w:val="auto"/>
          <w:highlight w:val="none"/>
        </w:rPr>
      </w:pPr>
    </w:p>
    <w:p w14:paraId="5FF86345">
      <w:pPr>
        <w:spacing w:line="360" w:lineRule="auto"/>
        <w:outlineLvl w:val="9"/>
        <w:rPr>
          <w:rFonts w:ascii="宋体"/>
          <w:color w:val="auto"/>
          <w:highlight w:val="none"/>
        </w:rPr>
      </w:pPr>
    </w:p>
    <w:p w14:paraId="474800A6">
      <w:pPr>
        <w:spacing w:line="360" w:lineRule="auto"/>
        <w:outlineLvl w:val="9"/>
        <w:rPr>
          <w:rFonts w:ascii="宋体"/>
          <w:color w:val="auto"/>
          <w:highlight w:val="none"/>
        </w:rPr>
      </w:pPr>
    </w:p>
    <w:p w14:paraId="5FFCFD3C">
      <w:pPr>
        <w:outlineLvl w:val="9"/>
        <w:rPr>
          <w:rFonts w:ascii="宋体"/>
          <w:b/>
          <w:color w:val="auto"/>
          <w:sz w:val="28"/>
          <w:szCs w:val="28"/>
          <w:highlight w:val="none"/>
        </w:rPr>
      </w:pPr>
      <w:r>
        <w:rPr>
          <w:rFonts w:hint="eastAsia" w:ascii="宋体"/>
          <w:color w:val="auto"/>
          <w:highlight w:val="none"/>
        </w:rPr>
        <w:br w:type="page"/>
      </w:r>
      <w:bookmarkStart w:id="1893" w:name="_Toc419363897"/>
      <w:r>
        <w:rPr>
          <w:rFonts w:hint="eastAsia" w:ascii="宋体"/>
          <w:color w:val="auto"/>
          <w:highlight w:val="none"/>
        </w:rPr>
        <w:t xml:space="preserve">                                        </w:t>
      </w:r>
      <w:r>
        <w:rPr>
          <w:rFonts w:hint="eastAsia" w:ascii="宋体"/>
          <w:b/>
          <w:color w:val="auto"/>
          <w:sz w:val="28"/>
          <w:szCs w:val="28"/>
          <w:highlight w:val="none"/>
        </w:rPr>
        <w:t>施工组织设计</w:t>
      </w:r>
      <w:bookmarkEnd w:id="1893"/>
    </w:p>
    <w:p w14:paraId="703920B6">
      <w:pPr>
        <w:spacing w:line="460" w:lineRule="exact"/>
        <w:ind w:firstLine="420" w:firstLineChars="200"/>
        <w:outlineLvl w:val="9"/>
        <w:rPr>
          <w:rFonts w:ascii="宋体"/>
          <w:color w:val="auto"/>
          <w:szCs w:val="21"/>
          <w:highlight w:val="none"/>
        </w:rPr>
      </w:pPr>
      <w:r>
        <w:rPr>
          <w:rFonts w:hint="eastAsia" w:ascii="宋体"/>
          <w:color w:val="auto"/>
          <w:szCs w:val="21"/>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及装配式技术在本项目中的应用分析（如有）。</w:t>
      </w:r>
    </w:p>
    <w:p w14:paraId="4A1C85D0">
      <w:pPr>
        <w:spacing w:line="460" w:lineRule="exact"/>
        <w:ind w:firstLine="420" w:firstLineChars="200"/>
        <w:outlineLvl w:val="9"/>
        <w:rPr>
          <w:rFonts w:ascii="宋体"/>
          <w:color w:val="auto"/>
          <w:szCs w:val="21"/>
          <w:highlight w:val="none"/>
        </w:rPr>
      </w:pPr>
      <w:r>
        <w:rPr>
          <w:rFonts w:hint="eastAsia" w:ascii="宋体"/>
          <w:color w:val="auto"/>
          <w:szCs w:val="21"/>
          <w:highlight w:val="none"/>
        </w:rPr>
        <w:t>2．施工组织设计除采用文字表述外可附下列图表，图表及格式要求附后。</w:t>
      </w:r>
    </w:p>
    <w:p w14:paraId="11947DA1">
      <w:pPr>
        <w:spacing w:line="460" w:lineRule="exact"/>
        <w:ind w:firstLine="420" w:firstLineChars="200"/>
        <w:outlineLvl w:val="9"/>
        <w:rPr>
          <w:rFonts w:ascii="宋体"/>
          <w:color w:val="auto"/>
          <w:szCs w:val="21"/>
          <w:highlight w:val="none"/>
        </w:rPr>
      </w:pPr>
      <w:r>
        <w:rPr>
          <w:rFonts w:hint="eastAsia" w:ascii="宋体"/>
          <w:color w:val="auto"/>
          <w:szCs w:val="21"/>
          <w:highlight w:val="none"/>
        </w:rPr>
        <w:t>附表一  拟投入本工程的主要施工设备表</w:t>
      </w:r>
    </w:p>
    <w:p w14:paraId="37A18A32">
      <w:pPr>
        <w:spacing w:line="460" w:lineRule="exact"/>
        <w:ind w:firstLine="420" w:firstLineChars="200"/>
        <w:outlineLvl w:val="9"/>
        <w:rPr>
          <w:rFonts w:ascii="宋体"/>
          <w:color w:val="auto"/>
          <w:szCs w:val="21"/>
          <w:highlight w:val="none"/>
        </w:rPr>
      </w:pPr>
      <w:r>
        <w:rPr>
          <w:rFonts w:hint="eastAsia" w:ascii="宋体"/>
          <w:color w:val="auto"/>
          <w:szCs w:val="21"/>
          <w:highlight w:val="none"/>
        </w:rPr>
        <w:t>附表二  拟配备本工程的试验和检测仪器设备表</w:t>
      </w:r>
    </w:p>
    <w:p w14:paraId="08FC3BA1">
      <w:pPr>
        <w:spacing w:line="460" w:lineRule="exact"/>
        <w:ind w:firstLine="420" w:firstLineChars="200"/>
        <w:outlineLvl w:val="9"/>
        <w:rPr>
          <w:rFonts w:ascii="宋体"/>
          <w:color w:val="auto"/>
          <w:szCs w:val="21"/>
          <w:highlight w:val="none"/>
        </w:rPr>
      </w:pPr>
      <w:r>
        <w:rPr>
          <w:rFonts w:hint="eastAsia" w:ascii="宋体"/>
          <w:color w:val="auto"/>
          <w:szCs w:val="21"/>
          <w:highlight w:val="none"/>
        </w:rPr>
        <w:t>附表三  劳动力计划表</w:t>
      </w:r>
    </w:p>
    <w:p w14:paraId="7A4729B4">
      <w:pPr>
        <w:spacing w:line="460" w:lineRule="exact"/>
        <w:ind w:firstLine="420" w:firstLineChars="200"/>
        <w:outlineLvl w:val="9"/>
        <w:rPr>
          <w:rFonts w:ascii="宋体"/>
          <w:color w:val="auto"/>
          <w:szCs w:val="21"/>
          <w:highlight w:val="none"/>
        </w:rPr>
      </w:pPr>
      <w:r>
        <w:rPr>
          <w:rFonts w:hint="eastAsia" w:ascii="宋体"/>
          <w:color w:val="auto"/>
          <w:szCs w:val="21"/>
          <w:highlight w:val="none"/>
        </w:rPr>
        <w:t>附表四  计划开、竣工日期和施工进度网络图</w:t>
      </w:r>
    </w:p>
    <w:p w14:paraId="373DC20F">
      <w:pPr>
        <w:spacing w:line="460" w:lineRule="exact"/>
        <w:ind w:firstLine="420" w:firstLineChars="200"/>
        <w:outlineLvl w:val="9"/>
        <w:rPr>
          <w:rFonts w:ascii="宋体"/>
          <w:color w:val="auto"/>
          <w:szCs w:val="21"/>
          <w:highlight w:val="none"/>
        </w:rPr>
      </w:pPr>
    </w:p>
    <w:p w14:paraId="66B1F69B">
      <w:pPr>
        <w:outlineLvl w:val="9"/>
        <w:rPr>
          <w:rFonts w:ascii="宋体"/>
          <w:color w:val="auto"/>
          <w:szCs w:val="21"/>
          <w:highlight w:val="none"/>
        </w:rPr>
      </w:pPr>
      <w:r>
        <w:rPr>
          <w:rFonts w:hint="eastAsia" w:ascii="宋体"/>
          <w:color w:val="auto"/>
          <w:highlight w:val="none"/>
        </w:rPr>
        <w:t>附表一：拟投入本</w:t>
      </w:r>
      <w:r>
        <w:rPr>
          <w:rFonts w:hint="eastAsia" w:ascii="宋体"/>
          <w:color w:val="auto"/>
          <w:szCs w:val="21"/>
          <w:highlight w:val="none"/>
        </w:rPr>
        <w:t>工程</w:t>
      </w:r>
      <w:r>
        <w:rPr>
          <w:rFonts w:hint="eastAsia" w:ascii="宋体"/>
          <w:color w:val="auto"/>
          <w:highlight w:val="none"/>
        </w:rPr>
        <w:t>的主要施工设备表</w:t>
      </w:r>
    </w:p>
    <w:tbl>
      <w:tblPr>
        <w:tblStyle w:val="8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7D60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556FC399">
            <w:pPr>
              <w:jc w:val="center"/>
              <w:outlineLvl w:val="9"/>
              <w:rPr>
                <w:rFonts w:ascii="宋体"/>
                <w:color w:val="auto"/>
                <w:szCs w:val="21"/>
                <w:highlight w:val="none"/>
              </w:rPr>
            </w:pPr>
            <w:r>
              <w:rPr>
                <w:rFonts w:hint="eastAsia" w:ascii="宋体"/>
                <w:color w:val="auto"/>
                <w:szCs w:val="21"/>
                <w:highlight w:val="none"/>
              </w:rPr>
              <w:t>序号</w:t>
            </w:r>
          </w:p>
        </w:tc>
        <w:tc>
          <w:tcPr>
            <w:tcW w:w="1226" w:type="dxa"/>
            <w:vAlign w:val="center"/>
          </w:tcPr>
          <w:p w14:paraId="435044A4">
            <w:pPr>
              <w:jc w:val="center"/>
              <w:outlineLvl w:val="9"/>
              <w:rPr>
                <w:rFonts w:ascii="宋体"/>
                <w:color w:val="auto"/>
                <w:szCs w:val="21"/>
                <w:highlight w:val="none"/>
              </w:rPr>
            </w:pPr>
            <w:r>
              <w:rPr>
                <w:rFonts w:hint="eastAsia" w:ascii="宋体"/>
                <w:color w:val="auto"/>
                <w:szCs w:val="21"/>
                <w:highlight w:val="none"/>
              </w:rPr>
              <w:t>设备名称</w:t>
            </w:r>
          </w:p>
        </w:tc>
        <w:tc>
          <w:tcPr>
            <w:tcW w:w="851" w:type="dxa"/>
            <w:vAlign w:val="center"/>
          </w:tcPr>
          <w:p w14:paraId="7D0C5F2E">
            <w:pPr>
              <w:jc w:val="center"/>
              <w:outlineLvl w:val="9"/>
              <w:rPr>
                <w:rFonts w:ascii="宋体"/>
                <w:color w:val="auto"/>
                <w:szCs w:val="21"/>
                <w:highlight w:val="none"/>
              </w:rPr>
            </w:pPr>
            <w:r>
              <w:rPr>
                <w:rFonts w:hint="eastAsia" w:ascii="宋体"/>
                <w:color w:val="auto"/>
                <w:szCs w:val="21"/>
                <w:highlight w:val="none"/>
              </w:rPr>
              <w:t>型号</w:t>
            </w:r>
          </w:p>
          <w:p w14:paraId="3BC507CE">
            <w:pPr>
              <w:jc w:val="center"/>
              <w:outlineLvl w:val="9"/>
              <w:rPr>
                <w:rFonts w:ascii="宋体"/>
                <w:color w:val="auto"/>
                <w:szCs w:val="21"/>
                <w:highlight w:val="none"/>
              </w:rPr>
            </w:pPr>
            <w:r>
              <w:rPr>
                <w:rFonts w:hint="eastAsia" w:ascii="宋体"/>
                <w:color w:val="auto"/>
                <w:szCs w:val="21"/>
                <w:highlight w:val="none"/>
              </w:rPr>
              <w:t>规格</w:t>
            </w:r>
          </w:p>
        </w:tc>
        <w:tc>
          <w:tcPr>
            <w:tcW w:w="708" w:type="dxa"/>
            <w:vAlign w:val="center"/>
          </w:tcPr>
          <w:p w14:paraId="7C4AD21A">
            <w:pPr>
              <w:jc w:val="center"/>
              <w:outlineLvl w:val="9"/>
              <w:rPr>
                <w:rFonts w:ascii="宋体"/>
                <w:color w:val="auto"/>
                <w:szCs w:val="21"/>
                <w:highlight w:val="none"/>
              </w:rPr>
            </w:pPr>
            <w:r>
              <w:rPr>
                <w:rFonts w:hint="eastAsia" w:ascii="宋体"/>
                <w:color w:val="auto"/>
                <w:szCs w:val="21"/>
                <w:highlight w:val="none"/>
              </w:rPr>
              <w:t>数量</w:t>
            </w:r>
          </w:p>
        </w:tc>
        <w:tc>
          <w:tcPr>
            <w:tcW w:w="709" w:type="dxa"/>
            <w:vAlign w:val="center"/>
          </w:tcPr>
          <w:p w14:paraId="7523ED77">
            <w:pPr>
              <w:jc w:val="center"/>
              <w:outlineLvl w:val="9"/>
              <w:rPr>
                <w:rFonts w:ascii="宋体"/>
                <w:color w:val="auto"/>
                <w:szCs w:val="21"/>
                <w:highlight w:val="none"/>
              </w:rPr>
            </w:pPr>
            <w:r>
              <w:rPr>
                <w:rFonts w:hint="eastAsia" w:ascii="宋体"/>
                <w:color w:val="auto"/>
                <w:szCs w:val="21"/>
                <w:highlight w:val="none"/>
              </w:rPr>
              <w:t>国别</w:t>
            </w:r>
          </w:p>
          <w:p w14:paraId="24DADBE7">
            <w:pPr>
              <w:jc w:val="center"/>
              <w:outlineLvl w:val="9"/>
              <w:rPr>
                <w:rFonts w:ascii="宋体"/>
                <w:color w:val="auto"/>
                <w:szCs w:val="21"/>
                <w:highlight w:val="none"/>
              </w:rPr>
            </w:pPr>
            <w:r>
              <w:rPr>
                <w:rFonts w:hint="eastAsia" w:ascii="宋体"/>
                <w:color w:val="auto"/>
                <w:szCs w:val="21"/>
                <w:highlight w:val="none"/>
              </w:rPr>
              <w:t>产地</w:t>
            </w:r>
          </w:p>
        </w:tc>
        <w:tc>
          <w:tcPr>
            <w:tcW w:w="851" w:type="dxa"/>
            <w:vAlign w:val="center"/>
          </w:tcPr>
          <w:p w14:paraId="263B6931">
            <w:pPr>
              <w:jc w:val="center"/>
              <w:outlineLvl w:val="9"/>
              <w:rPr>
                <w:rFonts w:ascii="宋体"/>
                <w:color w:val="auto"/>
                <w:szCs w:val="21"/>
                <w:highlight w:val="none"/>
              </w:rPr>
            </w:pPr>
            <w:r>
              <w:rPr>
                <w:rFonts w:hint="eastAsia" w:ascii="宋体"/>
                <w:color w:val="auto"/>
                <w:szCs w:val="21"/>
                <w:highlight w:val="none"/>
              </w:rPr>
              <w:t>制造</w:t>
            </w:r>
          </w:p>
          <w:p w14:paraId="2CC96FDD">
            <w:pPr>
              <w:jc w:val="center"/>
              <w:outlineLvl w:val="9"/>
              <w:rPr>
                <w:rFonts w:ascii="宋体"/>
                <w:color w:val="auto"/>
                <w:szCs w:val="21"/>
                <w:highlight w:val="none"/>
              </w:rPr>
            </w:pPr>
            <w:r>
              <w:rPr>
                <w:rFonts w:hint="eastAsia" w:ascii="宋体"/>
                <w:color w:val="auto"/>
                <w:szCs w:val="21"/>
                <w:highlight w:val="none"/>
              </w:rPr>
              <w:t>年份</w:t>
            </w:r>
          </w:p>
        </w:tc>
        <w:tc>
          <w:tcPr>
            <w:tcW w:w="1134" w:type="dxa"/>
            <w:vAlign w:val="center"/>
          </w:tcPr>
          <w:p w14:paraId="7CE4D2DD">
            <w:pPr>
              <w:jc w:val="center"/>
              <w:outlineLvl w:val="9"/>
              <w:rPr>
                <w:rFonts w:ascii="宋体"/>
                <w:color w:val="auto"/>
                <w:szCs w:val="21"/>
                <w:highlight w:val="none"/>
              </w:rPr>
            </w:pPr>
            <w:r>
              <w:rPr>
                <w:rFonts w:hint="eastAsia" w:ascii="宋体"/>
                <w:color w:val="auto"/>
                <w:szCs w:val="21"/>
                <w:highlight w:val="none"/>
              </w:rPr>
              <w:t>额定功率</w:t>
            </w:r>
          </w:p>
          <w:p w14:paraId="3E0E6DA5">
            <w:pPr>
              <w:jc w:val="center"/>
              <w:outlineLvl w:val="9"/>
              <w:rPr>
                <w:rFonts w:ascii="宋体"/>
                <w:color w:val="auto"/>
                <w:szCs w:val="21"/>
                <w:highlight w:val="none"/>
              </w:rPr>
            </w:pPr>
            <w:r>
              <w:rPr>
                <w:rFonts w:hint="eastAsia" w:ascii="宋体"/>
                <w:color w:val="auto"/>
                <w:szCs w:val="21"/>
                <w:highlight w:val="none"/>
              </w:rPr>
              <w:t>（KW）</w:t>
            </w:r>
          </w:p>
        </w:tc>
        <w:tc>
          <w:tcPr>
            <w:tcW w:w="992" w:type="dxa"/>
            <w:vAlign w:val="center"/>
          </w:tcPr>
          <w:p w14:paraId="5A16F946">
            <w:pPr>
              <w:jc w:val="center"/>
              <w:outlineLvl w:val="9"/>
              <w:rPr>
                <w:rFonts w:ascii="宋体"/>
                <w:color w:val="auto"/>
                <w:szCs w:val="21"/>
                <w:highlight w:val="none"/>
              </w:rPr>
            </w:pPr>
            <w:r>
              <w:rPr>
                <w:rFonts w:hint="eastAsia" w:ascii="宋体"/>
                <w:color w:val="auto"/>
                <w:szCs w:val="21"/>
                <w:highlight w:val="none"/>
              </w:rPr>
              <w:t>生产</w:t>
            </w:r>
          </w:p>
          <w:p w14:paraId="1A6EC96C">
            <w:pPr>
              <w:jc w:val="center"/>
              <w:outlineLvl w:val="9"/>
              <w:rPr>
                <w:rFonts w:ascii="宋体"/>
                <w:color w:val="auto"/>
                <w:szCs w:val="21"/>
                <w:highlight w:val="none"/>
              </w:rPr>
            </w:pPr>
            <w:r>
              <w:rPr>
                <w:rFonts w:hint="eastAsia" w:ascii="宋体"/>
                <w:color w:val="auto"/>
                <w:szCs w:val="21"/>
                <w:highlight w:val="none"/>
              </w:rPr>
              <w:t>能力</w:t>
            </w:r>
          </w:p>
        </w:tc>
        <w:tc>
          <w:tcPr>
            <w:tcW w:w="1134" w:type="dxa"/>
            <w:vAlign w:val="center"/>
          </w:tcPr>
          <w:p w14:paraId="1B98931A">
            <w:pPr>
              <w:jc w:val="center"/>
              <w:outlineLvl w:val="9"/>
              <w:rPr>
                <w:rFonts w:ascii="宋体"/>
                <w:color w:val="auto"/>
                <w:szCs w:val="21"/>
                <w:highlight w:val="none"/>
              </w:rPr>
            </w:pPr>
            <w:r>
              <w:rPr>
                <w:rFonts w:hint="eastAsia" w:ascii="宋体"/>
                <w:color w:val="auto"/>
                <w:szCs w:val="21"/>
                <w:highlight w:val="none"/>
              </w:rPr>
              <w:t>用于施</w:t>
            </w:r>
          </w:p>
          <w:p w14:paraId="3C694696">
            <w:pPr>
              <w:jc w:val="center"/>
              <w:outlineLvl w:val="9"/>
              <w:rPr>
                <w:rFonts w:ascii="宋体"/>
                <w:color w:val="auto"/>
                <w:szCs w:val="21"/>
                <w:highlight w:val="none"/>
              </w:rPr>
            </w:pPr>
            <w:r>
              <w:rPr>
                <w:rFonts w:hint="eastAsia" w:ascii="宋体"/>
                <w:color w:val="auto"/>
                <w:szCs w:val="21"/>
                <w:highlight w:val="none"/>
              </w:rPr>
              <w:t>工部位</w:t>
            </w:r>
          </w:p>
        </w:tc>
        <w:tc>
          <w:tcPr>
            <w:tcW w:w="992" w:type="dxa"/>
            <w:vAlign w:val="center"/>
          </w:tcPr>
          <w:p w14:paraId="0A077960">
            <w:pPr>
              <w:jc w:val="center"/>
              <w:outlineLvl w:val="9"/>
              <w:rPr>
                <w:rFonts w:ascii="宋体"/>
                <w:color w:val="auto"/>
                <w:szCs w:val="21"/>
                <w:highlight w:val="none"/>
              </w:rPr>
            </w:pPr>
            <w:r>
              <w:rPr>
                <w:rFonts w:hint="eastAsia" w:ascii="宋体"/>
                <w:color w:val="auto"/>
                <w:szCs w:val="21"/>
                <w:highlight w:val="none"/>
              </w:rPr>
              <w:t>备注</w:t>
            </w:r>
          </w:p>
        </w:tc>
      </w:tr>
      <w:tr w14:paraId="0A16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82A32B3">
            <w:pPr>
              <w:spacing w:line="360" w:lineRule="auto"/>
              <w:outlineLvl w:val="9"/>
              <w:rPr>
                <w:rFonts w:ascii="宋体"/>
                <w:color w:val="auto"/>
                <w:szCs w:val="21"/>
                <w:highlight w:val="none"/>
              </w:rPr>
            </w:pPr>
          </w:p>
        </w:tc>
        <w:tc>
          <w:tcPr>
            <w:tcW w:w="1226" w:type="dxa"/>
          </w:tcPr>
          <w:p w14:paraId="07ECF447">
            <w:pPr>
              <w:spacing w:line="360" w:lineRule="auto"/>
              <w:ind w:firstLine="420" w:firstLineChars="200"/>
              <w:outlineLvl w:val="9"/>
              <w:rPr>
                <w:rFonts w:ascii="宋体"/>
                <w:color w:val="auto"/>
                <w:szCs w:val="21"/>
                <w:highlight w:val="none"/>
              </w:rPr>
            </w:pPr>
          </w:p>
        </w:tc>
        <w:tc>
          <w:tcPr>
            <w:tcW w:w="851" w:type="dxa"/>
          </w:tcPr>
          <w:p w14:paraId="62C0CBE7">
            <w:pPr>
              <w:spacing w:line="360" w:lineRule="auto"/>
              <w:outlineLvl w:val="9"/>
              <w:rPr>
                <w:rFonts w:ascii="宋体"/>
                <w:color w:val="auto"/>
                <w:szCs w:val="21"/>
                <w:highlight w:val="none"/>
              </w:rPr>
            </w:pPr>
          </w:p>
        </w:tc>
        <w:tc>
          <w:tcPr>
            <w:tcW w:w="708" w:type="dxa"/>
          </w:tcPr>
          <w:p w14:paraId="3991AEC1">
            <w:pPr>
              <w:spacing w:line="360" w:lineRule="auto"/>
              <w:outlineLvl w:val="9"/>
              <w:rPr>
                <w:rFonts w:ascii="宋体"/>
                <w:color w:val="auto"/>
                <w:szCs w:val="21"/>
                <w:highlight w:val="none"/>
              </w:rPr>
            </w:pPr>
          </w:p>
        </w:tc>
        <w:tc>
          <w:tcPr>
            <w:tcW w:w="709" w:type="dxa"/>
          </w:tcPr>
          <w:p w14:paraId="18CEE839">
            <w:pPr>
              <w:spacing w:line="360" w:lineRule="auto"/>
              <w:outlineLvl w:val="9"/>
              <w:rPr>
                <w:rFonts w:ascii="宋体"/>
                <w:color w:val="auto"/>
                <w:szCs w:val="21"/>
                <w:highlight w:val="none"/>
              </w:rPr>
            </w:pPr>
          </w:p>
        </w:tc>
        <w:tc>
          <w:tcPr>
            <w:tcW w:w="851" w:type="dxa"/>
          </w:tcPr>
          <w:p w14:paraId="7626BA01">
            <w:pPr>
              <w:spacing w:line="360" w:lineRule="auto"/>
              <w:outlineLvl w:val="9"/>
              <w:rPr>
                <w:rFonts w:ascii="宋体"/>
                <w:color w:val="auto"/>
                <w:szCs w:val="21"/>
                <w:highlight w:val="none"/>
              </w:rPr>
            </w:pPr>
          </w:p>
        </w:tc>
        <w:tc>
          <w:tcPr>
            <w:tcW w:w="1134" w:type="dxa"/>
          </w:tcPr>
          <w:p w14:paraId="50F59448">
            <w:pPr>
              <w:spacing w:line="360" w:lineRule="auto"/>
              <w:outlineLvl w:val="9"/>
              <w:rPr>
                <w:rFonts w:ascii="宋体"/>
                <w:color w:val="auto"/>
                <w:szCs w:val="21"/>
                <w:highlight w:val="none"/>
              </w:rPr>
            </w:pPr>
          </w:p>
        </w:tc>
        <w:tc>
          <w:tcPr>
            <w:tcW w:w="992" w:type="dxa"/>
          </w:tcPr>
          <w:p w14:paraId="2BA8CC9C">
            <w:pPr>
              <w:spacing w:line="360" w:lineRule="auto"/>
              <w:outlineLvl w:val="9"/>
              <w:rPr>
                <w:rFonts w:ascii="宋体"/>
                <w:color w:val="auto"/>
                <w:szCs w:val="21"/>
                <w:highlight w:val="none"/>
              </w:rPr>
            </w:pPr>
          </w:p>
        </w:tc>
        <w:tc>
          <w:tcPr>
            <w:tcW w:w="1134" w:type="dxa"/>
          </w:tcPr>
          <w:p w14:paraId="55BDD7F5">
            <w:pPr>
              <w:spacing w:line="360" w:lineRule="auto"/>
              <w:outlineLvl w:val="9"/>
              <w:rPr>
                <w:rFonts w:ascii="宋体"/>
                <w:color w:val="auto"/>
                <w:szCs w:val="21"/>
                <w:highlight w:val="none"/>
              </w:rPr>
            </w:pPr>
          </w:p>
        </w:tc>
        <w:tc>
          <w:tcPr>
            <w:tcW w:w="992" w:type="dxa"/>
          </w:tcPr>
          <w:p w14:paraId="25EADAB0">
            <w:pPr>
              <w:spacing w:line="360" w:lineRule="auto"/>
              <w:outlineLvl w:val="9"/>
              <w:rPr>
                <w:rFonts w:ascii="宋体"/>
                <w:color w:val="auto"/>
                <w:szCs w:val="21"/>
                <w:highlight w:val="none"/>
              </w:rPr>
            </w:pPr>
          </w:p>
        </w:tc>
      </w:tr>
      <w:tr w14:paraId="32C6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630901E4">
            <w:pPr>
              <w:spacing w:line="360" w:lineRule="auto"/>
              <w:outlineLvl w:val="9"/>
              <w:rPr>
                <w:rFonts w:ascii="宋体"/>
                <w:color w:val="auto"/>
                <w:szCs w:val="21"/>
                <w:highlight w:val="none"/>
              </w:rPr>
            </w:pPr>
          </w:p>
        </w:tc>
        <w:tc>
          <w:tcPr>
            <w:tcW w:w="1226" w:type="dxa"/>
          </w:tcPr>
          <w:p w14:paraId="41897A63">
            <w:pPr>
              <w:spacing w:line="360" w:lineRule="auto"/>
              <w:outlineLvl w:val="9"/>
              <w:rPr>
                <w:rFonts w:ascii="宋体"/>
                <w:color w:val="auto"/>
                <w:szCs w:val="21"/>
                <w:highlight w:val="none"/>
              </w:rPr>
            </w:pPr>
          </w:p>
        </w:tc>
        <w:tc>
          <w:tcPr>
            <w:tcW w:w="851" w:type="dxa"/>
          </w:tcPr>
          <w:p w14:paraId="54D00210">
            <w:pPr>
              <w:spacing w:line="360" w:lineRule="auto"/>
              <w:outlineLvl w:val="9"/>
              <w:rPr>
                <w:rFonts w:ascii="宋体"/>
                <w:color w:val="auto"/>
                <w:szCs w:val="21"/>
                <w:highlight w:val="none"/>
              </w:rPr>
            </w:pPr>
          </w:p>
        </w:tc>
        <w:tc>
          <w:tcPr>
            <w:tcW w:w="708" w:type="dxa"/>
          </w:tcPr>
          <w:p w14:paraId="2681ED90">
            <w:pPr>
              <w:spacing w:line="360" w:lineRule="auto"/>
              <w:outlineLvl w:val="9"/>
              <w:rPr>
                <w:rFonts w:ascii="宋体"/>
                <w:color w:val="auto"/>
                <w:szCs w:val="21"/>
                <w:highlight w:val="none"/>
              </w:rPr>
            </w:pPr>
          </w:p>
        </w:tc>
        <w:tc>
          <w:tcPr>
            <w:tcW w:w="709" w:type="dxa"/>
          </w:tcPr>
          <w:p w14:paraId="05C620CD">
            <w:pPr>
              <w:spacing w:line="360" w:lineRule="auto"/>
              <w:outlineLvl w:val="9"/>
              <w:rPr>
                <w:rFonts w:ascii="宋体"/>
                <w:color w:val="auto"/>
                <w:szCs w:val="21"/>
                <w:highlight w:val="none"/>
              </w:rPr>
            </w:pPr>
          </w:p>
        </w:tc>
        <w:tc>
          <w:tcPr>
            <w:tcW w:w="851" w:type="dxa"/>
          </w:tcPr>
          <w:p w14:paraId="10F5CBCF">
            <w:pPr>
              <w:spacing w:line="360" w:lineRule="auto"/>
              <w:outlineLvl w:val="9"/>
              <w:rPr>
                <w:rFonts w:ascii="宋体"/>
                <w:color w:val="auto"/>
                <w:szCs w:val="21"/>
                <w:highlight w:val="none"/>
              </w:rPr>
            </w:pPr>
          </w:p>
        </w:tc>
        <w:tc>
          <w:tcPr>
            <w:tcW w:w="1134" w:type="dxa"/>
          </w:tcPr>
          <w:p w14:paraId="6724FD36">
            <w:pPr>
              <w:spacing w:line="360" w:lineRule="auto"/>
              <w:outlineLvl w:val="9"/>
              <w:rPr>
                <w:rFonts w:ascii="宋体"/>
                <w:color w:val="auto"/>
                <w:szCs w:val="21"/>
                <w:highlight w:val="none"/>
              </w:rPr>
            </w:pPr>
          </w:p>
        </w:tc>
        <w:tc>
          <w:tcPr>
            <w:tcW w:w="992" w:type="dxa"/>
          </w:tcPr>
          <w:p w14:paraId="0E5B3571">
            <w:pPr>
              <w:spacing w:line="360" w:lineRule="auto"/>
              <w:outlineLvl w:val="9"/>
              <w:rPr>
                <w:rFonts w:ascii="宋体"/>
                <w:color w:val="auto"/>
                <w:szCs w:val="21"/>
                <w:highlight w:val="none"/>
              </w:rPr>
            </w:pPr>
          </w:p>
        </w:tc>
        <w:tc>
          <w:tcPr>
            <w:tcW w:w="1134" w:type="dxa"/>
          </w:tcPr>
          <w:p w14:paraId="26D2A5B9">
            <w:pPr>
              <w:spacing w:line="360" w:lineRule="auto"/>
              <w:outlineLvl w:val="9"/>
              <w:rPr>
                <w:rFonts w:ascii="宋体"/>
                <w:color w:val="auto"/>
                <w:szCs w:val="21"/>
                <w:highlight w:val="none"/>
              </w:rPr>
            </w:pPr>
          </w:p>
        </w:tc>
        <w:tc>
          <w:tcPr>
            <w:tcW w:w="992" w:type="dxa"/>
          </w:tcPr>
          <w:p w14:paraId="1101C5EF">
            <w:pPr>
              <w:spacing w:line="360" w:lineRule="auto"/>
              <w:outlineLvl w:val="9"/>
              <w:rPr>
                <w:rFonts w:ascii="宋体"/>
                <w:color w:val="auto"/>
                <w:szCs w:val="21"/>
                <w:highlight w:val="none"/>
              </w:rPr>
            </w:pPr>
          </w:p>
        </w:tc>
      </w:tr>
      <w:tr w14:paraId="78AE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FA11B5C">
            <w:pPr>
              <w:spacing w:line="360" w:lineRule="auto"/>
              <w:outlineLvl w:val="9"/>
              <w:rPr>
                <w:rFonts w:ascii="宋体"/>
                <w:color w:val="auto"/>
                <w:szCs w:val="21"/>
                <w:highlight w:val="none"/>
              </w:rPr>
            </w:pPr>
          </w:p>
        </w:tc>
        <w:tc>
          <w:tcPr>
            <w:tcW w:w="1226" w:type="dxa"/>
          </w:tcPr>
          <w:p w14:paraId="0176FA05">
            <w:pPr>
              <w:spacing w:line="360" w:lineRule="auto"/>
              <w:outlineLvl w:val="9"/>
              <w:rPr>
                <w:rFonts w:ascii="宋体"/>
                <w:color w:val="auto"/>
                <w:szCs w:val="21"/>
                <w:highlight w:val="none"/>
              </w:rPr>
            </w:pPr>
          </w:p>
        </w:tc>
        <w:tc>
          <w:tcPr>
            <w:tcW w:w="851" w:type="dxa"/>
          </w:tcPr>
          <w:p w14:paraId="763433B9">
            <w:pPr>
              <w:spacing w:line="360" w:lineRule="auto"/>
              <w:outlineLvl w:val="9"/>
              <w:rPr>
                <w:rFonts w:ascii="宋体"/>
                <w:color w:val="auto"/>
                <w:szCs w:val="21"/>
                <w:highlight w:val="none"/>
              </w:rPr>
            </w:pPr>
          </w:p>
        </w:tc>
        <w:tc>
          <w:tcPr>
            <w:tcW w:w="708" w:type="dxa"/>
          </w:tcPr>
          <w:p w14:paraId="2E31F5D1">
            <w:pPr>
              <w:spacing w:line="360" w:lineRule="auto"/>
              <w:outlineLvl w:val="9"/>
              <w:rPr>
                <w:rFonts w:ascii="宋体"/>
                <w:color w:val="auto"/>
                <w:szCs w:val="21"/>
                <w:highlight w:val="none"/>
              </w:rPr>
            </w:pPr>
          </w:p>
        </w:tc>
        <w:tc>
          <w:tcPr>
            <w:tcW w:w="709" w:type="dxa"/>
          </w:tcPr>
          <w:p w14:paraId="01044A25">
            <w:pPr>
              <w:spacing w:line="360" w:lineRule="auto"/>
              <w:outlineLvl w:val="9"/>
              <w:rPr>
                <w:rFonts w:ascii="宋体"/>
                <w:color w:val="auto"/>
                <w:szCs w:val="21"/>
                <w:highlight w:val="none"/>
              </w:rPr>
            </w:pPr>
          </w:p>
        </w:tc>
        <w:tc>
          <w:tcPr>
            <w:tcW w:w="851" w:type="dxa"/>
          </w:tcPr>
          <w:p w14:paraId="27F5AB54">
            <w:pPr>
              <w:spacing w:line="360" w:lineRule="auto"/>
              <w:outlineLvl w:val="9"/>
              <w:rPr>
                <w:rFonts w:ascii="宋体"/>
                <w:color w:val="auto"/>
                <w:szCs w:val="21"/>
                <w:highlight w:val="none"/>
              </w:rPr>
            </w:pPr>
          </w:p>
        </w:tc>
        <w:tc>
          <w:tcPr>
            <w:tcW w:w="1134" w:type="dxa"/>
          </w:tcPr>
          <w:p w14:paraId="669245DD">
            <w:pPr>
              <w:spacing w:line="360" w:lineRule="auto"/>
              <w:outlineLvl w:val="9"/>
              <w:rPr>
                <w:rFonts w:ascii="宋体"/>
                <w:color w:val="auto"/>
                <w:szCs w:val="21"/>
                <w:highlight w:val="none"/>
              </w:rPr>
            </w:pPr>
          </w:p>
        </w:tc>
        <w:tc>
          <w:tcPr>
            <w:tcW w:w="992" w:type="dxa"/>
          </w:tcPr>
          <w:p w14:paraId="2386986E">
            <w:pPr>
              <w:spacing w:line="360" w:lineRule="auto"/>
              <w:outlineLvl w:val="9"/>
              <w:rPr>
                <w:rFonts w:ascii="宋体"/>
                <w:color w:val="auto"/>
                <w:szCs w:val="21"/>
                <w:highlight w:val="none"/>
              </w:rPr>
            </w:pPr>
          </w:p>
        </w:tc>
        <w:tc>
          <w:tcPr>
            <w:tcW w:w="1134" w:type="dxa"/>
          </w:tcPr>
          <w:p w14:paraId="704340FA">
            <w:pPr>
              <w:spacing w:line="360" w:lineRule="auto"/>
              <w:outlineLvl w:val="9"/>
              <w:rPr>
                <w:rFonts w:ascii="宋体"/>
                <w:color w:val="auto"/>
                <w:szCs w:val="21"/>
                <w:highlight w:val="none"/>
              </w:rPr>
            </w:pPr>
          </w:p>
        </w:tc>
        <w:tc>
          <w:tcPr>
            <w:tcW w:w="992" w:type="dxa"/>
          </w:tcPr>
          <w:p w14:paraId="5EE9542B">
            <w:pPr>
              <w:spacing w:line="360" w:lineRule="auto"/>
              <w:outlineLvl w:val="9"/>
              <w:rPr>
                <w:rFonts w:ascii="宋体"/>
                <w:color w:val="auto"/>
                <w:szCs w:val="21"/>
                <w:highlight w:val="none"/>
              </w:rPr>
            </w:pPr>
          </w:p>
        </w:tc>
      </w:tr>
      <w:tr w14:paraId="3F05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443989B">
            <w:pPr>
              <w:spacing w:line="360" w:lineRule="auto"/>
              <w:outlineLvl w:val="9"/>
              <w:rPr>
                <w:rFonts w:ascii="宋体"/>
                <w:color w:val="auto"/>
                <w:szCs w:val="21"/>
                <w:highlight w:val="none"/>
              </w:rPr>
            </w:pPr>
          </w:p>
        </w:tc>
        <w:tc>
          <w:tcPr>
            <w:tcW w:w="1226" w:type="dxa"/>
          </w:tcPr>
          <w:p w14:paraId="7CB85B09">
            <w:pPr>
              <w:spacing w:line="360" w:lineRule="auto"/>
              <w:outlineLvl w:val="9"/>
              <w:rPr>
                <w:rFonts w:ascii="宋体"/>
                <w:color w:val="auto"/>
                <w:szCs w:val="21"/>
                <w:highlight w:val="none"/>
              </w:rPr>
            </w:pPr>
          </w:p>
        </w:tc>
        <w:tc>
          <w:tcPr>
            <w:tcW w:w="851" w:type="dxa"/>
          </w:tcPr>
          <w:p w14:paraId="5F2C1D9A">
            <w:pPr>
              <w:spacing w:line="360" w:lineRule="auto"/>
              <w:outlineLvl w:val="9"/>
              <w:rPr>
                <w:rFonts w:ascii="宋体"/>
                <w:color w:val="auto"/>
                <w:szCs w:val="21"/>
                <w:highlight w:val="none"/>
              </w:rPr>
            </w:pPr>
          </w:p>
        </w:tc>
        <w:tc>
          <w:tcPr>
            <w:tcW w:w="708" w:type="dxa"/>
          </w:tcPr>
          <w:p w14:paraId="303D7B07">
            <w:pPr>
              <w:spacing w:line="360" w:lineRule="auto"/>
              <w:outlineLvl w:val="9"/>
              <w:rPr>
                <w:rFonts w:ascii="宋体"/>
                <w:color w:val="auto"/>
                <w:szCs w:val="21"/>
                <w:highlight w:val="none"/>
              </w:rPr>
            </w:pPr>
          </w:p>
        </w:tc>
        <w:tc>
          <w:tcPr>
            <w:tcW w:w="709" w:type="dxa"/>
          </w:tcPr>
          <w:p w14:paraId="6B8087D5">
            <w:pPr>
              <w:spacing w:line="360" w:lineRule="auto"/>
              <w:outlineLvl w:val="9"/>
              <w:rPr>
                <w:rFonts w:ascii="宋体"/>
                <w:color w:val="auto"/>
                <w:szCs w:val="21"/>
                <w:highlight w:val="none"/>
              </w:rPr>
            </w:pPr>
          </w:p>
        </w:tc>
        <w:tc>
          <w:tcPr>
            <w:tcW w:w="851" w:type="dxa"/>
          </w:tcPr>
          <w:p w14:paraId="50E7734D">
            <w:pPr>
              <w:spacing w:line="360" w:lineRule="auto"/>
              <w:outlineLvl w:val="9"/>
              <w:rPr>
                <w:rFonts w:ascii="宋体"/>
                <w:color w:val="auto"/>
                <w:szCs w:val="21"/>
                <w:highlight w:val="none"/>
              </w:rPr>
            </w:pPr>
          </w:p>
        </w:tc>
        <w:tc>
          <w:tcPr>
            <w:tcW w:w="1134" w:type="dxa"/>
          </w:tcPr>
          <w:p w14:paraId="7FD6D5E5">
            <w:pPr>
              <w:spacing w:line="360" w:lineRule="auto"/>
              <w:outlineLvl w:val="9"/>
              <w:rPr>
                <w:rFonts w:ascii="宋体"/>
                <w:color w:val="auto"/>
                <w:szCs w:val="21"/>
                <w:highlight w:val="none"/>
              </w:rPr>
            </w:pPr>
          </w:p>
        </w:tc>
        <w:tc>
          <w:tcPr>
            <w:tcW w:w="992" w:type="dxa"/>
          </w:tcPr>
          <w:p w14:paraId="083FF4E9">
            <w:pPr>
              <w:spacing w:line="360" w:lineRule="auto"/>
              <w:outlineLvl w:val="9"/>
              <w:rPr>
                <w:rFonts w:ascii="宋体"/>
                <w:color w:val="auto"/>
                <w:szCs w:val="21"/>
                <w:highlight w:val="none"/>
              </w:rPr>
            </w:pPr>
          </w:p>
        </w:tc>
        <w:tc>
          <w:tcPr>
            <w:tcW w:w="1134" w:type="dxa"/>
          </w:tcPr>
          <w:p w14:paraId="464A0191">
            <w:pPr>
              <w:spacing w:line="360" w:lineRule="auto"/>
              <w:outlineLvl w:val="9"/>
              <w:rPr>
                <w:rFonts w:ascii="宋体"/>
                <w:color w:val="auto"/>
                <w:szCs w:val="21"/>
                <w:highlight w:val="none"/>
              </w:rPr>
            </w:pPr>
          </w:p>
        </w:tc>
        <w:tc>
          <w:tcPr>
            <w:tcW w:w="992" w:type="dxa"/>
          </w:tcPr>
          <w:p w14:paraId="2C4256D2">
            <w:pPr>
              <w:spacing w:line="360" w:lineRule="auto"/>
              <w:outlineLvl w:val="9"/>
              <w:rPr>
                <w:rFonts w:ascii="宋体"/>
                <w:color w:val="auto"/>
                <w:szCs w:val="21"/>
                <w:highlight w:val="none"/>
              </w:rPr>
            </w:pPr>
          </w:p>
        </w:tc>
      </w:tr>
      <w:tr w14:paraId="529B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CD2D63D">
            <w:pPr>
              <w:spacing w:line="360" w:lineRule="auto"/>
              <w:outlineLvl w:val="9"/>
              <w:rPr>
                <w:rFonts w:ascii="宋体"/>
                <w:color w:val="auto"/>
                <w:szCs w:val="21"/>
                <w:highlight w:val="none"/>
              </w:rPr>
            </w:pPr>
          </w:p>
        </w:tc>
        <w:tc>
          <w:tcPr>
            <w:tcW w:w="1226" w:type="dxa"/>
          </w:tcPr>
          <w:p w14:paraId="62AD8C73">
            <w:pPr>
              <w:spacing w:line="360" w:lineRule="auto"/>
              <w:outlineLvl w:val="9"/>
              <w:rPr>
                <w:rFonts w:ascii="宋体"/>
                <w:color w:val="auto"/>
                <w:szCs w:val="21"/>
                <w:highlight w:val="none"/>
              </w:rPr>
            </w:pPr>
          </w:p>
        </w:tc>
        <w:tc>
          <w:tcPr>
            <w:tcW w:w="851" w:type="dxa"/>
          </w:tcPr>
          <w:p w14:paraId="4F2E71F2">
            <w:pPr>
              <w:spacing w:line="360" w:lineRule="auto"/>
              <w:outlineLvl w:val="9"/>
              <w:rPr>
                <w:rFonts w:ascii="宋体"/>
                <w:color w:val="auto"/>
                <w:szCs w:val="21"/>
                <w:highlight w:val="none"/>
              </w:rPr>
            </w:pPr>
          </w:p>
        </w:tc>
        <w:tc>
          <w:tcPr>
            <w:tcW w:w="708" w:type="dxa"/>
          </w:tcPr>
          <w:p w14:paraId="4B479CF0">
            <w:pPr>
              <w:spacing w:line="360" w:lineRule="auto"/>
              <w:outlineLvl w:val="9"/>
              <w:rPr>
                <w:rFonts w:ascii="宋体"/>
                <w:color w:val="auto"/>
                <w:szCs w:val="21"/>
                <w:highlight w:val="none"/>
              </w:rPr>
            </w:pPr>
          </w:p>
        </w:tc>
        <w:tc>
          <w:tcPr>
            <w:tcW w:w="709" w:type="dxa"/>
          </w:tcPr>
          <w:p w14:paraId="58F894AE">
            <w:pPr>
              <w:spacing w:line="360" w:lineRule="auto"/>
              <w:outlineLvl w:val="9"/>
              <w:rPr>
                <w:rFonts w:ascii="宋体"/>
                <w:color w:val="auto"/>
                <w:szCs w:val="21"/>
                <w:highlight w:val="none"/>
              </w:rPr>
            </w:pPr>
          </w:p>
        </w:tc>
        <w:tc>
          <w:tcPr>
            <w:tcW w:w="851" w:type="dxa"/>
          </w:tcPr>
          <w:p w14:paraId="43DE43F9">
            <w:pPr>
              <w:spacing w:line="360" w:lineRule="auto"/>
              <w:outlineLvl w:val="9"/>
              <w:rPr>
                <w:rFonts w:ascii="宋体"/>
                <w:color w:val="auto"/>
                <w:szCs w:val="21"/>
                <w:highlight w:val="none"/>
              </w:rPr>
            </w:pPr>
          </w:p>
        </w:tc>
        <w:tc>
          <w:tcPr>
            <w:tcW w:w="1134" w:type="dxa"/>
          </w:tcPr>
          <w:p w14:paraId="73251AC7">
            <w:pPr>
              <w:spacing w:line="360" w:lineRule="auto"/>
              <w:outlineLvl w:val="9"/>
              <w:rPr>
                <w:rFonts w:ascii="宋体"/>
                <w:color w:val="auto"/>
                <w:szCs w:val="21"/>
                <w:highlight w:val="none"/>
              </w:rPr>
            </w:pPr>
          </w:p>
        </w:tc>
        <w:tc>
          <w:tcPr>
            <w:tcW w:w="992" w:type="dxa"/>
          </w:tcPr>
          <w:p w14:paraId="04F8AC66">
            <w:pPr>
              <w:spacing w:line="360" w:lineRule="auto"/>
              <w:outlineLvl w:val="9"/>
              <w:rPr>
                <w:rFonts w:ascii="宋体"/>
                <w:color w:val="auto"/>
                <w:szCs w:val="21"/>
                <w:highlight w:val="none"/>
              </w:rPr>
            </w:pPr>
          </w:p>
        </w:tc>
        <w:tc>
          <w:tcPr>
            <w:tcW w:w="1134" w:type="dxa"/>
          </w:tcPr>
          <w:p w14:paraId="3DBC0DA9">
            <w:pPr>
              <w:spacing w:line="360" w:lineRule="auto"/>
              <w:outlineLvl w:val="9"/>
              <w:rPr>
                <w:rFonts w:ascii="宋体"/>
                <w:color w:val="auto"/>
                <w:szCs w:val="21"/>
                <w:highlight w:val="none"/>
              </w:rPr>
            </w:pPr>
          </w:p>
        </w:tc>
        <w:tc>
          <w:tcPr>
            <w:tcW w:w="992" w:type="dxa"/>
          </w:tcPr>
          <w:p w14:paraId="79DA5514">
            <w:pPr>
              <w:spacing w:line="360" w:lineRule="auto"/>
              <w:outlineLvl w:val="9"/>
              <w:rPr>
                <w:rFonts w:ascii="宋体"/>
                <w:color w:val="auto"/>
                <w:szCs w:val="21"/>
                <w:highlight w:val="none"/>
              </w:rPr>
            </w:pPr>
          </w:p>
        </w:tc>
      </w:tr>
    </w:tbl>
    <w:p w14:paraId="1E0685C6">
      <w:pPr>
        <w:outlineLvl w:val="9"/>
        <w:rPr>
          <w:rFonts w:ascii="宋体"/>
          <w:color w:val="auto"/>
          <w:highlight w:val="none"/>
        </w:rPr>
      </w:pPr>
    </w:p>
    <w:p w14:paraId="0303FD11">
      <w:pPr>
        <w:outlineLvl w:val="9"/>
        <w:rPr>
          <w:rFonts w:ascii="宋体"/>
          <w:color w:val="auto"/>
          <w:highlight w:val="none"/>
        </w:rPr>
      </w:pPr>
    </w:p>
    <w:p w14:paraId="339EDA8A">
      <w:pPr>
        <w:outlineLvl w:val="9"/>
        <w:rPr>
          <w:rFonts w:ascii="宋体"/>
          <w:color w:val="auto"/>
          <w:highlight w:val="none"/>
        </w:rPr>
      </w:pPr>
      <w:r>
        <w:rPr>
          <w:rFonts w:hint="eastAsia" w:ascii="宋体"/>
          <w:color w:val="auto"/>
          <w:highlight w:val="none"/>
        </w:rPr>
        <w:t>附表二：拟配备本工程的试验和检测仪器设备表</w:t>
      </w:r>
    </w:p>
    <w:tbl>
      <w:tblPr>
        <w:tblStyle w:val="8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72F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A4B6CF3">
            <w:pPr>
              <w:jc w:val="center"/>
              <w:outlineLvl w:val="9"/>
              <w:rPr>
                <w:rFonts w:ascii="宋体"/>
                <w:color w:val="auto"/>
                <w:szCs w:val="21"/>
                <w:highlight w:val="none"/>
              </w:rPr>
            </w:pPr>
            <w:r>
              <w:rPr>
                <w:rFonts w:hint="eastAsia" w:ascii="宋体"/>
                <w:color w:val="auto"/>
                <w:szCs w:val="21"/>
                <w:highlight w:val="none"/>
              </w:rPr>
              <w:t>序号</w:t>
            </w:r>
          </w:p>
        </w:tc>
        <w:tc>
          <w:tcPr>
            <w:tcW w:w="1226" w:type="dxa"/>
            <w:vAlign w:val="center"/>
          </w:tcPr>
          <w:p w14:paraId="4DEBE3AA">
            <w:pPr>
              <w:jc w:val="center"/>
              <w:outlineLvl w:val="9"/>
              <w:rPr>
                <w:rFonts w:ascii="宋体"/>
                <w:color w:val="auto"/>
                <w:szCs w:val="21"/>
                <w:highlight w:val="none"/>
              </w:rPr>
            </w:pPr>
            <w:r>
              <w:rPr>
                <w:rFonts w:hint="eastAsia" w:ascii="宋体"/>
                <w:color w:val="auto"/>
                <w:szCs w:val="21"/>
                <w:highlight w:val="none"/>
              </w:rPr>
              <w:t>仪器设备名称</w:t>
            </w:r>
          </w:p>
        </w:tc>
        <w:tc>
          <w:tcPr>
            <w:tcW w:w="851" w:type="dxa"/>
            <w:vAlign w:val="center"/>
          </w:tcPr>
          <w:p w14:paraId="0229B2E9">
            <w:pPr>
              <w:jc w:val="center"/>
              <w:outlineLvl w:val="9"/>
              <w:rPr>
                <w:rFonts w:ascii="宋体"/>
                <w:color w:val="auto"/>
                <w:szCs w:val="21"/>
                <w:highlight w:val="none"/>
              </w:rPr>
            </w:pPr>
            <w:r>
              <w:rPr>
                <w:rFonts w:hint="eastAsia" w:ascii="宋体"/>
                <w:color w:val="auto"/>
                <w:szCs w:val="21"/>
                <w:highlight w:val="none"/>
              </w:rPr>
              <w:t>型号</w:t>
            </w:r>
          </w:p>
          <w:p w14:paraId="557D131E">
            <w:pPr>
              <w:jc w:val="center"/>
              <w:outlineLvl w:val="9"/>
              <w:rPr>
                <w:rFonts w:ascii="宋体"/>
                <w:color w:val="auto"/>
                <w:szCs w:val="21"/>
                <w:highlight w:val="none"/>
              </w:rPr>
            </w:pPr>
            <w:r>
              <w:rPr>
                <w:rFonts w:hint="eastAsia" w:ascii="宋体"/>
                <w:color w:val="auto"/>
                <w:szCs w:val="21"/>
                <w:highlight w:val="none"/>
              </w:rPr>
              <w:t>规格</w:t>
            </w:r>
          </w:p>
        </w:tc>
        <w:tc>
          <w:tcPr>
            <w:tcW w:w="708" w:type="dxa"/>
            <w:vAlign w:val="center"/>
          </w:tcPr>
          <w:p w14:paraId="552D1F5B">
            <w:pPr>
              <w:jc w:val="center"/>
              <w:outlineLvl w:val="9"/>
              <w:rPr>
                <w:rFonts w:ascii="宋体"/>
                <w:color w:val="auto"/>
                <w:szCs w:val="21"/>
                <w:highlight w:val="none"/>
              </w:rPr>
            </w:pPr>
            <w:r>
              <w:rPr>
                <w:rFonts w:hint="eastAsia" w:ascii="宋体"/>
                <w:color w:val="auto"/>
                <w:szCs w:val="21"/>
                <w:highlight w:val="none"/>
              </w:rPr>
              <w:t>数量</w:t>
            </w:r>
          </w:p>
        </w:tc>
        <w:tc>
          <w:tcPr>
            <w:tcW w:w="709" w:type="dxa"/>
            <w:vAlign w:val="center"/>
          </w:tcPr>
          <w:p w14:paraId="03DB1BC4">
            <w:pPr>
              <w:jc w:val="center"/>
              <w:outlineLvl w:val="9"/>
              <w:rPr>
                <w:rFonts w:ascii="宋体"/>
                <w:color w:val="auto"/>
                <w:szCs w:val="21"/>
                <w:highlight w:val="none"/>
              </w:rPr>
            </w:pPr>
            <w:r>
              <w:rPr>
                <w:rFonts w:hint="eastAsia" w:ascii="宋体"/>
                <w:color w:val="auto"/>
                <w:szCs w:val="21"/>
                <w:highlight w:val="none"/>
              </w:rPr>
              <w:t>国别</w:t>
            </w:r>
          </w:p>
          <w:p w14:paraId="2E4147C4">
            <w:pPr>
              <w:jc w:val="center"/>
              <w:outlineLvl w:val="9"/>
              <w:rPr>
                <w:rFonts w:ascii="宋体"/>
                <w:color w:val="auto"/>
                <w:szCs w:val="21"/>
                <w:highlight w:val="none"/>
              </w:rPr>
            </w:pPr>
            <w:r>
              <w:rPr>
                <w:rFonts w:hint="eastAsia" w:ascii="宋体"/>
                <w:color w:val="auto"/>
                <w:szCs w:val="21"/>
                <w:highlight w:val="none"/>
              </w:rPr>
              <w:t>产地</w:t>
            </w:r>
          </w:p>
        </w:tc>
        <w:tc>
          <w:tcPr>
            <w:tcW w:w="1134" w:type="dxa"/>
            <w:vAlign w:val="center"/>
          </w:tcPr>
          <w:p w14:paraId="05C61622">
            <w:pPr>
              <w:jc w:val="center"/>
              <w:outlineLvl w:val="9"/>
              <w:rPr>
                <w:rFonts w:ascii="宋体"/>
                <w:color w:val="auto"/>
                <w:szCs w:val="21"/>
                <w:highlight w:val="none"/>
              </w:rPr>
            </w:pPr>
            <w:r>
              <w:rPr>
                <w:rFonts w:hint="eastAsia" w:ascii="宋体"/>
                <w:color w:val="auto"/>
                <w:szCs w:val="21"/>
                <w:highlight w:val="none"/>
              </w:rPr>
              <w:t>制造年份</w:t>
            </w:r>
          </w:p>
        </w:tc>
        <w:tc>
          <w:tcPr>
            <w:tcW w:w="1276" w:type="dxa"/>
            <w:vAlign w:val="center"/>
          </w:tcPr>
          <w:p w14:paraId="05DB5C3D">
            <w:pPr>
              <w:jc w:val="center"/>
              <w:outlineLvl w:val="9"/>
              <w:rPr>
                <w:rFonts w:ascii="宋体"/>
                <w:color w:val="auto"/>
                <w:szCs w:val="21"/>
                <w:highlight w:val="none"/>
              </w:rPr>
            </w:pPr>
            <w:r>
              <w:rPr>
                <w:rFonts w:hint="eastAsia" w:ascii="宋体"/>
                <w:color w:val="auto"/>
                <w:szCs w:val="21"/>
                <w:highlight w:val="none"/>
              </w:rPr>
              <w:t>已使用</w:t>
            </w:r>
          </w:p>
          <w:p w14:paraId="427264C9">
            <w:pPr>
              <w:jc w:val="center"/>
              <w:outlineLvl w:val="9"/>
              <w:rPr>
                <w:rFonts w:ascii="宋体"/>
                <w:color w:val="auto"/>
                <w:szCs w:val="21"/>
                <w:highlight w:val="none"/>
              </w:rPr>
            </w:pPr>
            <w:r>
              <w:rPr>
                <w:rFonts w:hint="eastAsia" w:ascii="宋体"/>
                <w:color w:val="auto"/>
                <w:szCs w:val="21"/>
                <w:highlight w:val="none"/>
              </w:rPr>
              <w:t>台时数</w:t>
            </w:r>
          </w:p>
        </w:tc>
        <w:tc>
          <w:tcPr>
            <w:tcW w:w="1134" w:type="dxa"/>
            <w:vAlign w:val="center"/>
          </w:tcPr>
          <w:p w14:paraId="3C73C93A">
            <w:pPr>
              <w:jc w:val="center"/>
              <w:outlineLvl w:val="9"/>
              <w:rPr>
                <w:rFonts w:ascii="宋体"/>
                <w:color w:val="auto"/>
                <w:szCs w:val="21"/>
                <w:highlight w:val="none"/>
              </w:rPr>
            </w:pPr>
            <w:r>
              <w:rPr>
                <w:rFonts w:hint="eastAsia" w:ascii="宋体"/>
                <w:color w:val="auto"/>
                <w:szCs w:val="21"/>
                <w:highlight w:val="none"/>
              </w:rPr>
              <w:t>用途</w:t>
            </w:r>
          </w:p>
        </w:tc>
        <w:tc>
          <w:tcPr>
            <w:tcW w:w="1559" w:type="dxa"/>
            <w:vAlign w:val="center"/>
          </w:tcPr>
          <w:p w14:paraId="0F47DDD2">
            <w:pPr>
              <w:jc w:val="center"/>
              <w:outlineLvl w:val="9"/>
              <w:rPr>
                <w:rFonts w:ascii="宋体"/>
                <w:color w:val="auto"/>
                <w:szCs w:val="21"/>
                <w:highlight w:val="none"/>
              </w:rPr>
            </w:pPr>
            <w:r>
              <w:rPr>
                <w:rFonts w:hint="eastAsia" w:ascii="宋体"/>
                <w:color w:val="auto"/>
                <w:szCs w:val="21"/>
                <w:highlight w:val="none"/>
              </w:rPr>
              <w:t>备注</w:t>
            </w:r>
          </w:p>
        </w:tc>
      </w:tr>
      <w:tr w14:paraId="144C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61AE5C1">
            <w:pPr>
              <w:spacing w:line="360" w:lineRule="auto"/>
              <w:ind w:firstLine="420" w:firstLineChars="200"/>
              <w:outlineLvl w:val="9"/>
              <w:rPr>
                <w:rFonts w:ascii="宋体"/>
                <w:color w:val="auto"/>
                <w:szCs w:val="21"/>
                <w:highlight w:val="none"/>
              </w:rPr>
            </w:pPr>
          </w:p>
        </w:tc>
        <w:tc>
          <w:tcPr>
            <w:tcW w:w="1226" w:type="dxa"/>
            <w:vAlign w:val="center"/>
          </w:tcPr>
          <w:p w14:paraId="0954989B">
            <w:pPr>
              <w:spacing w:line="360" w:lineRule="auto"/>
              <w:ind w:firstLine="420" w:firstLineChars="200"/>
              <w:outlineLvl w:val="9"/>
              <w:rPr>
                <w:rFonts w:ascii="宋体"/>
                <w:color w:val="auto"/>
                <w:szCs w:val="21"/>
                <w:highlight w:val="none"/>
              </w:rPr>
            </w:pPr>
          </w:p>
        </w:tc>
        <w:tc>
          <w:tcPr>
            <w:tcW w:w="851" w:type="dxa"/>
            <w:vAlign w:val="center"/>
          </w:tcPr>
          <w:p w14:paraId="560BC754">
            <w:pPr>
              <w:spacing w:line="360" w:lineRule="auto"/>
              <w:ind w:firstLine="420" w:firstLineChars="200"/>
              <w:outlineLvl w:val="9"/>
              <w:rPr>
                <w:rFonts w:ascii="宋体"/>
                <w:color w:val="auto"/>
                <w:szCs w:val="21"/>
                <w:highlight w:val="none"/>
              </w:rPr>
            </w:pPr>
          </w:p>
        </w:tc>
        <w:tc>
          <w:tcPr>
            <w:tcW w:w="708" w:type="dxa"/>
            <w:vAlign w:val="center"/>
          </w:tcPr>
          <w:p w14:paraId="68B57869">
            <w:pPr>
              <w:spacing w:line="360" w:lineRule="auto"/>
              <w:ind w:firstLine="420" w:firstLineChars="200"/>
              <w:outlineLvl w:val="9"/>
              <w:rPr>
                <w:rFonts w:ascii="宋体"/>
                <w:color w:val="auto"/>
                <w:szCs w:val="21"/>
                <w:highlight w:val="none"/>
              </w:rPr>
            </w:pPr>
          </w:p>
        </w:tc>
        <w:tc>
          <w:tcPr>
            <w:tcW w:w="709" w:type="dxa"/>
            <w:vAlign w:val="center"/>
          </w:tcPr>
          <w:p w14:paraId="256E7805">
            <w:pPr>
              <w:spacing w:line="360" w:lineRule="auto"/>
              <w:ind w:firstLine="420" w:firstLineChars="200"/>
              <w:outlineLvl w:val="9"/>
              <w:rPr>
                <w:rFonts w:ascii="宋体"/>
                <w:color w:val="auto"/>
                <w:szCs w:val="21"/>
                <w:highlight w:val="none"/>
              </w:rPr>
            </w:pPr>
          </w:p>
        </w:tc>
        <w:tc>
          <w:tcPr>
            <w:tcW w:w="1134" w:type="dxa"/>
            <w:vAlign w:val="center"/>
          </w:tcPr>
          <w:p w14:paraId="24C9B44A">
            <w:pPr>
              <w:spacing w:line="360" w:lineRule="auto"/>
              <w:ind w:firstLine="420" w:firstLineChars="200"/>
              <w:outlineLvl w:val="9"/>
              <w:rPr>
                <w:rFonts w:ascii="宋体"/>
                <w:color w:val="auto"/>
                <w:szCs w:val="21"/>
                <w:highlight w:val="none"/>
              </w:rPr>
            </w:pPr>
          </w:p>
        </w:tc>
        <w:tc>
          <w:tcPr>
            <w:tcW w:w="1276" w:type="dxa"/>
            <w:vAlign w:val="center"/>
          </w:tcPr>
          <w:p w14:paraId="4FFFE150">
            <w:pPr>
              <w:spacing w:line="360" w:lineRule="auto"/>
              <w:ind w:firstLine="420" w:firstLineChars="200"/>
              <w:outlineLvl w:val="9"/>
              <w:rPr>
                <w:rFonts w:ascii="宋体"/>
                <w:color w:val="auto"/>
                <w:szCs w:val="21"/>
                <w:highlight w:val="none"/>
              </w:rPr>
            </w:pPr>
          </w:p>
        </w:tc>
        <w:tc>
          <w:tcPr>
            <w:tcW w:w="1134" w:type="dxa"/>
            <w:vAlign w:val="center"/>
          </w:tcPr>
          <w:p w14:paraId="75DE86A4">
            <w:pPr>
              <w:spacing w:line="360" w:lineRule="auto"/>
              <w:ind w:firstLine="420" w:firstLineChars="200"/>
              <w:outlineLvl w:val="9"/>
              <w:rPr>
                <w:rFonts w:ascii="宋体"/>
                <w:color w:val="auto"/>
                <w:szCs w:val="21"/>
                <w:highlight w:val="none"/>
              </w:rPr>
            </w:pPr>
          </w:p>
        </w:tc>
        <w:tc>
          <w:tcPr>
            <w:tcW w:w="1559" w:type="dxa"/>
            <w:vAlign w:val="center"/>
          </w:tcPr>
          <w:p w14:paraId="366B4DBD">
            <w:pPr>
              <w:spacing w:line="360" w:lineRule="auto"/>
              <w:ind w:firstLine="420" w:firstLineChars="200"/>
              <w:outlineLvl w:val="9"/>
              <w:rPr>
                <w:rFonts w:ascii="宋体"/>
                <w:color w:val="auto"/>
                <w:szCs w:val="21"/>
                <w:highlight w:val="none"/>
              </w:rPr>
            </w:pPr>
          </w:p>
        </w:tc>
      </w:tr>
      <w:tr w14:paraId="7D70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D508BE1">
            <w:pPr>
              <w:spacing w:line="360" w:lineRule="auto"/>
              <w:ind w:firstLine="420" w:firstLineChars="200"/>
              <w:outlineLvl w:val="9"/>
              <w:rPr>
                <w:rFonts w:ascii="宋体"/>
                <w:color w:val="auto"/>
                <w:szCs w:val="21"/>
                <w:highlight w:val="none"/>
              </w:rPr>
            </w:pPr>
          </w:p>
        </w:tc>
        <w:tc>
          <w:tcPr>
            <w:tcW w:w="1226" w:type="dxa"/>
            <w:vAlign w:val="center"/>
          </w:tcPr>
          <w:p w14:paraId="71FD070F">
            <w:pPr>
              <w:spacing w:line="360" w:lineRule="auto"/>
              <w:ind w:firstLine="420" w:firstLineChars="200"/>
              <w:outlineLvl w:val="9"/>
              <w:rPr>
                <w:rFonts w:ascii="宋体"/>
                <w:color w:val="auto"/>
                <w:szCs w:val="21"/>
                <w:highlight w:val="none"/>
              </w:rPr>
            </w:pPr>
          </w:p>
        </w:tc>
        <w:tc>
          <w:tcPr>
            <w:tcW w:w="851" w:type="dxa"/>
            <w:vAlign w:val="center"/>
          </w:tcPr>
          <w:p w14:paraId="04A44AA9">
            <w:pPr>
              <w:spacing w:line="360" w:lineRule="auto"/>
              <w:ind w:firstLine="420" w:firstLineChars="200"/>
              <w:outlineLvl w:val="9"/>
              <w:rPr>
                <w:rFonts w:ascii="宋体"/>
                <w:color w:val="auto"/>
                <w:szCs w:val="21"/>
                <w:highlight w:val="none"/>
              </w:rPr>
            </w:pPr>
          </w:p>
        </w:tc>
        <w:tc>
          <w:tcPr>
            <w:tcW w:w="708" w:type="dxa"/>
            <w:vAlign w:val="center"/>
          </w:tcPr>
          <w:p w14:paraId="00185A7D">
            <w:pPr>
              <w:spacing w:line="360" w:lineRule="auto"/>
              <w:ind w:firstLine="420" w:firstLineChars="200"/>
              <w:outlineLvl w:val="9"/>
              <w:rPr>
                <w:rFonts w:ascii="宋体"/>
                <w:color w:val="auto"/>
                <w:szCs w:val="21"/>
                <w:highlight w:val="none"/>
              </w:rPr>
            </w:pPr>
          </w:p>
        </w:tc>
        <w:tc>
          <w:tcPr>
            <w:tcW w:w="709" w:type="dxa"/>
            <w:vAlign w:val="center"/>
          </w:tcPr>
          <w:p w14:paraId="6F7EDA62">
            <w:pPr>
              <w:spacing w:line="360" w:lineRule="auto"/>
              <w:ind w:firstLine="420" w:firstLineChars="200"/>
              <w:outlineLvl w:val="9"/>
              <w:rPr>
                <w:rFonts w:ascii="宋体"/>
                <w:color w:val="auto"/>
                <w:szCs w:val="21"/>
                <w:highlight w:val="none"/>
              </w:rPr>
            </w:pPr>
          </w:p>
        </w:tc>
        <w:tc>
          <w:tcPr>
            <w:tcW w:w="1134" w:type="dxa"/>
            <w:vAlign w:val="center"/>
          </w:tcPr>
          <w:p w14:paraId="7CFF1F66">
            <w:pPr>
              <w:spacing w:line="360" w:lineRule="auto"/>
              <w:ind w:firstLine="420" w:firstLineChars="200"/>
              <w:outlineLvl w:val="9"/>
              <w:rPr>
                <w:rFonts w:ascii="宋体"/>
                <w:color w:val="auto"/>
                <w:szCs w:val="21"/>
                <w:highlight w:val="none"/>
              </w:rPr>
            </w:pPr>
          </w:p>
        </w:tc>
        <w:tc>
          <w:tcPr>
            <w:tcW w:w="1276" w:type="dxa"/>
            <w:vAlign w:val="center"/>
          </w:tcPr>
          <w:p w14:paraId="730CD95C">
            <w:pPr>
              <w:spacing w:line="360" w:lineRule="auto"/>
              <w:ind w:firstLine="420" w:firstLineChars="200"/>
              <w:outlineLvl w:val="9"/>
              <w:rPr>
                <w:rFonts w:ascii="宋体"/>
                <w:color w:val="auto"/>
                <w:szCs w:val="21"/>
                <w:highlight w:val="none"/>
              </w:rPr>
            </w:pPr>
          </w:p>
        </w:tc>
        <w:tc>
          <w:tcPr>
            <w:tcW w:w="1134" w:type="dxa"/>
            <w:vAlign w:val="center"/>
          </w:tcPr>
          <w:p w14:paraId="6DF799A5">
            <w:pPr>
              <w:spacing w:line="360" w:lineRule="auto"/>
              <w:ind w:firstLine="420" w:firstLineChars="200"/>
              <w:outlineLvl w:val="9"/>
              <w:rPr>
                <w:rFonts w:ascii="宋体"/>
                <w:color w:val="auto"/>
                <w:szCs w:val="21"/>
                <w:highlight w:val="none"/>
              </w:rPr>
            </w:pPr>
          </w:p>
        </w:tc>
        <w:tc>
          <w:tcPr>
            <w:tcW w:w="1559" w:type="dxa"/>
            <w:vAlign w:val="center"/>
          </w:tcPr>
          <w:p w14:paraId="47070059">
            <w:pPr>
              <w:spacing w:line="360" w:lineRule="auto"/>
              <w:ind w:firstLine="420" w:firstLineChars="200"/>
              <w:outlineLvl w:val="9"/>
              <w:rPr>
                <w:rFonts w:ascii="宋体"/>
                <w:color w:val="auto"/>
                <w:szCs w:val="21"/>
                <w:highlight w:val="none"/>
              </w:rPr>
            </w:pPr>
          </w:p>
        </w:tc>
      </w:tr>
      <w:tr w14:paraId="686A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05CF7F3">
            <w:pPr>
              <w:spacing w:line="360" w:lineRule="auto"/>
              <w:ind w:firstLine="420" w:firstLineChars="200"/>
              <w:outlineLvl w:val="9"/>
              <w:rPr>
                <w:rFonts w:ascii="宋体"/>
                <w:color w:val="auto"/>
                <w:szCs w:val="21"/>
                <w:highlight w:val="none"/>
              </w:rPr>
            </w:pPr>
          </w:p>
        </w:tc>
        <w:tc>
          <w:tcPr>
            <w:tcW w:w="1226" w:type="dxa"/>
            <w:vAlign w:val="center"/>
          </w:tcPr>
          <w:p w14:paraId="47AC2DD6">
            <w:pPr>
              <w:spacing w:line="360" w:lineRule="auto"/>
              <w:ind w:firstLine="420" w:firstLineChars="200"/>
              <w:outlineLvl w:val="9"/>
              <w:rPr>
                <w:rFonts w:ascii="宋体"/>
                <w:color w:val="auto"/>
                <w:szCs w:val="21"/>
                <w:highlight w:val="none"/>
              </w:rPr>
            </w:pPr>
          </w:p>
        </w:tc>
        <w:tc>
          <w:tcPr>
            <w:tcW w:w="851" w:type="dxa"/>
            <w:vAlign w:val="center"/>
          </w:tcPr>
          <w:p w14:paraId="62E72FF0">
            <w:pPr>
              <w:spacing w:line="360" w:lineRule="auto"/>
              <w:ind w:firstLine="420" w:firstLineChars="200"/>
              <w:outlineLvl w:val="9"/>
              <w:rPr>
                <w:rFonts w:ascii="宋体"/>
                <w:color w:val="auto"/>
                <w:szCs w:val="21"/>
                <w:highlight w:val="none"/>
              </w:rPr>
            </w:pPr>
          </w:p>
        </w:tc>
        <w:tc>
          <w:tcPr>
            <w:tcW w:w="708" w:type="dxa"/>
            <w:vAlign w:val="center"/>
          </w:tcPr>
          <w:p w14:paraId="69A7858D">
            <w:pPr>
              <w:spacing w:line="360" w:lineRule="auto"/>
              <w:ind w:firstLine="420" w:firstLineChars="200"/>
              <w:outlineLvl w:val="9"/>
              <w:rPr>
                <w:rFonts w:ascii="宋体"/>
                <w:color w:val="auto"/>
                <w:szCs w:val="21"/>
                <w:highlight w:val="none"/>
              </w:rPr>
            </w:pPr>
          </w:p>
        </w:tc>
        <w:tc>
          <w:tcPr>
            <w:tcW w:w="709" w:type="dxa"/>
            <w:vAlign w:val="center"/>
          </w:tcPr>
          <w:p w14:paraId="2F5090F5">
            <w:pPr>
              <w:spacing w:line="360" w:lineRule="auto"/>
              <w:ind w:firstLine="420" w:firstLineChars="200"/>
              <w:outlineLvl w:val="9"/>
              <w:rPr>
                <w:rFonts w:ascii="宋体"/>
                <w:color w:val="auto"/>
                <w:szCs w:val="21"/>
                <w:highlight w:val="none"/>
              </w:rPr>
            </w:pPr>
          </w:p>
        </w:tc>
        <w:tc>
          <w:tcPr>
            <w:tcW w:w="1134" w:type="dxa"/>
            <w:vAlign w:val="center"/>
          </w:tcPr>
          <w:p w14:paraId="48E3AE81">
            <w:pPr>
              <w:spacing w:line="360" w:lineRule="auto"/>
              <w:ind w:firstLine="420" w:firstLineChars="200"/>
              <w:outlineLvl w:val="9"/>
              <w:rPr>
                <w:rFonts w:ascii="宋体"/>
                <w:color w:val="auto"/>
                <w:szCs w:val="21"/>
                <w:highlight w:val="none"/>
              </w:rPr>
            </w:pPr>
          </w:p>
        </w:tc>
        <w:tc>
          <w:tcPr>
            <w:tcW w:w="1276" w:type="dxa"/>
            <w:vAlign w:val="center"/>
          </w:tcPr>
          <w:p w14:paraId="4C6401C2">
            <w:pPr>
              <w:spacing w:line="360" w:lineRule="auto"/>
              <w:ind w:firstLine="420" w:firstLineChars="200"/>
              <w:outlineLvl w:val="9"/>
              <w:rPr>
                <w:rFonts w:ascii="宋体"/>
                <w:color w:val="auto"/>
                <w:szCs w:val="21"/>
                <w:highlight w:val="none"/>
              </w:rPr>
            </w:pPr>
          </w:p>
        </w:tc>
        <w:tc>
          <w:tcPr>
            <w:tcW w:w="1134" w:type="dxa"/>
            <w:vAlign w:val="center"/>
          </w:tcPr>
          <w:p w14:paraId="76B649D1">
            <w:pPr>
              <w:spacing w:line="360" w:lineRule="auto"/>
              <w:ind w:firstLine="420" w:firstLineChars="200"/>
              <w:outlineLvl w:val="9"/>
              <w:rPr>
                <w:rFonts w:ascii="宋体"/>
                <w:color w:val="auto"/>
                <w:szCs w:val="21"/>
                <w:highlight w:val="none"/>
              </w:rPr>
            </w:pPr>
          </w:p>
        </w:tc>
        <w:tc>
          <w:tcPr>
            <w:tcW w:w="1559" w:type="dxa"/>
            <w:vAlign w:val="center"/>
          </w:tcPr>
          <w:p w14:paraId="3CA7F920">
            <w:pPr>
              <w:spacing w:line="360" w:lineRule="auto"/>
              <w:ind w:firstLine="420" w:firstLineChars="200"/>
              <w:outlineLvl w:val="9"/>
              <w:rPr>
                <w:rFonts w:ascii="宋体"/>
                <w:color w:val="auto"/>
                <w:szCs w:val="21"/>
                <w:highlight w:val="none"/>
              </w:rPr>
            </w:pPr>
          </w:p>
        </w:tc>
      </w:tr>
      <w:tr w14:paraId="2201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C75FC83">
            <w:pPr>
              <w:spacing w:line="360" w:lineRule="auto"/>
              <w:ind w:firstLine="420" w:firstLineChars="200"/>
              <w:outlineLvl w:val="9"/>
              <w:rPr>
                <w:rFonts w:ascii="宋体"/>
                <w:color w:val="auto"/>
                <w:szCs w:val="21"/>
                <w:highlight w:val="none"/>
              </w:rPr>
            </w:pPr>
          </w:p>
        </w:tc>
        <w:tc>
          <w:tcPr>
            <w:tcW w:w="1226" w:type="dxa"/>
            <w:vAlign w:val="center"/>
          </w:tcPr>
          <w:p w14:paraId="11262908">
            <w:pPr>
              <w:spacing w:line="360" w:lineRule="auto"/>
              <w:ind w:firstLine="420" w:firstLineChars="200"/>
              <w:outlineLvl w:val="9"/>
              <w:rPr>
                <w:rFonts w:ascii="宋体"/>
                <w:color w:val="auto"/>
                <w:szCs w:val="21"/>
                <w:highlight w:val="none"/>
              </w:rPr>
            </w:pPr>
          </w:p>
        </w:tc>
        <w:tc>
          <w:tcPr>
            <w:tcW w:w="851" w:type="dxa"/>
            <w:vAlign w:val="center"/>
          </w:tcPr>
          <w:p w14:paraId="2957A7B2">
            <w:pPr>
              <w:spacing w:line="360" w:lineRule="auto"/>
              <w:ind w:firstLine="420" w:firstLineChars="200"/>
              <w:outlineLvl w:val="9"/>
              <w:rPr>
                <w:rFonts w:ascii="宋体"/>
                <w:color w:val="auto"/>
                <w:szCs w:val="21"/>
                <w:highlight w:val="none"/>
              </w:rPr>
            </w:pPr>
          </w:p>
        </w:tc>
        <w:tc>
          <w:tcPr>
            <w:tcW w:w="708" w:type="dxa"/>
            <w:vAlign w:val="center"/>
          </w:tcPr>
          <w:p w14:paraId="0CC49EB5">
            <w:pPr>
              <w:spacing w:line="360" w:lineRule="auto"/>
              <w:ind w:firstLine="420" w:firstLineChars="200"/>
              <w:outlineLvl w:val="9"/>
              <w:rPr>
                <w:rFonts w:ascii="宋体"/>
                <w:color w:val="auto"/>
                <w:szCs w:val="21"/>
                <w:highlight w:val="none"/>
              </w:rPr>
            </w:pPr>
          </w:p>
        </w:tc>
        <w:tc>
          <w:tcPr>
            <w:tcW w:w="709" w:type="dxa"/>
            <w:vAlign w:val="center"/>
          </w:tcPr>
          <w:p w14:paraId="1C26F043">
            <w:pPr>
              <w:spacing w:line="360" w:lineRule="auto"/>
              <w:ind w:firstLine="420" w:firstLineChars="200"/>
              <w:outlineLvl w:val="9"/>
              <w:rPr>
                <w:rFonts w:ascii="宋体"/>
                <w:color w:val="auto"/>
                <w:szCs w:val="21"/>
                <w:highlight w:val="none"/>
              </w:rPr>
            </w:pPr>
          </w:p>
        </w:tc>
        <w:tc>
          <w:tcPr>
            <w:tcW w:w="1134" w:type="dxa"/>
            <w:vAlign w:val="center"/>
          </w:tcPr>
          <w:p w14:paraId="0F9791E8">
            <w:pPr>
              <w:spacing w:line="360" w:lineRule="auto"/>
              <w:ind w:firstLine="420" w:firstLineChars="200"/>
              <w:outlineLvl w:val="9"/>
              <w:rPr>
                <w:rFonts w:ascii="宋体"/>
                <w:color w:val="auto"/>
                <w:szCs w:val="21"/>
                <w:highlight w:val="none"/>
              </w:rPr>
            </w:pPr>
          </w:p>
        </w:tc>
        <w:tc>
          <w:tcPr>
            <w:tcW w:w="1276" w:type="dxa"/>
            <w:vAlign w:val="center"/>
          </w:tcPr>
          <w:p w14:paraId="4EA8C51C">
            <w:pPr>
              <w:spacing w:line="360" w:lineRule="auto"/>
              <w:ind w:firstLine="420" w:firstLineChars="200"/>
              <w:outlineLvl w:val="9"/>
              <w:rPr>
                <w:rFonts w:ascii="宋体"/>
                <w:color w:val="auto"/>
                <w:szCs w:val="21"/>
                <w:highlight w:val="none"/>
              </w:rPr>
            </w:pPr>
          </w:p>
        </w:tc>
        <w:tc>
          <w:tcPr>
            <w:tcW w:w="1134" w:type="dxa"/>
            <w:vAlign w:val="center"/>
          </w:tcPr>
          <w:p w14:paraId="6BB678AB">
            <w:pPr>
              <w:spacing w:line="360" w:lineRule="auto"/>
              <w:ind w:firstLine="420" w:firstLineChars="200"/>
              <w:outlineLvl w:val="9"/>
              <w:rPr>
                <w:rFonts w:ascii="宋体"/>
                <w:color w:val="auto"/>
                <w:szCs w:val="21"/>
                <w:highlight w:val="none"/>
              </w:rPr>
            </w:pPr>
          </w:p>
        </w:tc>
        <w:tc>
          <w:tcPr>
            <w:tcW w:w="1559" w:type="dxa"/>
            <w:vAlign w:val="center"/>
          </w:tcPr>
          <w:p w14:paraId="17B5EC10">
            <w:pPr>
              <w:spacing w:line="360" w:lineRule="auto"/>
              <w:ind w:firstLine="420" w:firstLineChars="200"/>
              <w:outlineLvl w:val="9"/>
              <w:rPr>
                <w:rFonts w:ascii="宋体"/>
                <w:color w:val="auto"/>
                <w:szCs w:val="21"/>
                <w:highlight w:val="none"/>
              </w:rPr>
            </w:pPr>
          </w:p>
        </w:tc>
      </w:tr>
      <w:tr w14:paraId="5439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66AC3F">
            <w:pPr>
              <w:spacing w:line="360" w:lineRule="auto"/>
              <w:ind w:firstLine="420" w:firstLineChars="200"/>
              <w:outlineLvl w:val="9"/>
              <w:rPr>
                <w:rFonts w:ascii="宋体"/>
                <w:color w:val="auto"/>
                <w:szCs w:val="21"/>
                <w:highlight w:val="none"/>
              </w:rPr>
            </w:pPr>
          </w:p>
        </w:tc>
        <w:tc>
          <w:tcPr>
            <w:tcW w:w="1226" w:type="dxa"/>
            <w:vAlign w:val="center"/>
          </w:tcPr>
          <w:p w14:paraId="173266A8">
            <w:pPr>
              <w:spacing w:line="360" w:lineRule="auto"/>
              <w:ind w:firstLine="420" w:firstLineChars="200"/>
              <w:outlineLvl w:val="9"/>
              <w:rPr>
                <w:rFonts w:ascii="宋体"/>
                <w:color w:val="auto"/>
                <w:szCs w:val="21"/>
                <w:highlight w:val="none"/>
              </w:rPr>
            </w:pPr>
          </w:p>
        </w:tc>
        <w:tc>
          <w:tcPr>
            <w:tcW w:w="851" w:type="dxa"/>
            <w:vAlign w:val="center"/>
          </w:tcPr>
          <w:p w14:paraId="4B7015A7">
            <w:pPr>
              <w:spacing w:line="360" w:lineRule="auto"/>
              <w:ind w:firstLine="420" w:firstLineChars="200"/>
              <w:outlineLvl w:val="9"/>
              <w:rPr>
                <w:rFonts w:ascii="宋体"/>
                <w:color w:val="auto"/>
                <w:szCs w:val="21"/>
                <w:highlight w:val="none"/>
              </w:rPr>
            </w:pPr>
          </w:p>
        </w:tc>
        <w:tc>
          <w:tcPr>
            <w:tcW w:w="708" w:type="dxa"/>
            <w:vAlign w:val="center"/>
          </w:tcPr>
          <w:p w14:paraId="040D72DA">
            <w:pPr>
              <w:spacing w:line="360" w:lineRule="auto"/>
              <w:ind w:firstLine="420" w:firstLineChars="200"/>
              <w:outlineLvl w:val="9"/>
              <w:rPr>
                <w:rFonts w:ascii="宋体"/>
                <w:color w:val="auto"/>
                <w:szCs w:val="21"/>
                <w:highlight w:val="none"/>
              </w:rPr>
            </w:pPr>
          </w:p>
        </w:tc>
        <w:tc>
          <w:tcPr>
            <w:tcW w:w="709" w:type="dxa"/>
            <w:vAlign w:val="center"/>
          </w:tcPr>
          <w:p w14:paraId="23234378">
            <w:pPr>
              <w:spacing w:line="360" w:lineRule="auto"/>
              <w:ind w:firstLine="420" w:firstLineChars="200"/>
              <w:outlineLvl w:val="9"/>
              <w:rPr>
                <w:rFonts w:ascii="宋体"/>
                <w:color w:val="auto"/>
                <w:szCs w:val="21"/>
                <w:highlight w:val="none"/>
              </w:rPr>
            </w:pPr>
          </w:p>
        </w:tc>
        <w:tc>
          <w:tcPr>
            <w:tcW w:w="1134" w:type="dxa"/>
            <w:vAlign w:val="center"/>
          </w:tcPr>
          <w:p w14:paraId="55853519">
            <w:pPr>
              <w:spacing w:line="360" w:lineRule="auto"/>
              <w:ind w:firstLine="420" w:firstLineChars="200"/>
              <w:outlineLvl w:val="9"/>
              <w:rPr>
                <w:rFonts w:ascii="宋体"/>
                <w:color w:val="auto"/>
                <w:szCs w:val="21"/>
                <w:highlight w:val="none"/>
              </w:rPr>
            </w:pPr>
          </w:p>
        </w:tc>
        <w:tc>
          <w:tcPr>
            <w:tcW w:w="1276" w:type="dxa"/>
            <w:vAlign w:val="center"/>
          </w:tcPr>
          <w:p w14:paraId="44A912B9">
            <w:pPr>
              <w:spacing w:line="360" w:lineRule="auto"/>
              <w:ind w:firstLine="420" w:firstLineChars="200"/>
              <w:outlineLvl w:val="9"/>
              <w:rPr>
                <w:rFonts w:ascii="宋体"/>
                <w:color w:val="auto"/>
                <w:szCs w:val="21"/>
                <w:highlight w:val="none"/>
              </w:rPr>
            </w:pPr>
          </w:p>
        </w:tc>
        <w:tc>
          <w:tcPr>
            <w:tcW w:w="1134" w:type="dxa"/>
            <w:vAlign w:val="center"/>
          </w:tcPr>
          <w:p w14:paraId="27AF0399">
            <w:pPr>
              <w:spacing w:line="360" w:lineRule="auto"/>
              <w:ind w:firstLine="420" w:firstLineChars="200"/>
              <w:outlineLvl w:val="9"/>
              <w:rPr>
                <w:rFonts w:ascii="宋体"/>
                <w:color w:val="auto"/>
                <w:szCs w:val="21"/>
                <w:highlight w:val="none"/>
              </w:rPr>
            </w:pPr>
          </w:p>
        </w:tc>
        <w:tc>
          <w:tcPr>
            <w:tcW w:w="1559" w:type="dxa"/>
            <w:vAlign w:val="center"/>
          </w:tcPr>
          <w:p w14:paraId="6552256A">
            <w:pPr>
              <w:spacing w:line="360" w:lineRule="auto"/>
              <w:ind w:firstLine="420" w:firstLineChars="200"/>
              <w:outlineLvl w:val="9"/>
              <w:rPr>
                <w:rFonts w:ascii="宋体"/>
                <w:color w:val="auto"/>
                <w:szCs w:val="21"/>
                <w:highlight w:val="none"/>
              </w:rPr>
            </w:pPr>
          </w:p>
        </w:tc>
      </w:tr>
    </w:tbl>
    <w:p w14:paraId="11C714DA">
      <w:pPr>
        <w:outlineLvl w:val="9"/>
        <w:rPr>
          <w:rFonts w:ascii="宋体"/>
          <w:color w:val="auto"/>
          <w:highlight w:val="none"/>
        </w:rPr>
      </w:pPr>
    </w:p>
    <w:p w14:paraId="12EF1710">
      <w:pPr>
        <w:outlineLvl w:val="9"/>
        <w:rPr>
          <w:rFonts w:ascii="宋体"/>
          <w:color w:val="auto"/>
          <w:highlight w:val="none"/>
        </w:rPr>
      </w:pPr>
    </w:p>
    <w:p w14:paraId="67730AB1">
      <w:pPr>
        <w:outlineLvl w:val="9"/>
        <w:rPr>
          <w:rFonts w:ascii="宋体"/>
          <w:color w:val="auto"/>
          <w:highlight w:val="none"/>
        </w:rPr>
      </w:pPr>
    </w:p>
    <w:p w14:paraId="0B100BF3">
      <w:pPr>
        <w:outlineLvl w:val="9"/>
        <w:rPr>
          <w:rFonts w:ascii="宋体"/>
          <w:color w:val="auto"/>
          <w:highlight w:val="none"/>
        </w:rPr>
      </w:pPr>
    </w:p>
    <w:p w14:paraId="3F530693">
      <w:pPr>
        <w:outlineLvl w:val="9"/>
        <w:rPr>
          <w:rFonts w:ascii="宋体"/>
          <w:color w:val="auto"/>
          <w:highlight w:val="none"/>
        </w:rPr>
      </w:pPr>
    </w:p>
    <w:p w14:paraId="26AC488D">
      <w:pPr>
        <w:outlineLvl w:val="9"/>
        <w:rPr>
          <w:rFonts w:ascii="宋体"/>
          <w:color w:val="auto"/>
          <w:highlight w:val="none"/>
        </w:rPr>
      </w:pPr>
    </w:p>
    <w:p w14:paraId="5B05CEB5">
      <w:pPr>
        <w:outlineLvl w:val="9"/>
        <w:rPr>
          <w:rFonts w:ascii="宋体"/>
          <w:color w:val="auto"/>
          <w:highlight w:val="none"/>
        </w:rPr>
      </w:pPr>
    </w:p>
    <w:p w14:paraId="2102F500">
      <w:pPr>
        <w:outlineLvl w:val="9"/>
        <w:rPr>
          <w:rFonts w:ascii="宋体"/>
          <w:color w:val="auto"/>
          <w:highlight w:val="none"/>
        </w:rPr>
      </w:pPr>
      <w:r>
        <w:rPr>
          <w:rFonts w:hint="eastAsia" w:ascii="宋体"/>
          <w:color w:val="auto"/>
          <w:highlight w:val="none"/>
        </w:rPr>
        <w:t>附表三：劳动力计划表</w:t>
      </w:r>
    </w:p>
    <w:p w14:paraId="7EE8C9E9">
      <w:pPr>
        <w:ind w:firstLine="7245" w:firstLineChars="3450"/>
        <w:outlineLvl w:val="9"/>
        <w:rPr>
          <w:rFonts w:ascii="宋体"/>
          <w:color w:val="auto"/>
          <w:szCs w:val="21"/>
          <w:highlight w:val="none"/>
        </w:rPr>
      </w:pPr>
      <w:r>
        <w:rPr>
          <w:rFonts w:hint="eastAsia" w:ascii="宋体"/>
          <w:color w:val="auto"/>
          <w:szCs w:val="21"/>
          <w:highlight w:val="none"/>
        </w:rPr>
        <w:t xml:space="preserve">    单位：人</w:t>
      </w:r>
    </w:p>
    <w:tbl>
      <w:tblPr>
        <w:tblStyle w:val="84"/>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0E7E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0D00614">
            <w:pPr>
              <w:spacing w:line="360" w:lineRule="auto"/>
              <w:jc w:val="center"/>
              <w:outlineLvl w:val="9"/>
              <w:rPr>
                <w:rFonts w:ascii="宋体"/>
                <w:color w:val="auto"/>
                <w:szCs w:val="21"/>
                <w:highlight w:val="none"/>
              </w:rPr>
            </w:pPr>
            <w:r>
              <w:rPr>
                <w:rFonts w:hint="eastAsia" w:ascii="宋体"/>
                <w:color w:val="auto"/>
                <w:szCs w:val="21"/>
                <w:highlight w:val="none"/>
              </w:rPr>
              <w:t>工种</w:t>
            </w:r>
          </w:p>
        </w:tc>
        <w:tc>
          <w:tcPr>
            <w:tcW w:w="8506" w:type="dxa"/>
            <w:gridSpan w:val="7"/>
            <w:vAlign w:val="center"/>
          </w:tcPr>
          <w:p w14:paraId="144D671E">
            <w:pPr>
              <w:spacing w:line="360" w:lineRule="auto"/>
              <w:jc w:val="center"/>
              <w:outlineLvl w:val="9"/>
              <w:rPr>
                <w:rFonts w:ascii="宋体"/>
                <w:color w:val="auto"/>
                <w:szCs w:val="21"/>
                <w:highlight w:val="none"/>
              </w:rPr>
            </w:pPr>
            <w:r>
              <w:rPr>
                <w:rFonts w:hint="eastAsia" w:ascii="宋体"/>
                <w:color w:val="auto"/>
                <w:szCs w:val="21"/>
                <w:highlight w:val="none"/>
              </w:rPr>
              <w:t>按工程施工阶段投入劳动力情况</w:t>
            </w:r>
          </w:p>
        </w:tc>
      </w:tr>
      <w:tr w14:paraId="0C98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547478A">
            <w:pPr>
              <w:spacing w:line="360" w:lineRule="auto"/>
              <w:jc w:val="center"/>
              <w:outlineLvl w:val="9"/>
              <w:rPr>
                <w:rFonts w:ascii="宋体"/>
                <w:color w:val="auto"/>
                <w:szCs w:val="21"/>
                <w:highlight w:val="none"/>
              </w:rPr>
            </w:pPr>
          </w:p>
        </w:tc>
        <w:tc>
          <w:tcPr>
            <w:tcW w:w="961" w:type="dxa"/>
            <w:vAlign w:val="center"/>
          </w:tcPr>
          <w:p w14:paraId="7750C76A">
            <w:pPr>
              <w:spacing w:line="360" w:lineRule="auto"/>
              <w:jc w:val="center"/>
              <w:outlineLvl w:val="9"/>
              <w:rPr>
                <w:rFonts w:ascii="宋体"/>
                <w:color w:val="auto"/>
                <w:szCs w:val="21"/>
                <w:highlight w:val="none"/>
              </w:rPr>
            </w:pPr>
          </w:p>
        </w:tc>
        <w:tc>
          <w:tcPr>
            <w:tcW w:w="1257" w:type="dxa"/>
            <w:vAlign w:val="center"/>
          </w:tcPr>
          <w:p w14:paraId="7CE7D7AE">
            <w:pPr>
              <w:spacing w:line="360" w:lineRule="auto"/>
              <w:jc w:val="center"/>
              <w:outlineLvl w:val="9"/>
              <w:rPr>
                <w:rFonts w:ascii="宋体"/>
                <w:color w:val="auto"/>
                <w:szCs w:val="21"/>
                <w:highlight w:val="none"/>
              </w:rPr>
            </w:pPr>
          </w:p>
        </w:tc>
        <w:tc>
          <w:tcPr>
            <w:tcW w:w="1258" w:type="dxa"/>
            <w:vAlign w:val="center"/>
          </w:tcPr>
          <w:p w14:paraId="31D48697">
            <w:pPr>
              <w:spacing w:line="360" w:lineRule="auto"/>
              <w:jc w:val="center"/>
              <w:outlineLvl w:val="9"/>
              <w:rPr>
                <w:rFonts w:ascii="宋体"/>
                <w:color w:val="auto"/>
                <w:szCs w:val="21"/>
                <w:highlight w:val="none"/>
              </w:rPr>
            </w:pPr>
          </w:p>
        </w:tc>
        <w:tc>
          <w:tcPr>
            <w:tcW w:w="1257" w:type="dxa"/>
            <w:vAlign w:val="center"/>
          </w:tcPr>
          <w:p w14:paraId="4192EDA8">
            <w:pPr>
              <w:spacing w:line="360" w:lineRule="auto"/>
              <w:jc w:val="center"/>
              <w:outlineLvl w:val="9"/>
              <w:rPr>
                <w:rFonts w:ascii="宋体"/>
                <w:color w:val="auto"/>
                <w:szCs w:val="21"/>
                <w:highlight w:val="none"/>
              </w:rPr>
            </w:pPr>
          </w:p>
        </w:tc>
        <w:tc>
          <w:tcPr>
            <w:tcW w:w="1258" w:type="dxa"/>
            <w:vAlign w:val="center"/>
          </w:tcPr>
          <w:p w14:paraId="2488C1BD">
            <w:pPr>
              <w:spacing w:line="360" w:lineRule="auto"/>
              <w:jc w:val="center"/>
              <w:outlineLvl w:val="9"/>
              <w:rPr>
                <w:rFonts w:ascii="宋体"/>
                <w:color w:val="auto"/>
                <w:szCs w:val="21"/>
                <w:highlight w:val="none"/>
              </w:rPr>
            </w:pPr>
          </w:p>
        </w:tc>
        <w:tc>
          <w:tcPr>
            <w:tcW w:w="1257" w:type="dxa"/>
            <w:vAlign w:val="center"/>
          </w:tcPr>
          <w:p w14:paraId="11B21421">
            <w:pPr>
              <w:spacing w:line="360" w:lineRule="auto"/>
              <w:jc w:val="center"/>
              <w:outlineLvl w:val="9"/>
              <w:rPr>
                <w:rFonts w:ascii="宋体"/>
                <w:color w:val="auto"/>
                <w:szCs w:val="21"/>
                <w:highlight w:val="none"/>
              </w:rPr>
            </w:pPr>
          </w:p>
        </w:tc>
        <w:tc>
          <w:tcPr>
            <w:tcW w:w="1258" w:type="dxa"/>
            <w:vAlign w:val="center"/>
          </w:tcPr>
          <w:p w14:paraId="1DE4DC79">
            <w:pPr>
              <w:spacing w:line="360" w:lineRule="auto"/>
              <w:jc w:val="center"/>
              <w:outlineLvl w:val="9"/>
              <w:rPr>
                <w:rFonts w:ascii="宋体"/>
                <w:color w:val="auto"/>
                <w:szCs w:val="21"/>
                <w:highlight w:val="none"/>
              </w:rPr>
            </w:pPr>
          </w:p>
        </w:tc>
      </w:tr>
      <w:tr w14:paraId="7280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4D8CC15">
            <w:pPr>
              <w:spacing w:line="360" w:lineRule="auto"/>
              <w:jc w:val="center"/>
              <w:outlineLvl w:val="9"/>
              <w:rPr>
                <w:rFonts w:ascii="宋体"/>
                <w:color w:val="auto"/>
                <w:szCs w:val="21"/>
                <w:highlight w:val="none"/>
              </w:rPr>
            </w:pPr>
          </w:p>
        </w:tc>
        <w:tc>
          <w:tcPr>
            <w:tcW w:w="961" w:type="dxa"/>
            <w:vAlign w:val="center"/>
          </w:tcPr>
          <w:p w14:paraId="7848D589">
            <w:pPr>
              <w:spacing w:line="360" w:lineRule="auto"/>
              <w:jc w:val="center"/>
              <w:outlineLvl w:val="9"/>
              <w:rPr>
                <w:rFonts w:ascii="宋体"/>
                <w:color w:val="auto"/>
                <w:szCs w:val="21"/>
                <w:highlight w:val="none"/>
              </w:rPr>
            </w:pPr>
          </w:p>
        </w:tc>
        <w:tc>
          <w:tcPr>
            <w:tcW w:w="1257" w:type="dxa"/>
            <w:vAlign w:val="center"/>
          </w:tcPr>
          <w:p w14:paraId="77E282DD">
            <w:pPr>
              <w:spacing w:line="360" w:lineRule="auto"/>
              <w:jc w:val="center"/>
              <w:outlineLvl w:val="9"/>
              <w:rPr>
                <w:rFonts w:ascii="宋体"/>
                <w:color w:val="auto"/>
                <w:szCs w:val="21"/>
                <w:highlight w:val="none"/>
              </w:rPr>
            </w:pPr>
          </w:p>
        </w:tc>
        <w:tc>
          <w:tcPr>
            <w:tcW w:w="1258" w:type="dxa"/>
            <w:vAlign w:val="center"/>
          </w:tcPr>
          <w:p w14:paraId="5D7A52B3">
            <w:pPr>
              <w:spacing w:line="360" w:lineRule="auto"/>
              <w:jc w:val="center"/>
              <w:outlineLvl w:val="9"/>
              <w:rPr>
                <w:rFonts w:ascii="宋体"/>
                <w:color w:val="auto"/>
                <w:szCs w:val="21"/>
                <w:highlight w:val="none"/>
              </w:rPr>
            </w:pPr>
          </w:p>
        </w:tc>
        <w:tc>
          <w:tcPr>
            <w:tcW w:w="1257" w:type="dxa"/>
            <w:vAlign w:val="center"/>
          </w:tcPr>
          <w:p w14:paraId="565B1FDA">
            <w:pPr>
              <w:spacing w:line="360" w:lineRule="auto"/>
              <w:jc w:val="center"/>
              <w:outlineLvl w:val="9"/>
              <w:rPr>
                <w:rFonts w:ascii="宋体"/>
                <w:color w:val="auto"/>
                <w:szCs w:val="21"/>
                <w:highlight w:val="none"/>
              </w:rPr>
            </w:pPr>
          </w:p>
        </w:tc>
        <w:tc>
          <w:tcPr>
            <w:tcW w:w="1258" w:type="dxa"/>
            <w:vAlign w:val="center"/>
          </w:tcPr>
          <w:p w14:paraId="59B85C6E">
            <w:pPr>
              <w:spacing w:line="360" w:lineRule="auto"/>
              <w:jc w:val="center"/>
              <w:outlineLvl w:val="9"/>
              <w:rPr>
                <w:rFonts w:ascii="宋体"/>
                <w:color w:val="auto"/>
                <w:szCs w:val="21"/>
                <w:highlight w:val="none"/>
              </w:rPr>
            </w:pPr>
          </w:p>
        </w:tc>
        <w:tc>
          <w:tcPr>
            <w:tcW w:w="1257" w:type="dxa"/>
            <w:vAlign w:val="center"/>
          </w:tcPr>
          <w:p w14:paraId="1657FCF5">
            <w:pPr>
              <w:spacing w:line="360" w:lineRule="auto"/>
              <w:jc w:val="center"/>
              <w:outlineLvl w:val="9"/>
              <w:rPr>
                <w:rFonts w:ascii="宋体"/>
                <w:color w:val="auto"/>
                <w:szCs w:val="21"/>
                <w:highlight w:val="none"/>
              </w:rPr>
            </w:pPr>
          </w:p>
        </w:tc>
        <w:tc>
          <w:tcPr>
            <w:tcW w:w="1258" w:type="dxa"/>
            <w:vAlign w:val="center"/>
          </w:tcPr>
          <w:p w14:paraId="0C8C0A25">
            <w:pPr>
              <w:spacing w:line="360" w:lineRule="auto"/>
              <w:jc w:val="center"/>
              <w:outlineLvl w:val="9"/>
              <w:rPr>
                <w:rFonts w:ascii="宋体"/>
                <w:color w:val="auto"/>
                <w:szCs w:val="21"/>
                <w:highlight w:val="none"/>
              </w:rPr>
            </w:pPr>
          </w:p>
        </w:tc>
      </w:tr>
      <w:tr w14:paraId="54C5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D8D0D08">
            <w:pPr>
              <w:spacing w:line="360" w:lineRule="auto"/>
              <w:jc w:val="center"/>
              <w:outlineLvl w:val="9"/>
              <w:rPr>
                <w:rFonts w:ascii="宋体"/>
                <w:color w:val="auto"/>
                <w:szCs w:val="21"/>
                <w:highlight w:val="none"/>
              </w:rPr>
            </w:pPr>
          </w:p>
        </w:tc>
        <w:tc>
          <w:tcPr>
            <w:tcW w:w="961" w:type="dxa"/>
            <w:vAlign w:val="center"/>
          </w:tcPr>
          <w:p w14:paraId="791977FA">
            <w:pPr>
              <w:spacing w:line="360" w:lineRule="auto"/>
              <w:jc w:val="center"/>
              <w:outlineLvl w:val="9"/>
              <w:rPr>
                <w:rFonts w:ascii="宋体"/>
                <w:color w:val="auto"/>
                <w:szCs w:val="21"/>
                <w:highlight w:val="none"/>
              </w:rPr>
            </w:pPr>
          </w:p>
        </w:tc>
        <w:tc>
          <w:tcPr>
            <w:tcW w:w="1257" w:type="dxa"/>
            <w:vAlign w:val="center"/>
          </w:tcPr>
          <w:p w14:paraId="5768F5F3">
            <w:pPr>
              <w:spacing w:line="360" w:lineRule="auto"/>
              <w:jc w:val="center"/>
              <w:outlineLvl w:val="9"/>
              <w:rPr>
                <w:rFonts w:ascii="宋体"/>
                <w:color w:val="auto"/>
                <w:szCs w:val="21"/>
                <w:highlight w:val="none"/>
              </w:rPr>
            </w:pPr>
          </w:p>
        </w:tc>
        <w:tc>
          <w:tcPr>
            <w:tcW w:w="1258" w:type="dxa"/>
            <w:vAlign w:val="center"/>
          </w:tcPr>
          <w:p w14:paraId="521ADD6B">
            <w:pPr>
              <w:spacing w:line="360" w:lineRule="auto"/>
              <w:jc w:val="center"/>
              <w:outlineLvl w:val="9"/>
              <w:rPr>
                <w:rFonts w:ascii="宋体"/>
                <w:color w:val="auto"/>
                <w:szCs w:val="21"/>
                <w:highlight w:val="none"/>
              </w:rPr>
            </w:pPr>
          </w:p>
        </w:tc>
        <w:tc>
          <w:tcPr>
            <w:tcW w:w="1257" w:type="dxa"/>
            <w:vAlign w:val="center"/>
          </w:tcPr>
          <w:p w14:paraId="566E5F3B">
            <w:pPr>
              <w:spacing w:line="360" w:lineRule="auto"/>
              <w:jc w:val="center"/>
              <w:outlineLvl w:val="9"/>
              <w:rPr>
                <w:rFonts w:ascii="宋体"/>
                <w:color w:val="auto"/>
                <w:szCs w:val="21"/>
                <w:highlight w:val="none"/>
              </w:rPr>
            </w:pPr>
          </w:p>
        </w:tc>
        <w:tc>
          <w:tcPr>
            <w:tcW w:w="1258" w:type="dxa"/>
            <w:vAlign w:val="center"/>
          </w:tcPr>
          <w:p w14:paraId="2CC03232">
            <w:pPr>
              <w:spacing w:line="360" w:lineRule="auto"/>
              <w:jc w:val="center"/>
              <w:outlineLvl w:val="9"/>
              <w:rPr>
                <w:rFonts w:ascii="宋体"/>
                <w:color w:val="auto"/>
                <w:szCs w:val="21"/>
                <w:highlight w:val="none"/>
              </w:rPr>
            </w:pPr>
          </w:p>
        </w:tc>
        <w:tc>
          <w:tcPr>
            <w:tcW w:w="1257" w:type="dxa"/>
            <w:vAlign w:val="center"/>
          </w:tcPr>
          <w:p w14:paraId="3A6DC74C">
            <w:pPr>
              <w:spacing w:line="360" w:lineRule="auto"/>
              <w:jc w:val="center"/>
              <w:outlineLvl w:val="9"/>
              <w:rPr>
                <w:rFonts w:ascii="宋体"/>
                <w:color w:val="auto"/>
                <w:szCs w:val="21"/>
                <w:highlight w:val="none"/>
              </w:rPr>
            </w:pPr>
          </w:p>
        </w:tc>
        <w:tc>
          <w:tcPr>
            <w:tcW w:w="1258" w:type="dxa"/>
            <w:vAlign w:val="center"/>
          </w:tcPr>
          <w:p w14:paraId="68378AEF">
            <w:pPr>
              <w:spacing w:line="360" w:lineRule="auto"/>
              <w:jc w:val="center"/>
              <w:outlineLvl w:val="9"/>
              <w:rPr>
                <w:rFonts w:ascii="宋体"/>
                <w:color w:val="auto"/>
                <w:szCs w:val="21"/>
                <w:highlight w:val="none"/>
              </w:rPr>
            </w:pPr>
          </w:p>
        </w:tc>
      </w:tr>
      <w:tr w14:paraId="4A46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A02A48C">
            <w:pPr>
              <w:spacing w:line="360" w:lineRule="auto"/>
              <w:jc w:val="center"/>
              <w:outlineLvl w:val="9"/>
              <w:rPr>
                <w:rFonts w:ascii="宋体"/>
                <w:color w:val="auto"/>
                <w:szCs w:val="21"/>
                <w:highlight w:val="none"/>
              </w:rPr>
            </w:pPr>
          </w:p>
        </w:tc>
        <w:tc>
          <w:tcPr>
            <w:tcW w:w="961" w:type="dxa"/>
            <w:vAlign w:val="center"/>
          </w:tcPr>
          <w:p w14:paraId="073616D9">
            <w:pPr>
              <w:spacing w:line="360" w:lineRule="auto"/>
              <w:jc w:val="center"/>
              <w:outlineLvl w:val="9"/>
              <w:rPr>
                <w:rFonts w:ascii="宋体"/>
                <w:color w:val="auto"/>
                <w:szCs w:val="21"/>
                <w:highlight w:val="none"/>
              </w:rPr>
            </w:pPr>
          </w:p>
        </w:tc>
        <w:tc>
          <w:tcPr>
            <w:tcW w:w="1257" w:type="dxa"/>
            <w:vAlign w:val="center"/>
          </w:tcPr>
          <w:p w14:paraId="13C795A5">
            <w:pPr>
              <w:spacing w:line="360" w:lineRule="auto"/>
              <w:jc w:val="center"/>
              <w:outlineLvl w:val="9"/>
              <w:rPr>
                <w:rFonts w:ascii="宋体"/>
                <w:color w:val="auto"/>
                <w:szCs w:val="21"/>
                <w:highlight w:val="none"/>
              </w:rPr>
            </w:pPr>
          </w:p>
        </w:tc>
        <w:tc>
          <w:tcPr>
            <w:tcW w:w="1258" w:type="dxa"/>
            <w:vAlign w:val="center"/>
          </w:tcPr>
          <w:p w14:paraId="10569C08">
            <w:pPr>
              <w:spacing w:line="360" w:lineRule="auto"/>
              <w:jc w:val="center"/>
              <w:outlineLvl w:val="9"/>
              <w:rPr>
                <w:rFonts w:ascii="宋体"/>
                <w:color w:val="auto"/>
                <w:szCs w:val="21"/>
                <w:highlight w:val="none"/>
              </w:rPr>
            </w:pPr>
          </w:p>
        </w:tc>
        <w:tc>
          <w:tcPr>
            <w:tcW w:w="1257" w:type="dxa"/>
            <w:vAlign w:val="center"/>
          </w:tcPr>
          <w:p w14:paraId="10CAC30B">
            <w:pPr>
              <w:spacing w:line="360" w:lineRule="auto"/>
              <w:jc w:val="center"/>
              <w:outlineLvl w:val="9"/>
              <w:rPr>
                <w:rFonts w:ascii="宋体"/>
                <w:color w:val="auto"/>
                <w:szCs w:val="21"/>
                <w:highlight w:val="none"/>
              </w:rPr>
            </w:pPr>
          </w:p>
        </w:tc>
        <w:tc>
          <w:tcPr>
            <w:tcW w:w="1258" w:type="dxa"/>
            <w:vAlign w:val="center"/>
          </w:tcPr>
          <w:p w14:paraId="3D9176A4">
            <w:pPr>
              <w:spacing w:line="360" w:lineRule="auto"/>
              <w:jc w:val="center"/>
              <w:outlineLvl w:val="9"/>
              <w:rPr>
                <w:rFonts w:ascii="宋体"/>
                <w:color w:val="auto"/>
                <w:szCs w:val="21"/>
                <w:highlight w:val="none"/>
              </w:rPr>
            </w:pPr>
          </w:p>
        </w:tc>
        <w:tc>
          <w:tcPr>
            <w:tcW w:w="1257" w:type="dxa"/>
            <w:vAlign w:val="center"/>
          </w:tcPr>
          <w:p w14:paraId="492BF662">
            <w:pPr>
              <w:spacing w:line="360" w:lineRule="auto"/>
              <w:jc w:val="center"/>
              <w:outlineLvl w:val="9"/>
              <w:rPr>
                <w:rFonts w:ascii="宋体"/>
                <w:color w:val="auto"/>
                <w:szCs w:val="21"/>
                <w:highlight w:val="none"/>
              </w:rPr>
            </w:pPr>
          </w:p>
        </w:tc>
        <w:tc>
          <w:tcPr>
            <w:tcW w:w="1258" w:type="dxa"/>
            <w:vAlign w:val="center"/>
          </w:tcPr>
          <w:p w14:paraId="3BBAC7DD">
            <w:pPr>
              <w:spacing w:line="360" w:lineRule="auto"/>
              <w:jc w:val="center"/>
              <w:outlineLvl w:val="9"/>
              <w:rPr>
                <w:rFonts w:ascii="宋体"/>
                <w:color w:val="auto"/>
                <w:szCs w:val="21"/>
                <w:highlight w:val="none"/>
              </w:rPr>
            </w:pPr>
          </w:p>
        </w:tc>
      </w:tr>
      <w:tr w14:paraId="39E9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58F04ED">
            <w:pPr>
              <w:spacing w:line="360" w:lineRule="auto"/>
              <w:jc w:val="center"/>
              <w:outlineLvl w:val="9"/>
              <w:rPr>
                <w:rFonts w:ascii="宋体"/>
                <w:color w:val="auto"/>
                <w:szCs w:val="21"/>
                <w:highlight w:val="none"/>
              </w:rPr>
            </w:pPr>
          </w:p>
        </w:tc>
        <w:tc>
          <w:tcPr>
            <w:tcW w:w="961" w:type="dxa"/>
            <w:vAlign w:val="center"/>
          </w:tcPr>
          <w:p w14:paraId="501CE51A">
            <w:pPr>
              <w:spacing w:line="360" w:lineRule="auto"/>
              <w:jc w:val="center"/>
              <w:outlineLvl w:val="9"/>
              <w:rPr>
                <w:rFonts w:ascii="宋体"/>
                <w:color w:val="auto"/>
                <w:szCs w:val="21"/>
                <w:highlight w:val="none"/>
              </w:rPr>
            </w:pPr>
          </w:p>
        </w:tc>
        <w:tc>
          <w:tcPr>
            <w:tcW w:w="1257" w:type="dxa"/>
            <w:vAlign w:val="center"/>
          </w:tcPr>
          <w:p w14:paraId="12D33775">
            <w:pPr>
              <w:spacing w:line="360" w:lineRule="auto"/>
              <w:jc w:val="center"/>
              <w:outlineLvl w:val="9"/>
              <w:rPr>
                <w:rFonts w:ascii="宋体"/>
                <w:color w:val="auto"/>
                <w:szCs w:val="21"/>
                <w:highlight w:val="none"/>
              </w:rPr>
            </w:pPr>
          </w:p>
        </w:tc>
        <w:tc>
          <w:tcPr>
            <w:tcW w:w="1258" w:type="dxa"/>
            <w:vAlign w:val="center"/>
          </w:tcPr>
          <w:p w14:paraId="3F8C5DFB">
            <w:pPr>
              <w:spacing w:line="360" w:lineRule="auto"/>
              <w:jc w:val="center"/>
              <w:outlineLvl w:val="9"/>
              <w:rPr>
                <w:rFonts w:ascii="宋体"/>
                <w:color w:val="auto"/>
                <w:szCs w:val="21"/>
                <w:highlight w:val="none"/>
              </w:rPr>
            </w:pPr>
          </w:p>
        </w:tc>
        <w:tc>
          <w:tcPr>
            <w:tcW w:w="1257" w:type="dxa"/>
            <w:vAlign w:val="center"/>
          </w:tcPr>
          <w:p w14:paraId="3639B053">
            <w:pPr>
              <w:spacing w:line="360" w:lineRule="auto"/>
              <w:jc w:val="center"/>
              <w:outlineLvl w:val="9"/>
              <w:rPr>
                <w:rFonts w:ascii="宋体"/>
                <w:color w:val="auto"/>
                <w:szCs w:val="21"/>
                <w:highlight w:val="none"/>
              </w:rPr>
            </w:pPr>
          </w:p>
        </w:tc>
        <w:tc>
          <w:tcPr>
            <w:tcW w:w="1258" w:type="dxa"/>
            <w:vAlign w:val="center"/>
          </w:tcPr>
          <w:p w14:paraId="462233D3">
            <w:pPr>
              <w:spacing w:line="360" w:lineRule="auto"/>
              <w:jc w:val="center"/>
              <w:outlineLvl w:val="9"/>
              <w:rPr>
                <w:rFonts w:ascii="宋体"/>
                <w:color w:val="auto"/>
                <w:szCs w:val="21"/>
                <w:highlight w:val="none"/>
              </w:rPr>
            </w:pPr>
          </w:p>
        </w:tc>
        <w:tc>
          <w:tcPr>
            <w:tcW w:w="1257" w:type="dxa"/>
            <w:vAlign w:val="center"/>
          </w:tcPr>
          <w:p w14:paraId="702641A8">
            <w:pPr>
              <w:spacing w:line="360" w:lineRule="auto"/>
              <w:jc w:val="center"/>
              <w:outlineLvl w:val="9"/>
              <w:rPr>
                <w:rFonts w:ascii="宋体"/>
                <w:color w:val="auto"/>
                <w:szCs w:val="21"/>
                <w:highlight w:val="none"/>
              </w:rPr>
            </w:pPr>
          </w:p>
        </w:tc>
        <w:tc>
          <w:tcPr>
            <w:tcW w:w="1258" w:type="dxa"/>
            <w:vAlign w:val="center"/>
          </w:tcPr>
          <w:p w14:paraId="5A3A5726">
            <w:pPr>
              <w:spacing w:line="360" w:lineRule="auto"/>
              <w:jc w:val="center"/>
              <w:outlineLvl w:val="9"/>
              <w:rPr>
                <w:rFonts w:ascii="宋体"/>
                <w:color w:val="auto"/>
                <w:szCs w:val="21"/>
                <w:highlight w:val="none"/>
              </w:rPr>
            </w:pPr>
          </w:p>
        </w:tc>
      </w:tr>
      <w:tr w14:paraId="5433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F2DFF8A">
            <w:pPr>
              <w:spacing w:line="360" w:lineRule="auto"/>
              <w:jc w:val="center"/>
              <w:outlineLvl w:val="9"/>
              <w:rPr>
                <w:rFonts w:ascii="宋体"/>
                <w:color w:val="auto"/>
                <w:szCs w:val="21"/>
                <w:highlight w:val="none"/>
              </w:rPr>
            </w:pPr>
          </w:p>
        </w:tc>
        <w:tc>
          <w:tcPr>
            <w:tcW w:w="961" w:type="dxa"/>
            <w:vAlign w:val="center"/>
          </w:tcPr>
          <w:p w14:paraId="56A8203E">
            <w:pPr>
              <w:spacing w:line="360" w:lineRule="auto"/>
              <w:jc w:val="center"/>
              <w:outlineLvl w:val="9"/>
              <w:rPr>
                <w:rFonts w:ascii="宋体"/>
                <w:color w:val="auto"/>
                <w:szCs w:val="21"/>
                <w:highlight w:val="none"/>
              </w:rPr>
            </w:pPr>
          </w:p>
        </w:tc>
        <w:tc>
          <w:tcPr>
            <w:tcW w:w="1257" w:type="dxa"/>
            <w:vAlign w:val="center"/>
          </w:tcPr>
          <w:p w14:paraId="14F62C54">
            <w:pPr>
              <w:spacing w:line="360" w:lineRule="auto"/>
              <w:jc w:val="center"/>
              <w:outlineLvl w:val="9"/>
              <w:rPr>
                <w:rFonts w:ascii="宋体"/>
                <w:color w:val="auto"/>
                <w:szCs w:val="21"/>
                <w:highlight w:val="none"/>
              </w:rPr>
            </w:pPr>
          </w:p>
        </w:tc>
        <w:tc>
          <w:tcPr>
            <w:tcW w:w="1258" w:type="dxa"/>
            <w:vAlign w:val="center"/>
          </w:tcPr>
          <w:p w14:paraId="5FC1C751">
            <w:pPr>
              <w:spacing w:line="360" w:lineRule="auto"/>
              <w:jc w:val="center"/>
              <w:outlineLvl w:val="9"/>
              <w:rPr>
                <w:rFonts w:ascii="宋体"/>
                <w:color w:val="auto"/>
                <w:szCs w:val="21"/>
                <w:highlight w:val="none"/>
              </w:rPr>
            </w:pPr>
          </w:p>
        </w:tc>
        <w:tc>
          <w:tcPr>
            <w:tcW w:w="1257" w:type="dxa"/>
            <w:vAlign w:val="center"/>
          </w:tcPr>
          <w:p w14:paraId="68858E52">
            <w:pPr>
              <w:spacing w:line="360" w:lineRule="auto"/>
              <w:jc w:val="center"/>
              <w:outlineLvl w:val="9"/>
              <w:rPr>
                <w:rFonts w:ascii="宋体"/>
                <w:color w:val="auto"/>
                <w:szCs w:val="21"/>
                <w:highlight w:val="none"/>
              </w:rPr>
            </w:pPr>
          </w:p>
        </w:tc>
        <w:tc>
          <w:tcPr>
            <w:tcW w:w="1258" w:type="dxa"/>
            <w:vAlign w:val="center"/>
          </w:tcPr>
          <w:p w14:paraId="4EF2180A">
            <w:pPr>
              <w:spacing w:line="360" w:lineRule="auto"/>
              <w:jc w:val="center"/>
              <w:outlineLvl w:val="9"/>
              <w:rPr>
                <w:rFonts w:ascii="宋体"/>
                <w:color w:val="auto"/>
                <w:szCs w:val="21"/>
                <w:highlight w:val="none"/>
              </w:rPr>
            </w:pPr>
          </w:p>
        </w:tc>
        <w:tc>
          <w:tcPr>
            <w:tcW w:w="1257" w:type="dxa"/>
            <w:vAlign w:val="center"/>
          </w:tcPr>
          <w:p w14:paraId="6AE737B4">
            <w:pPr>
              <w:spacing w:line="360" w:lineRule="auto"/>
              <w:jc w:val="center"/>
              <w:outlineLvl w:val="9"/>
              <w:rPr>
                <w:rFonts w:ascii="宋体"/>
                <w:color w:val="auto"/>
                <w:szCs w:val="21"/>
                <w:highlight w:val="none"/>
              </w:rPr>
            </w:pPr>
          </w:p>
        </w:tc>
        <w:tc>
          <w:tcPr>
            <w:tcW w:w="1258" w:type="dxa"/>
            <w:vAlign w:val="center"/>
          </w:tcPr>
          <w:p w14:paraId="0D7EF69F">
            <w:pPr>
              <w:spacing w:line="360" w:lineRule="auto"/>
              <w:jc w:val="center"/>
              <w:outlineLvl w:val="9"/>
              <w:rPr>
                <w:rFonts w:ascii="宋体"/>
                <w:color w:val="auto"/>
                <w:szCs w:val="21"/>
                <w:highlight w:val="none"/>
              </w:rPr>
            </w:pPr>
          </w:p>
        </w:tc>
      </w:tr>
      <w:tr w14:paraId="2B0C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C2E303A">
            <w:pPr>
              <w:spacing w:line="360" w:lineRule="auto"/>
              <w:jc w:val="center"/>
              <w:outlineLvl w:val="9"/>
              <w:rPr>
                <w:rFonts w:ascii="宋体"/>
                <w:color w:val="auto"/>
                <w:szCs w:val="21"/>
                <w:highlight w:val="none"/>
              </w:rPr>
            </w:pPr>
          </w:p>
        </w:tc>
        <w:tc>
          <w:tcPr>
            <w:tcW w:w="961" w:type="dxa"/>
            <w:vAlign w:val="center"/>
          </w:tcPr>
          <w:p w14:paraId="5E97E9A4">
            <w:pPr>
              <w:spacing w:line="360" w:lineRule="auto"/>
              <w:jc w:val="center"/>
              <w:outlineLvl w:val="9"/>
              <w:rPr>
                <w:rFonts w:ascii="宋体"/>
                <w:color w:val="auto"/>
                <w:szCs w:val="21"/>
                <w:highlight w:val="none"/>
              </w:rPr>
            </w:pPr>
          </w:p>
        </w:tc>
        <w:tc>
          <w:tcPr>
            <w:tcW w:w="1257" w:type="dxa"/>
            <w:vAlign w:val="center"/>
          </w:tcPr>
          <w:p w14:paraId="206099FB">
            <w:pPr>
              <w:spacing w:line="360" w:lineRule="auto"/>
              <w:jc w:val="center"/>
              <w:outlineLvl w:val="9"/>
              <w:rPr>
                <w:rFonts w:ascii="宋体"/>
                <w:color w:val="auto"/>
                <w:szCs w:val="21"/>
                <w:highlight w:val="none"/>
              </w:rPr>
            </w:pPr>
          </w:p>
        </w:tc>
        <w:tc>
          <w:tcPr>
            <w:tcW w:w="1258" w:type="dxa"/>
            <w:vAlign w:val="center"/>
          </w:tcPr>
          <w:p w14:paraId="45FA1D0E">
            <w:pPr>
              <w:spacing w:line="360" w:lineRule="auto"/>
              <w:jc w:val="center"/>
              <w:outlineLvl w:val="9"/>
              <w:rPr>
                <w:rFonts w:ascii="宋体"/>
                <w:color w:val="auto"/>
                <w:szCs w:val="21"/>
                <w:highlight w:val="none"/>
              </w:rPr>
            </w:pPr>
          </w:p>
        </w:tc>
        <w:tc>
          <w:tcPr>
            <w:tcW w:w="1257" w:type="dxa"/>
            <w:vAlign w:val="center"/>
          </w:tcPr>
          <w:p w14:paraId="27C0395C">
            <w:pPr>
              <w:spacing w:line="360" w:lineRule="auto"/>
              <w:jc w:val="center"/>
              <w:outlineLvl w:val="9"/>
              <w:rPr>
                <w:rFonts w:ascii="宋体"/>
                <w:color w:val="auto"/>
                <w:szCs w:val="21"/>
                <w:highlight w:val="none"/>
              </w:rPr>
            </w:pPr>
          </w:p>
        </w:tc>
        <w:tc>
          <w:tcPr>
            <w:tcW w:w="1258" w:type="dxa"/>
            <w:vAlign w:val="center"/>
          </w:tcPr>
          <w:p w14:paraId="1D097888">
            <w:pPr>
              <w:spacing w:line="360" w:lineRule="auto"/>
              <w:jc w:val="center"/>
              <w:outlineLvl w:val="9"/>
              <w:rPr>
                <w:rFonts w:ascii="宋体"/>
                <w:color w:val="auto"/>
                <w:szCs w:val="21"/>
                <w:highlight w:val="none"/>
              </w:rPr>
            </w:pPr>
          </w:p>
        </w:tc>
        <w:tc>
          <w:tcPr>
            <w:tcW w:w="1257" w:type="dxa"/>
            <w:vAlign w:val="center"/>
          </w:tcPr>
          <w:p w14:paraId="6009FC45">
            <w:pPr>
              <w:spacing w:line="360" w:lineRule="auto"/>
              <w:jc w:val="center"/>
              <w:outlineLvl w:val="9"/>
              <w:rPr>
                <w:rFonts w:ascii="宋体"/>
                <w:color w:val="auto"/>
                <w:szCs w:val="21"/>
                <w:highlight w:val="none"/>
              </w:rPr>
            </w:pPr>
          </w:p>
        </w:tc>
        <w:tc>
          <w:tcPr>
            <w:tcW w:w="1258" w:type="dxa"/>
            <w:vAlign w:val="center"/>
          </w:tcPr>
          <w:p w14:paraId="3AC2ACC5">
            <w:pPr>
              <w:spacing w:line="360" w:lineRule="auto"/>
              <w:jc w:val="center"/>
              <w:outlineLvl w:val="9"/>
              <w:rPr>
                <w:rFonts w:ascii="宋体"/>
                <w:color w:val="auto"/>
                <w:szCs w:val="21"/>
                <w:highlight w:val="none"/>
              </w:rPr>
            </w:pPr>
          </w:p>
        </w:tc>
      </w:tr>
    </w:tbl>
    <w:p w14:paraId="07542889">
      <w:pPr>
        <w:outlineLvl w:val="9"/>
        <w:rPr>
          <w:rFonts w:ascii="宋体"/>
          <w:color w:val="auto"/>
          <w:highlight w:val="none"/>
        </w:rPr>
      </w:pPr>
    </w:p>
    <w:p w14:paraId="4F29D023">
      <w:pPr>
        <w:outlineLvl w:val="9"/>
        <w:rPr>
          <w:rFonts w:ascii="宋体"/>
          <w:b/>
          <w:color w:val="auto"/>
          <w:highlight w:val="none"/>
        </w:rPr>
      </w:pPr>
    </w:p>
    <w:p w14:paraId="165698F7">
      <w:pPr>
        <w:outlineLvl w:val="9"/>
        <w:rPr>
          <w:rFonts w:ascii="宋体"/>
          <w:color w:val="auto"/>
          <w:highlight w:val="none"/>
        </w:rPr>
      </w:pPr>
      <w:r>
        <w:rPr>
          <w:rFonts w:hint="eastAsia" w:ascii="宋体"/>
          <w:color w:val="auto"/>
          <w:highlight w:val="none"/>
        </w:rPr>
        <w:t>附表四：计划开、竣工日期和施工进度计划（网络图或横道图）</w:t>
      </w:r>
    </w:p>
    <w:p w14:paraId="47FBDA44">
      <w:pPr>
        <w:spacing w:line="460" w:lineRule="exact"/>
        <w:ind w:left="-6" w:firstLine="420"/>
        <w:outlineLvl w:val="9"/>
        <w:rPr>
          <w:rFonts w:ascii="宋体"/>
          <w:color w:val="auto"/>
          <w:highlight w:val="none"/>
        </w:rPr>
      </w:pPr>
      <w:r>
        <w:rPr>
          <w:rFonts w:hint="eastAsia" w:ascii="宋体"/>
          <w:color w:val="auto"/>
          <w:highlight w:val="none"/>
        </w:rPr>
        <w:t>1. 供应商应提交施工进度计划，说明按磋商文件要求的工期进行施工的各个关键日期。中标的供应商还应按合同条件有关条款的要求提交详细的施工进度计划。</w:t>
      </w:r>
    </w:p>
    <w:p w14:paraId="20D63935">
      <w:pPr>
        <w:spacing w:line="460" w:lineRule="exact"/>
        <w:ind w:left="-6" w:firstLine="420"/>
        <w:outlineLvl w:val="9"/>
        <w:rPr>
          <w:rFonts w:ascii="宋体"/>
          <w:color w:val="auto"/>
          <w:highlight w:val="none"/>
        </w:rPr>
      </w:pPr>
      <w:r>
        <w:rPr>
          <w:rFonts w:hint="eastAsia" w:ascii="宋体"/>
          <w:color w:val="auto"/>
          <w:highlight w:val="none"/>
        </w:rPr>
        <w:t>2. 施工进度计划可采用网络图（或横道图）表示，说明计划开工日期和各分项工程各阶段的完工日期和分包合同签订的日期。</w:t>
      </w:r>
    </w:p>
    <w:p w14:paraId="021252C6">
      <w:pPr>
        <w:spacing w:line="460" w:lineRule="exact"/>
        <w:ind w:left="-6" w:firstLine="420"/>
        <w:outlineLvl w:val="9"/>
        <w:rPr>
          <w:rFonts w:ascii="宋体"/>
          <w:color w:val="auto"/>
          <w:highlight w:val="none"/>
        </w:rPr>
      </w:pPr>
      <w:r>
        <w:rPr>
          <w:rFonts w:hint="eastAsia" w:ascii="宋体"/>
          <w:color w:val="auto"/>
          <w:highlight w:val="none"/>
        </w:rPr>
        <w:t>3. 施工进度计划应与施工组织设计相适应。</w:t>
      </w:r>
    </w:p>
    <w:p w14:paraId="0029598A">
      <w:pPr>
        <w:spacing w:line="360" w:lineRule="auto"/>
        <w:ind w:left="-6" w:firstLine="420"/>
        <w:outlineLvl w:val="9"/>
        <w:rPr>
          <w:rFonts w:ascii="宋体"/>
          <w:color w:val="auto"/>
          <w:highlight w:val="none"/>
        </w:rPr>
      </w:pPr>
    </w:p>
    <w:p w14:paraId="114BF61D">
      <w:pPr>
        <w:outlineLvl w:val="9"/>
        <w:rPr>
          <w:rFonts w:ascii="宋体"/>
          <w:color w:val="auto"/>
          <w:highlight w:val="none"/>
        </w:rPr>
      </w:pPr>
    </w:p>
    <w:p w14:paraId="7E35F463">
      <w:pPr>
        <w:spacing w:line="440" w:lineRule="exact"/>
        <w:ind w:right="420"/>
        <w:outlineLvl w:val="9"/>
        <w:rPr>
          <w:rFonts w:ascii="宋体"/>
          <w:color w:val="auto"/>
          <w:sz w:val="28"/>
          <w:szCs w:val="28"/>
          <w:highlight w:val="none"/>
        </w:rPr>
        <w:sectPr>
          <w:headerReference r:id="rId7" w:type="default"/>
          <w:footerReference r:id="rId8" w:type="default"/>
          <w:type w:val="nextColumn"/>
          <w:pgSz w:w="11906" w:h="16838"/>
          <w:pgMar w:top="1134" w:right="1134" w:bottom="1134" w:left="1134" w:header="851" w:footer="851" w:gutter="0"/>
          <w:pgNumType w:fmt="decimal"/>
          <w:cols w:space="720" w:num="1"/>
          <w:docGrid w:linePitch="312" w:charSpace="0"/>
        </w:sectPr>
      </w:pPr>
    </w:p>
    <w:p w14:paraId="3A4B9F72">
      <w:pPr>
        <w:jc w:val="center"/>
        <w:outlineLvl w:val="9"/>
        <w:rPr>
          <w:rFonts w:ascii="宋体"/>
          <w:color w:val="auto"/>
          <w:sz w:val="28"/>
          <w:szCs w:val="28"/>
          <w:highlight w:val="none"/>
        </w:rPr>
      </w:pPr>
    </w:p>
    <w:p w14:paraId="5F4B08C4">
      <w:pPr>
        <w:jc w:val="center"/>
        <w:outlineLvl w:val="9"/>
        <w:rPr>
          <w:rFonts w:ascii="宋体"/>
          <w:color w:val="auto"/>
          <w:sz w:val="52"/>
          <w:szCs w:val="52"/>
          <w:highlight w:val="none"/>
        </w:rPr>
      </w:pPr>
      <w:r>
        <w:rPr>
          <w:rFonts w:hint="eastAsia" w:ascii="宋体"/>
          <w:color w:val="auto"/>
          <w:sz w:val="52"/>
          <w:szCs w:val="52"/>
          <w:highlight w:val="none"/>
        </w:rPr>
        <w:t>磋   商  文  件</w:t>
      </w:r>
    </w:p>
    <w:p w14:paraId="14E1D225">
      <w:pPr>
        <w:jc w:val="center"/>
        <w:outlineLvl w:val="9"/>
        <w:rPr>
          <w:rFonts w:ascii="宋体"/>
          <w:color w:val="auto"/>
          <w:sz w:val="32"/>
          <w:szCs w:val="32"/>
          <w:highlight w:val="none"/>
        </w:rPr>
      </w:pPr>
    </w:p>
    <w:p w14:paraId="44DF647C">
      <w:pPr>
        <w:outlineLvl w:val="9"/>
        <w:rPr>
          <w:rFonts w:ascii="宋体"/>
          <w:color w:val="auto"/>
          <w:sz w:val="32"/>
          <w:szCs w:val="32"/>
          <w:highlight w:val="none"/>
        </w:rPr>
      </w:pPr>
    </w:p>
    <w:p w14:paraId="20A5AC7A">
      <w:pPr>
        <w:outlineLvl w:val="9"/>
        <w:rPr>
          <w:rFonts w:ascii="宋体"/>
          <w:color w:val="auto"/>
          <w:sz w:val="32"/>
          <w:szCs w:val="32"/>
          <w:highlight w:val="none"/>
        </w:rPr>
      </w:pPr>
    </w:p>
    <w:p w14:paraId="64257C43">
      <w:pPr>
        <w:outlineLvl w:val="9"/>
        <w:rPr>
          <w:rFonts w:ascii="宋体"/>
          <w:color w:val="auto"/>
          <w:sz w:val="32"/>
          <w:szCs w:val="32"/>
          <w:highlight w:val="none"/>
        </w:rPr>
      </w:pPr>
    </w:p>
    <w:p w14:paraId="515D9355">
      <w:pPr>
        <w:jc w:val="center"/>
        <w:outlineLvl w:val="9"/>
        <w:rPr>
          <w:rFonts w:ascii="宋体"/>
          <w:color w:val="auto"/>
          <w:sz w:val="32"/>
          <w:szCs w:val="32"/>
          <w:highlight w:val="none"/>
        </w:rPr>
      </w:pPr>
    </w:p>
    <w:p w14:paraId="579648E6">
      <w:pPr>
        <w:spacing w:line="360" w:lineRule="auto"/>
        <w:ind w:firstLine="2240" w:firstLineChars="800"/>
        <w:outlineLvl w:val="9"/>
        <w:rPr>
          <w:rFonts w:ascii="宋体"/>
          <w:color w:val="auto"/>
          <w:sz w:val="28"/>
          <w:szCs w:val="28"/>
          <w:highlight w:val="none"/>
          <w:u w:val="single"/>
        </w:rPr>
      </w:pPr>
      <w:r>
        <w:rPr>
          <w:rFonts w:hint="eastAsia" w:ascii="宋体"/>
          <w:color w:val="auto"/>
          <w:sz w:val="28"/>
          <w:szCs w:val="28"/>
          <w:highlight w:val="none"/>
        </w:rPr>
        <w:t>项目名称及编号：</w:t>
      </w:r>
      <w:r>
        <w:rPr>
          <w:rFonts w:hint="eastAsia" w:ascii="宋体"/>
          <w:color w:val="auto"/>
          <w:sz w:val="28"/>
          <w:szCs w:val="28"/>
          <w:highlight w:val="none"/>
          <w:u w:val="single"/>
        </w:rPr>
        <w:t xml:space="preserve">                   </w:t>
      </w:r>
    </w:p>
    <w:p w14:paraId="3D19DA54">
      <w:pPr>
        <w:jc w:val="center"/>
        <w:outlineLvl w:val="9"/>
        <w:rPr>
          <w:rFonts w:ascii="宋体"/>
          <w:color w:val="auto"/>
          <w:sz w:val="32"/>
          <w:szCs w:val="32"/>
          <w:highlight w:val="none"/>
        </w:rPr>
      </w:pPr>
    </w:p>
    <w:p w14:paraId="2A9896BC">
      <w:pPr>
        <w:outlineLvl w:val="9"/>
        <w:rPr>
          <w:rFonts w:ascii="宋体"/>
          <w:color w:val="auto"/>
          <w:sz w:val="32"/>
          <w:szCs w:val="32"/>
          <w:highlight w:val="none"/>
        </w:rPr>
      </w:pPr>
    </w:p>
    <w:p w14:paraId="3FF01369">
      <w:pPr>
        <w:outlineLvl w:val="9"/>
        <w:rPr>
          <w:rFonts w:ascii="宋体"/>
          <w:color w:val="auto"/>
          <w:sz w:val="32"/>
          <w:szCs w:val="32"/>
          <w:highlight w:val="none"/>
        </w:rPr>
      </w:pPr>
    </w:p>
    <w:p w14:paraId="30F7980A">
      <w:pPr>
        <w:outlineLvl w:val="9"/>
        <w:rPr>
          <w:rFonts w:ascii="宋体"/>
          <w:color w:val="auto"/>
          <w:sz w:val="32"/>
          <w:szCs w:val="32"/>
          <w:highlight w:val="none"/>
        </w:rPr>
      </w:pPr>
    </w:p>
    <w:p w14:paraId="5A9290A3">
      <w:pPr>
        <w:outlineLvl w:val="9"/>
        <w:rPr>
          <w:rFonts w:ascii="宋体"/>
          <w:color w:val="auto"/>
          <w:sz w:val="32"/>
          <w:szCs w:val="32"/>
          <w:highlight w:val="none"/>
        </w:rPr>
      </w:pPr>
    </w:p>
    <w:p w14:paraId="4B2359A5">
      <w:pPr>
        <w:outlineLvl w:val="9"/>
        <w:rPr>
          <w:rFonts w:ascii="宋体"/>
          <w:color w:val="auto"/>
          <w:sz w:val="32"/>
          <w:szCs w:val="32"/>
          <w:highlight w:val="none"/>
        </w:rPr>
      </w:pPr>
    </w:p>
    <w:p w14:paraId="4662EA6E">
      <w:pPr>
        <w:outlineLvl w:val="9"/>
        <w:rPr>
          <w:rFonts w:ascii="宋体"/>
          <w:color w:val="auto"/>
          <w:sz w:val="32"/>
          <w:szCs w:val="32"/>
          <w:highlight w:val="none"/>
        </w:rPr>
      </w:pPr>
    </w:p>
    <w:p w14:paraId="53272D5D">
      <w:pPr>
        <w:jc w:val="center"/>
        <w:outlineLvl w:val="9"/>
        <w:rPr>
          <w:rFonts w:ascii="宋体"/>
          <w:color w:val="auto"/>
          <w:sz w:val="32"/>
          <w:szCs w:val="32"/>
          <w:highlight w:val="none"/>
        </w:rPr>
      </w:pPr>
    </w:p>
    <w:p w14:paraId="48A97763">
      <w:pPr>
        <w:outlineLvl w:val="9"/>
        <w:rPr>
          <w:rFonts w:ascii="宋体"/>
          <w:color w:val="auto"/>
          <w:sz w:val="32"/>
          <w:szCs w:val="32"/>
          <w:highlight w:val="none"/>
        </w:rPr>
      </w:pPr>
    </w:p>
    <w:p w14:paraId="207CE364">
      <w:pPr>
        <w:jc w:val="center"/>
        <w:outlineLvl w:val="9"/>
        <w:rPr>
          <w:rFonts w:ascii="宋体"/>
          <w:color w:val="auto"/>
          <w:sz w:val="32"/>
          <w:szCs w:val="32"/>
          <w:highlight w:val="none"/>
        </w:rPr>
      </w:pPr>
    </w:p>
    <w:p w14:paraId="7A0FEC5D">
      <w:pPr>
        <w:spacing w:line="360" w:lineRule="auto"/>
        <w:ind w:firstLine="1120" w:firstLineChars="400"/>
        <w:outlineLvl w:val="9"/>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商务及资信业绩         </w:t>
      </w:r>
    </w:p>
    <w:p w14:paraId="69E63557">
      <w:pPr>
        <w:spacing w:line="360" w:lineRule="auto"/>
        <w:ind w:firstLine="1120" w:firstLineChars="400"/>
        <w:outlineLvl w:val="9"/>
        <w:rPr>
          <w:rFonts w:ascii="宋体"/>
          <w:color w:val="auto"/>
          <w:sz w:val="28"/>
          <w:szCs w:val="28"/>
          <w:highlight w:val="none"/>
        </w:rPr>
      </w:pPr>
      <w:r>
        <w:rPr>
          <w:rFonts w:hint="eastAsia" w:ascii="宋体"/>
          <w:color w:val="auto"/>
          <w:sz w:val="28"/>
          <w:szCs w:val="28"/>
          <w:highlight w:val="none"/>
        </w:rPr>
        <w:t>供 应 商：</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70C71923">
      <w:pPr>
        <w:spacing w:line="360" w:lineRule="auto"/>
        <w:ind w:firstLine="1120" w:firstLineChars="400"/>
        <w:outlineLvl w:val="9"/>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39C125B5">
      <w:pPr>
        <w:spacing w:line="360" w:lineRule="auto"/>
        <w:ind w:firstLine="1120" w:firstLineChars="400"/>
        <w:outlineLvl w:val="9"/>
        <w:rPr>
          <w:rFonts w:ascii="宋体"/>
          <w:color w:val="auto"/>
          <w:sz w:val="28"/>
          <w:szCs w:val="28"/>
          <w:highlight w:val="none"/>
        </w:rPr>
      </w:pPr>
    </w:p>
    <w:p w14:paraId="7725C7A3">
      <w:pPr>
        <w:spacing w:line="360" w:lineRule="auto"/>
        <w:ind w:firstLine="4900" w:firstLineChars="1750"/>
        <w:outlineLvl w:val="9"/>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F273B22">
      <w:pPr>
        <w:spacing w:line="360" w:lineRule="auto"/>
        <w:ind w:firstLine="4200" w:firstLineChars="1500"/>
        <w:outlineLvl w:val="9"/>
        <w:rPr>
          <w:rFonts w:ascii="宋体"/>
          <w:color w:val="auto"/>
          <w:sz w:val="28"/>
          <w:szCs w:val="28"/>
          <w:highlight w:val="none"/>
        </w:rPr>
      </w:pPr>
    </w:p>
    <w:p w14:paraId="4AB597AC">
      <w:pPr>
        <w:spacing w:line="360" w:lineRule="auto"/>
        <w:ind w:firstLine="420"/>
        <w:jc w:val="center"/>
        <w:outlineLvl w:val="9"/>
        <w:rPr>
          <w:rFonts w:ascii="宋体"/>
          <w:b/>
          <w:color w:val="auto"/>
          <w:sz w:val="28"/>
          <w:szCs w:val="28"/>
          <w:highlight w:val="none"/>
        </w:rPr>
      </w:pPr>
      <w:r>
        <w:rPr>
          <w:rFonts w:hint="eastAsia" w:ascii="宋体"/>
          <w:color w:val="auto"/>
          <w:highlight w:val="none"/>
        </w:rPr>
        <w:br w:type="page"/>
      </w:r>
      <w:r>
        <w:rPr>
          <w:rFonts w:hint="eastAsia" w:ascii="宋体"/>
          <w:b/>
          <w:color w:val="auto"/>
          <w:sz w:val="28"/>
          <w:szCs w:val="28"/>
          <w:highlight w:val="none"/>
        </w:rPr>
        <w:t>目 录</w:t>
      </w:r>
    </w:p>
    <w:p w14:paraId="15668C72">
      <w:pPr>
        <w:spacing w:line="400" w:lineRule="exact"/>
        <w:ind w:firstLine="420"/>
        <w:outlineLvl w:val="9"/>
        <w:rPr>
          <w:rFonts w:ascii="宋体"/>
          <w:color w:val="auto"/>
          <w:highlight w:val="none"/>
        </w:rPr>
      </w:pPr>
    </w:p>
    <w:p w14:paraId="45F0A2F4">
      <w:pPr>
        <w:jc w:val="center"/>
        <w:outlineLvl w:val="9"/>
        <w:rPr>
          <w:b/>
          <w:bCs/>
          <w:color w:val="auto"/>
          <w:sz w:val="36"/>
          <w:szCs w:val="36"/>
          <w:highlight w:val="none"/>
        </w:rPr>
      </w:pPr>
    </w:p>
    <w:p w14:paraId="7B69B05B">
      <w:pPr>
        <w:keepNext w:val="0"/>
        <w:keepLines w:val="0"/>
        <w:pageBreakBefore w:val="0"/>
        <w:widowControl w:val="0"/>
        <w:tabs>
          <w:tab w:val="left" w:pos="-49"/>
          <w:tab w:val="left" w:pos="0"/>
        </w:tabs>
        <w:kinsoku/>
        <w:wordWrap/>
        <w:overflowPunct/>
        <w:topLinePunct w:val="0"/>
        <w:autoSpaceDE/>
        <w:autoSpaceDN/>
        <w:bidi w:val="0"/>
        <w:adjustRightInd w:val="0"/>
        <w:snapToGrid/>
        <w:spacing w:line="500" w:lineRule="exact"/>
        <w:ind w:left="630" w:leftChars="300" w:firstLine="420" w:firstLineChars="200"/>
        <w:textAlignment w:val="baseline"/>
        <w:outlineLvl w:val="9"/>
        <w:rPr>
          <w:rFonts w:hint="eastAsia" w:ascii="宋体" w:hAnsi="Times New Roman" w:eastAsia="宋体" w:cs="宋体"/>
          <w:color w:val="auto"/>
          <w:highlight w:val="none"/>
        </w:rPr>
      </w:pPr>
      <w:r>
        <w:rPr>
          <w:rFonts w:hint="eastAsia" w:ascii="宋体" w:hAnsi="Times New Roman" w:eastAsia="宋体" w:cs="宋体"/>
          <w:color w:val="auto"/>
          <w:highlight w:val="none"/>
          <w:lang w:val="en-US" w:eastAsia="zh-CN"/>
        </w:rPr>
        <w:t>(1)</w:t>
      </w:r>
      <w:r>
        <w:rPr>
          <w:rFonts w:hint="eastAsia" w:ascii="宋体" w:hAnsi="Times New Roman" w:eastAsia="宋体" w:cs="宋体"/>
          <w:color w:val="auto"/>
          <w:highlight w:val="none"/>
        </w:rPr>
        <w:t>磋商函；</w:t>
      </w:r>
    </w:p>
    <w:p w14:paraId="21C279D6">
      <w:pPr>
        <w:keepNext w:val="0"/>
        <w:keepLines w:val="0"/>
        <w:pageBreakBefore w:val="0"/>
        <w:widowControl w:val="0"/>
        <w:tabs>
          <w:tab w:val="left" w:pos="-49"/>
          <w:tab w:val="left" w:pos="0"/>
        </w:tabs>
        <w:kinsoku/>
        <w:wordWrap/>
        <w:overflowPunct/>
        <w:topLinePunct w:val="0"/>
        <w:autoSpaceDE/>
        <w:autoSpaceDN/>
        <w:bidi w:val="0"/>
        <w:adjustRightInd w:val="0"/>
        <w:snapToGrid/>
        <w:spacing w:line="500" w:lineRule="exact"/>
        <w:ind w:left="630" w:leftChars="300" w:firstLine="420" w:firstLineChars="200"/>
        <w:textAlignment w:val="baseline"/>
        <w:outlineLvl w:val="9"/>
        <w:rPr>
          <w:rFonts w:hint="eastAsia" w:ascii="宋体" w:hAnsi="Times New Roman" w:eastAsia="宋体" w:cs="宋体"/>
          <w:color w:val="auto"/>
          <w:highlight w:val="none"/>
        </w:rPr>
      </w:pPr>
      <w:r>
        <w:rPr>
          <w:rFonts w:hint="eastAsia" w:ascii="宋体" w:hAnsi="Times New Roman" w:eastAsia="宋体" w:cs="宋体"/>
          <w:color w:val="auto"/>
          <w:highlight w:val="none"/>
          <w:lang w:val="en-US" w:eastAsia="zh-CN"/>
        </w:rPr>
        <w:t>(2)</w:t>
      </w:r>
      <w:r>
        <w:rPr>
          <w:rFonts w:hint="eastAsia" w:ascii="宋体" w:hAnsi="Times New Roman" w:eastAsia="宋体" w:cs="宋体"/>
          <w:color w:val="auto"/>
          <w:highlight w:val="none"/>
        </w:rPr>
        <w:t>磋商函附录；</w:t>
      </w:r>
    </w:p>
    <w:p w14:paraId="0E32831A">
      <w:pPr>
        <w:keepNext w:val="0"/>
        <w:keepLines w:val="0"/>
        <w:pageBreakBefore w:val="0"/>
        <w:widowControl w:val="0"/>
        <w:tabs>
          <w:tab w:val="left" w:pos="-49"/>
          <w:tab w:val="left" w:pos="0"/>
        </w:tabs>
        <w:kinsoku/>
        <w:wordWrap/>
        <w:overflowPunct/>
        <w:topLinePunct w:val="0"/>
        <w:autoSpaceDE/>
        <w:autoSpaceDN/>
        <w:bidi w:val="0"/>
        <w:adjustRightInd w:val="0"/>
        <w:snapToGrid/>
        <w:spacing w:line="500" w:lineRule="exact"/>
        <w:ind w:left="630" w:leftChars="300" w:firstLine="420" w:firstLineChars="200"/>
        <w:textAlignment w:val="baseline"/>
        <w:outlineLvl w:val="9"/>
        <w:rPr>
          <w:rFonts w:hint="eastAsia" w:ascii="宋体" w:hAnsi="Times New Roman" w:eastAsia="宋体" w:cs="宋体"/>
          <w:color w:val="auto"/>
          <w:highlight w:val="none"/>
          <w:lang w:val="en-US" w:eastAsia="zh-CN"/>
        </w:rPr>
      </w:pPr>
      <w:r>
        <w:rPr>
          <w:rFonts w:hint="eastAsia" w:ascii="宋体" w:hAnsi="Times New Roman" w:eastAsia="宋体" w:cs="宋体"/>
          <w:color w:val="auto"/>
          <w:highlight w:val="none"/>
          <w:lang w:val="en-US" w:eastAsia="zh-CN"/>
        </w:rPr>
        <w:t>(3)</w:t>
      </w:r>
      <w:r>
        <w:rPr>
          <w:rFonts w:hint="eastAsia" w:ascii="宋体" w:hAnsi="Times New Roman" w:eastAsia="宋体" w:cs="宋体"/>
          <w:color w:val="auto"/>
          <w:highlight w:val="none"/>
        </w:rPr>
        <w:t>工程量清单报价文件</w:t>
      </w:r>
      <w:r>
        <w:rPr>
          <w:rFonts w:hint="eastAsia" w:ascii="宋体" w:hAnsi="Times New Roman" w:eastAsia="宋体" w:cs="宋体"/>
          <w:color w:val="auto"/>
          <w:highlight w:val="none"/>
          <w:lang w:val="en-US" w:eastAsia="zh-CN"/>
        </w:rPr>
        <w:t>；</w:t>
      </w:r>
    </w:p>
    <w:p w14:paraId="563A14A0">
      <w:pPr>
        <w:keepNext w:val="0"/>
        <w:keepLines w:val="0"/>
        <w:pageBreakBefore w:val="0"/>
        <w:widowControl w:val="0"/>
        <w:tabs>
          <w:tab w:val="left" w:pos="-49"/>
          <w:tab w:val="left" w:pos="0"/>
        </w:tabs>
        <w:kinsoku/>
        <w:wordWrap/>
        <w:overflowPunct/>
        <w:topLinePunct w:val="0"/>
        <w:autoSpaceDE/>
        <w:autoSpaceDN/>
        <w:bidi w:val="0"/>
        <w:adjustRightInd w:val="0"/>
        <w:snapToGrid/>
        <w:spacing w:line="500" w:lineRule="exact"/>
        <w:ind w:left="630" w:leftChars="300" w:firstLine="420" w:firstLineChars="200"/>
        <w:textAlignment w:val="baseline"/>
        <w:outlineLvl w:val="9"/>
        <w:rPr>
          <w:rFonts w:hint="eastAsia" w:ascii="宋体" w:hAnsi="Times New Roman" w:eastAsia="宋体" w:cs="宋体"/>
          <w:color w:val="auto"/>
          <w:highlight w:val="none"/>
        </w:rPr>
      </w:pPr>
      <w:r>
        <w:rPr>
          <w:rFonts w:hint="eastAsia" w:ascii="宋体" w:hAnsi="Times New Roman" w:eastAsia="宋体" w:cs="宋体"/>
          <w:color w:val="auto"/>
          <w:highlight w:val="none"/>
          <w:lang w:val="en-US" w:eastAsia="zh-CN"/>
        </w:rPr>
        <w:t>（4)</w:t>
      </w:r>
      <w:r>
        <w:rPr>
          <w:rFonts w:hint="eastAsia" w:ascii="宋体" w:hAnsi="Times New Roman" w:eastAsia="宋体" w:cs="宋体"/>
          <w:color w:val="auto"/>
          <w:highlight w:val="none"/>
        </w:rPr>
        <w:t>资信业绩；</w:t>
      </w:r>
    </w:p>
    <w:p w14:paraId="050ABFD5">
      <w:pPr>
        <w:keepNext w:val="0"/>
        <w:keepLines w:val="0"/>
        <w:pageBreakBefore w:val="0"/>
        <w:widowControl w:val="0"/>
        <w:tabs>
          <w:tab w:val="left" w:pos="-49"/>
          <w:tab w:val="left" w:pos="0"/>
        </w:tabs>
        <w:kinsoku/>
        <w:wordWrap/>
        <w:overflowPunct/>
        <w:topLinePunct w:val="0"/>
        <w:autoSpaceDE/>
        <w:autoSpaceDN/>
        <w:bidi w:val="0"/>
        <w:adjustRightInd w:val="0"/>
        <w:snapToGrid/>
        <w:spacing w:line="500" w:lineRule="exact"/>
        <w:ind w:left="630" w:leftChars="300" w:firstLine="420" w:firstLineChars="200"/>
        <w:textAlignment w:val="baseline"/>
        <w:outlineLvl w:val="9"/>
        <w:rPr>
          <w:rFonts w:hint="eastAsia" w:ascii="宋体" w:hAnsi="Times New Roman" w:eastAsia="宋体" w:cs="宋体"/>
          <w:color w:val="auto"/>
          <w:highlight w:val="none"/>
        </w:rPr>
      </w:pPr>
      <w:r>
        <w:rPr>
          <w:rFonts w:hint="eastAsia" w:ascii="宋体" w:hAnsi="Times New Roman" w:eastAsia="宋体" w:cs="宋体"/>
          <w:color w:val="auto"/>
          <w:highlight w:val="none"/>
          <w:lang w:val="en-US" w:eastAsia="zh-CN"/>
        </w:rPr>
        <w:t>（5）供应商认为需要提供的其他证明文件</w:t>
      </w:r>
    </w:p>
    <w:p w14:paraId="2C99E1E6">
      <w:pPr>
        <w:keepNext w:val="0"/>
        <w:keepLines w:val="0"/>
        <w:pageBreakBefore w:val="0"/>
        <w:widowControl w:val="0"/>
        <w:tabs>
          <w:tab w:val="left" w:pos="-49"/>
          <w:tab w:val="left" w:pos="0"/>
        </w:tabs>
        <w:kinsoku/>
        <w:wordWrap/>
        <w:overflowPunct/>
        <w:topLinePunct w:val="0"/>
        <w:autoSpaceDE/>
        <w:autoSpaceDN/>
        <w:bidi w:val="0"/>
        <w:adjustRightInd w:val="0"/>
        <w:snapToGrid/>
        <w:spacing w:line="500" w:lineRule="exact"/>
        <w:ind w:left="630" w:leftChars="300" w:firstLine="420" w:firstLineChars="200"/>
        <w:textAlignment w:val="baseline"/>
        <w:outlineLvl w:val="9"/>
        <w:rPr>
          <w:rFonts w:hint="eastAsia" w:ascii="宋体" w:hAnsi="Times New Roman" w:eastAsia="宋体" w:cs="宋体"/>
          <w:color w:val="auto"/>
          <w:highlight w:val="none"/>
        </w:rPr>
      </w:pPr>
    </w:p>
    <w:p w14:paraId="594C2995">
      <w:pPr>
        <w:keepNext w:val="0"/>
        <w:keepLines w:val="0"/>
        <w:pageBreakBefore w:val="0"/>
        <w:widowControl w:val="0"/>
        <w:tabs>
          <w:tab w:val="left" w:pos="-49"/>
          <w:tab w:val="left" w:pos="0"/>
        </w:tabs>
        <w:kinsoku/>
        <w:wordWrap/>
        <w:overflowPunct/>
        <w:topLinePunct w:val="0"/>
        <w:autoSpaceDE/>
        <w:autoSpaceDN/>
        <w:bidi w:val="0"/>
        <w:adjustRightInd w:val="0"/>
        <w:snapToGrid/>
        <w:spacing w:line="500" w:lineRule="exact"/>
        <w:ind w:left="630" w:leftChars="300"/>
        <w:textAlignment w:val="baseline"/>
        <w:outlineLvl w:val="9"/>
        <w:rPr>
          <w:rFonts w:hint="eastAsia" w:ascii="宋体" w:hAnsi="Times New Roman" w:eastAsia="宋体" w:cs="宋体"/>
          <w:color w:val="auto"/>
          <w:highlight w:val="none"/>
        </w:rPr>
      </w:pPr>
    </w:p>
    <w:p w14:paraId="3707ABB6">
      <w:pPr>
        <w:ind w:firstLine="840" w:firstLineChars="400"/>
        <w:outlineLvl w:val="9"/>
        <w:rPr>
          <w:color w:val="auto"/>
          <w:highlight w:val="none"/>
        </w:rPr>
      </w:pPr>
    </w:p>
    <w:p w14:paraId="3AF077EC">
      <w:pPr>
        <w:spacing w:line="360" w:lineRule="auto"/>
        <w:ind w:firstLine="420"/>
        <w:outlineLvl w:val="9"/>
        <w:rPr>
          <w:rFonts w:ascii="宋体"/>
          <w:color w:val="auto"/>
          <w:sz w:val="24"/>
          <w:highlight w:val="none"/>
        </w:rPr>
      </w:pPr>
    </w:p>
    <w:p w14:paraId="739F74E2">
      <w:pPr>
        <w:spacing w:line="400" w:lineRule="exact"/>
        <w:outlineLvl w:val="9"/>
        <w:rPr>
          <w:rFonts w:ascii="宋体"/>
          <w:color w:val="auto"/>
          <w:highlight w:val="none"/>
        </w:rPr>
      </w:pPr>
    </w:p>
    <w:p w14:paraId="1FC05F0E">
      <w:pPr>
        <w:spacing w:line="400" w:lineRule="exact"/>
        <w:outlineLvl w:val="9"/>
        <w:rPr>
          <w:rFonts w:ascii="宋体"/>
          <w:color w:val="auto"/>
          <w:highlight w:val="none"/>
        </w:rPr>
      </w:pPr>
    </w:p>
    <w:p w14:paraId="50296F47">
      <w:pPr>
        <w:spacing w:line="400" w:lineRule="exact"/>
        <w:outlineLvl w:val="9"/>
        <w:rPr>
          <w:rFonts w:ascii="宋体"/>
          <w:color w:val="auto"/>
          <w:highlight w:val="none"/>
        </w:rPr>
      </w:pPr>
    </w:p>
    <w:p w14:paraId="2FB1DCE6">
      <w:pPr>
        <w:spacing w:line="400" w:lineRule="exact"/>
        <w:outlineLvl w:val="9"/>
        <w:rPr>
          <w:rFonts w:ascii="宋体"/>
          <w:color w:val="auto"/>
          <w:highlight w:val="none"/>
        </w:rPr>
      </w:pPr>
    </w:p>
    <w:p w14:paraId="147D1C57">
      <w:pPr>
        <w:spacing w:line="400" w:lineRule="exact"/>
        <w:outlineLvl w:val="9"/>
        <w:rPr>
          <w:rFonts w:ascii="宋体"/>
          <w:color w:val="auto"/>
          <w:highlight w:val="none"/>
        </w:rPr>
      </w:pPr>
    </w:p>
    <w:p w14:paraId="677C6886">
      <w:pPr>
        <w:spacing w:line="400" w:lineRule="exact"/>
        <w:outlineLvl w:val="9"/>
        <w:rPr>
          <w:rFonts w:ascii="宋体"/>
          <w:color w:val="auto"/>
          <w:highlight w:val="none"/>
        </w:rPr>
      </w:pPr>
    </w:p>
    <w:p w14:paraId="3D90BB03">
      <w:pPr>
        <w:spacing w:line="400" w:lineRule="exact"/>
        <w:outlineLvl w:val="9"/>
        <w:rPr>
          <w:rFonts w:ascii="宋体"/>
          <w:color w:val="auto"/>
          <w:highlight w:val="none"/>
        </w:rPr>
      </w:pPr>
    </w:p>
    <w:p w14:paraId="6C835121">
      <w:pPr>
        <w:spacing w:line="400" w:lineRule="exact"/>
        <w:outlineLvl w:val="9"/>
        <w:rPr>
          <w:rFonts w:ascii="宋体"/>
          <w:color w:val="auto"/>
          <w:highlight w:val="none"/>
        </w:rPr>
      </w:pPr>
    </w:p>
    <w:p w14:paraId="1C55ACAF">
      <w:pPr>
        <w:spacing w:line="400" w:lineRule="exact"/>
        <w:outlineLvl w:val="9"/>
        <w:rPr>
          <w:rFonts w:ascii="宋体"/>
          <w:color w:val="auto"/>
          <w:highlight w:val="none"/>
        </w:rPr>
      </w:pPr>
    </w:p>
    <w:p w14:paraId="280741B1">
      <w:pPr>
        <w:spacing w:line="400" w:lineRule="exact"/>
        <w:outlineLvl w:val="9"/>
        <w:rPr>
          <w:rFonts w:ascii="宋体"/>
          <w:color w:val="auto"/>
          <w:highlight w:val="none"/>
        </w:rPr>
      </w:pPr>
    </w:p>
    <w:p w14:paraId="2B8C3397">
      <w:pPr>
        <w:spacing w:line="400" w:lineRule="exact"/>
        <w:outlineLvl w:val="9"/>
        <w:rPr>
          <w:rFonts w:ascii="宋体"/>
          <w:color w:val="auto"/>
          <w:highlight w:val="none"/>
        </w:rPr>
      </w:pPr>
    </w:p>
    <w:p w14:paraId="724AD74E">
      <w:pPr>
        <w:spacing w:line="400" w:lineRule="exact"/>
        <w:outlineLvl w:val="9"/>
        <w:rPr>
          <w:rFonts w:ascii="宋体"/>
          <w:color w:val="auto"/>
          <w:highlight w:val="none"/>
        </w:rPr>
      </w:pPr>
    </w:p>
    <w:p w14:paraId="5C7C8708">
      <w:pPr>
        <w:spacing w:line="400" w:lineRule="exact"/>
        <w:outlineLvl w:val="9"/>
        <w:rPr>
          <w:rFonts w:ascii="宋体"/>
          <w:color w:val="auto"/>
          <w:highlight w:val="none"/>
        </w:rPr>
      </w:pPr>
    </w:p>
    <w:p w14:paraId="6BE75B35">
      <w:pPr>
        <w:spacing w:line="400" w:lineRule="exact"/>
        <w:outlineLvl w:val="9"/>
        <w:rPr>
          <w:rFonts w:ascii="宋体"/>
          <w:color w:val="auto"/>
          <w:highlight w:val="none"/>
        </w:rPr>
      </w:pPr>
    </w:p>
    <w:p w14:paraId="3E5CD0BF">
      <w:pPr>
        <w:spacing w:line="400" w:lineRule="exact"/>
        <w:outlineLvl w:val="9"/>
        <w:rPr>
          <w:rFonts w:ascii="宋体"/>
          <w:color w:val="auto"/>
          <w:highlight w:val="none"/>
        </w:rPr>
      </w:pPr>
    </w:p>
    <w:p w14:paraId="5FE05C30">
      <w:pPr>
        <w:spacing w:line="400" w:lineRule="exact"/>
        <w:outlineLvl w:val="9"/>
        <w:rPr>
          <w:rFonts w:ascii="宋体"/>
          <w:color w:val="auto"/>
          <w:highlight w:val="none"/>
        </w:rPr>
      </w:pPr>
    </w:p>
    <w:p w14:paraId="1E03C070">
      <w:pPr>
        <w:spacing w:line="400" w:lineRule="exact"/>
        <w:outlineLvl w:val="9"/>
        <w:rPr>
          <w:rFonts w:ascii="宋体"/>
          <w:color w:val="auto"/>
          <w:highlight w:val="none"/>
        </w:rPr>
      </w:pPr>
    </w:p>
    <w:p w14:paraId="4B806420">
      <w:pPr>
        <w:spacing w:line="400" w:lineRule="exact"/>
        <w:outlineLvl w:val="9"/>
        <w:rPr>
          <w:rFonts w:ascii="宋体"/>
          <w:color w:val="auto"/>
          <w:highlight w:val="none"/>
        </w:rPr>
      </w:pPr>
    </w:p>
    <w:p w14:paraId="4CD09495">
      <w:pPr>
        <w:spacing w:line="400" w:lineRule="exact"/>
        <w:outlineLvl w:val="9"/>
        <w:rPr>
          <w:rFonts w:ascii="宋体"/>
          <w:color w:val="auto"/>
          <w:highlight w:val="none"/>
        </w:rPr>
      </w:pPr>
    </w:p>
    <w:p w14:paraId="2CFCAD23">
      <w:pPr>
        <w:spacing w:line="400" w:lineRule="exact"/>
        <w:outlineLvl w:val="9"/>
        <w:rPr>
          <w:rFonts w:ascii="宋体"/>
          <w:color w:val="auto"/>
          <w:highlight w:val="none"/>
        </w:rPr>
      </w:pPr>
    </w:p>
    <w:p w14:paraId="41059463">
      <w:pPr>
        <w:spacing w:line="400" w:lineRule="exact"/>
        <w:outlineLvl w:val="9"/>
        <w:rPr>
          <w:rFonts w:ascii="宋体"/>
          <w:color w:val="auto"/>
          <w:highlight w:val="none"/>
        </w:rPr>
      </w:pPr>
    </w:p>
    <w:p w14:paraId="2C8CCBC3">
      <w:pPr>
        <w:spacing w:line="400" w:lineRule="exact"/>
        <w:outlineLvl w:val="9"/>
        <w:rPr>
          <w:rFonts w:ascii="宋体"/>
          <w:color w:val="auto"/>
          <w:highlight w:val="none"/>
        </w:rPr>
      </w:pPr>
    </w:p>
    <w:p w14:paraId="3EED04D5">
      <w:pPr>
        <w:pStyle w:val="37"/>
        <w:outlineLvl w:val="9"/>
        <w:rPr>
          <w:color w:val="auto"/>
          <w:highlight w:val="none"/>
        </w:rPr>
      </w:pPr>
    </w:p>
    <w:p w14:paraId="7E9B0ABE">
      <w:pPr>
        <w:spacing w:line="400" w:lineRule="exact"/>
        <w:outlineLvl w:val="9"/>
        <w:rPr>
          <w:rFonts w:ascii="宋体"/>
          <w:color w:val="auto"/>
          <w:szCs w:val="21"/>
          <w:highlight w:val="none"/>
        </w:rPr>
      </w:pPr>
    </w:p>
    <w:p w14:paraId="06D6985F">
      <w:pPr>
        <w:adjustRightInd w:val="0"/>
        <w:spacing w:line="312" w:lineRule="atLeast"/>
        <w:ind w:firstLine="3935" w:firstLineChars="1400"/>
        <w:textAlignment w:val="baseline"/>
        <w:outlineLvl w:val="9"/>
        <w:rPr>
          <w:b/>
          <w:bCs/>
          <w:color w:val="auto"/>
          <w:sz w:val="28"/>
          <w:szCs w:val="28"/>
          <w:highlight w:val="none"/>
        </w:rPr>
      </w:pPr>
      <w:r>
        <w:rPr>
          <w:rFonts w:hint="eastAsia" w:ascii="宋体"/>
          <w:b/>
          <w:color w:val="auto"/>
          <w:sz w:val="28"/>
          <w:szCs w:val="28"/>
          <w:highlight w:val="none"/>
        </w:rPr>
        <w:t>（1）</w:t>
      </w:r>
      <w:r>
        <w:rPr>
          <w:rFonts w:hint="eastAsia" w:cs="宋体"/>
          <w:b/>
          <w:bCs/>
          <w:color w:val="auto"/>
          <w:sz w:val="28"/>
          <w:szCs w:val="28"/>
          <w:highlight w:val="none"/>
        </w:rPr>
        <w:t>磋 商</w:t>
      </w:r>
      <w:r>
        <w:rPr>
          <w:b/>
          <w:bCs/>
          <w:color w:val="auto"/>
          <w:sz w:val="28"/>
          <w:szCs w:val="28"/>
          <w:highlight w:val="none"/>
        </w:rPr>
        <w:t xml:space="preserve"> </w:t>
      </w:r>
      <w:r>
        <w:rPr>
          <w:rFonts w:hint="eastAsia" w:cs="宋体"/>
          <w:b/>
          <w:bCs/>
          <w:color w:val="auto"/>
          <w:sz w:val="28"/>
          <w:szCs w:val="28"/>
          <w:highlight w:val="none"/>
        </w:rPr>
        <w:t>函</w:t>
      </w:r>
    </w:p>
    <w:p w14:paraId="5C4B7DA0">
      <w:pPr>
        <w:jc w:val="center"/>
        <w:outlineLvl w:val="9"/>
        <w:rPr>
          <w:rFonts w:ascii="宋体"/>
          <w:b/>
          <w:bCs/>
          <w:color w:val="auto"/>
          <w:spacing w:val="20"/>
          <w:sz w:val="32"/>
          <w:szCs w:val="32"/>
          <w:highlight w:val="none"/>
        </w:rPr>
      </w:pPr>
    </w:p>
    <w:p w14:paraId="4E107E4C">
      <w:pPr>
        <w:spacing w:line="400" w:lineRule="exact"/>
        <w:outlineLvl w:val="9"/>
        <w:rPr>
          <w:rFonts w:ascii="宋体"/>
          <w:color w:val="auto"/>
          <w:highlight w:val="none"/>
        </w:rPr>
      </w:pPr>
      <w:r>
        <w:rPr>
          <w:rFonts w:hint="eastAsia" w:ascii="宋体" w:cs="宋体"/>
          <w:color w:val="auto"/>
          <w:highlight w:val="none"/>
        </w:rPr>
        <w:t>致</w:t>
      </w:r>
      <w:r>
        <w:rPr>
          <w:rFonts w:hint="eastAsia" w:ascii="宋体" w:cs="宋体"/>
          <w:color w:val="auto"/>
          <w:highlight w:val="none"/>
          <w:u w:val="single"/>
        </w:rPr>
        <w:t xml:space="preserve">：    （采购人名称） </w:t>
      </w:r>
      <w:r>
        <w:rPr>
          <w:rFonts w:hint="eastAsia" w:ascii="宋体" w:cs="宋体"/>
          <w:color w:val="auto"/>
          <w:highlight w:val="none"/>
        </w:rPr>
        <w:t xml:space="preserve">   </w:t>
      </w:r>
    </w:p>
    <w:p w14:paraId="372B303E">
      <w:pPr>
        <w:spacing w:line="400" w:lineRule="exact"/>
        <w:ind w:firstLine="420" w:firstLineChars="200"/>
        <w:outlineLvl w:val="9"/>
        <w:rPr>
          <w:rFonts w:ascii="宋体"/>
          <w:color w:val="auto"/>
          <w:highlight w:val="none"/>
        </w:rPr>
      </w:pPr>
      <w:r>
        <w:rPr>
          <w:rFonts w:hint="eastAsia" w:ascii="宋体" w:cs="宋体"/>
          <w:color w:val="auto"/>
          <w:highlight w:val="none"/>
        </w:rPr>
        <w:t>1.根据你方项目编号为</w:t>
      </w:r>
      <w:r>
        <w:rPr>
          <w:rFonts w:hint="eastAsia" w:ascii="宋体" w:cs="宋体"/>
          <w:color w:val="auto"/>
          <w:highlight w:val="none"/>
          <w:u w:val="single"/>
        </w:rPr>
        <w:t xml:space="preserve"> （项目编号）</w:t>
      </w:r>
      <w:r>
        <w:rPr>
          <w:rFonts w:hint="eastAsia" w:ascii="宋体" w:cs="宋体"/>
          <w:color w:val="auto"/>
          <w:highlight w:val="none"/>
        </w:rPr>
        <w:t>的</w:t>
      </w:r>
      <w:r>
        <w:rPr>
          <w:rFonts w:hint="eastAsia" w:ascii="宋体" w:cs="宋体"/>
          <w:color w:val="auto"/>
          <w:highlight w:val="none"/>
          <w:u w:val="single"/>
        </w:rPr>
        <w:t xml:space="preserve">  （工程项目名称）   </w:t>
      </w:r>
      <w:r>
        <w:rPr>
          <w:rFonts w:hint="eastAsia" w:ascii="宋体" w:cs="宋体"/>
          <w:color w:val="auto"/>
          <w:highlight w:val="none"/>
        </w:rPr>
        <w:t>工程竞争性磋商采购文件，遵照《中华人民共和国政府采购法》等有关规定，经踏勘项目现场和研究上述竞争性磋商采购文件的投标须知、合同条款、图纸、工程建设标准和工程量清单等文件后，我方愿以人民币（大写）</w:t>
      </w:r>
      <w:r>
        <w:rPr>
          <w:rFonts w:hint="eastAsia" w:ascii="宋体" w:cs="宋体"/>
          <w:color w:val="auto"/>
          <w:highlight w:val="none"/>
          <w:u w:val="single"/>
        </w:rPr>
        <w:t xml:space="preserve">        </w:t>
      </w:r>
      <w:r>
        <w:rPr>
          <w:rFonts w:hint="eastAsia" w:ascii="宋体" w:cs="宋体"/>
          <w:color w:val="auto"/>
          <w:highlight w:val="none"/>
        </w:rPr>
        <w:t xml:space="preserve"> 元</w:t>
      </w:r>
      <w:r>
        <w:rPr>
          <w:rFonts w:hint="eastAsia" w:ascii="宋体" w:cs="宋体"/>
          <w:color w:val="auto"/>
          <w:highlight w:val="none"/>
          <w:u w:val="single"/>
        </w:rPr>
        <w:t>（¥      ）</w:t>
      </w:r>
      <w:r>
        <w:rPr>
          <w:rFonts w:hint="eastAsia" w:ascii="宋体" w:cs="宋体"/>
          <w:color w:val="auto"/>
          <w:highlight w:val="none"/>
        </w:rPr>
        <w:t>的磋商报价，按上述图纸、合同条款、工程建设标准和工程量清单的条件要求承包上述工程的施工、竣工，并承担任何质量缺陷责任。我方保证工程质量达到</w:t>
      </w:r>
      <w:r>
        <w:rPr>
          <w:rFonts w:hint="eastAsia" w:ascii="宋体" w:cs="宋体"/>
          <w:color w:val="auto"/>
          <w:highlight w:val="none"/>
          <w:u w:val="single"/>
        </w:rPr>
        <w:t xml:space="preserve">      </w:t>
      </w:r>
      <w:r>
        <w:rPr>
          <w:rFonts w:hint="eastAsia" w:ascii="宋体" w:cs="宋体"/>
          <w:color w:val="auto"/>
          <w:highlight w:val="none"/>
        </w:rPr>
        <w:t>等级。</w:t>
      </w:r>
    </w:p>
    <w:p w14:paraId="549F1AF5">
      <w:pPr>
        <w:spacing w:line="400" w:lineRule="exact"/>
        <w:ind w:firstLine="420" w:firstLineChars="200"/>
        <w:outlineLvl w:val="9"/>
        <w:rPr>
          <w:rFonts w:ascii="宋体"/>
          <w:color w:val="auto"/>
          <w:highlight w:val="none"/>
        </w:rPr>
      </w:pPr>
      <w:r>
        <w:rPr>
          <w:rFonts w:hint="eastAsia" w:ascii="宋体" w:cs="宋体"/>
          <w:color w:val="auto"/>
          <w:highlight w:val="none"/>
        </w:rPr>
        <w:t>2.我方已详细审核全部竞争性磋商采购文件，包括修改文件（如有时）及有关附件。</w:t>
      </w:r>
    </w:p>
    <w:p w14:paraId="17702FFF">
      <w:pPr>
        <w:spacing w:line="400" w:lineRule="exact"/>
        <w:ind w:firstLine="420" w:firstLineChars="200"/>
        <w:outlineLvl w:val="9"/>
        <w:rPr>
          <w:rFonts w:ascii="宋体"/>
          <w:color w:val="auto"/>
          <w:highlight w:val="none"/>
        </w:rPr>
      </w:pPr>
      <w:r>
        <w:rPr>
          <w:rFonts w:hint="eastAsia" w:ascii="宋体" w:cs="宋体"/>
          <w:color w:val="auto"/>
          <w:highlight w:val="none"/>
        </w:rPr>
        <w:t>3.我方承认磋商函附录是我方磋商函的组成部分。</w:t>
      </w:r>
    </w:p>
    <w:p w14:paraId="6670EF4B">
      <w:pPr>
        <w:spacing w:line="400" w:lineRule="exact"/>
        <w:ind w:firstLine="420" w:firstLineChars="200"/>
        <w:outlineLvl w:val="9"/>
        <w:rPr>
          <w:rFonts w:ascii="宋体"/>
          <w:color w:val="auto"/>
          <w:highlight w:val="none"/>
        </w:rPr>
      </w:pPr>
      <w:r>
        <w:rPr>
          <w:rFonts w:hint="eastAsia" w:ascii="宋体" w:cs="宋体"/>
          <w:color w:val="auto"/>
          <w:highlight w:val="none"/>
        </w:rPr>
        <w:t>4.一旦我方成交，我方保证按合同书中规定的工期</w:t>
      </w:r>
      <w:r>
        <w:rPr>
          <w:rFonts w:hint="eastAsia" w:ascii="宋体" w:cs="宋体"/>
          <w:color w:val="auto"/>
          <w:highlight w:val="none"/>
          <w:u w:val="single"/>
        </w:rPr>
        <w:t xml:space="preserve">     </w:t>
      </w:r>
      <w:r>
        <w:rPr>
          <w:rFonts w:hint="eastAsia" w:ascii="宋体" w:cs="宋体"/>
          <w:color w:val="auto"/>
          <w:highlight w:val="none"/>
        </w:rPr>
        <w:t>日历天内完成并移交全部工程。</w:t>
      </w:r>
    </w:p>
    <w:p w14:paraId="591E353C">
      <w:pPr>
        <w:spacing w:line="400" w:lineRule="exact"/>
        <w:ind w:firstLine="420" w:firstLineChars="200"/>
        <w:outlineLvl w:val="9"/>
        <w:rPr>
          <w:rFonts w:ascii="宋体"/>
          <w:color w:val="auto"/>
          <w:highlight w:val="none"/>
        </w:rPr>
      </w:pPr>
      <w:r>
        <w:rPr>
          <w:rFonts w:hint="eastAsia" w:ascii="宋体" w:cs="宋体"/>
          <w:color w:val="auto"/>
          <w:highlight w:val="none"/>
        </w:rPr>
        <w:t>5.如果我方成交,我方将按照竞争性磋商采购文件规定提交履约保证金作为履约担保。</w:t>
      </w:r>
    </w:p>
    <w:p w14:paraId="55191C7D">
      <w:pPr>
        <w:spacing w:line="400" w:lineRule="exact"/>
        <w:ind w:firstLine="420" w:firstLineChars="200"/>
        <w:outlineLvl w:val="9"/>
        <w:rPr>
          <w:rFonts w:ascii="宋体"/>
          <w:color w:val="auto"/>
          <w:highlight w:val="none"/>
        </w:rPr>
      </w:pPr>
      <w:r>
        <w:rPr>
          <w:rFonts w:hint="eastAsia" w:ascii="宋体" w:cs="宋体"/>
          <w:color w:val="auto"/>
          <w:highlight w:val="none"/>
        </w:rPr>
        <w:t>6.我方同意所提交的响应文件在竞争性磋商采购文件的“磋商须知”中第12条规定的磋商有效期内有效，在此期间内如果成交，我方将受此约束。</w:t>
      </w:r>
    </w:p>
    <w:p w14:paraId="79C444A6">
      <w:pPr>
        <w:spacing w:line="400" w:lineRule="exact"/>
        <w:ind w:firstLine="420" w:firstLineChars="200"/>
        <w:outlineLvl w:val="9"/>
        <w:rPr>
          <w:rFonts w:ascii="宋体"/>
          <w:color w:val="auto"/>
          <w:highlight w:val="none"/>
        </w:rPr>
      </w:pPr>
      <w:r>
        <w:rPr>
          <w:rFonts w:hint="eastAsia" w:ascii="宋体" w:cs="宋体"/>
          <w:color w:val="auto"/>
          <w:highlight w:val="none"/>
        </w:rPr>
        <w:t>7.除非另外达成协议并生效，你方的成交通知书和本响应文件将成为约束双方的合同文件的组成部分。</w:t>
      </w:r>
    </w:p>
    <w:p w14:paraId="35E3BEF7">
      <w:pPr>
        <w:autoSpaceDE w:val="0"/>
        <w:autoSpaceDN w:val="0"/>
        <w:spacing w:line="300" w:lineRule="auto"/>
        <w:ind w:firstLine="570"/>
        <w:outlineLvl w:val="9"/>
        <w:rPr>
          <w:rFonts w:ascii="宋体"/>
          <w:color w:val="auto"/>
          <w:spacing w:val="20"/>
          <w:highlight w:val="none"/>
        </w:rPr>
      </w:pPr>
    </w:p>
    <w:p w14:paraId="218D7B14">
      <w:pPr>
        <w:spacing w:line="300" w:lineRule="auto"/>
        <w:ind w:firstLine="490"/>
        <w:outlineLvl w:val="9"/>
        <w:rPr>
          <w:rFonts w:ascii="宋体"/>
          <w:color w:val="auto"/>
          <w:highlight w:val="none"/>
        </w:rPr>
      </w:pPr>
      <w:r>
        <w:rPr>
          <w:rFonts w:hint="eastAsia" w:ascii="宋体" w:cs="宋体"/>
          <w:color w:val="auto"/>
          <w:highlight w:val="none"/>
        </w:rPr>
        <w:t xml:space="preserve">                    </w:t>
      </w:r>
    </w:p>
    <w:p w14:paraId="4E70E71E">
      <w:pPr>
        <w:spacing w:line="300" w:lineRule="auto"/>
        <w:ind w:left="1000"/>
        <w:outlineLvl w:val="9"/>
        <w:rPr>
          <w:rFonts w:ascii="宋体"/>
          <w:color w:val="auto"/>
          <w:highlight w:val="none"/>
          <w:u w:val="single"/>
        </w:rPr>
      </w:pPr>
      <w:r>
        <w:rPr>
          <w:rFonts w:hint="eastAsia" w:ascii="宋体" w:cs="宋体"/>
          <w:color w:val="auto"/>
          <w:highlight w:val="none"/>
        </w:rPr>
        <w:t xml:space="preserve">         供 应 商：</w:t>
      </w:r>
      <w:r>
        <w:rPr>
          <w:rFonts w:hint="eastAsia" w:ascii="宋体" w:cs="宋体"/>
          <w:color w:val="auto"/>
          <w:highlight w:val="none"/>
          <w:u w:val="single"/>
        </w:rPr>
        <w:t xml:space="preserve">                                     </w:t>
      </w:r>
      <w:r>
        <w:rPr>
          <w:rFonts w:hint="eastAsia" w:ascii="宋体" w:cs="宋体"/>
          <w:color w:val="auto"/>
          <w:highlight w:val="none"/>
        </w:rPr>
        <w:t xml:space="preserve">（盖章）   </w:t>
      </w:r>
    </w:p>
    <w:p w14:paraId="7E9602F5">
      <w:pPr>
        <w:spacing w:line="300" w:lineRule="auto"/>
        <w:ind w:left="1000"/>
        <w:outlineLvl w:val="9"/>
        <w:rPr>
          <w:rFonts w:ascii="宋体"/>
          <w:color w:val="auto"/>
          <w:highlight w:val="none"/>
          <w:u w:val="single"/>
        </w:rPr>
      </w:pPr>
      <w:r>
        <w:rPr>
          <w:rFonts w:hint="eastAsia" w:ascii="宋体" w:cs="宋体"/>
          <w:color w:val="auto"/>
          <w:highlight w:val="none"/>
        </w:rPr>
        <w:t xml:space="preserve">         单位地址：</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p>
    <w:p w14:paraId="607A9C4C">
      <w:pPr>
        <w:spacing w:line="300" w:lineRule="auto"/>
        <w:ind w:left="1000"/>
        <w:outlineLvl w:val="9"/>
        <w:rPr>
          <w:rFonts w:ascii="宋体"/>
          <w:color w:val="auto"/>
          <w:highlight w:val="none"/>
          <w:u w:val="single"/>
        </w:rPr>
      </w:pPr>
      <w:r>
        <w:rPr>
          <w:rFonts w:hint="eastAsia" w:ascii="宋体" w:cs="宋体"/>
          <w:color w:val="auto"/>
          <w:highlight w:val="none"/>
        </w:rPr>
        <w:t xml:space="preserve">         法定代表人或其委托代理人：</w:t>
      </w:r>
      <w:r>
        <w:rPr>
          <w:rFonts w:hint="eastAsia" w:ascii="宋体" w:cs="宋体"/>
          <w:color w:val="auto"/>
          <w:highlight w:val="none"/>
          <w:u w:val="single"/>
        </w:rPr>
        <w:t xml:space="preserve">              </w:t>
      </w:r>
      <w:r>
        <w:rPr>
          <w:rFonts w:hint="eastAsia" w:ascii="宋体" w:cs="宋体"/>
          <w:color w:val="auto"/>
          <w:highlight w:val="none"/>
        </w:rPr>
        <w:t>（签字或盖章）</w:t>
      </w:r>
    </w:p>
    <w:p w14:paraId="52AEEEF7">
      <w:pPr>
        <w:spacing w:line="300" w:lineRule="auto"/>
        <w:ind w:left="1000"/>
        <w:outlineLvl w:val="9"/>
        <w:rPr>
          <w:rFonts w:ascii="宋体"/>
          <w:color w:val="auto"/>
          <w:highlight w:val="none"/>
        </w:rPr>
      </w:pPr>
      <w:r>
        <w:rPr>
          <w:rFonts w:hint="eastAsia" w:ascii="宋体" w:cs="宋体"/>
          <w:color w:val="auto"/>
          <w:highlight w:val="none"/>
        </w:rPr>
        <w:t xml:space="preserve">         邮政编码：</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rPr>
        <w:t>电话：</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rPr>
        <w:t xml:space="preserve"> 传真：</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p>
    <w:p w14:paraId="715E2A7F">
      <w:pPr>
        <w:spacing w:line="300" w:lineRule="auto"/>
        <w:ind w:left="1000"/>
        <w:outlineLvl w:val="9"/>
        <w:rPr>
          <w:rFonts w:ascii="宋体"/>
          <w:color w:val="auto"/>
          <w:highlight w:val="none"/>
        </w:rPr>
      </w:pPr>
      <w:r>
        <w:rPr>
          <w:rFonts w:hint="eastAsia" w:ascii="宋体" w:cs="宋体"/>
          <w:color w:val="auto"/>
          <w:highlight w:val="none"/>
        </w:rPr>
        <w:t xml:space="preserve">         开户银行名称：</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p>
    <w:p w14:paraId="7A2E11C6">
      <w:pPr>
        <w:spacing w:line="300" w:lineRule="auto"/>
        <w:ind w:left="1000"/>
        <w:outlineLvl w:val="9"/>
        <w:rPr>
          <w:rFonts w:ascii="宋体"/>
          <w:color w:val="auto"/>
          <w:highlight w:val="none"/>
        </w:rPr>
      </w:pPr>
      <w:r>
        <w:rPr>
          <w:rFonts w:hint="eastAsia" w:ascii="宋体" w:cs="宋体"/>
          <w:color w:val="auto"/>
          <w:highlight w:val="none"/>
        </w:rPr>
        <w:t xml:space="preserve">         开户银行账号：</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r>
        <w:rPr>
          <w:rFonts w:hint="eastAsia" w:ascii="宋体" w:cs="宋体"/>
          <w:color w:val="auto"/>
          <w:highlight w:val="none"/>
          <w:u w:val="single"/>
        </w:rPr>
        <w:tab/>
      </w:r>
      <w:r>
        <w:rPr>
          <w:rFonts w:hint="eastAsia" w:ascii="宋体" w:cs="宋体"/>
          <w:color w:val="auto"/>
          <w:highlight w:val="none"/>
          <w:u w:val="single"/>
        </w:rPr>
        <w:tab/>
      </w:r>
      <w:r>
        <w:rPr>
          <w:rFonts w:hint="eastAsia" w:ascii="宋体" w:cs="宋体"/>
          <w:color w:val="auto"/>
          <w:highlight w:val="none"/>
          <w:u w:val="single"/>
        </w:rPr>
        <w:tab/>
      </w:r>
      <w:r>
        <w:rPr>
          <w:rFonts w:hint="eastAsia" w:ascii="宋体" w:cs="宋体"/>
          <w:color w:val="auto"/>
          <w:highlight w:val="none"/>
          <w:u w:val="single"/>
        </w:rPr>
        <w:t xml:space="preserve"> </w:t>
      </w:r>
    </w:p>
    <w:p w14:paraId="3649D46B">
      <w:pPr>
        <w:spacing w:line="300" w:lineRule="auto"/>
        <w:ind w:firstLine="1995" w:firstLineChars="950"/>
        <w:outlineLvl w:val="9"/>
        <w:rPr>
          <w:rFonts w:ascii="宋体"/>
          <w:color w:val="auto"/>
          <w:highlight w:val="none"/>
        </w:rPr>
      </w:pPr>
      <w:r>
        <w:rPr>
          <w:rFonts w:hint="eastAsia" w:ascii="宋体" w:cs="宋体"/>
          <w:color w:val="auto"/>
          <w:highlight w:val="none"/>
        </w:rPr>
        <w:t>开户银行地址：</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p>
    <w:p w14:paraId="77BEAFF9">
      <w:pPr>
        <w:spacing w:line="300" w:lineRule="auto"/>
        <w:ind w:left="1000"/>
        <w:outlineLvl w:val="9"/>
        <w:rPr>
          <w:rFonts w:ascii="宋体"/>
          <w:color w:val="auto"/>
          <w:highlight w:val="none"/>
        </w:rPr>
      </w:pPr>
      <w:r>
        <w:rPr>
          <w:rFonts w:hint="eastAsia" w:ascii="宋体" w:cs="宋体"/>
          <w:color w:val="auto"/>
          <w:highlight w:val="none"/>
        </w:rPr>
        <w:t xml:space="preserve">         开户银行电话：</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r>
        <w:rPr>
          <w:rFonts w:hint="eastAsia" w:ascii="宋体" w:cs="宋体"/>
          <w:color w:val="auto"/>
          <w:highlight w:val="none"/>
        </w:rPr>
        <w:t xml:space="preserve">                                                                </w:t>
      </w:r>
    </w:p>
    <w:p w14:paraId="209D9D79">
      <w:pPr>
        <w:spacing w:line="300" w:lineRule="auto"/>
        <w:ind w:firstLine="5460" w:firstLineChars="2600"/>
        <w:outlineLvl w:val="9"/>
        <w:rPr>
          <w:rFonts w:ascii="宋体"/>
          <w:color w:val="auto"/>
          <w:highlight w:val="none"/>
        </w:rPr>
      </w:pPr>
    </w:p>
    <w:p w14:paraId="7BBBD593">
      <w:pPr>
        <w:spacing w:line="300" w:lineRule="auto"/>
        <w:ind w:left="5292" w:leftChars="2520" w:firstLine="562" w:firstLineChars="268"/>
        <w:outlineLvl w:val="9"/>
        <w:rPr>
          <w:rFonts w:ascii="宋体"/>
          <w:color w:val="auto"/>
          <w:highlight w:val="none"/>
        </w:rPr>
      </w:pPr>
      <w:r>
        <w:rPr>
          <w:rFonts w:hint="eastAsia" w:ascii="宋体" w:cs="宋体"/>
          <w:color w:val="auto"/>
          <w:highlight w:val="none"/>
        </w:rPr>
        <w:t>日期：_____年____月____日</w:t>
      </w:r>
    </w:p>
    <w:p w14:paraId="06BE6702">
      <w:pPr>
        <w:spacing w:line="300" w:lineRule="auto"/>
        <w:ind w:left="5292" w:leftChars="2520" w:firstLine="840" w:firstLineChars="400"/>
        <w:outlineLvl w:val="9"/>
        <w:rPr>
          <w:rFonts w:ascii="宋体"/>
          <w:color w:val="auto"/>
          <w:highlight w:val="none"/>
        </w:rPr>
      </w:pPr>
    </w:p>
    <w:p w14:paraId="0562DEBD">
      <w:pPr>
        <w:spacing w:line="300" w:lineRule="auto"/>
        <w:ind w:left="5292" w:leftChars="2520" w:firstLine="960" w:firstLineChars="400"/>
        <w:outlineLvl w:val="9"/>
        <w:rPr>
          <w:rFonts w:ascii="宋体"/>
          <w:color w:val="auto"/>
          <w:sz w:val="24"/>
          <w:highlight w:val="none"/>
        </w:rPr>
      </w:pPr>
    </w:p>
    <w:p w14:paraId="2C426CFC">
      <w:pPr>
        <w:spacing w:line="300" w:lineRule="auto"/>
        <w:ind w:left="5292" w:leftChars="2520" w:firstLine="960" w:firstLineChars="400"/>
        <w:outlineLvl w:val="9"/>
        <w:rPr>
          <w:rFonts w:ascii="宋体"/>
          <w:color w:val="auto"/>
          <w:sz w:val="24"/>
          <w:highlight w:val="none"/>
        </w:rPr>
      </w:pPr>
    </w:p>
    <w:p w14:paraId="336BBE9F">
      <w:pPr>
        <w:spacing w:line="300" w:lineRule="auto"/>
        <w:ind w:left="5292" w:leftChars="2520" w:firstLine="840" w:firstLineChars="400"/>
        <w:outlineLvl w:val="9"/>
        <w:rPr>
          <w:color w:val="auto"/>
          <w:highlight w:val="none"/>
        </w:rPr>
      </w:pPr>
    </w:p>
    <w:p w14:paraId="5B7F5E4D">
      <w:pPr>
        <w:spacing w:line="300" w:lineRule="auto"/>
        <w:outlineLvl w:val="9"/>
        <w:rPr>
          <w:color w:val="auto"/>
          <w:highlight w:val="none"/>
        </w:rPr>
      </w:pPr>
    </w:p>
    <w:p w14:paraId="00711B5C">
      <w:pPr>
        <w:spacing w:line="300" w:lineRule="auto"/>
        <w:outlineLvl w:val="9"/>
        <w:rPr>
          <w:color w:val="auto"/>
          <w:highlight w:val="none"/>
        </w:rPr>
      </w:pPr>
    </w:p>
    <w:p w14:paraId="59AD3D55">
      <w:pPr>
        <w:spacing w:line="300" w:lineRule="auto"/>
        <w:outlineLvl w:val="9"/>
        <w:rPr>
          <w:color w:val="auto"/>
          <w:highlight w:val="none"/>
        </w:rPr>
      </w:pPr>
    </w:p>
    <w:p w14:paraId="051696D3">
      <w:pPr>
        <w:spacing w:line="300" w:lineRule="auto"/>
        <w:outlineLvl w:val="9"/>
        <w:rPr>
          <w:color w:val="auto"/>
          <w:highlight w:val="none"/>
        </w:rPr>
      </w:pPr>
    </w:p>
    <w:p w14:paraId="412644F0">
      <w:pPr>
        <w:spacing w:line="300" w:lineRule="auto"/>
        <w:outlineLvl w:val="9"/>
        <w:rPr>
          <w:color w:val="auto"/>
          <w:highlight w:val="none"/>
        </w:rPr>
      </w:pPr>
    </w:p>
    <w:p w14:paraId="67B643F1">
      <w:pPr>
        <w:spacing w:line="300" w:lineRule="auto"/>
        <w:outlineLvl w:val="9"/>
        <w:rPr>
          <w:color w:val="auto"/>
          <w:highlight w:val="none"/>
        </w:rPr>
      </w:pPr>
    </w:p>
    <w:p w14:paraId="763BA992">
      <w:pPr>
        <w:spacing w:line="300" w:lineRule="auto"/>
        <w:outlineLvl w:val="9"/>
        <w:rPr>
          <w:color w:val="auto"/>
          <w:highlight w:val="none"/>
        </w:rPr>
      </w:pPr>
    </w:p>
    <w:p w14:paraId="7DBFD7B9">
      <w:pPr>
        <w:jc w:val="center"/>
        <w:outlineLvl w:val="9"/>
        <w:rPr>
          <w:rFonts w:cs="宋体"/>
          <w:b/>
          <w:bCs/>
          <w:color w:val="auto"/>
          <w:sz w:val="28"/>
          <w:szCs w:val="28"/>
          <w:highlight w:val="none"/>
        </w:rPr>
      </w:pPr>
      <w:bookmarkStart w:id="1894" w:name="_Toc49449947"/>
      <w:bookmarkStart w:id="1895" w:name="_Toc81461361"/>
    </w:p>
    <w:p w14:paraId="21AC16BC">
      <w:pPr>
        <w:jc w:val="center"/>
        <w:outlineLvl w:val="9"/>
        <w:rPr>
          <w:b/>
          <w:bCs/>
          <w:color w:val="auto"/>
          <w:sz w:val="28"/>
          <w:szCs w:val="28"/>
          <w:highlight w:val="none"/>
        </w:rPr>
      </w:pPr>
      <w:r>
        <w:rPr>
          <w:rFonts w:hint="eastAsia" w:cs="宋体"/>
          <w:b/>
          <w:bCs/>
          <w:color w:val="auto"/>
          <w:sz w:val="28"/>
          <w:szCs w:val="28"/>
          <w:highlight w:val="none"/>
        </w:rPr>
        <w:t>（2）磋商函附录</w:t>
      </w:r>
      <w:bookmarkEnd w:id="1894"/>
      <w:bookmarkEnd w:id="1895"/>
    </w:p>
    <w:p w14:paraId="51BE5A81">
      <w:pPr>
        <w:autoSpaceDE w:val="0"/>
        <w:autoSpaceDN w:val="0"/>
        <w:spacing w:line="300" w:lineRule="auto"/>
        <w:ind w:firstLine="570"/>
        <w:jc w:val="center"/>
        <w:outlineLvl w:val="9"/>
        <w:rPr>
          <w:rFonts w:ascii="宋体"/>
          <w:b/>
          <w:bCs/>
          <w:color w:val="auto"/>
          <w:sz w:val="24"/>
          <w:highlight w:val="none"/>
        </w:rPr>
      </w:pPr>
    </w:p>
    <w:tbl>
      <w:tblPr>
        <w:tblStyle w:val="84"/>
        <w:tblW w:w="960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501"/>
        <w:gridCol w:w="4253"/>
      </w:tblGrid>
      <w:tr w14:paraId="033A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vAlign w:val="center"/>
          </w:tcPr>
          <w:p w14:paraId="246643F7">
            <w:pPr>
              <w:spacing w:line="300" w:lineRule="auto"/>
              <w:jc w:val="center"/>
              <w:outlineLvl w:val="9"/>
              <w:rPr>
                <w:rFonts w:ascii="宋体"/>
                <w:color w:val="auto"/>
                <w:highlight w:val="none"/>
              </w:rPr>
            </w:pPr>
            <w:r>
              <w:rPr>
                <w:rFonts w:hint="eastAsia" w:ascii="宋体" w:cs="宋体"/>
                <w:color w:val="auto"/>
                <w:highlight w:val="none"/>
              </w:rPr>
              <w:t>序号</w:t>
            </w:r>
          </w:p>
        </w:tc>
        <w:tc>
          <w:tcPr>
            <w:tcW w:w="4501" w:type="dxa"/>
            <w:vAlign w:val="center"/>
          </w:tcPr>
          <w:p w14:paraId="3B41A59A">
            <w:pPr>
              <w:spacing w:line="300" w:lineRule="auto"/>
              <w:jc w:val="center"/>
              <w:outlineLvl w:val="9"/>
              <w:rPr>
                <w:rFonts w:ascii="宋体"/>
                <w:color w:val="auto"/>
                <w:highlight w:val="none"/>
              </w:rPr>
            </w:pPr>
            <w:r>
              <w:rPr>
                <w:rFonts w:hint="eastAsia" w:ascii="宋体" w:cs="宋体"/>
                <w:color w:val="auto"/>
                <w:highlight w:val="none"/>
              </w:rPr>
              <w:t>项 目 内 容</w:t>
            </w:r>
          </w:p>
        </w:tc>
        <w:tc>
          <w:tcPr>
            <w:tcW w:w="4253" w:type="dxa"/>
            <w:vAlign w:val="center"/>
          </w:tcPr>
          <w:p w14:paraId="00C644EE">
            <w:pPr>
              <w:spacing w:line="300" w:lineRule="auto"/>
              <w:jc w:val="center"/>
              <w:outlineLvl w:val="9"/>
              <w:rPr>
                <w:rFonts w:ascii="宋体"/>
                <w:color w:val="auto"/>
                <w:highlight w:val="none"/>
              </w:rPr>
            </w:pPr>
            <w:r>
              <w:rPr>
                <w:rFonts w:hint="eastAsia" w:ascii="宋体" w:cs="宋体"/>
                <w:color w:val="auto"/>
                <w:highlight w:val="none"/>
              </w:rPr>
              <w:t>投  标  响  应</w:t>
            </w:r>
          </w:p>
        </w:tc>
      </w:tr>
      <w:tr w14:paraId="7A17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vAlign w:val="center"/>
          </w:tcPr>
          <w:p w14:paraId="3D9CC3B5">
            <w:pPr>
              <w:spacing w:line="300" w:lineRule="auto"/>
              <w:jc w:val="center"/>
              <w:outlineLvl w:val="9"/>
              <w:rPr>
                <w:rFonts w:ascii="宋体"/>
                <w:color w:val="auto"/>
                <w:highlight w:val="none"/>
              </w:rPr>
            </w:pPr>
            <w:r>
              <w:rPr>
                <w:rFonts w:hint="eastAsia" w:ascii="宋体" w:cs="宋体"/>
                <w:color w:val="auto"/>
                <w:highlight w:val="none"/>
              </w:rPr>
              <w:t>1</w:t>
            </w:r>
          </w:p>
        </w:tc>
        <w:tc>
          <w:tcPr>
            <w:tcW w:w="4501" w:type="dxa"/>
            <w:vAlign w:val="center"/>
          </w:tcPr>
          <w:p w14:paraId="61B7EBC0">
            <w:pPr>
              <w:spacing w:line="300" w:lineRule="auto"/>
              <w:outlineLvl w:val="9"/>
              <w:rPr>
                <w:rFonts w:ascii="宋体"/>
                <w:color w:val="auto"/>
                <w:highlight w:val="none"/>
              </w:rPr>
            </w:pPr>
            <w:r>
              <w:rPr>
                <w:rFonts w:hint="eastAsia" w:ascii="宋体" w:cs="宋体"/>
                <w:color w:val="auto"/>
                <w:highlight w:val="none"/>
              </w:rPr>
              <w:t>磋商有效期</w:t>
            </w:r>
          </w:p>
        </w:tc>
        <w:tc>
          <w:tcPr>
            <w:tcW w:w="4253" w:type="dxa"/>
            <w:vAlign w:val="center"/>
          </w:tcPr>
          <w:p w14:paraId="6B55BB4F">
            <w:pPr>
              <w:spacing w:line="300" w:lineRule="auto"/>
              <w:outlineLvl w:val="9"/>
              <w:rPr>
                <w:rFonts w:ascii="宋体"/>
                <w:color w:val="auto"/>
                <w:highlight w:val="none"/>
              </w:rPr>
            </w:pPr>
          </w:p>
        </w:tc>
      </w:tr>
      <w:tr w14:paraId="0B34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vAlign w:val="center"/>
          </w:tcPr>
          <w:p w14:paraId="783E4D9D">
            <w:pPr>
              <w:spacing w:line="300" w:lineRule="auto"/>
              <w:jc w:val="center"/>
              <w:outlineLvl w:val="9"/>
              <w:rPr>
                <w:rFonts w:ascii="宋体"/>
                <w:color w:val="auto"/>
                <w:highlight w:val="none"/>
              </w:rPr>
            </w:pPr>
            <w:r>
              <w:rPr>
                <w:rFonts w:hint="eastAsia" w:ascii="宋体" w:cs="宋体"/>
                <w:color w:val="auto"/>
                <w:highlight w:val="none"/>
              </w:rPr>
              <w:t>2</w:t>
            </w:r>
          </w:p>
        </w:tc>
        <w:tc>
          <w:tcPr>
            <w:tcW w:w="4501" w:type="dxa"/>
            <w:vAlign w:val="center"/>
          </w:tcPr>
          <w:p w14:paraId="3DFFA015">
            <w:pPr>
              <w:spacing w:line="300" w:lineRule="auto"/>
              <w:outlineLvl w:val="9"/>
              <w:rPr>
                <w:rFonts w:ascii="宋体"/>
                <w:color w:val="auto"/>
                <w:highlight w:val="none"/>
              </w:rPr>
            </w:pPr>
            <w:r>
              <w:rPr>
                <w:rFonts w:hint="eastAsia" w:ascii="宋体" w:cs="宋体"/>
                <w:color w:val="auto"/>
                <w:highlight w:val="none"/>
              </w:rPr>
              <w:t>施工工期</w:t>
            </w:r>
          </w:p>
        </w:tc>
        <w:tc>
          <w:tcPr>
            <w:tcW w:w="4253" w:type="dxa"/>
            <w:vAlign w:val="center"/>
          </w:tcPr>
          <w:p w14:paraId="42F0A618">
            <w:pPr>
              <w:spacing w:line="300" w:lineRule="auto"/>
              <w:outlineLvl w:val="9"/>
              <w:rPr>
                <w:rFonts w:ascii="宋体"/>
                <w:color w:val="auto"/>
                <w:highlight w:val="none"/>
              </w:rPr>
            </w:pPr>
          </w:p>
        </w:tc>
      </w:tr>
      <w:tr w14:paraId="6905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vAlign w:val="center"/>
          </w:tcPr>
          <w:p w14:paraId="75C8C57C">
            <w:pPr>
              <w:spacing w:line="300" w:lineRule="auto"/>
              <w:jc w:val="center"/>
              <w:outlineLvl w:val="9"/>
              <w:rPr>
                <w:rFonts w:ascii="宋体"/>
                <w:color w:val="auto"/>
                <w:highlight w:val="none"/>
              </w:rPr>
            </w:pPr>
            <w:r>
              <w:rPr>
                <w:rFonts w:hint="eastAsia" w:ascii="宋体" w:cs="宋体"/>
                <w:color w:val="auto"/>
                <w:highlight w:val="none"/>
              </w:rPr>
              <w:t>3</w:t>
            </w:r>
          </w:p>
        </w:tc>
        <w:tc>
          <w:tcPr>
            <w:tcW w:w="4501" w:type="dxa"/>
            <w:vAlign w:val="center"/>
          </w:tcPr>
          <w:p w14:paraId="3D226F86">
            <w:pPr>
              <w:autoSpaceDE w:val="0"/>
              <w:autoSpaceDN w:val="0"/>
              <w:spacing w:line="300" w:lineRule="auto"/>
              <w:outlineLvl w:val="9"/>
              <w:rPr>
                <w:rFonts w:ascii="宋体"/>
                <w:color w:val="auto"/>
                <w:highlight w:val="none"/>
              </w:rPr>
            </w:pPr>
            <w:r>
              <w:rPr>
                <w:rFonts w:hint="eastAsia" w:ascii="宋体" w:cs="宋体"/>
                <w:color w:val="auto"/>
                <w:spacing w:val="20"/>
                <w:highlight w:val="none"/>
              </w:rPr>
              <w:t>延误工期赔偿金额</w:t>
            </w:r>
          </w:p>
        </w:tc>
        <w:tc>
          <w:tcPr>
            <w:tcW w:w="4253" w:type="dxa"/>
            <w:vAlign w:val="center"/>
          </w:tcPr>
          <w:p w14:paraId="61089CCF">
            <w:pPr>
              <w:spacing w:line="300" w:lineRule="auto"/>
              <w:ind w:firstLine="105" w:firstLineChars="50"/>
              <w:jc w:val="left"/>
              <w:outlineLvl w:val="9"/>
              <w:rPr>
                <w:rFonts w:ascii="宋体"/>
                <w:color w:val="auto"/>
                <w:highlight w:val="none"/>
              </w:rPr>
            </w:pPr>
          </w:p>
        </w:tc>
      </w:tr>
      <w:tr w14:paraId="3D8D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vAlign w:val="center"/>
          </w:tcPr>
          <w:p w14:paraId="6AA72541">
            <w:pPr>
              <w:spacing w:line="300" w:lineRule="auto"/>
              <w:jc w:val="center"/>
              <w:outlineLvl w:val="9"/>
              <w:rPr>
                <w:rFonts w:ascii="宋体"/>
                <w:color w:val="auto"/>
                <w:highlight w:val="none"/>
              </w:rPr>
            </w:pPr>
            <w:r>
              <w:rPr>
                <w:rFonts w:hint="eastAsia" w:ascii="宋体" w:cs="宋体"/>
                <w:color w:val="auto"/>
                <w:highlight w:val="none"/>
              </w:rPr>
              <w:t>4</w:t>
            </w:r>
          </w:p>
        </w:tc>
        <w:tc>
          <w:tcPr>
            <w:tcW w:w="4501" w:type="dxa"/>
            <w:vAlign w:val="center"/>
          </w:tcPr>
          <w:p w14:paraId="74C697CE">
            <w:pPr>
              <w:autoSpaceDE w:val="0"/>
              <w:autoSpaceDN w:val="0"/>
              <w:spacing w:line="300" w:lineRule="auto"/>
              <w:outlineLvl w:val="9"/>
              <w:rPr>
                <w:rFonts w:ascii="宋体"/>
                <w:color w:val="auto"/>
                <w:spacing w:val="20"/>
                <w:highlight w:val="none"/>
              </w:rPr>
            </w:pPr>
            <w:r>
              <w:rPr>
                <w:rFonts w:hint="eastAsia" w:ascii="宋体" w:cs="宋体"/>
                <w:color w:val="auto"/>
                <w:spacing w:val="20"/>
                <w:highlight w:val="none"/>
              </w:rPr>
              <w:t>延误工期赔偿金额限额</w:t>
            </w:r>
          </w:p>
        </w:tc>
        <w:tc>
          <w:tcPr>
            <w:tcW w:w="4253" w:type="dxa"/>
            <w:vAlign w:val="center"/>
          </w:tcPr>
          <w:p w14:paraId="784C5693">
            <w:pPr>
              <w:autoSpaceDE w:val="0"/>
              <w:autoSpaceDN w:val="0"/>
              <w:spacing w:line="300" w:lineRule="auto"/>
              <w:outlineLvl w:val="9"/>
              <w:rPr>
                <w:rFonts w:ascii="宋体"/>
                <w:color w:val="auto"/>
                <w:spacing w:val="20"/>
                <w:highlight w:val="none"/>
              </w:rPr>
            </w:pPr>
          </w:p>
        </w:tc>
      </w:tr>
      <w:tr w14:paraId="7B7B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vAlign w:val="center"/>
          </w:tcPr>
          <w:p w14:paraId="1F1E5526">
            <w:pPr>
              <w:spacing w:line="300" w:lineRule="auto"/>
              <w:jc w:val="center"/>
              <w:outlineLvl w:val="9"/>
              <w:rPr>
                <w:rFonts w:ascii="宋体"/>
                <w:color w:val="auto"/>
                <w:highlight w:val="none"/>
              </w:rPr>
            </w:pPr>
            <w:r>
              <w:rPr>
                <w:rFonts w:hint="eastAsia" w:ascii="宋体" w:cs="宋体"/>
                <w:color w:val="auto"/>
                <w:highlight w:val="none"/>
              </w:rPr>
              <w:t>5</w:t>
            </w:r>
          </w:p>
        </w:tc>
        <w:tc>
          <w:tcPr>
            <w:tcW w:w="4501" w:type="dxa"/>
            <w:vAlign w:val="center"/>
          </w:tcPr>
          <w:p w14:paraId="3D420E71">
            <w:pPr>
              <w:autoSpaceDE w:val="0"/>
              <w:autoSpaceDN w:val="0"/>
              <w:spacing w:line="300" w:lineRule="auto"/>
              <w:outlineLvl w:val="9"/>
              <w:rPr>
                <w:rFonts w:hint="default" w:ascii="宋体" w:eastAsia="宋体"/>
                <w:color w:val="auto"/>
                <w:spacing w:val="20"/>
                <w:highlight w:val="none"/>
                <w:lang w:val="en-US" w:eastAsia="zh-CN"/>
              </w:rPr>
            </w:pPr>
            <w:r>
              <w:rPr>
                <w:rFonts w:hint="eastAsia" w:ascii="宋体"/>
                <w:color w:val="auto"/>
                <w:spacing w:val="20"/>
                <w:highlight w:val="none"/>
                <w:lang w:val="en-US" w:eastAsia="zh-CN"/>
              </w:rPr>
              <w:t>....</w:t>
            </w:r>
          </w:p>
        </w:tc>
        <w:tc>
          <w:tcPr>
            <w:tcW w:w="4253" w:type="dxa"/>
            <w:vAlign w:val="center"/>
          </w:tcPr>
          <w:p w14:paraId="7470C90F">
            <w:pPr>
              <w:autoSpaceDE w:val="0"/>
              <w:autoSpaceDN w:val="0"/>
              <w:spacing w:line="300" w:lineRule="auto"/>
              <w:outlineLvl w:val="9"/>
              <w:rPr>
                <w:rFonts w:ascii="宋体"/>
                <w:color w:val="auto"/>
                <w:spacing w:val="20"/>
                <w:highlight w:val="none"/>
              </w:rPr>
            </w:pPr>
          </w:p>
        </w:tc>
      </w:tr>
    </w:tbl>
    <w:p w14:paraId="3941873A">
      <w:pPr>
        <w:autoSpaceDE w:val="0"/>
        <w:autoSpaceDN w:val="0"/>
        <w:spacing w:line="300" w:lineRule="auto"/>
        <w:outlineLvl w:val="9"/>
        <w:rPr>
          <w:rFonts w:ascii="宋体"/>
          <w:color w:val="auto"/>
          <w:highlight w:val="none"/>
        </w:rPr>
      </w:pPr>
    </w:p>
    <w:p w14:paraId="51A402D5">
      <w:pPr>
        <w:autoSpaceDE w:val="0"/>
        <w:autoSpaceDN w:val="0"/>
        <w:spacing w:line="300" w:lineRule="auto"/>
        <w:outlineLvl w:val="9"/>
        <w:rPr>
          <w:rFonts w:ascii="宋体"/>
          <w:color w:val="auto"/>
          <w:highlight w:val="none"/>
        </w:rPr>
      </w:pPr>
    </w:p>
    <w:p w14:paraId="3B6E4F8B">
      <w:pPr>
        <w:autoSpaceDE w:val="0"/>
        <w:autoSpaceDN w:val="0"/>
        <w:spacing w:line="300" w:lineRule="auto"/>
        <w:outlineLvl w:val="9"/>
        <w:rPr>
          <w:rFonts w:ascii="宋体"/>
          <w:color w:val="auto"/>
          <w:highlight w:val="none"/>
        </w:rPr>
      </w:pPr>
      <w:r>
        <w:rPr>
          <w:rFonts w:hint="eastAsia" w:ascii="宋体" w:cs="宋体"/>
          <w:color w:val="auto"/>
          <w:highlight w:val="none"/>
        </w:rPr>
        <w:t>供应商（盖章）：</w:t>
      </w:r>
    </w:p>
    <w:p w14:paraId="336E63B0">
      <w:pPr>
        <w:autoSpaceDE w:val="0"/>
        <w:autoSpaceDN w:val="0"/>
        <w:spacing w:line="300" w:lineRule="auto"/>
        <w:outlineLvl w:val="9"/>
        <w:rPr>
          <w:rFonts w:ascii="宋体"/>
          <w:color w:val="auto"/>
          <w:highlight w:val="none"/>
        </w:rPr>
      </w:pPr>
    </w:p>
    <w:p w14:paraId="38584940">
      <w:pPr>
        <w:autoSpaceDE w:val="0"/>
        <w:autoSpaceDN w:val="0"/>
        <w:spacing w:line="300" w:lineRule="auto"/>
        <w:outlineLvl w:val="9"/>
        <w:rPr>
          <w:rFonts w:ascii="宋体"/>
          <w:color w:val="auto"/>
          <w:highlight w:val="none"/>
        </w:rPr>
      </w:pPr>
      <w:r>
        <w:rPr>
          <w:rFonts w:hint="eastAsia" w:ascii="宋体" w:cs="宋体"/>
          <w:color w:val="auto"/>
          <w:highlight w:val="none"/>
        </w:rPr>
        <w:t>法定代表人或其委托代理人（签字或盖章）：</w:t>
      </w:r>
    </w:p>
    <w:p w14:paraId="39C579A8">
      <w:pPr>
        <w:autoSpaceDE w:val="0"/>
        <w:autoSpaceDN w:val="0"/>
        <w:spacing w:line="300" w:lineRule="auto"/>
        <w:outlineLvl w:val="9"/>
        <w:rPr>
          <w:rFonts w:ascii="宋体"/>
          <w:color w:val="auto"/>
          <w:highlight w:val="none"/>
        </w:rPr>
      </w:pPr>
    </w:p>
    <w:p w14:paraId="0057A88B">
      <w:pPr>
        <w:autoSpaceDE w:val="0"/>
        <w:autoSpaceDN w:val="0"/>
        <w:spacing w:line="300" w:lineRule="auto"/>
        <w:outlineLvl w:val="9"/>
        <w:rPr>
          <w:color w:val="auto"/>
          <w:highlight w:val="none"/>
        </w:rPr>
      </w:pPr>
      <w:r>
        <w:rPr>
          <w:rFonts w:hint="eastAsia" w:cs="宋体"/>
          <w:color w:val="auto"/>
          <w:highlight w:val="none"/>
        </w:rPr>
        <w:t>日期：</w:t>
      </w:r>
      <w:r>
        <w:rPr>
          <w:color w:val="auto"/>
          <w:highlight w:val="none"/>
        </w:rPr>
        <w:t xml:space="preserve">      </w:t>
      </w:r>
      <w:r>
        <w:rPr>
          <w:rFonts w:hint="eastAsia" w:cs="宋体"/>
          <w:color w:val="auto"/>
          <w:highlight w:val="none"/>
        </w:rPr>
        <w:t>年</w:t>
      </w:r>
      <w:r>
        <w:rPr>
          <w:color w:val="auto"/>
          <w:highlight w:val="none"/>
        </w:rPr>
        <w:t xml:space="preserve">    </w:t>
      </w:r>
      <w:r>
        <w:rPr>
          <w:rFonts w:hint="eastAsia" w:cs="宋体"/>
          <w:color w:val="auto"/>
          <w:highlight w:val="none"/>
        </w:rPr>
        <w:t>月</w:t>
      </w:r>
      <w:r>
        <w:rPr>
          <w:color w:val="auto"/>
          <w:highlight w:val="none"/>
        </w:rPr>
        <w:t xml:space="preserve">    </w:t>
      </w:r>
      <w:r>
        <w:rPr>
          <w:rFonts w:hint="eastAsia" w:cs="宋体"/>
          <w:color w:val="auto"/>
          <w:highlight w:val="none"/>
        </w:rPr>
        <w:t>日</w:t>
      </w:r>
    </w:p>
    <w:p w14:paraId="12C7B381">
      <w:pPr>
        <w:autoSpaceDE w:val="0"/>
        <w:autoSpaceDN w:val="0"/>
        <w:spacing w:line="300" w:lineRule="auto"/>
        <w:outlineLvl w:val="9"/>
        <w:rPr>
          <w:color w:val="auto"/>
          <w:highlight w:val="none"/>
        </w:rPr>
      </w:pPr>
    </w:p>
    <w:p w14:paraId="38665FE4">
      <w:pPr>
        <w:jc w:val="center"/>
        <w:outlineLvl w:val="9"/>
        <w:rPr>
          <w:rFonts w:ascii="宋体"/>
          <w:color w:val="auto"/>
          <w:sz w:val="28"/>
          <w:szCs w:val="28"/>
          <w:highlight w:val="none"/>
        </w:rPr>
      </w:pPr>
      <w:r>
        <w:rPr>
          <w:color w:val="auto"/>
          <w:highlight w:val="none"/>
        </w:rPr>
        <w:br w:type="page"/>
      </w:r>
    </w:p>
    <w:p w14:paraId="32FD0FBE">
      <w:pPr>
        <w:outlineLvl w:val="9"/>
        <w:rPr>
          <w:rFonts w:ascii="宋体"/>
          <w:color w:val="auto"/>
          <w:sz w:val="28"/>
          <w:szCs w:val="28"/>
          <w:highlight w:val="none"/>
        </w:rPr>
      </w:pPr>
    </w:p>
    <w:p w14:paraId="0F154FD2">
      <w:pPr>
        <w:outlineLvl w:val="9"/>
        <w:rPr>
          <w:rFonts w:ascii="宋体"/>
          <w:color w:val="auto"/>
          <w:sz w:val="28"/>
          <w:szCs w:val="28"/>
          <w:highlight w:val="none"/>
        </w:rPr>
      </w:pPr>
    </w:p>
    <w:p w14:paraId="275C358F">
      <w:pPr>
        <w:jc w:val="center"/>
        <w:outlineLvl w:val="9"/>
        <w:rPr>
          <w:b/>
          <w:bCs/>
          <w:color w:val="auto"/>
          <w:sz w:val="28"/>
          <w:szCs w:val="28"/>
          <w:highlight w:val="none"/>
        </w:rPr>
      </w:pPr>
      <w:r>
        <w:rPr>
          <w:rFonts w:hint="eastAsia" w:cs="宋体"/>
          <w:b/>
          <w:bCs/>
          <w:color w:val="auto"/>
          <w:sz w:val="28"/>
          <w:szCs w:val="28"/>
          <w:highlight w:val="none"/>
        </w:rPr>
        <w:t>（3）工程量清单报价有关资料</w:t>
      </w:r>
    </w:p>
    <w:p w14:paraId="301C7C22">
      <w:pPr>
        <w:spacing w:line="440" w:lineRule="exact"/>
        <w:outlineLvl w:val="9"/>
        <w:rPr>
          <w:rFonts w:ascii="宋体"/>
          <w:color w:val="auto"/>
          <w:highlight w:val="none"/>
        </w:rPr>
      </w:pPr>
      <w:r>
        <w:rPr>
          <w:rFonts w:hint="eastAsia" w:ascii="宋体" w:cs="宋体"/>
          <w:b/>
          <w:bCs/>
          <w:color w:val="auto"/>
          <w:highlight w:val="none"/>
        </w:rPr>
        <w:t>磋商报价说明</w:t>
      </w:r>
    </w:p>
    <w:p w14:paraId="6C7A1608">
      <w:pPr>
        <w:topLinePunct/>
        <w:spacing w:line="440" w:lineRule="exact"/>
        <w:ind w:firstLine="420" w:firstLineChars="200"/>
        <w:outlineLvl w:val="9"/>
        <w:rPr>
          <w:rFonts w:ascii="宋体"/>
          <w:color w:val="auto"/>
          <w:highlight w:val="none"/>
        </w:rPr>
      </w:pPr>
      <w:r>
        <w:rPr>
          <w:rFonts w:hint="eastAsia" w:ascii="宋体" w:cs="宋体"/>
          <w:color w:val="auto"/>
          <w:highlight w:val="none"/>
        </w:rPr>
        <w:t>1.本报价依据本工程磋商须知和合同文件的有关条款进行编制。按照格式制作并签字盖章。应包括以下内容：</w:t>
      </w:r>
    </w:p>
    <w:p w14:paraId="48DA57A6">
      <w:pPr>
        <w:topLinePunct/>
        <w:spacing w:line="440" w:lineRule="exact"/>
        <w:ind w:firstLine="420" w:firstLineChars="200"/>
        <w:outlineLvl w:val="9"/>
        <w:rPr>
          <w:rFonts w:ascii="宋体"/>
          <w:color w:val="auto"/>
          <w:highlight w:val="none"/>
        </w:rPr>
      </w:pPr>
      <w:r>
        <w:rPr>
          <w:rFonts w:hint="eastAsia" w:ascii="宋体" w:cs="宋体"/>
          <w:color w:val="auto"/>
          <w:highlight w:val="none"/>
        </w:rPr>
        <w:t>（1）磋商总价</w:t>
      </w:r>
    </w:p>
    <w:p w14:paraId="38E01EAC">
      <w:pPr>
        <w:topLinePunct/>
        <w:spacing w:line="440" w:lineRule="exact"/>
        <w:ind w:firstLine="420" w:firstLineChars="200"/>
        <w:outlineLvl w:val="9"/>
        <w:rPr>
          <w:rFonts w:ascii="宋体"/>
          <w:color w:val="auto"/>
          <w:highlight w:val="none"/>
        </w:rPr>
      </w:pPr>
      <w:r>
        <w:rPr>
          <w:rFonts w:hint="eastAsia" w:ascii="宋体" w:cs="宋体"/>
          <w:color w:val="auto"/>
          <w:highlight w:val="none"/>
        </w:rPr>
        <w:t>（2）总说明</w:t>
      </w:r>
    </w:p>
    <w:p w14:paraId="7886ED55">
      <w:pPr>
        <w:topLinePunct/>
        <w:spacing w:line="440" w:lineRule="exact"/>
        <w:ind w:firstLine="420" w:firstLineChars="200"/>
        <w:outlineLvl w:val="9"/>
        <w:rPr>
          <w:rFonts w:ascii="宋体"/>
          <w:color w:val="auto"/>
          <w:highlight w:val="none"/>
        </w:rPr>
      </w:pPr>
      <w:r>
        <w:rPr>
          <w:rFonts w:hint="eastAsia" w:ascii="宋体" w:cs="宋体"/>
          <w:color w:val="auto"/>
          <w:highlight w:val="none"/>
        </w:rPr>
        <w:t>（3）错报价汇总表</w:t>
      </w:r>
    </w:p>
    <w:p w14:paraId="42003899">
      <w:pPr>
        <w:topLinePunct/>
        <w:spacing w:line="440" w:lineRule="exact"/>
        <w:ind w:firstLine="420" w:firstLineChars="200"/>
        <w:outlineLvl w:val="9"/>
        <w:rPr>
          <w:rFonts w:ascii="宋体"/>
          <w:color w:val="auto"/>
          <w:highlight w:val="none"/>
        </w:rPr>
      </w:pPr>
      <w:r>
        <w:rPr>
          <w:rFonts w:hint="eastAsia" w:ascii="宋体" w:cs="宋体"/>
          <w:color w:val="auto"/>
          <w:highlight w:val="none"/>
        </w:rPr>
        <w:t>（4）工程量清单</w:t>
      </w:r>
    </w:p>
    <w:p w14:paraId="26326F0F">
      <w:pPr>
        <w:topLinePunct/>
        <w:spacing w:line="440" w:lineRule="exact"/>
        <w:ind w:firstLine="420" w:firstLineChars="200"/>
        <w:outlineLvl w:val="9"/>
        <w:rPr>
          <w:rFonts w:ascii="宋体"/>
          <w:color w:val="auto"/>
          <w:highlight w:val="none"/>
        </w:rPr>
      </w:pPr>
      <w:r>
        <w:rPr>
          <w:rFonts w:hint="eastAsia" w:ascii="宋体" w:cs="宋体"/>
          <w:color w:val="auto"/>
          <w:highlight w:val="none"/>
        </w:rPr>
        <w:t>（5）人工、材料、机械台班单价汇总表</w:t>
      </w:r>
    </w:p>
    <w:p w14:paraId="6107B1F2">
      <w:pPr>
        <w:topLinePunct/>
        <w:spacing w:line="440" w:lineRule="exact"/>
        <w:ind w:firstLine="420" w:firstLineChars="200"/>
        <w:outlineLvl w:val="9"/>
        <w:rPr>
          <w:rFonts w:ascii="宋体"/>
          <w:color w:val="auto"/>
          <w:highlight w:val="none"/>
        </w:rPr>
      </w:pPr>
      <w:r>
        <w:rPr>
          <w:rFonts w:hint="eastAsia" w:ascii="宋体" w:cs="宋体"/>
          <w:color w:val="auto"/>
          <w:highlight w:val="none"/>
        </w:rPr>
        <w:t>（6）单价分析表</w:t>
      </w:r>
    </w:p>
    <w:p w14:paraId="242DB8E1">
      <w:pPr>
        <w:topLinePunct/>
        <w:spacing w:line="440" w:lineRule="exact"/>
        <w:ind w:firstLine="420" w:firstLineChars="200"/>
        <w:outlineLvl w:val="9"/>
        <w:rPr>
          <w:rFonts w:ascii="宋体"/>
          <w:color w:val="auto"/>
          <w:highlight w:val="none"/>
        </w:rPr>
      </w:pPr>
      <w:r>
        <w:rPr>
          <w:rFonts w:hint="eastAsia" w:ascii="宋体" w:cs="宋体"/>
          <w:color w:val="auto"/>
          <w:highlight w:val="none"/>
        </w:rPr>
        <w:t>2.工程量清单报价表中所填入的综合单价和合价均包括人工费、材料费、机械费、管理费、利润以及采用固定价格的工程所测算的风险金等全部费用。</w:t>
      </w:r>
    </w:p>
    <w:p w14:paraId="29C1ABCC">
      <w:pPr>
        <w:topLinePunct/>
        <w:spacing w:line="440" w:lineRule="exact"/>
        <w:ind w:firstLine="420" w:firstLineChars="200"/>
        <w:outlineLvl w:val="9"/>
        <w:rPr>
          <w:rFonts w:ascii="宋体"/>
          <w:color w:val="auto"/>
          <w:highlight w:val="none"/>
        </w:rPr>
      </w:pPr>
      <w:r>
        <w:rPr>
          <w:rFonts w:hint="eastAsia" w:ascii="宋体" w:cs="宋体"/>
          <w:color w:val="auto"/>
          <w:highlight w:val="none"/>
        </w:rPr>
        <w:t>3.措施项目清单计价表中所填入的措施项目报价，包括为完成本项目施工必须采取的措施所发生的费用。</w:t>
      </w:r>
    </w:p>
    <w:p w14:paraId="457F0189">
      <w:pPr>
        <w:topLinePunct/>
        <w:spacing w:line="440" w:lineRule="exact"/>
        <w:ind w:firstLine="420" w:firstLineChars="200"/>
        <w:outlineLvl w:val="9"/>
        <w:rPr>
          <w:rFonts w:ascii="宋体"/>
          <w:color w:val="auto"/>
          <w:highlight w:val="none"/>
        </w:rPr>
      </w:pPr>
      <w:r>
        <w:rPr>
          <w:rFonts w:hint="eastAsia" w:ascii="宋体" w:cs="宋体"/>
          <w:color w:val="auto"/>
          <w:highlight w:val="none"/>
        </w:rPr>
        <w:t>4.其他项目清单计价表中所填入的其他项目报价，包括工程量清单计价表和措施项目清单计价表以外的，为完成本工程项目施工必须发生的其他费用。</w:t>
      </w:r>
    </w:p>
    <w:p w14:paraId="375B9950">
      <w:pPr>
        <w:topLinePunct/>
        <w:spacing w:line="440" w:lineRule="exact"/>
        <w:ind w:firstLine="420" w:firstLineChars="200"/>
        <w:outlineLvl w:val="9"/>
        <w:rPr>
          <w:rFonts w:ascii="宋体"/>
          <w:color w:val="auto"/>
          <w:highlight w:val="none"/>
        </w:rPr>
      </w:pPr>
      <w:r>
        <w:rPr>
          <w:rFonts w:hint="eastAsia" w:ascii="宋体" w:cs="宋体"/>
          <w:color w:val="auto"/>
          <w:highlight w:val="none"/>
        </w:rPr>
        <w:t>5.本工程量清单计价表中的每一单项均应填写单价和合价，对没有填写单价和合价的项目费用，视为已包括在工程量清单的其他单价或合价之中。供应商必须按采购人提供的工程量清单填报，否则，由此造成的一切后果由供应商承担。</w:t>
      </w:r>
    </w:p>
    <w:p w14:paraId="1783B9E3">
      <w:pPr>
        <w:topLinePunct/>
        <w:spacing w:line="440" w:lineRule="exact"/>
        <w:ind w:firstLine="420" w:firstLineChars="200"/>
        <w:outlineLvl w:val="9"/>
        <w:rPr>
          <w:rFonts w:ascii="宋体"/>
          <w:color w:val="auto"/>
          <w:highlight w:val="none"/>
        </w:rPr>
      </w:pPr>
      <w:r>
        <w:rPr>
          <w:rFonts w:hint="eastAsia" w:ascii="宋体" w:cs="宋体"/>
          <w:color w:val="auto"/>
          <w:highlight w:val="none"/>
        </w:rPr>
        <w:t>6.本报价的币种为人民币。</w:t>
      </w:r>
    </w:p>
    <w:p w14:paraId="6B8353D3">
      <w:pPr>
        <w:snapToGrid w:val="0"/>
        <w:spacing w:line="440" w:lineRule="exact"/>
        <w:ind w:firstLine="436" w:firstLineChars="208"/>
        <w:outlineLvl w:val="9"/>
        <w:rPr>
          <w:rFonts w:ascii="宋体"/>
          <w:color w:val="auto"/>
          <w:highlight w:val="none"/>
        </w:rPr>
      </w:pPr>
      <w:r>
        <w:rPr>
          <w:rFonts w:hint="eastAsia" w:ascii="宋体" w:cs="宋体"/>
          <w:color w:val="auto"/>
          <w:highlight w:val="none"/>
        </w:rPr>
        <w:t>7.供应商应将投标报价需要说明的事项，用文字书写与磋商报价表一并报送。</w:t>
      </w:r>
    </w:p>
    <w:p w14:paraId="44EC8D12">
      <w:pPr>
        <w:pStyle w:val="37"/>
        <w:spacing w:line="300" w:lineRule="auto"/>
        <w:ind w:left="0" w:right="34"/>
        <w:outlineLvl w:val="9"/>
        <w:rPr>
          <w:color w:val="auto"/>
          <w:highlight w:val="none"/>
        </w:rPr>
      </w:pPr>
    </w:p>
    <w:p w14:paraId="5B73B0A5">
      <w:pPr>
        <w:outlineLvl w:val="9"/>
        <w:rPr>
          <w:rFonts w:ascii="宋体"/>
          <w:b/>
          <w:color w:val="auto"/>
          <w:sz w:val="28"/>
          <w:szCs w:val="28"/>
          <w:highlight w:val="none"/>
        </w:rPr>
      </w:pPr>
    </w:p>
    <w:p w14:paraId="46FFCACC">
      <w:pPr>
        <w:outlineLvl w:val="9"/>
        <w:rPr>
          <w:rFonts w:ascii="宋体"/>
          <w:b/>
          <w:color w:val="auto"/>
          <w:sz w:val="28"/>
          <w:szCs w:val="28"/>
          <w:highlight w:val="none"/>
        </w:rPr>
      </w:pPr>
    </w:p>
    <w:p w14:paraId="2CC4685C">
      <w:pPr>
        <w:outlineLvl w:val="9"/>
        <w:rPr>
          <w:rFonts w:ascii="宋体"/>
          <w:b/>
          <w:bCs/>
          <w:color w:val="auto"/>
          <w:sz w:val="28"/>
          <w:szCs w:val="28"/>
          <w:highlight w:val="none"/>
        </w:rPr>
      </w:pPr>
      <w:r>
        <w:rPr>
          <w:rFonts w:hint="eastAsia" w:ascii="宋体"/>
          <w:b/>
          <w:bCs/>
          <w:color w:val="auto"/>
          <w:sz w:val="28"/>
          <w:szCs w:val="28"/>
          <w:highlight w:val="none"/>
        </w:rPr>
        <w:t>（4）资信业绩（格式自拟）</w:t>
      </w:r>
    </w:p>
    <w:p w14:paraId="63A08959">
      <w:pPr>
        <w:pStyle w:val="37"/>
        <w:ind w:left="0"/>
        <w:outlineLvl w:val="9"/>
        <w:rPr>
          <w:color w:val="auto"/>
          <w:highlight w:val="none"/>
        </w:rPr>
      </w:pPr>
    </w:p>
    <w:p w14:paraId="4E00E3B3">
      <w:pPr>
        <w:pStyle w:val="37"/>
        <w:ind w:left="0"/>
        <w:outlineLvl w:val="9"/>
        <w:rPr>
          <w:color w:val="auto"/>
          <w:highlight w:val="none"/>
        </w:rPr>
      </w:pPr>
    </w:p>
    <w:p w14:paraId="2A58EFC8">
      <w:pPr>
        <w:rPr>
          <w:color w:val="auto"/>
          <w:highlight w:val="none"/>
        </w:rPr>
      </w:pPr>
      <w:r>
        <w:rPr>
          <w:color w:val="auto"/>
          <w:highlight w:val="none"/>
        </w:rPr>
        <w:br w:type="page"/>
      </w:r>
    </w:p>
    <w:p w14:paraId="33557969">
      <w:pPr>
        <w:pStyle w:val="37"/>
        <w:ind w:left="0"/>
        <w:jc w:val="center"/>
        <w:outlineLvl w:val="0"/>
        <w:rPr>
          <w:rFonts w:hint="default" w:ascii="宋体" w:hAnsi="Times New Roman" w:eastAsia="宋体" w:cs="Times New Roman"/>
          <w:b/>
          <w:bCs/>
          <w:color w:val="auto"/>
          <w:sz w:val="32"/>
          <w:szCs w:val="32"/>
          <w:highlight w:val="none"/>
          <w:lang w:val="en-US"/>
        </w:rPr>
      </w:pPr>
      <w:bookmarkStart w:id="1896" w:name="_Toc19778"/>
      <w:r>
        <w:rPr>
          <w:rFonts w:hint="eastAsia"/>
          <w:b/>
          <w:bCs/>
          <w:color w:val="auto"/>
          <w:sz w:val="32"/>
          <w:szCs w:val="32"/>
          <w:highlight w:val="none"/>
        </w:rPr>
        <w:t>第</w:t>
      </w:r>
      <w:r>
        <w:rPr>
          <w:rFonts w:hint="eastAsia"/>
          <w:b/>
          <w:bCs/>
          <w:color w:val="auto"/>
          <w:sz w:val="32"/>
          <w:szCs w:val="32"/>
          <w:highlight w:val="none"/>
          <w:lang w:val="en-US" w:eastAsia="zh-CN"/>
        </w:rPr>
        <w:t>六</w:t>
      </w:r>
      <w:r>
        <w:rPr>
          <w:rFonts w:hint="eastAsia"/>
          <w:b/>
          <w:bCs/>
          <w:color w:val="auto"/>
          <w:sz w:val="32"/>
          <w:szCs w:val="32"/>
          <w:highlight w:val="none"/>
        </w:rPr>
        <w:t>章</w:t>
      </w:r>
      <w:r>
        <w:rPr>
          <w:b/>
          <w:bCs/>
          <w:color w:val="auto"/>
          <w:sz w:val="32"/>
          <w:szCs w:val="32"/>
          <w:highlight w:val="none"/>
        </w:rPr>
        <w:t xml:space="preserve"> </w:t>
      </w:r>
      <w:r>
        <w:rPr>
          <w:rFonts w:hint="eastAsia"/>
          <w:b/>
          <w:bCs/>
          <w:color w:val="auto"/>
          <w:sz w:val="32"/>
          <w:szCs w:val="32"/>
          <w:highlight w:val="none"/>
          <w:lang w:val="en-US" w:eastAsia="zh-CN"/>
        </w:rPr>
        <w:t xml:space="preserve"> </w:t>
      </w:r>
      <w:r>
        <w:rPr>
          <w:rFonts w:hint="eastAsia" w:ascii="宋体" w:hAnsi="Times New Roman" w:eastAsia="宋体" w:cs="Times New Roman"/>
          <w:b/>
          <w:bCs/>
          <w:color w:val="auto"/>
          <w:sz w:val="32"/>
          <w:szCs w:val="32"/>
          <w:highlight w:val="none"/>
          <w:lang w:val="en-US" w:eastAsia="zh-CN"/>
        </w:rPr>
        <w:t>图纸</w:t>
      </w:r>
      <w:r>
        <w:rPr>
          <w:rFonts w:hint="eastAsia" w:cs="Times New Roman"/>
          <w:b/>
          <w:bCs/>
          <w:color w:val="auto"/>
          <w:sz w:val="32"/>
          <w:szCs w:val="32"/>
          <w:highlight w:val="none"/>
          <w:lang w:val="en-US" w:eastAsia="zh-CN"/>
        </w:rPr>
        <w:t>及工程量清单</w:t>
      </w:r>
      <w:bookmarkEnd w:id="1896"/>
    </w:p>
    <w:p w14:paraId="47273965">
      <w:pPr>
        <w:pStyle w:val="37"/>
        <w:ind w:left="0"/>
        <w:outlineLvl w:val="9"/>
        <w:rPr>
          <w:color w:val="auto"/>
          <w:highlight w:val="none"/>
        </w:rPr>
      </w:pPr>
    </w:p>
    <w:p w14:paraId="1BAAC4B0">
      <w:pPr>
        <w:pStyle w:val="37"/>
        <w:ind w:left="0"/>
        <w:outlineLvl w:val="9"/>
        <w:rPr>
          <w:color w:val="auto"/>
          <w:highlight w:val="none"/>
        </w:rPr>
      </w:pPr>
    </w:p>
    <w:p w14:paraId="16857805">
      <w:pPr>
        <w:pStyle w:val="37"/>
        <w:ind w:left="0"/>
        <w:jc w:val="center"/>
        <w:outlineLvl w:val="9"/>
        <w:rPr>
          <w:rFonts w:hint="default" w:eastAsia="宋体"/>
          <w:color w:val="auto"/>
          <w:highlight w:val="none"/>
          <w:lang w:val="en-US" w:eastAsia="zh-CN"/>
        </w:rPr>
      </w:pPr>
      <w:r>
        <w:rPr>
          <w:rFonts w:hint="eastAsia"/>
          <w:color w:val="auto"/>
          <w:highlight w:val="none"/>
          <w:lang w:val="en-US" w:eastAsia="zh-CN"/>
        </w:rPr>
        <w:t>（另册）</w:t>
      </w:r>
    </w:p>
    <w:p w14:paraId="475F7BD1">
      <w:pPr>
        <w:pStyle w:val="37"/>
        <w:ind w:left="0"/>
        <w:outlineLvl w:val="9"/>
        <w:rPr>
          <w:color w:val="auto"/>
          <w:highlight w:val="none"/>
        </w:rPr>
      </w:pPr>
    </w:p>
    <w:p w14:paraId="3D2ACD4A">
      <w:pPr>
        <w:outlineLvl w:val="9"/>
        <w:rPr>
          <w:color w:val="auto"/>
          <w:highlight w:val="none"/>
        </w:rPr>
      </w:pPr>
    </w:p>
    <w:sectPr>
      <w:headerReference r:id="rId9" w:type="default"/>
      <w:pgSz w:w="11906" w:h="16838"/>
      <w:pgMar w:top="1134" w:right="1134" w:bottom="1134" w:left="1134"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综艺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10" w:usb3="00000000" w:csb0="00040000" w:csb1="00000000"/>
  </w:font>
  <w:font w:name="汉仪中黑简">
    <w:altName w:val="宋体"/>
    <w:panose1 w:val="00000000000000000000"/>
    <w:charset w:val="86"/>
    <w:family w:val="modern"/>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微软雅黑"/>
    <w:panose1 w:val="00000000000000000000"/>
    <w:charset w:val="86"/>
    <w:family w:val="modern"/>
    <w:pitch w:val="default"/>
    <w:sig w:usb0="00000000" w:usb1="00000000" w:usb2="00000010" w:usb3="00000000" w:csb0="00040000" w:csb1="00000000"/>
  </w:font>
  <w:font w:name="方正小标宋简体">
    <w:altName w:val="Arial Unicode MS"/>
    <w:panose1 w:val="02010600010101010101"/>
    <w:charset w:val="86"/>
    <w:family w:val="auto"/>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隶变简体">
    <w:altName w:val="宋体"/>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1878">
    <w:pPr>
      <w:pStyle w:val="5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B08F">
    <w:pPr>
      <w:pStyle w:val="5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8FE66">
                          <w:pPr>
                            <w:pStyle w:val="5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78FE66">
                    <w:pPr>
                      <w:pStyle w:val="5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DA07">
    <w:pPr>
      <w:pStyle w:val="5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B19F1">
                          <w:pPr>
                            <w:pStyle w:val="5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6B19F1">
                    <w:pPr>
                      <w:pStyle w:val="5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845CC">
    <w:pPr>
      <w:pStyle w:val="54"/>
      <w:jc w:val="left"/>
      <w:rPr>
        <w:rFonts w:ascii="宋体"/>
        <w:sz w:val="21"/>
        <w:szCs w:val="21"/>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F4228">
    <w:pPr>
      <w:pStyle w:val="54"/>
    </w:pPr>
    <w:r>
      <w:rPr>
        <w:rFonts w:hint="eastAsia" w:ascii="宋体"/>
        <w:sz w:val="21"/>
        <w:szCs w:val="21"/>
        <w:u w:val="non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9FABE">
    <w:pPr>
      <w:pStyle w:val="54"/>
    </w:pPr>
    <w:r>
      <w:rPr>
        <w:rFonts w:hint="eastAsia" w:ascii="宋体"/>
        <w:sz w:val="21"/>
        <w:szCs w:val="21"/>
        <w:u w:val="non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3BF2">
    <w:pPr>
      <w:pStyle w:val="54"/>
      <w:jc w:val="left"/>
      <w:rPr>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2"/>
    <w:multiLevelType w:val="multilevel"/>
    <w:tmpl w:val="00000002"/>
    <w:lvl w:ilvl="0" w:tentative="0">
      <w:start w:val="1"/>
      <w:numFmt w:val="chineseCountingThousand"/>
      <w:suff w:val="nothing"/>
      <w:lvlText w:val="第%1章"/>
      <w:lvlJc w:val="left"/>
      <w:pPr>
        <w:tabs>
          <w:tab w:val="left" w:pos="0"/>
        </w:tabs>
        <w:ind w:left="0" w:firstLine="0"/>
      </w:pPr>
      <w:rPr>
        <w:rFonts w:hint="eastAsia" w:ascii="仿宋_GB2312" w:hAnsi="仿宋_GB2312" w:eastAsia="仿宋_GB2312"/>
        <w:sz w:val="44"/>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
    <w:nsid w:val="00000003"/>
    <w:multiLevelType w:val="multilevel"/>
    <w:tmpl w:val="00000003"/>
    <w:lvl w:ilvl="0" w:tentative="0">
      <w:start w:val="1"/>
      <w:numFmt w:val="decimal"/>
      <w:lvlText w:val="（%1）"/>
      <w:lvlJc w:val="left"/>
      <w:pPr>
        <w:tabs>
          <w:tab w:val="left" w:pos="0"/>
        </w:tabs>
        <w:ind w:left="1275" w:hanging="750"/>
      </w:pPr>
    </w:lvl>
    <w:lvl w:ilvl="1" w:tentative="0">
      <w:start w:val="1"/>
      <w:numFmt w:val="lowerLetter"/>
      <w:lvlText w:val="%2)"/>
      <w:lvlJc w:val="left"/>
      <w:pPr>
        <w:tabs>
          <w:tab w:val="left" w:pos="0"/>
        </w:tabs>
        <w:ind w:left="1365" w:hanging="420"/>
      </w:pPr>
    </w:lvl>
    <w:lvl w:ilvl="2" w:tentative="0">
      <w:start w:val="1"/>
      <w:numFmt w:val="lowerRoman"/>
      <w:lvlText w:val="%3."/>
      <w:lvlJc w:val="right"/>
      <w:pPr>
        <w:tabs>
          <w:tab w:val="left" w:pos="0"/>
        </w:tabs>
        <w:ind w:left="1785" w:hanging="420"/>
      </w:pPr>
    </w:lvl>
    <w:lvl w:ilvl="3" w:tentative="0">
      <w:start w:val="1"/>
      <w:numFmt w:val="decimal"/>
      <w:lvlText w:val="%4."/>
      <w:lvlJc w:val="left"/>
      <w:pPr>
        <w:tabs>
          <w:tab w:val="left" w:pos="0"/>
        </w:tabs>
        <w:ind w:left="2205" w:hanging="420"/>
      </w:pPr>
    </w:lvl>
    <w:lvl w:ilvl="4" w:tentative="0">
      <w:start w:val="1"/>
      <w:numFmt w:val="lowerLetter"/>
      <w:lvlText w:val="%5)"/>
      <w:lvlJc w:val="left"/>
      <w:pPr>
        <w:tabs>
          <w:tab w:val="left" w:pos="0"/>
        </w:tabs>
        <w:ind w:left="2625" w:hanging="420"/>
      </w:pPr>
    </w:lvl>
    <w:lvl w:ilvl="5" w:tentative="0">
      <w:start w:val="1"/>
      <w:numFmt w:val="lowerRoman"/>
      <w:lvlText w:val="%6."/>
      <w:lvlJc w:val="right"/>
      <w:pPr>
        <w:tabs>
          <w:tab w:val="left" w:pos="0"/>
        </w:tabs>
        <w:ind w:left="3045" w:hanging="420"/>
      </w:pPr>
    </w:lvl>
    <w:lvl w:ilvl="6" w:tentative="0">
      <w:start w:val="1"/>
      <w:numFmt w:val="decimal"/>
      <w:lvlText w:val="%7."/>
      <w:lvlJc w:val="left"/>
      <w:pPr>
        <w:tabs>
          <w:tab w:val="left" w:pos="0"/>
        </w:tabs>
        <w:ind w:left="3465" w:hanging="420"/>
      </w:pPr>
    </w:lvl>
    <w:lvl w:ilvl="7" w:tentative="0">
      <w:start w:val="1"/>
      <w:numFmt w:val="lowerLetter"/>
      <w:lvlText w:val="%8)"/>
      <w:lvlJc w:val="left"/>
      <w:pPr>
        <w:tabs>
          <w:tab w:val="left" w:pos="0"/>
        </w:tabs>
        <w:ind w:left="3885" w:hanging="420"/>
      </w:pPr>
    </w:lvl>
    <w:lvl w:ilvl="8" w:tentative="0">
      <w:start w:val="1"/>
      <w:numFmt w:val="lowerRoman"/>
      <w:lvlText w:val="%9."/>
      <w:lvlJc w:val="right"/>
      <w:pPr>
        <w:tabs>
          <w:tab w:val="left" w:pos="0"/>
        </w:tabs>
        <w:ind w:left="4305" w:hanging="420"/>
      </w:pPr>
    </w:lvl>
  </w:abstractNum>
  <w:abstractNum w:abstractNumId="4">
    <w:nsid w:val="00000004"/>
    <w:multiLevelType w:val="multilevel"/>
    <w:tmpl w:val="00000004"/>
    <w:lvl w:ilvl="0" w:tentative="0">
      <w:start w:val="1"/>
      <w:numFmt w:val="decimal"/>
      <w:lvlText w:val="%1．"/>
      <w:lvlJc w:val="left"/>
      <w:pPr>
        <w:tabs>
          <w:tab w:val="left" w:pos="0"/>
        </w:tabs>
        <w:ind w:left="1004" w:hanging="720"/>
      </w:pPr>
    </w:lvl>
    <w:lvl w:ilvl="1" w:tentative="0">
      <w:start w:val="1"/>
      <w:numFmt w:val="lowerLetter"/>
      <w:lvlText w:val="%2)"/>
      <w:lvlJc w:val="left"/>
      <w:pPr>
        <w:tabs>
          <w:tab w:val="left" w:pos="0"/>
        </w:tabs>
        <w:ind w:left="1124" w:hanging="420"/>
      </w:pPr>
    </w:lvl>
    <w:lvl w:ilvl="2" w:tentative="0">
      <w:start w:val="1"/>
      <w:numFmt w:val="lowerRoman"/>
      <w:lvlText w:val="%3."/>
      <w:lvlJc w:val="right"/>
      <w:pPr>
        <w:tabs>
          <w:tab w:val="left" w:pos="0"/>
        </w:tabs>
        <w:ind w:left="1544" w:hanging="420"/>
      </w:pPr>
    </w:lvl>
    <w:lvl w:ilvl="3" w:tentative="0">
      <w:start w:val="1"/>
      <w:numFmt w:val="decimal"/>
      <w:lvlText w:val="%4."/>
      <w:lvlJc w:val="left"/>
      <w:pPr>
        <w:tabs>
          <w:tab w:val="left" w:pos="0"/>
        </w:tabs>
        <w:ind w:left="1964" w:hanging="420"/>
      </w:pPr>
    </w:lvl>
    <w:lvl w:ilvl="4" w:tentative="0">
      <w:start w:val="1"/>
      <w:numFmt w:val="lowerLetter"/>
      <w:lvlText w:val="%5)"/>
      <w:lvlJc w:val="left"/>
      <w:pPr>
        <w:tabs>
          <w:tab w:val="left" w:pos="0"/>
        </w:tabs>
        <w:ind w:left="2384" w:hanging="420"/>
      </w:pPr>
    </w:lvl>
    <w:lvl w:ilvl="5" w:tentative="0">
      <w:start w:val="1"/>
      <w:numFmt w:val="lowerRoman"/>
      <w:lvlText w:val="%6."/>
      <w:lvlJc w:val="right"/>
      <w:pPr>
        <w:tabs>
          <w:tab w:val="left" w:pos="0"/>
        </w:tabs>
        <w:ind w:left="2804" w:hanging="420"/>
      </w:pPr>
    </w:lvl>
    <w:lvl w:ilvl="6" w:tentative="0">
      <w:start w:val="1"/>
      <w:numFmt w:val="decimal"/>
      <w:lvlText w:val="%7."/>
      <w:lvlJc w:val="left"/>
      <w:pPr>
        <w:tabs>
          <w:tab w:val="left" w:pos="0"/>
        </w:tabs>
        <w:ind w:left="3224" w:hanging="420"/>
      </w:pPr>
    </w:lvl>
    <w:lvl w:ilvl="7" w:tentative="0">
      <w:start w:val="1"/>
      <w:numFmt w:val="lowerLetter"/>
      <w:lvlText w:val="%8)"/>
      <w:lvlJc w:val="left"/>
      <w:pPr>
        <w:tabs>
          <w:tab w:val="left" w:pos="0"/>
        </w:tabs>
        <w:ind w:left="3644" w:hanging="420"/>
      </w:pPr>
    </w:lvl>
    <w:lvl w:ilvl="8" w:tentative="0">
      <w:start w:val="1"/>
      <w:numFmt w:val="lowerRoman"/>
      <w:lvlText w:val="%9."/>
      <w:lvlJc w:val="right"/>
      <w:pPr>
        <w:tabs>
          <w:tab w:val="left" w:pos="0"/>
        </w:tabs>
        <w:ind w:left="4064" w:hanging="420"/>
      </w:pPr>
    </w:lvl>
  </w:abstractNum>
  <w:abstractNum w:abstractNumId="5">
    <w:nsid w:val="00000005"/>
    <w:multiLevelType w:val="multilevel"/>
    <w:tmpl w:val="00000005"/>
    <w:lvl w:ilvl="0" w:tentative="0">
      <w:start w:val="1"/>
      <w:numFmt w:val="decimal"/>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06"/>
    <w:multiLevelType w:val="singleLevel"/>
    <w:tmpl w:val="00000006"/>
    <w:lvl w:ilvl="0" w:tentative="0">
      <w:start w:val="1"/>
      <w:numFmt w:val="decimal"/>
      <w:suff w:val="space"/>
      <w:lvlText w:val="%1."/>
      <w:lvlJc w:val="left"/>
      <w:pPr>
        <w:tabs>
          <w:tab w:val="left" w:pos="0"/>
        </w:tabs>
        <w:ind w:left="0" w:firstLine="0"/>
      </w:pPr>
    </w:lvl>
  </w:abstractNum>
  <w:abstractNum w:abstractNumId="7">
    <w:nsid w:val="41227584"/>
    <w:multiLevelType w:val="singleLevel"/>
    <w:tmpl w:val="41227584"/>
    <w:lvl w:ilvl="0" w:tentative="0">
      <w:start w:val="1"/>
      <w:numFmt w:val="decimal"/>
      <w:lvlText w:val="%1."/>
      <w:lvlJc w:val="left"/>
      <w:pPr>
        <w:tabs>
          <w:tab w:val="left" w:pos="1200"/>
        </w:tabs>
        <w:ind w:left="1200" w:hanging="360"/>
      </w:pPr>
    </w:lvl>
  </w:abstractNum>
  <w:num w:numId="1">
    <w:abstractNumId w:val="2"/>
    <w:lvlOverride w:ilvl="0">
      <w:startOverride w:val="1"/>
      <w:lvl w:ilvl="0" w:tentative="1">
        <w:start w:val="1"/>
        <w:numFmt w:val="chineseCountingThousand"/>
        <w:pStyle w:val="500"/>
        <w:suff w:val="nothing"/>
        <w:lvlText w:val="第%1章"/>
        <w:lvlJc w:val="left"/>
        <w:pPr>
          <w:tabs>
            <w:tab w:val="left" w:pos="0"/>
          </w:tabs>
          <w:ind w:left="0" w:firstLine="0"/>
        </w:pPr>
        <w:rPr>
          <w:rFonts w:hint="eastAsia" w:ascii="仿宋_GB2312" w:hAnsi="仿宋_GB2312" w:eastAsia="仿宋_GB2312"/>
          <w:sz w:val="44"/>
        </w:rPr>
      </w:lvl>
    </w:lvlOverride>
    <w:lvlOverride w:ilvl="1">
      <w:startOverride w:val="1"/>
      <w:lvl w:ilvl="1" w:tentative="1">
        <w:start w:val="1"/>
        <w:numFmt w:val="none"/>
        <w:pStyle w:val="643"/>
        <w:suff w:val="nothing"/>
        <w:lvlText w:val=""/>
        <w:lvlJc w:val="left"/>
        <w:pPr>
          <w:tabs>
            <w:tab w:val="left" w:pos="0"/>
          </w:tabs>
          <w:ind w:left="0" w:firstLine="0"/>
        </w:pPr>
      </w:lvl>
    </w:lvlOverride>
    <w:lvlOverride w:ilvl="2">
      <w:startOverride w:val="1"/>
      <w:lvl w:ilvl="2" w:tentative="1">
        <w:start w:val="1"/>
        <w:numFmt w:val="none"/>
        <w:pStyle w:val="669"/>
        <w:suff w:val="nothing"/>
        <w:lvlText w:val=""/>
        <w:lvlJc w:val="left"/>
        <w:pPr>
          <w:tabs>
            <w:tab w:val="left" w:pos="0"/>
          </w:tabs>
          <w:ind w:left="0" w:firstLine="0"/>
        </w:pPr>
      </w:lvl>
    </w:lvlOverride>
    <w:lvlOverride w:ilvl="3">
      <w:startOverride w:val="1"/>
      <w:lvl w:ilvl="3" w:tentative="1">
        <w:start w:val="1"/>
        <w:numFmt w:val="none"/>
        <w:suff w:val="nothing"/>
        <w:lvlText w:val=""/>
        <w:lvlJc w:val="left"/>
        <w:pPr>
          <w:tabs>
            <w:tab w:val="left" w:pos="0"/>
          </w:tabs>
          <w:ind w:left="0" w:firstLine="0"/>
        </w:pPr>
      </w:lvl>
    </w:lvlOverride>
    <w:lvlOverride w:ilvl="4">
      <w:startOverride w:val="1"/>
      <w:lvl w:ilvl="4" w:tentative="1">
        <w:start w:val="1"/>
        <w:numFmt w:val="none"/>
        <w:pStyle w:val="6"/>
        <w:suff w:val="nothing"/>
        <w:lvlText w:val=""/>
        <w:lvlJc w:val="left"/>
        <w:pPr>
          <w:tabs>
            <w:tab w:val="left" w:pos="0"/>
          </w:tabs>
          <w:ind w:left="0" w:firstLine="0"/>
        </w:pPr>
      </w:lvl>
    </w:lvlOverride>
    <w:lvlOverride w:ilvl="5">
      <w:startOverride w:val="1"/>
      <w:lvl w:ilvl="5" w:tentative="1">
        <w:start w:val="1"/>
        <w:numFmt w:val="none"/>
        <w:pStyle w:val="8"/>
        <w:suff w:val="nothing"/>
        <w:lvlText w:val=""/>
        <w:lvlJc w:val="left"/>
        <w:pPr>
          <w:tabs>
            <w:tab w:val="left" w:pos="0"/>
          </w:tabs>
          <w:ind w:left="0" w:firstLine="0"/>
        </w:pPr>
      </w:lvl>
    </w:lvlOverride>
    <w:lvlOverride w:ilvl="6">
      <w:startOverride w:val="1"/>
      <w:lvl w:ilvl="6" w:tentative="1">
        <w:start w:val="1"/>
        <w:numFmt w:val="none"/>
        <w:pStyle w:val="9"/>
        <w:suff w:val="nothing"/>
        <w:lvlText w:val=""/>
        <w:lvlJc w:val="left"/>
        <w:pPr>
          <w:tabs>
            <w:tab w:val="left" w:pos="0"/>
          </w:tabs>
          <w:ind w:left="0" w:firstLine="0"/>
        </w:pPr>
      </w:lvl>
    </w:lvlOverride>
    <w:lvlOverride w:ilvl="7">
      <w:startOverride w:val="1"/>
      <w:lvl w:ilvl="7" w:tentative="1">
        <w:start w:val="1"/>
        <w:numFmt w:val="none"/>
        <w:pStyle w:val="10"/>
        <w:suff w:val="nothing"/>
        <w:lvlText w:val=""/>
        <w:lvlJc w:val="left"/>
        <w:pPr>
          <w:tabs>
            <w:tab w:val="left" w:pos="0"/>
          </w:tabs>
          <w:ind w:left="0" w:firstLine="0"/>
        </w:pPr>
      </w:lvl>
    </w:lvlOverride>
    <w:lvlOverride w:ilvl="8">
      <w:startOverride w:val="1"/>
      <w:lvl w:ilvl="8" w:tentative="1">
        <w:start w:val="1"/>
        <w:numFmt w:val="none"/>
        <w:pStyle w:val="11"/>
        <w:suff w:val="nothing"/>
        <w:lvlText w:val=""/>
        <w:lvlJc w:val="left"/>
        <w:pPr>
          <w:tabs>
            <w:tab w:val="left" w:pos="0"/>
          </w:tabs>
          <w:ind w:left="0" w:firstLine="0"/>
        </w:pPr>
      </w:lvl>
    </w:lvlOverride>
  </w:num>
  <w:num w:numId="2">
    <w:abstractNumId w:val="7"/>
    <w:lvlOverride w:ilvl="0">
      <w:startOverride w:val="1"/>
      <w:lvl w:ilvl="0" w:tentative="1">
        <w:start w:val="1"/>
        <w:numFmt w:val="decimal"/>
        <w:pStyle w:val="34"/>
        <w:lvlText w:val="%1."/>
        <w:lvlJc w:val="left"/>
        <w:pPr>
          <w:tabs>
            <w:tab w:val="left" w:pos="1200"/>
          </w:tabs>
          <w:ind w:left="1200" w:hanging="360"/>
        </w:pPr>
      </w:lvl>
    </w:lvlOverride>
  </w:num>
  <w:num w:numId="3">
    <w:abstractNumId w:val="5"/>
    <w:lvlOverride w:ilvl="0">
      <w:startOverride w:val="1"/>
      <w:lvl w:ilvl="0" w:tentative="1">
        <w:start w:val="1"/>
        <w:numFmt w:val="decimal"/>
        <w:pStyle w:val="117"/>
        <w:lvlText w:val="%1."/>
        <w:lvlJc w:val="left"/>
        <w:pPr>
          <w:tabs>
            <w:tab w:val="left" w:pos="420"/>
          </w:tabs>
          <w:ind w:left="420" w:hanging="420"/>
        </w:pPr>
        <w:rPr>
          <w:rFonts w:cs="Times New Roman"/>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4">
    <w:abstractNumId w:val="3"/>
    <w:lvlOverride w:ilvl="0">
      <w:startOverride w:val="1"/>
      <w:lvl w:ilvl="0" w:tentative="1">
        <w:start w:val="1"/>
        <w:numFmt w:val="decimal"/>
        <w:pStyle w:val="126"/>
        <w:lvlText w:val="（%1）"/>
        <w:lvlJc w:val="left"/>
        <w:pPr>
          <w:tabs>
            <w:tab w:val="left" w:pos="0"/>
          </w:tabs>
          <w:ind w:left="1275" w:hanging="750"/>
        </w:pPr>
      </w:lvl>
    </w:lvlOverride>
    <w:lvlOverride w:ilvl="1">
      <w:startOverride w:val="1"/>
      <w:lvl w:ilvl="1" w:tentative="1">
        <w:start w:val="1"/>
        <w:numFmt w:val="lowerLetter"/>
        <w:lvlText w:val="%2)"/>
        <w:lvlJc w:val="left"/>
        <w:pPr>
          <w:tabs>
            <w:tab w:val="left" w:pos="0"/>
          </w:tabs>
          <w:ind w:left="1365" w:hanging="420"/>
        </w:pPr>
      </w:lvl>
    </w:lvlOverride>
    <w:lvlOverride w:ilvl="2">
      <w:startOverride w:val="1"/>
      <w:lvl w:ilvl="2" w:tentative="1">
        <w:start w:val="1"/>
        <w:numFmt w:val="lowerRoman"/>
        <w:lvlText w:val="%3."/>
        <w:lvlJc w:val="right"/>
        <w:pPr>
          <w:tabs>
            <w:tab w:val="left" w:pos="0"/>
          </w:tabs>
          <w:ind w:left="1785" w:hanging="420"/>
        </w:pPr>
      </w:lvl>
    </w:lvlOverride>
    <w:lvlOverride w:ilvl="3">
      <w:startOverride w:val="1"/>
      <w:lvl w:ilvl="3" w:tentative="1">
        <w:start w:val="1"/>
        <w:numFmt w:val="decimal"/>
        <w:lvlText w:val="%4."/>
        <w:lvlJc w:val="left"/>
        <w:pPr>
          <w:tabs>
            <w:tab w:val="left" w:pos="0"/>
          </w:tabs>
          <w:ind w:left="2205" w:hanging="420"/>
        </w:pPr>
      </w:lvl>
    </w:lvlOverride>
    <w:lvlOverride w:ilvl="4">
      <w:startOverride w:val="1"/>
      <w:lvl w:ilvl="4" w:tentative="1">
        <w:start w:val="1"/>
        <w:numFmt w:val="lowerLetter"/>
        <w:lvlText w:val="%5)"/>
        <w:lvlJc w:val="left"/>
        <w:pPr>
          <w:tabs>
            <w:tab w:val="left" w:pos="0"/>
          </w:tabs>
          <w:ind w:left="2625" w:hanging="420"/>
        </w:pPr>
      </w:lvl>
    </w:lvlOverride>
    <w:lvlOverride w:ilvl="5">
      <w:startOverride w:val="1"/>
      <w:lvl w:ilvl="5" w:tentative="1">
        <w:start w:val="1"/>
        <w:numFmt w:val="lowerRoman"/>
        <w:lvlText w:val="%6."/>
        <w:lvlJc w:val="right"/>
        <w:pPr>
          <w:tabs>
            <w:tab w:val="left" w:pos="0"/>
          </w:tabs>
          <w:ind w:left="3045" w:hanging="420"/>
        </w:pPr>
      </w:lvl>
    </w:lvlOverride>
    <w:lvlOverride w:ilvl="6">
      <w:startOverride w:val="1"/>
      <w:lvl w:ilvl="6" w:tentative="1">
        <w:start w:val="1"/>
        <w:numFmt w:val="decimal"/>
        <w:lvlText w:val="%7."/>
        <w:lvlJc w:val="left"/>
        <w:pPr>
          <w:tabs>
            <w:tab w:val="left" w:pos="0"/>
          </w:tabs>
          <w:ind w:left="3465" w:hanging="420"/>
        </w:pPr>
      </w:lvl>
    </w:lvlOverride>
    <w:lvlOverride w:ilvl="7">
      <w:startOverride w:val="1"/>
      <w:lvl w:ilvl="7" w:tentative="1">
        <w:start w:val="1"/>
        <w:numFmt w:val="lowerLetter"/>
        <w:lvlText w:val="%8)"/>
        <w:lvlJc w:val="left"/>
        <w:pPr>
          <w:tabs>
            <w:tab w:val="left" w:pos="0"/>
          </w:tabs>
          <w:ind w:left="3885" w:hanging="420"/>
        </w:pPr>
      </w:lvl>
    </w:lvlOverride>
    <w:lvlOverride w:ilvl="8">
      <w:startOverride w:val="1"/>
      <w:lvl w:ilvl="8" w:tentative="1">
        <w:start w:val="1"/>
        <w:numFmt w:val="lowerRoman"/>
        <w:lvlText w:val="%9."/>
        <w:lvlJc w:val="right"/>
        <w:pPr>
          <w:tabs>
            <w:tab w:val="left" w:pos="0"/>
          </w:tabs>
          <w:ind w:left="4305" w:hanging="420"/>
        </w:pPr>
      </w:lvl>
    </w:lvlOverride>
  </w:num>
  <w:num w:numId="5">
    <w:abstractNumId w:val="4"/>
    <w:lvlOverride w:ilvl="0">
      <w:startOverride w:val="1"/>
      <w:lvl w:ilvl="0" w:tentative="1">
        <w:start w:val="1"/>
        <w:numFmt w:val="decimal"/>
        <w:pStyle w:val="139"/>
        <w:lvlText w:val="%1．"/>
        <w:lvlJc w:val="left"/>
        <w:pPr>
          <w:tabs>
            <w:tab w:val="left" w:pos="0"/>
          </w:tabs>
          <w:ind w:left="1004" w:hanging="720"/>
        </w:pPr>
      </w:lvl>
    </w:lvlOverride>
    <w:lvlOverride w:ilvl="1">
      <w:startOverride w:val="1"/>
      <w:lvl w:ilvl="1" w:tentative="1">
        <w:start w:val="1"/>
        <w:numFmt w:val="lowerLetter"/>
        <w:lvlText w:val="%2)"/>
        <w:lvlJc w:val="left"/>
        <w:pPr>
          <w:tabs>
            <w:tab w:val="left" w:pos="0"/>
          </w:tabs>
          <w:ind w:left="1124" w:hanging="420"/>
        </w:pPr>
      </w:lvl>
    </w:lvlOverride>
    <w:lvlOverride w:ilvl="2">
      <w:startOverride w:val="1"/>
      <w:lvl w:ilvl="2" w:tentative="1">
        <w:start w:val="1"/>
        <w:numFmt w:val="lowerRoman"/>
        <w:lvlText w:val="%3."/>
        <w:lvlJc w:val="right"/>
        <w:pPr>
          <w:tabs>
            <w:tab w:val="left" w:pos="0"/>
          </w:tabs>
          <w:ind w:left="1544" w:hanging="420"/>
        </w:pPr>
      </w:lvl>
    </w:lvlOverride>
    <w:lvlOverride w:ilvl="3">
      <w:startOverride w:val="1"/>
      <w:lvl w:ilvl="3" w:tentative="1">
        <w:start w:val="1"/>
        <w:numFmt w:val="decimal"/>
        <w:lvlText w:val="%4."/>
        <w:lvlJc w:val="left"/>
        <w:pPr>
          <w:tabs>
            <w:tab w:val="left" w:pos="0"/>
          </w:tabs>
          <w:ind w:left="1964" w:hanging="420"/>
        </w:pPr>
      </w:lvl>
    </w:lvlOverride>
    <w:lvlOverride w:ilvl="4">
      <w:startOverride w:val="1"/>
      <w:lvl w:ilvl="4" w:tentative="1">
        <w:start w:val="1"/>
        <w:numFmt w:val="lowerLetter"/>
        <w:lvlText w:val="%5)"/>
        <w:lvlJc w:val="left"/>
        <w:pPr>
          <w:tabs>
            <w:tab w:val="left" w:pos="0"/>
          </w:tabs>
          <w:ind w:left="2384" w:hanging="420"/>
        </w:pPr>
      </w:lvl>
    </w:lvlOverride>
    <w:lvlOverride w:ilvl="5">
      <w:startOverride w:val="1"/>
      <w:lvl w:ilvl="5" w:tentative="1">
        <w:start w:val="1"/>
        <w:numFmt w:val="lowerRoman"/>
        <w:lvlText w:val="%6."/>
        <w:lvlJc w:val="right"/>
        <w:pPr>
          <w:tabs>
            <w:tab w:val="left" w:pos="0"/>
          </w:tabs>
          <w:ind w:left="2804" w:hanging="420"/>
        </w:pPr>
      </w:lvl>
    </w:lvlOverride>
    <w:lvlOverride w:ilvl="6">
      <w:startOverride w:val="1"/>
      <w:lvl w:ilvl="6" w:tentative="1">
        <w:start w:val="1"/>
        <w:numFmt w:val="decimal"/>
        <w:lvlText w:val="%7."/>
        <w:lvlJc w:val="left"/>
        <w:pPr>
          <w:tabs>
            <w:tab w:val="left" w:pos="0"/>
          </w:tabs>
          <w:ind w:left="3224" w:hanging="420"/>
        </w:pPr>
      </w:lvl>
    </w:lvlOverride>
    <w:lvlOverride w:ilvl="7">
      <w:startOverride w:val="1"/>
      <w:lvl w:ilvl="7" w:tentative="1">
        <w:start w:val="1"/>
        <w:numFmt w:val="lowerLetter"/>
        <w:lvlText w:val="%8)"/>
        <w:lvlJc w:val="left"/>
        <w:pPr>
          <w:tabs>
            <w:tab w:val="left" w:pos="0"/>
          </w:tabs>
          <w:ind w:left="3644" w:hanging="420"/>
        </w:pPr>
      </w:lvl>
    </w:lvlOverride>
    <w:lvlOverride w:ilvl="8">
      <w:startOverride w:val="1"/>
      <w:lvl w:ilvl="8" w:tentative="1">
        <w:start w:val="1"/>
        <w:numFmt w:val="lowerRoman"/>
        <w:lvlText w:val="%9."/>
        <w:lvlJc w:val="right"/>
        <w:pPr>
          <w:tabs>
            <w:tab w:val="left" w:pos="0"/>
          </w:tabs>
          <w:ind w:left="4064" w:hanging="420"/>
        </w:pPr>
      </w:lvl>
    </w:lvlOverride>
  </w:num>
  <w:num w:numId="6">
    <w:abstractNumId w:val="1"/>
    <w:lvlOverride w:ilvl="0">
      <w:startOverride w:val="1"/>
      <w:lvl w:ilvl="0" w:tentative="1">
        <w:start w:val="1"/>
        <w:numFmt w:val="decimal"/>
        <w:pStyle w:val="150"/>
        <w:lvlText w:val="%1）"/>
        <w:lvlJc w:val="left"/>
        <w:pPr>
          <w:tabs>
            <w:tab w:val="left" w:pos="780"/>
          </w:tabs>
          <w:ind w:left="780" w:hanging="360"/>
        </w:pPr>
      </w:lvl>
    </w:lvlOverride>
    <w:lvlOverride w:ilvl="1">
      <w:startOverride w:val="1"/>
      <w:lvl w:ilvl="1" w:tentative="1">
        <w:start w:val="1"/>
        <w:numFmt w:val="lowerLetter"/>
        <w:lvlText w:val="%2)"/>
        <w:lvlJc w:val="left"/>
        <w:pPr>
          <w:tabs>
            <w:tab w:val="left" w:pos="1260"/>
          </w:tabs>
          <w:ind w:left="1260" w:hanging="420"/>
        </w:pPr>
      </w:lvl>
    </w:lvlOverride>
    <w:lvlOverride w:ilvl="2">
      <w:startOverride w:val="1"/>
      <w:lvl w:ilvl="2" w:tentative="1">
        <w:start w:val="1"/>
        <w:numFmt w:val="lowerRoman"/>
        <w:lvlText w:val="%3."/>
        <w:lvlJc w:val="right"/>
        <w:pPr>
          <w:tabs>
            <w:tab w:val="left" w:pos="1680"/>
          </w:tabs>
          <w:ind w:left="1680" w:hanging="420"/>
        </w:pPr>
      </w:lvl>
    </w:lvlOverride>
    <w:lvlOverride w:ilvl="3">
      <w:startOverride w:val="1"/>
      <w:lvl w:ilvl="3" w:tentative="1">
        <w:start w:val="1"/>
        <w:numFmt w:val="decimal"/>
        <w:lvlText w:val="%4."/>
        <w:lvlJc w:val="left"/>
        <w:pPr>
          <w:tabs>
            <w:tab w:val="left" w:pos="2100"/>
          </w:tabs>
          <w:ind w:left="2100" w:hanging="420"/>
        </w:pPr>
      </w:lvl>
    </w:lvlOverride>
    <w:lvlOverride w:ilvl="4">
      <w:startOverride w:val="1"/>
      <w:lvl w:ilvl="4" w:tentative="1">
        <w:start w:val="1"/>
        <w:numFmt w:val="lowerLetter"/>
        <w:lvlText w:val="%5)"/>
        <w:lvlJc w:val="left"/>
        <w:pPr>
          <w:tabs>
            <w:tab w:val="left" w:pos="2520"/>
          </w:tabs>
          <w:ind w:left="2520" w:hanging="420"/>
        </w:pPr>
      </w:lvl>
    </w:lvlOverride>
    <w:lvlOverride w:ilvl="5">
      <w:startOverride w:val="1"/>
      <w:lvl w:ilvl="5" w:tentative="1">
        <w:start w:val="1"/>
        <w:numFmt w:val="lowerRoman"/>
        <w:lvlText w:val="%6."/>
        <w:lvlJc w:val="right"/>
        <w:pPr>
          <w:tabs>
            <w:tab w:val="left" w:pos="2940"/>
          </w:tabs>
          <w:ind w:left="2940" w:hanging="420"/>
        </w:pPr>
      </w:lvl>
    </w:lvlOverride>
    <w:lvlOverride w:ilvl="6">
      <w:startOverride w:val="1"/>
      <w:lvl w:ilvl="6" w:tentative="1">
        <w:start w:val="1"/>
        <w:numFmt w:val="decimal"/>
        <w:lvlText w:val="%7."/>
        <w:lvlJc w:val="left"/>
        <w:pPr>
          <w:tabs>
            <w:tab w:val="left" w:pos="3360"/>
          </w:tabs>
          <w:ind w:left="3360" w:hanging="420"/>
        </w:pPr>
      </w:lvl>
    </w:lvlOverride>
    <w:lvlOverride w:ilvl="7">
      <w:startOverride w:val="1"/>
      <w:lvl w:ilvl="7" w:tentative="1">
        <w:start w:val="1"/>
        <w:numFmt w:val="lowerLetter"/>
        <w:lvlText w:val="%8)"/>
        <w:lvlJc w:val="left"/>
        <w:pPr>
          <w:tabs>
            <w:tab w:val="left" w:pos="3780"/>
          </w:tabs>
          <w:ind w:left="3780" w:hanging="420"/>
        </w:pPr>
      </w:lvl>
    </w:lvlOverride>
    <w:lvlOverride w:ilvl="8">
      <w:startOverride w:val="1"/>
      <w:lvl w:ilvl="8" w:tentative="1">
        <w:start w:val="1"/>
        <w:numFmt w:val="lowerRoman"/>
        <w:lvlText w:val="%9."/>
        <w:lvlJc w:val="right"/>
        <w:pPr>
          <w:tabs>
            <w:tab w:val="left" w:pos="4200"/>
          </w:tabs>
          <w:ind w:left="4200" w:hanging="420"/>
        </w:pPr>
      </w:lvl>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0"/>
  <w:bordersDoNotSurroundFooter w:val="0"/>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NDNmNzQ3M2Q2Y2E2MGFmNWIxOGNkYmU1YWJjMDkifQ=="/>
  </w:docVars>
  <w:rsids>
    <w:rsidRoot w:val="00FE1196"/>
    <w:rsid w:val="00012685"/>
    <w:rsid w:val="000733FB"/>
    <w:rsid w:val="000912C6"/>
    <w:rsid w:val="000E613D"/>
    <w:rsid w:val="001154ED"/>
    <w:rsid w:val="00134A6A"/>
    <w:rsid w:val="00156AFC"/>
    <w:rsid w:val="001773DD"/>
    <w:rsid w:val="001A0886"/>
    <w:rsid w:val="001E6C88"/>
    <w:rsid w:val="00210A7E"/>
    <w:rsid w:val="002619E5"/>
    <w:rsid w:val="002F67D6"/>
    <w:rsid w:val="003875E4"/>
    <w:rsid w:val="0039517E"/>
    <w:rsid w:val="00395A7F"/>
    <w:rsid w:val="003A5DB6"/>
    <w:rsid w:val="003C086A"/>
    <w:rsid w:val="003E123E"/>
    <w:rsid w:val="00454DAF"/>
    <w:rsid w:val="00465C41"/>
    <w:rsid w:val="004C06AA"/>
    <w:rsid w:val="004E2505"/>
    <w:rsid w:val="004F2DAC"/>
    <w:rsid w:val="00503B16"/>
    <w:rsid w:val="00514769"/>
    <w:rsid w:val="00543675"/>
    <w:rsid w:val="005619CD"/>
    <w:rsid w:val="00587119"/>
    <w:rsid w:val="00594F75"/>
    <w:rsid w:val="006734FB"/>
    <w:rsid w:val="00683A1A"/>
    <w:rsid w:val="006B0668"/>
    <w:rsid w:val="007070B0"/>
    <w:rsid w:val="00750D4A"/>
    <w:rsid w:val="00772371"/>
    <w:rsid w:val="00783F64"/>
    <w:rsid w:val="007A151F"/>
    <w:rsid w:val="00887FC2"/>
    <w:rsid w:val="008E5B4F"/>
    <w:rsid w:val="009933EB"/>
    <w:rsid w:val="009A0584"/>
    <w:rsid w:val="009A1E2F"/>
    <w:rsid w:val="009D6D89"/>
    <w:rsid w:val="00A2419C"/>
    <w:rsid w:val="00A331B4"/>
    <w:rsid w:val="00A34D5C"/>
    <w:rsid w:val="00A4434A"/>
    <w:rsid w:val="00A91804"/>
    <w:rsid w:val="00AA6BA7"/>
    <w:rsid w:val="00AD7595"/>
    <w:rsid w:val="00AE324E"/>
    <w:rsid w:val="00AF2FB4"/>
    <w:rsid w:val="00AF7077"/>
    <w:rsid w:val="00B35EE1"/>
    <w:rsid w:val="00B418E6"/>
    <w:rsid w:val="00B539E0"/>
    <w:rsid w:val="00B61F71"/>
    <w:rsid w:val="00BE56DD"/>
    <w:rsid w:val="00BF052A"/>
    <w:rsid w:val="00CA1F95"/>
    <w:rsid w:val="00CF78DD"/>
    <w:rsid w:val="00D37F17"/>
    <w:rsid w:val="00DB4554"/>
    <w:rsid w:val="00DD2DBB"/>
    <w:rsid w:val="00DD4161"/>
    <w:rsid w:val="00DE4E76"/>
    <w:rsid w:val="00DE744C"/>
    <w:rsid w:val="00E70919"/>
    <w:rsid w:val="00E95943"/>
    <w:rsid w:val="00EE3A0E"/>
    <w:rsid w:val="00EE4CE7"/>
    <w:rsid w:val="00F01E74"/>
    <w:rsid w:val="00F24021"/>
    <w:rsid w:val="00FE1196"/>
    <w:rsid w:val="01423B99"/>
    <w:rsid w:val="01766BA8"/>
    <w:rsid w:val="0185118F"/>
    <w:rsid w:val="01C929F1"/>
    <w:rsid w:val="01DD2D5E"/>
    <w:rsid w:val="023C4E17"/>
    <w:rsid w:val="02876FC2"/>
    <w:rsid w:val="02A318E0"/>
    <w:rsid w:val="02B07829"/>
    <w:rsid w:val="02CE2EE8"/>
    <w:rsid w:val="02D0730E"/>
    <w:rsid w:val="02DA5954"/>
    <w:rsid w:val="02F360AD"/>
    <w:rsid w:val="033E529B"/>
    <w:rsid w:val="03B44413"/>
    <w:rsid w:val="04860644"/>
    <w:rsid w:val="04A56A81"/>
    <w:rsid w:val="04DF51AF"/>
    <w:rsid w:val="04EB7CDE"/>
    <w:rsid w:val="05127887"/>
    <w:rsid w:val="057E5747"/>
    <w:rsid w:val="059F19A7"/>
    <w:rsid w:val="05B769DB"/>
    <w:rsid w:val="05D80BD9"/>
    <w:rsid w:val="06252E2F"/>
    <w:rsid w:val="06484009"/>
    <w:rsid w:val="068A6556"/>
    <w:rsid w:val="068D0A31"/>
    <w:rsid w:val="06A73120"/>
    <w:rsid w:val="06D633D2"/>
    <w:rsid w:val="06FB4E20"/>
    <w:rsid w:val="072B0CFD"/>
    <w:rsid w:val="07413C80"/>
    <w:rsid w:val="075607E1"/>
    <w:rsid w:val="078240CD"/>
    <w:rsid w:val="07827BF2"/>
    <w:rsid w:val="082317AC"/>
    <w:rsid w:val="0870107E"/>
    <w:rsid w:val="089124D4"/>
    <w:rsid w:val="08DC403B"/>
    <w:rsid w:val="08F47D70"/>
    <w:rsid w:val="090B08DE"/>
    <w:rsid w:val="092141AB"/>
    <w:rsid w:val="09293E5A"/>
    <w:rsid w:val="0A3665F0"/>
    <w:rsid w:val="0A3A2F3C"/>
    <w:rsid w:val="0A5D0E63"/>
    <w:rsid w:val="0ABB4908"/>
    <w:rsid w:val="0ADF4BC8"/>
    <w:rsid w:val="0BE106D6"/>
    <w:rsid w:val="0BE335B8"/>
    <w:rsid w:val="0C546CF5"/>
    <w:rsid w:val="0C8262BF"/>
    <w:rsid w:val="0CD86C36"/>
    <w:rsid w:val="0D0858E6"/>
    <w:rsid w:val="0D0A7EE0"/>
    <w:rsid w:val="0D595354"/>
    <w:rsid w:val="0D7C07BE"/>
    <w:rsid w:val="0D8015E2"/>
    <w:rsid w:val="0D842167"/>
    <w:rsid w:val="0DBC153B"/>
    <w:rsid w:val="0DF76096"/>
    <w:rsid w:val="0DF946A9"/>
    <w:rsid w:val="0E3061B6"/>
    <w:rsid w:val="0F423341"/>
    <w:rsid w:val="0F426C6A"/>
    <w:rsid w:val="0F763FE3"/>
    <w:rsid w:val="0FD41CB7"/>
    <w:rsid w:val="0FEC1D5D"/>
    <w:rsid w:val="1080520A"/>
    <w:rsid w:val="10DA5C05"/>
    <w:rsid w:val="111F763A"/>
    <w:rsid w:val="113A5052"/>
    <w:rsid w:val="114C191D"/>
    <w:rsid w:val="114E075D"/>
    <w:rsid w:val="1156733B"/>
    <w:rsid w:val="116827B9"/>
    <w:rsid w:val="11AC3971"/>
    <w:rsid w:val="11B37E5E"/>
    <w:rsid w:val="11F20A7E"/>
    <w:rsid w:val="122733D6"/>
    <w:rsid w:val="12343657"/>
    <w:rsid w:val="12757CB0"/>
    <w:rsid w:val="12A63F9E"/>
    <w:rsid w:val="12FB2F33"/>
    <w:rsid w:val="135A220E"/>
    <w:rsid w:val="138A35B9"/>
    <w:rsid w:val="140355E4"/>
    <w:rsid w:val="14E83E19"/>
    <w:rsid w:val="153D5EE7"/>
    <w:rsid w:val="15B35885"/>
    <w:rsid w:val="15C11BB1"/>
    <w:rsid w:val="15D72FED"/>
    <w:rsid w:val="15FB3CF2"/>
    <w:rsid w:val="169B2E3C"/>
    <w:rsid w:val="172A24CA"/>
    <w:rsid w:val="172E0F40"/>
    <w:rsid w:val="175E3962"/>
    <w:rsid w:val="178C7567"/>
    <w:rsid w:val="17AF5A1C"/>
    <w:rsid w:val="17FA3BA1"/>
    <w:rsid w:val="18030C76"/>
    <w:rsid w:val="182D47DA"/>
    <w:rsid w:val="18470C8C"/>
    <w:rsid w:val="1867661E"/>
    <w:rsid w:val="189261F3"/>
    <w:rsid w:val="18D731CF"/>
    <w:rsid w:val="192F6796"/>
    <w:rsid w:val="19C45DA4"/>
    <w:rsid w:val="1A5B4095"/>
    <w:rsid w:val="1A643454"/>
    <w:rsid w:val="1BC8569E"/>
    <w:rsid w:val="1BDA0FF6"/>
    <w:rsid w:val="1C0874C2"/>
    <w:rsid w:val="1C705EEB"/>
    <w:rsid w:val="1CD02B25"/>
    <w:rsid w:val="1D5A3424"/>
    <w:rsid w:val="1D7A73C9"/>
    <w:rsid w:val="1DE750BB"/>
    <w:rsid w:val="1E422569"/>
    <w:rsid w:val="1E757C88"/>
    <w:rsid w:val="1E802B78"/>
    <w:rsid w:val="1EB24D33"/>
    <w:rsid w:val="1ED70BEF"/>
    <w:rsid w:val="1FD56262"/>
    <w:rsid w:val="20146634"/>
    <w:rsid w:val="20384A18"/>
    <w:rsid w:val="20A0436C"/>
    <w:rsid w:val="20AE6335"/>
    <w:rsid w:val="2101678C"/>
    <w:rsid w:val="219178B1"/>
    <w:rsid w:val="221C7E80"/>
    <w:rsid w:val="22283457"/>
    <w:rsid w:val="22644D7E"/>
    <w:rsid w:val="230F0630"/>
    <w:rsid w:val="2340783B"/>
    <w:rsid w:val="23E955F3"/>
    <w:rsid w:val="24007AC0"/>
    <w:rsid w:val="243A6B1F"/>
    <w:rsid w:val="246E4032"/>
    <w:rsid w:val="24E25353"/>
    <w:rsid w:val="25C27861"/>
    <w:rsid w:val="25CF50A0"/>
    <w:rsid w:val="25ED705A"/>
    <w:rsid w:val="25F6769A"/>
    <w:rsid w:val="26AE27C9"/>
    <w:rsid w:val="26D37745"/>
    <w:rsid w:val="273D1A54"/>
    <w:rsid w:val="274A6C24"/>
    <w:rsid w:val="27A66824"/>
    <w:rsid w:val="27B06812"/>
    <w:rsid w:val="27DB5E16"/>
    <w:rsid w:val="28112CC9"/>
    <w:rsid w:val="286C7061"/>
    <w:rsid w:val="28BE3623"/>
    <w:rsid w:val="2940434F"/>
    <w:rsid w:val="2A4E3D4B"/>
    <w:rsid w:val="2A6E3873"/>
    <w:rsid w:val="2B150F20"/>
    <w:rsid w:val="2B541FAB"/>
    <w:rsid w:val="2B6563FB"/>
    <w:rsid w:val="2B893CD6"/>
    <w:rsid w:val="2BEA226E"/>
    <w:rsid w:val="2C5548FA"/>
    <w:rsid w:val="2CA652C3"/>
    <w:rsid w:val="2CC8485C"/>
    <w:rsid w:val="2CE35D0C"/>
    <w:rsid w:val="2CFE30F6"/>
    <w:rsid w:val="2D34781F"/>
    <w:rsid w:val="2D3A09C2"/>
    <w:rsid w:val="2DB44ED1"/>
    <w:rsid w:val="2DB81DF6"/>
    <w:rsid w:val="2E1152D7"/>
    <w:rsid w:val="2EC57E09"/>
    <w:rsid w:val="2EFE378A"/>
    <w:rsid w:val="2F62149F"/>
    <w:rsid w:val="2F7D500B"/>
    <w:rsid w:val="30326F83"/>
    <w:rsid w:val="303B0F00"/>
    <w:rsid w:val="30660CDF"/>
    <w:rsid w:val="31021770"/>
    <w:rsid w:val="314C2025"/>
    <w:rsid w:val="315517AC"/>
    <w:rsid w:val="31A842CC"/>
    <w:rsid w:val="31FF6CCD"/>
    <w:rsid w:val="32AC5827"/>
    <w:rsid w:val="34085FDA"/>
    <w:rsid w:val="34127C97"/>
    <w:rsid w:val="342B1747"/>
    <w:rsid w:val="343E4D60"/>
    <w:rsid w:val="352C398B"/>
    <w:rsid w:val="363E7939"/>
    <w:rsid w:val="366E30DA"/>
    <w:rsid w:val="36782952"/>
    <w:rsid w:val="3682216D"/>
    <w:rsid w:val="36B6160E"/>
    <w:rsid w:val="36BB3694"/>
    <w:rsid w:val="36D10F93"/>
    <w:rsid w:val="36D73ABC"/>
    <w:rsid w:val="375C7B26"/>
    <w:rsid w:val="37855BBE"/>
    <w:rsid w:val="37936AB8"/>
    <w:rsid w:val="38874157"/>
    <w:rsid w:val="38B72754"/>
    <w:rsid w:val="38F82B3E"/>
    <w:rsid w:val="39F343FF"/>
    <w:rsid w:val="3A6F402E"/>
    <w:rsid w:val="3A9850CF"/>
    <w:rsid w:val="3AFC2E13"/>
    <w:rsid w:val="3B39712F"/>
    <w:rsid w:val="3B93358E"/>
    <w:rsid w:val="3C46053F"/>
    <w:rsid w:val="3C526A0A"/>
    <w:rsid w:val="3C82712F"/>
    <w:rsid w:val="3D294B8D"/>
    <w:rsid w:val="3D934BE4"/>
    <w:rsid w:val="3DAE7C70"/>
    <w:rsid w:val="3DB52E7D"/>
    <w:rsid w:val="3E0A1E2F"/>
    <w:rsid w:val="3E485891"/>
    <w:rsid w:val="3E7E1019"/>
    <w:rsid w:val="3F1E3544"/>
    <w:rsid w:val="3F9B2F8B"/>
    <w:rsid w:val="3FD91D37"/>
    <w:rsid w:val="3FEA59CA"/>
    <w:rsid w:val="40080380"/>
    <w:rsid w:val="402B5532"/>
    <w:rsid w:val="402D5F84"/>
    <w:rsid w:val="404703E6"/>
    <w:rsid w:val="42E66EA6"/>
    <w:rsid w:val="42F7081B"/>
    <w:rsid w:val="430D662E"/>
    <w:rsid w:val="434515C1"/>
    <w:rsid w:val="436F5975"/>
    <w:rsid w:val="438C543B"/>
    <w:rsid w:val="43D836B2"/>
    <w:rsid w:val="43D9479F"/>
    <w:rsid w:val="441E099B"/>
    <w:rsid w:val="44870F11"/>
    <w:rsid w:val="44A91CE1"/>
    <w:rsid w:val="44D45095"/>
    <w:rsid w:val="45282CE1"/>
    <w:rsid w:val="45371098"/>
    <w:rsid w:val="455976C7"/>
    <w:rsid w:val="456036FB"/>
    <w:rsid w:val="45615A34"/>
    <w:rsid w:val="458113F3"/>
    <w:rsid w:val="45B8281D"/>
    <w:rsid w:val="45C66FB4"/>
    <w:rsid w:val="45C70A55"/>
    <w:rsid w:val="45F67774"/>
    <w:rsid w:val="46962CF0"/>
    <w:rsid w:val="479753C8"/>
    <w:rsid w:val="47CD2E61"/>
    <w:rsid w:val="47F745F9"/>
    <w:rsid w:val="47FF116A"/>
    <w:rsid w:val="48257AF0"/>
    <w:rsid w:val="482748D1"/>
    <w:rsid w:val="48A05CA6"/>
    <w:rsid w:val="48D46DDB"/>
    <w:rsid w:val="48DA2B00"/>
    <w:rsid w:val="490B2BF6"/>
    <w:rsid w:val="49AE4EE4"/>
    <w:rsid w:val="4A7111E1"/>
    <w:rsid w:val="4A7D2EC7"/>
    <w:rsid w:val="4B20743D"/>
    <w:rsid w:val="4B737013"/>
    <w:rsid w:val="4B995405"/>
    <w:rsid w:val="4B9E11B1"/>
    <w:rsid w:val="4BA27FF0"/>
    <w:rsid w:val="4C656066"/>
    <w:rsid w:val="4CC601A5"/>
    <w:rsid w:val="4CC66DE6"/>
    <w:rsid w:val="4CD445C2"/>
    <w:rsid w:val="4CFB0140"/>
    <w:rsid w:val="4D1D75B6"/>
    <w:rsid w:val="4D4A17DF"/>
    <w:rsid w:val="4D820E8D"/>
    <w:rsid w:val="4D8C49AE"/>
    <w:rsid w:val="4DB92318"/>
    <w:rsid w:val="4DDB254D"/>
    <w:rsid w:val="4E28304C"/>
    <w:rsid w:val="4E293D9C"/>
    <w:rsid w:val="4E671EE7"/>
    <w:rsid w:val="4E9F3018"/>
    <w:rsid w:val="4EB81371"/>
    <w:rsid w:val="4EBC691A"/>
    <w:rsid w:val="4F3D1D44"/>
    <w:rsid w:val="4F4C024C"/>
    <w:rsid w:val="4F531239"/>
    <w:rsid w:val="4FF21DCF"/>
    <w:rsid w:val="501A0EE0"/>
    <w:rsid w:val="50323B18"/>
    <w:rsid w:val="50CA1BC3"/>
    <w:rsid w:val="50FF1949"/>
    <w:rsid w:val="51545252"/>
    <w:rsid w:val="51D16B42"/>
    <w:rsid w:val="52013FF4"/>
    <w:rsid w:val="52092A33"/>
    <w:rsid w:val="52392C97"/>
    <w:rsid w:val="52937BE6"/>
    <w:rsid w:val="52BD7C96"/>
    <w:rsid w:val="53421816"/>
    <w:rsid w:val="53642E53"/>
    <w:rsid w:val="539D51E1"/>
    <w:rsid w:val="53F82099"/>
    <w:rsid w:val="541A5CB0"/>
    <w:rsid w:val="54A42C04"/>
    <w:rsid w:val="55034EAB"/>
    <w:rsid w:val="556D56DD"/>
    <w:rsid w:val="55AD0967"/>
    <w:rsid w:val="56246FCE"/>
    <w:rsid w:val="565A7CDC"/>
    <w:rsid w:val="56B31EBC"/>
    <w:rsid w:val="5746243C"/>
    <w:rsid w:val="57C20994"/>
    <w:rsid w:val="584669E8"/>
    <w:rsid w:val="58FF199E"/>
    <w:rsid w:val="593616C3"/>
    <w:rsid w:val="595A4BC7"/>
    <w:rsid w:val="59A9595B"/>
    <w:rsid w:val="59B25A78"/>
    <w:rsid w:val="59CF594C"/>
    <w:rsid w:val="5A104D82"/>
    <w:rsid w:val="5A4047F5"/>
    <w:rsid w:val="5AA964FC"/>
    <w:rsid w:val="5AEB0DC6"/>
    <w:rsid w:val="5AFF14E9"/>
    <w:rsid w:val="5B417F1E"/>
    <w:rsid w:val="5BC52946"/>
    <w:rsid w:val="5BD2308F"/>
    <w:rsid w:val="5C041B11"/>
    <w:rsid w:val="5C1B4685"/>
    <w:rsid w:val="5CAD0D8C"/>
    <w:rsid w:val="5D0E765B"/>
    <w:rsid w:val="5DB9305A"/>
    <w:rsid w:val="5DBB46EC"/>
    <w:rsid w:val="5DEC726E"/>
    <w:rsid w:val="5E0578EB"/>
    <w:rsid w:val="5E28378F"/>
    <w:rsid w:val="5E64091E"/>
    <w:rsid w:val="5E6718E1"/>
    <w:rsid w:val="5E911B5F"/>
    <w:rsid w:val="5E9D4F1D"/>
    <w:rsid w:val="5EBC18A2"/>
    <w:rsid w:val="5F007785"/>
    <w:rsid w:val="5F7A663F"/>
    <w:rsid w:val="5F944375"/>
    <w:rsid w:val="601F7144"/>
    <w:rsid w:val="60AA2C05"/>
    <w:rsid w:val="61E77A3F"/>
    <w:rsid w:val="629C32FA"/>
    <w:rsid w:val="62B248B2"/>
    <w:rsid w:val="630158D7"/>
    <w:rsid w:val="63076554"/>
    <w:rsid w:val="631D301E"/>
    <w:rsid w:val="638C006B"/>
    <w:rsid w:val="63A463CB"/>
    <w:rsid w:val="64471C19"/>
    <w:rsid w:val="6455495A"/>
    <w:rsid w:val="647B0EF0"/>
    <w:rsid w:val="65196EDC"/>
    <w:rsid w:val="65D761B8"/>
    <w:rsid w:val="666F19DE"/>
    <w:rsid w:val="66DB04E7"/>
    <w:rsid w:val="67536DC2"/>
    <w:rsid w:val="67871F9A"/>
    <w:rsid w:val="67B11EDA"/>
    <w:rsid w:val="67F46486"/>
    <w:rsid w:val="680B04A3"/>
    <w:rsid w:val="686139CD"/>
    <w:rsid w:val="68A17CF2"/>
    <w:rsid w:val="68CD6546"/>
    <w:rsid w:val="69140A20"/>
    <w:rsid w:val="69475497"/>
    <w:rsid w:val="69484A0B"/>
    <w:rsid w:val="69936349"/>
    <w:rsid w:val="6A7B6F31"/>
    <w:rsid w:val="6AE63664"/>
    <w:rsid w:val="6B05682F"/>
    <w:rsid w:val="6B382F12"/>
    <w:rsid w:val="6B4C5245"/>
    <w:rsid w:val="6B654444"/>
    <w:rsid w:val="6B7B2C87"/>
    <w:rsid w:val="6BB64010"/>
    <w:rsid w:val="6BFF1CFD"/>
    <w:rsid w:val="6C5C48FC"/>
    <w:rsid w:val="6C6D488D"/>
    <w:rsid w:val="6C982D74"/>
    <w:rsid w:val="6CC11C89"/>
    <w:rsid w:val="6D1879A1"/>
    <w:rsid w:val="6DCA0B5E"/>
    <w:rsid w:val="6DD0569B"/>
    <w:rsid w:val="6DE8238B"/>
    <w:rsid w:val="6DEB1F13"/>
    <w:rsid w:val="6E4E64ED"/>
    <w:rsid w:val="6EFC271B"/>
    <w:rsid w:val="6F031F40"/>
    <w:rsid w:val="6F6F13E8"/>
    <w:rsid w:val="6F8A12BC"/>
    <w:rsid w:val="6FE4147F"/>
    <w:rsid w:val="700B6082"/>
    <w:rsid w:val="704D6045"/>
    <w:rsid w:val="70757E8B"/>
    <w:rsid w:val="707F2C23"/>
    <w:rsid w:val="70A25870"/>
    <w:rsid w:val="70B75E14"/>
    <w:rsid w:val="70F452A5"/>
    <w:rsid w:val="70FE5480"/>
    <w:rsid w:val="71FC3EC7"/>
    <w:rsid w:val="722D6BC3"/>
    <w:rsid w:val="723F63E8"/>
    <w:rsid w:val="728662A5"/>
    <w:rsid w:val="738D0722"/>
    <w:rsid w:val="744F0C49"/>
    <w:rsid w:val="746E5BCF"/>
    <w:rsid w:val="74D77ACE"/>
    <w:rsid w:val="74E947B0"/>
    <w:rsid w:val="751004FD"/>
    <w:rsid w:val="7537477F"/>
    <w:rsid w:val="762B4D12"/>
    <w:rsid w:val="76B911CE"/>
    <w:rsid w:val="77795636"/>
    <w:rsid w:val="779157B6"/>
    <w:rsid w:val="77EA6748"/>
    <w:rsid w:val="77FC724F"/>
    <w:rsid w:val="782D258E"/>
    <w:rsid w:val="78676BB1"/>
    <w:rsid w:val="78837BB7"/>
    <w:rsid w:val="789047C5"/>
    <w:rsid w:val="78CC2A74"/>
    <w:rsid w:val="78E653A3"/>
    <w:rsid w:val="793A3096"/>
    <w:rsid w:val="7A105C16"/>
    <w:rsid w:val="7A6672B0"/>
    <w:rsid w:val="7A675854"/>
    <w:rsid w:val="7A8A32B7"/>
    <w:rsid w:val="7BFC6098"/>
    <w:rsid w:val="7C2F0BCC"/>
    <w:rsid w:val="7C5E6A32"/>
    <w:rsid w:val="7C771B03"/>
    <w:rsid w:val="7CDD2E49"/>
    <w:rsid w:val="7CE66D7A"/>
    <w:rsid w:val="7CEF45EE"/>
    <w:rsid w:val="7D3034B4"/>
    <w:rsid w:val="7DAD6864"/>
    <w:rsid w:val="7DC71B63"/>
    <w:rsid w:val="7DD24584"/>
    <w:rsid w:val="7DDF4BBD"/>
    <w:rsid w:val="7E003EAA"/>
    <w:rsid w:val="7E0F6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outlineLvl w:val="1"/>
    </w:pPr>
    <w:rPr>
      <w:rFonts w:ascii="Cambria" w:hAnsi="Cambria"/>
      <w:b/>
      <w:bCs/>
      <w:kern w:val="0"/>
      <w:sz w:val="32"/>
      <w:szCs w:val="32"/>
    </w:rPr>
  </w:style>
  <w:style w:type="paragraph" w:styleId="4">
    <w:name w:val="heading 3"/>
    <w:basedOn w:val="1"/>
    <w:next w:val="1"/>
    <w:qFormat/>
    <w:uiPriority w:val="0"/>
    <w:pPr>
      <w:keepNext/>
      <w:keepLines/>
      <w:spacing w:before="260" w:after="260" w:line="412" w:lineRule="auto"/>
      <w:outlineLvl w:val="2"/>
    </w:pPr>
    <w:rPr>
      <w:b/>
      <w:bCs/>
      <w:kern w:val="0"/>
      <w:sz w:val="32"/>
      <w:szCs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5"/>
    <w:basedOn w:val="1"/>
    <w:next w:val="7"/>
    <w:qFormat/>
    <w:uiPriority w:val="0"/>
    <w:pPr>
      <w:keepNext/>
      <w:keepLines/>
      <w:numPr>
        <w:ilvl w:val="4"/>
        <w:numId w:val="1"/>
      </w:numPr>
      <w:spacing w:before="280" w:after="290" w:line="374" w:lineRule="auto"/>
      <w:outlineLvl w:val="4"/>
    </w:pPr>
    <w:rPr>
      <w:b/>
      <w:kern w:val="0"/>
      <w:sz w:val="28"/>
    </w:rPr>
  </w:style>
  <w:style w:type="paragraph" w:styleId="8">
    <w:name w:val="heading 6"/>
    <w:basedOn w:val="1"/>
    <w:next w:val="7"/>
    <w:qFormat/>
    <w:uiPriority w:val="0"/>
    <w:pPr>
      <w:keepNext/>
      <w:keepLines/>
      <w:numPr>
        <w:ilvl w:val="5"/>
        <w:numId w:val="1"/>
      </w:numPr>
      <w:spacing w:before="240" w:after="64" w:line="316" w:lineRule="auto"/>
      <w:outlineLvl w:val="5"/>
    </w:pPr>
    <w:rPr>
      <w:rFonts w:ascii="Arial" w:hAnsi="Arial" w:eastAsia="黑体"/>
      <w:b/>
      <w:kern w:val="0"/>
      <w:sz w:val="24"/>
    </w:rPr>
  </w:style>
  <w:style w:type="paragraph" w:styleId="9">
    <w:name w:val="heading 7"/>
    <w:basedOn w:val="1"/>
    <w:next w:val="7"/>
    <w:qFormat/>
    <w:uiPriority w:val="0"/>
    <w:pPr>
      <w:keepNext/>
      <w:keepLines/>
      <w:numPr>
        <w:ilvl w:val="6"/>
        <w:numId w:val="1"/>
      </w:numPr>
      <w:spacing w:before="240" w:after="64" w:line="316" w:lineRule="auto"/>
      <w:outlineLvl w:val="6"/>
    </w:pPr>
    <w:rPr>
      <w:b/>
      <w:kern w:val="0"/>
      <w:sz w:val="24"/>
    </w:rPr>
  </w:style>
  <w:style w:type="paragraph" w:styleId="10">
    <w:name w:val="heading 8"/>
    <w:basedOn w:val="1"/>
    <w:next w:val="7"/>
    <w:qFormat/>
    <w:uiPriority w:val="0"/>
    <w:pPr>
      <w:keepNext/>
      <w:keepLines/>
      <w:numPr>
        <w:ilvl w:val="7"/>
        <w:numId w:val="1"/>
      </w:numPr>
      <w:spacing w:before="240" w:after="64" w:line="316" w:lineRule="auto"/>
      <w:outlineLvl w:val="7"/>
    </w:pPr>
    <w:rPr>
      <w:rFonts w:ascii="Arial" w:hAnsi="Arial" w:eastAsia="黑体"/>
      <w:kern w:val="0"/>
      <w:sz w:val="24"/>
    </w:rPr>
  </w:style>
  <w:style w:type="paragraph" w:styleId="11">
    <w:name w:val="heading 9"/>
    <w:basedOn w:val="1"/>
    <w:next w:val="7"/>
    <w:qFormat/>
    <w:uiPriority w:val="0"/>
    <w:pPr>
      <w:keepNext/>
      <w:keepLines/>
      <w:numPr>
        <w:ilvl w:val="8"/>
        <w:numId w:val="1"/>
      </w:numPr>
      <w:spacing w:before="240" w:after="64" w:line="316" w:lineRule="auto"/>
      <w:outlineLvl w:val="8"/>
    </w:pPr>
    <w:rPr>
      <w:rFonts w:ascii="Arial" w:hAnsi="Arial" w:eastAsia="黑体"/>
      <w:kern w:val="0"/>
      <w:sz w:val="20"/>
    </w:rPr>
  </w:style>
  <w:style w:type="character" w:default="1" w:styleId="86">
    <w:name w:val="Default Paragraph Font"/>
    <w:semiHidden/>
    <w:unhideWhenUsed/>
    <w:qFormat/>
    <w:uiPriority w:val="1"/>
  </w:style>
  <w:style w:type="table" w:default="1" w:styleId="8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kern w:val="0"/>
      <w:sz w:val="20"/>
      <w:szCs w:val="20"/>
    </w:rPr>
  </w:style>
  <w:style w:type="paragraph" w:styleId="12">
    <w:name w:val="List 3"/>
    <w:basedOn w:val="1"/>
    <w:qFormat/>
    <w:uiPriority w:val="0"/>
    <w:pPr>
      <w:ind w:left="600" w:leftChars="400" w:hanging="200" w:hangingChars="200"/>
    </w:pPr>
  </w:style>
  <w:style w:type="paragraph" w:styleId="13">
    <w:name w:val="toc 7"/>
    <w:basedOn w:val="1"/>
    <w:next w:val="1"/>
    <w:qFormat/>
    <w:uiPriority w:val="0"/>
    <w:pPr>
      <w:ind w:left="1200" w:leftChars="1200"/>
    </w:pPr>
    <w:rPr>
      <w:rFonts w:ascii="Calibri" w:hAnsi="Calibri"/>
      <w:szCs w:val="22"/>
    </w:rPr>
  </w:style>
  <w:style w:type="paragraph" w:styleId="14">
    <w:name w:val="List Number 2"/>
    <w:basedOn w:val="1"/>
    <w:qFormat/>
    <w:uiPriority w:val="0"/>
    <w:pPr>
      <w:widowControl/>
      <w:tabs>
        <w:tab w:val="left" w:pos="780"/>
        <w:tab w:val="left" w:pos="840"/>
      </w:tabs>
      <w:ind w:left="840" w:hanging="420"/>
      <w:jc w:val="left"/>
    </w:pPr>
    <w:rPr>
      <w:rFonts w:ascii="宋体" w:cs="宋体"/>
      <w:kern w:val="0"/>
      <w:sz w:val="24"/>
    </w:rPr>
  </w:style>
  <w:style w:type="paragraph" w:styleId="15">
    <w:name w:val="Note Heading"/>
    <w:basedOn w:val="1"/>
    <w:next w:val="1"/>
    <w:qFormat/>
    <w:uiPriority w:val="0"/>
    <w:pPr>
      <w:adjustRightInd w:val="0"/>
      <w:spacing w:line="360" w:lineRule="auto"/>
      <w:jc w:val="center"/>
      <w:textAlignment w:val="baseline"/>
    </w:pPr>
    <w:rPr>
      <w:rFonts w:ascii="Calibri" w:hAnsi="Calibri"/>
      <w:kern w:val="0"/>
      <w:sz w:val="28"/>
      <w:szCs w:val="20"/>
    </w:rPr>
  </w:style>
  <w:style w:type="paragraph" w:styleId="16">
    <w:name w:val="List Bullet 4"/>
    <w:basedOn w:val="1"/>
    <w:qFormat/>
    <w:uiPriority w:val="0"/>
    <w:pPr>
      <w:widowControl/>
      <w:tabs>
        <w:tab w:val="left" w:pos="1440"/>
      </w:tabs>
      <w:spacing w:line="360" w:lineRule="auto"/>
      <w:ind w:left="780" w:hanging="360"/>
    </w:pPr>
    <w:rPr>
      <w:rFonts w:ascii="Arial" w:hAnsi="Arial" w:cs="Arial"/>
      <w:kern w:val="0"/>
      <w:sz w:val="24"/>
      <w:lang w:val="en-GB" w:eastAsia="en-GB"/>
    </w:rPr>
  </w:style>
  <w:style w:type="paragraph" w:styleId="17">
    <w:name w:val="index 8"/>
    <w:basedOn w:val="1"/>
    <w:next w:val="1"/>
    <w:qFormat/>
    <w:uiPriority w:val="0"/>
    <w:pPr>
      <w:ind w:left="1680" w:hanging="210"/>
      <w:jc w:val="left"/>
    </w:pPr>
    <w:rPr>
      <w:sz w:val="20"/>
      <w:szCs w:val="20"/>
    </w:rPr>
  </w:style>
  <w:style w:type="paragraph" w:styleId="18">
    <w:name w:val="E-mail Signature"/>
    <w:basedOn w:val="1"/>
    <w:qFormat/>
    <w:uiPriority w:val="0"/>
    <w:pPr>
      <w:widowControl/>
      <w:jc w:val="left"/>
    </w:pPr>
    <w:rPr>
      <w:rFonts w:ascii="宋体"/>
      <w:kern w:val="0"/>
      <w:sz w:val="24"/>
    </w:rPr>
  </w:style>
  <w:style w:type="paragraph" w:styleId="1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20">
    <w:name w:val="caption"/>
    <w:basedOn w:val="1"/>
    <w:next w:val="1"/>
    <w:qFormat/>
    <w:uiPriority w:val="0"/>
    <w:pPr>
      <w:spacing w:before="152" w:after="160"/>
    </w:pPr>
    <w:rPr>
      <w:rFonts w:ascii="Arial" w:hAnsi="Arial" w:eastAsia="黑体" w:cs="Arial"/>
      <w:sz w:val="20"/>
      <w:szCs w:val="20"/>
    </w:rPr>
  </w:style>
  <w:style w:type="paragraph" w:styleId="21">
    <w:name w:val="index 5"/>
    <w:basedOn w:val="1"/>
    <w:next w:val="1"/>
    <w:qFormat/>
    <w:uiPriority w:val="0"/>
    <w:pPr>
      <w:ind w:left="1050" w:hanging="210"/>
      <w:jc w:val="left"/>
    </w:pPr>
    <w:rPr>
      <w:sz w:val="20"/>
      <w:szCs w:val="20"/>
    </w:rPr>
  </w:style>
  <w:style w:type="paragraph" w:styleId="22">
    <w:name w:val="List Bullet"/>
    <w:basedOn w:val="1"/>
    <w:qFormat/>
    <w:uiPriority w:val="0"/>
    <w:pPr>
      <w:keepLines/>
      <w:widowControl/>
      <w:tabs>
        <w:tab w:val="left" w:pos="360"/>
        <w:tab w:val="left" w:pos="778"/>
      </w:tabs>
      <w:spacing w:line="360" w:lineRule="auto"/>
      <w:ind w:left="640" w:hanging="357"/>
    </w:pPr>
    <w:rPr>
      <w:rFonts w:ascii="Arial" w:hAnsi="Arial" w:cs="Arial"/>
      <w:kern w:val="0"/>
      <w:sz w:val="24"/>
      <w:lang w:val="fr-FR" w:eastAsia="en-GB"/>
    </w:rPr>
  </w:style>
  <w:style w:type="paragraph" w:styleId="23">
    <w:name w:val="envelope address"/>
    <w:basedOn w:val="1"/>
    <w:qFormat/>
    <w:uiPriority w:val="0"/>
    <w:pPr>
      <w:framePr w:w="7920" w:h="1980" w:hRule="exact" w:hSpace="180" w:wrap="around" w:vAnchor="margin" w:hAnchor="page" w:xAlign="center" w:yAlign="bottom"/>
      <w:widowControl/>
      <w:snapToGrid w:val="0"/>
      <w:ind w:left="1400" w:leftChars="1400"/>
      <w:jc w:val="left"/>
    </w:pPr>
    <w:rPr>
      <w:rFonts w:ascii="Arial" w:hAnsi="Arial" w:cs="Arial"/>
      <w:kern w:val="0"/>
      <w:sz w:val="24"/>
    </w:rPr>
  </w:style>
  <w:style w:type="paragraph" w:styleId="24">
    <w:name w:val="Document Map"/>
    <w:basedOn w:val="1"/>
    <w:qFormat/>
    <w:uiPriority w:val="0"/>
    <w:pPr>
      <w:shd w:val="clear" w:color="auto" w:fill="000080"/>
    </w:pPr>
    <w:rPr>
      <w:kern w:val="0"/>
      <w:sz w:val="20"/>
    </w:rPr>
  </w:style>
  <w:style w:type="paragraph" w:styleId="25">
    <w:name w:val="toa heading"/>
    <w:basedOn w:val="1"/>
    <w:next w:val="1"/>
    <w:qFormat/>
    <w:uiPriority w:val="0"/>
    <w:pPr>
      <w:adjustRightInd w:val="0"/>
      <w:spacing w:before="240" w:after="120" w:line="360" w:lineRule="auto"/>
      <w:jc w:val="center"/>
      <w:textAlignment w:val="baseline"/>
    </w:pPr>
    <w:rPr>
      <w:smallCaps/>
      <w:kern w:val="0"/>
      <w:sz w:val="22"/>
      <w:szCs w:val="22"/>
      <w:u w:val="single"/>
    </w:rPr>
  </w:style>
  <w:style w:type="paragraph" w:styleId="26">
    <w:name w:val="annotation text"/>
    <w:basedOn w:val="1"/>
    <w:qFormat/>
    <w:uiPriority w:val="0"/>
    <w:pPr>
      <w:jc w:val="left"/>
    </w:pPr>
    <w:rPr>
      <w:kern w:val="0"/>
      <w:sz w:val="20"/>
    </w:rPr>
  </w:style>
  <w:style w:type="paragraph" w:styleId="27">
    <w:name w:val="index 6"/>
    <w:basedOn w:val="1"/>
    <w:next w:val="1"/>
    <w:qFormat/>
    <w:uiPriority w:val="0"/>
    <w:pPr>
      <w:ind w:left="1260" w:hanging="210"/>
      <w:jc w:val="left"/>
    </w:pPr>
    <w:rPr>
      <w:sz w:val="20"/>
      <w:szCs w:val="20"/>
    </w:rPr>
  </w:style>
  <w:style w:type="paragraph" w:styleId="28">
    <w:name w:val="Salutation"/>
    <w:basedOn w:val="1"/>
    <w:next w:val="1"/>
    <w:qFormat/>
    <w:uiPriority w:val="0"/>
    <w:rPr>
      <w:rFonts w:ascii="Calibri" w:hAnsi="Calibri"/>
      <w:sz w:val="24"/>
      <w:szCs w:val="28"/>
    </w:rPr>
  </w:style>
  <w:style w:type="paragraph" w:styleId="29">
    <w:name w:val="Body Text 3"/>
    <w:basedOn w:val="1"/>
    <w:qFormat/>
    <w:uiPriority w:val="0"/>
    <w:pPr>
      <w:spacing w:line="500" w:lineRule="exact"/>
    </w:pPr>
    <w:rPr>
      <w:b/>
      <w:bCs/>
      <w:kern w:val="0"/>
      <w:sz w:val="24"/>
    </w:rPr>
  </w:style>
  <w:style w:type="paragraph" w:styleId="30">
    <w:name w:val="Closing"/>
    <w:basedOn w:val="1"/>
    <w:qFormat/>
    <w:uiPriority w:val="0"/>
    <w:pPr>
      <w:widowControl/>
      <w:ind w:left="2100" w:leftChars="2100"/>
      <w:jc w:val="left"/>
    </w:pPr>
    <w:rPr>
      <w:rFonts w:ascii="宋体"/>
      <w:kern w:val="0"/>
      <w:sz w:val="24"/>
    </w:rPr>
  </w:style>
  <w:style w:type="paragraph" w:styleId="31">
    <w:name w:val="List Bullet 3"/>
    <w:basedOn w:val="1"/>
    <w:qFormat/>
    <w:uiPriority w:val="0"/>
    <w:pPr>
      <w:widowControl/>
      <w:tabs>
        <w:tab w:val="left" w:pos="720"/>
      </w:tabs>
      <w:ind w:left="720" w:hanging="360"/>
    </w:pPr>
    <w:rPr>
      <w:rFonts w:ascii="宋体" w:cs="宋体"/>
    </w:rPr>
  </w:style>
  <w:style w:type="paragraph" w:styleId="32">
    <w:name w:val="Body Text"/>
    <w:basedOn w:val="1"/>
    <w:qFormat/>
    <w:uiPriority w:val="0"/>
    <w:pPr>
      <w:spacing w:after="120"/>
    </w:pPr>
    <w:rPr>
      <w:rFonts w:ascii="Calibri" w:hAnsi="Calibri"/>
      <w:kern w:val="0"/>
      <w:sz w:val="20"/>
    </w:rPr>
  </w:style>
  <w:style w:type="paragraph" w:styleId="33">
    <w:name w:val="Body Text Indent"/>
    <w:basedOn w:val="1"/>
    <w:qFormat/>
    <w:uiPriority w:val="0"/>
    <w:pPr>
      <w:ind w:firstLine="352" w:firstLineChars="352"/>
    </w:pPr>
    <w:rPr>
      <w:rFonts w:ascii="仿宋_GB2312" w:eastAsia="仿宋_GB2312"/>
      <w:kern w:val="0"/>
      <w:sz w:val="32"/>
      <w:szCs w:val="20"/>
    </w:rPr>
  </w:style>
  <w:style w:type="paragraph" w:styleId="34">
    <w:name w:val="List Number 3"/>
    <w:basedOn w:val="1"/>
    <w:qFormat/>
    <w:uiPriority w:val="0"/>
    <w:pPr>
      <w:numPr>
        <w:ilvl w:val="0"/>
        <w:numId w:val="2"/>
      </w:numPr>
    </w:pPr>
  </w:style>
  <w:style w:type="paragraph" w:styleId="35">
    <w:name w:val="List 2"/>
    <w:basedOn w:val="1"/>
    <w:qFormat/>
    <w:uiPriority w:val="0"/>
    <w:pPr>
      <w:ind w:left="400" w:leftChars="200" w:hanging="200" w:hangingChars="200"/>
    </w:pPr>
    <w:rPr>
      <w:sz w:val="28"/>
    </w:rPr>
  </w:style>
  <w:style w:type="paragraph" w:styleId="36">
    <w:name w:val="List Continue"/>
    <w:basedOn w:val="1"/>
    <w:qFormat/>
    <w:uiPriority w:val="0"/>
    <w:pPr>
      <w:widowControl/>
      <w:spacing w:after="120"/>
      <w:ind w:left="200" w:leftChars="200"/>
    </w:pPr>
    <w:rPr>
      <w:rFonts w:ascii="宋体" w:cs="宋体"/>
    </w:rPr>
  </w:style>
  <w:style w:type="paragraph" w:styleId="37">
    <w:name w:val="Block Text"/>
    <w:basedOn w:val="1"/>
    <w:qFormat/>
    <w:uiPriority w:val="0"/>
    <w:pPr>
      <w:adjustRightInd w:val="0"/>
      <w:snapToGrid w:val="0"/>
      <w:spacing w:line="480" w:lineRule="atLeast"/>
      <w:ind w:left="-57" w:right="69"/>
    </w:pPr>
    <w:rPr>
      <w:rFonts w:ascii="宋体"/>
      <w:b/>
      <w:sz w:val="24"/>
      <w:szCs w:val="20"/>
    </w:rPr>
  </w:style>
  <w:style w:type="paragraph" w:styleId="38">
    <w:name w:val="List Bullet 2"/>
    <w:basedOn w:val="1"/>
    <w:qFormat/>
    <w:uiPriority w:val="0"/>
    <w:pPr>
      <w:tabs>
        <w:tab w:val="left" w:pos="780"/>
      </w:tabs>
      <w:ind w:left="780" w:hanging="360"/>
    </w:pPr>
    <w:rPr>
      <w:szCs w:val="20"/>
    </w:rPr>
  </w:style>
  <w:style w:type="paragraph" w:styleId="39">
    <w:name w:val="index 4"/>
    <w:basedOn w:val="1"/>
    <w:next w:val="1"/>
    <w:qFormat/>
    <w:uiPriority w:val="0"/>
    <w:pPr>
      <w:ind w:left="840" w:hanging="210"/>
      <w:jc w:val="left"/>
    </w:pPr>
    <w:rPr>
      <w:sz w:val="20"/>
      <w:szCs w:val="20"/>
    </w:rPr>
  </w:style>
  <w:style w:type="paragraph" w:styleId="40">
    <w:name w:val="toc 5"/>
    <w:basedOn w:val="1"/>
    <w:next w:val="1"/>
    <w:qFormat/>
    <w:uiPriority w:val="0"/>
    <w:pPr>
      <w:ind w:left="800" w:leftChars="800"/>
    </w:pPr>
    <w:rPr>
      <w:rFonts w:ascii="Calibri" w:hAnsi="Calibri"/>
      <w:szCs w:val="22"/>
    </w:rPr>
  </w:style>
  <w:style w:type="paragraph" w:styleId="41">
    <w:name w:val="toc 3"/>
    <w:basedOn w:val="1"/>
    <w:next w:val="1"/>
    <w:qFormat/>
    <w:uiPriority w:val="0"/>
    <w:pPr>
      <w:ind w:left="400" w:leftChars="400"/>
    </w:pPr>
    <w:rPr>
      <w:rFonts w:ascii="Calibri" w:hAnsi="Calibri"/>
      <w:szCs w:val="22"/>
    </w:rPr>
  </w:style>
  <w:style w:type="paragraph" w:styleId="42">
    <w:name w:val="Plain Text"/>
    <w:basedOn w:val="1"/>
    <w:next w:val="5"/>
    <w:link w:val="744"/>
    <w:qFormat/>
    <w:uiPriority w:val="0"/>
    <w:rPr>
      <w:rFonts w:ascii="宋体"/>
      <w:kern w:val="0"/>
      <w:sz w:val="20"/>
      <w:szCs w:val="21"/>
    </w:rPr>
  </w:style>
  <w:style w:type="paragraph" w:styleId="43">
    <w:name w:val="List Bullet 5"/>
    <w:basedOn w:val="1"/>
    <w:qFormat/>
    <w:uiPriority w:val="0"/>
    <w:pPr>
      <w:widowControl/>
      <w:tabs>
        <w:tab w:val="left" w:pos="0"/>
        <w:tab w:val="left" w:pos="2040"/>
      </w:tabs>
      <w:ind w:left="426" w:hanging="426"/>
      <w:jc w:val="left"/>
    </w:pPr>
    <w:rPr>
      <w:rFonts w:ascii="宋体" w:cs="宋体"/>
      <w:kern w:val="0"/>
      <w:sz w:val="24"/>
    </w:rPr>
  </w:style>
  <w:style w:type="paragraph" w:styleId="44">
    <w:name w:val="List Number 4"/>
    <w:basedOn w:val="1"/>
    <w:qFormat/>
    <w:uiPriority w:val="0"/>
    <w:pPr>
      <w:widowControl/>
      <w:tabs>
        <w:tab w:val="left" w:pos="1620"/>
      </w:tabs>
      <w:jc w:val="left"/>
    </w:pPr>
    <w:rPr>
      <w:rFonts w:ascii="宋体" w:cs="宋体"/>
      <w:kern w:val="0"/>
      <w:sz w:val="24"/>
    </w:rPr>
  </w:style>
  <w:style w:type="paragraph" w:styleId="45">
    <w:name w:val="toc 8"/>
    <w:basedOn w:val="1"/>
    <w:next w:val="1"/>
    <w:qFormat/>
    <w:uiPriority w:val="0"/>
    <w:pPr>
      <w:ind w:left="1400" w:leftChars="1400"/>
    </w:pPr>
    <w:rPr>
      <w:rFonts w:ascii="Calibri" w:hAnsi="Calibri"/>
      <w:szCs w:val="22"/>
    </w:rPr>
  </w:style>
  <w:style w:type="paragraph" w:styleId="46">
    <w:name w:val="index 3"/>
    <w:basedOn w:val="1"/>
    <w:next w:val="1"/>
    <w:qFormat/>
    <w:uiPriority w:val="0"/>
    <w:pPr>
      <w:ind w:left="630" w:hanging="210"/>
      <w:jc w:val="left"/>
    </w:pPr>
    <w:rPr>
      <w:sz w:val="20"/>
      <w:szCs w:val="20"/>
    </w:rPr>
  </w:style>
  <w:style w:type="paragraph" w:styleId="47">
    <w:name w:val="Date"/>
    <w:basedOn w:val="1"/>
    <w:next w:val="1"/>
    <w:qFormat/>
    <w:uiPriority w:val="0"/>
    <w:pPr>
      <w:ind w:left="2500" w:leftChars="2500"/>
    </w:pPr>
    <w:rPr>
      <w:kern w:val="0"/>
      <w:sz w:val="20"/>
    </w:rPr>
  </w:style>
  <w:style w:type="paragraph" w:styleId="48">
    <w:name w:val="Body Text Indent 2"/>
    <w:basedOn w:val="1"/>
    <w:qFormat/>
    <w:uiPriority w:val="0"/>
    <w:pPr>
      <w:ind w:firstLine="630"/>
    </w:pPr>
    <w:rPr>
      <w:kern w:val="0"/>
      <w:sz w:val="32"/>
      <w:szCs w:val="20"/>
    </w:rPr>
  </w:style>
  <w:style w:type="paragraph" w:styleId="49">
    <w:name w:val="endnote text"/>
    <w:basedOn w:val="1"/>
    <w:qFormat/>
    <w:uiPriority w:val="0"/>
    <w:pPr>
      <w:snapToGrid w:val="0"/>
      <w:jc w:val="left"/>
    </w:pPr>
    <w:rPr>
      <w:kern w:val="0"/>
      <w:sz w:val="20"/>
    </w:rPr>
  </w:style>
  <w:style w:type="paragraph" w:styleId="50">
    <w:name w:val="List Continue 5"/>
    <w:basedOn w:val="1"/>
    <w:qFormat/>
    <w:uiPriority w:val="0"/>
    <w:pPr>
      <w:widowControl/>
      <w:spacing w:after="120"/>
      <w:ind w:left="1000" w:leftChars="1000"/>
      <w:jc w:val="left"/>
    </w:pPr>
    <w:rPr>
      <w:rFonts w:ascii="宋体" w:cs="宋体"/>
      <w:kern w:val="0"/>
      <w:sz w:val="24"/>
    </w:rPr>
  </w:style>
  <w:style w:type="paragraph" w:styleId="51">
    <w:name w:val="Balloon Text"/>
    <w:basedOn w:val="1"/>
    <w:qFormat/>
    <w:uiPriority w:val="0"/>
    <w:rPr>
      <w:kern w:val="0"/>
      <w:sz w:val="18"/>
      <w:szCs w:val="18"/>
    </w:rPr>
  </w:style>
  <w:style w:type="paragraph" w:styleId="5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53">
    <w:name w:val="envelope return"/>
    <w:basedOn w:val="1"/>
    <w:qFormat/>
    <w:uiPriority w:val="0"/>
    <w:pPr>
      <w:widowControl/>
      <w:snapToGrid w:val="0"/>
      <w:jc w:val="left"/>
    </w:pPr>
    <w:rPr>
      <w:rFonts w:ascii="Arial" w:hAnsi="Arial" w:cs="Arial"/>
      <w:kern w:val="0"/>
      <w:sz w:val="24"/>
    </w:rPr>
  </w:style>
  <w:style w:type="paragraph" w:styleId="54">
    <w:name w:val="header"/>
    <w:basedOn w:val="1"/>
    <w:qFormat/>
    <w:uiPriority w:val="0"/>
    <w:pPr>
      <w:tabs>
        <w:tab w:val="center" w:pos="4153"/>
        <w:tab w:val="right" w:pos="8306"/>
      </w:tabs>
      <w:snapToGrid w:val="0"/>
    </w:pPr>
    <w:rPr>
      <w:sz w:val="18"/>
      <w:szCs w:val="18"/>
      <w:u w:val="single"/>
    </w:rPr>
  </w:style>
  <w:style w:type="paragraph" w:styleId="55">
    <w:name w:val="Signature"/>
    <w:basedOn w:val="1"/>
    <w:qFormat/>
    <w:uiPriority w:val="0"/>
    <w:pPr>
      <w:widowControl/>
      <w:ind w:left="2100" w:leftChars="2100"/>
      <w:jc w:val="left"/>
    </w:pPr>
    <w:rPr>
      <w:rFonts w:ascii="宋体"/>
      <w:kern w:val="0"/>
      <w:sz w:val="24"/>
    </w:rPr>
  </w:style>
  <w:style w:type="paragraph" w:styleId="56">
    <w:name w:val="toc 1"/>
    <w:basedOn w:val="1"/>
    <w:next w:val="1"/>
    <w:qFormat/>
    <w:uiPriority w:val="39"/>
  </w:style>
  <w:style w:type="paragraph" w:styleId="57">
    <w:name w:val="List Continue 4"/>
    <w:basedOn w:val="1"/>
    <w:qFormat/>
    <w:uiPriority w:val="0"/>
    <w:pPr>
      <w:widowControl/>
      <w:spacing w:after="120"/>
      <w:ind w:left="800" w:leftChars="800"/>
      <w:jc w:val="left"/>
    </w:pPr>
    <w:rPr>
      <w:rFonts w:ascii="宋体" w:cs="宋体"/>
      <w:kern w:val="0"/>
      <w:sz w:val="24"/>
    </w:rPr>
  </w:style>
  <w:style w:type="paragraph" w:styleId="58">
    <w:name w:val="toc 4"/>
    <w:basedOn w:val="1"/>
    <w:next w:val="1"/>
    <w:qFormat/>
    <w:uiPriority w:val="0"/>
    <w:pPr>
      <w:ind w:left="600" w:leftChars="600"/>
    </w:pPr>
    <w:rPr>
      <w:rFonts w:ascii="Calibri" w:hAnsi="Calibri"/>
      <w:szCs w:val="22"/>
    </w:rPr>
  </w:style>
  <w:style w:type="paragraph" w:styleId="59">
    <w:name w:val="index heading"/>
    <w:basedOn w:val="1"/>
    <w:next w:val="60"/>
    <w:qFormat/>
    <w:uiPriority w:val="0"/>
    <w:rPr>
      <w:szCs w:val="20"/>
    </w:rPr>
  </w:style>
  <w:style w:type="paragraph" w:styleId="60">
    <w:name w:val="index 1"/>
    <w:basedOn w:val="1"/>
    <w:next w:val="1"/>
    <w:qFormat/>
    <w:uiPriority w:val="0"/>
    <w:pPr>
      <w:spacing w:line="320" w:lineRule="exact"/>
      <w:ind w:firstLine="150" w:firstLineChars="150"/>
    </w:pPr>
    <w:rPr>
      <w:rFonts w:ascii="宋体"/>
      <w:bCs/>
      <w:szCs w:val="21"/>
    </w:rPr>
  </w:style>
  <w:style w:type="paragraph" w:styleId="61">
    <w:name w:val="Subtitle"/>
    <w:basedOn w:val="1"/>
    <w:qFormat/>
    <w:uiPriority w:val="0"/>
    <w:pPr>
      <w:widowControl/>
      <w:spacing w:before="240" w:after="60" w:line="312" w:lineRule="auto"/>
      <w:jc w:val="center"/>
      <w:outlineLvl w:val="1"/>
    </w:pPr>
    <w:rPr>
      <w:rFonts w:ascii="Arial" w:hAnsi="Arial"/>
      <w:b/>
      <w:bCs/>
      <w:kern w:val="28"/>
      <w:sz w:val="32"/>
      <w:szCs w:val="32"/>
    </w:rPr>
  </w:style>
  <w:style w:type="paragraph" w:styleId="62">
    <w:name w:val="List Number 5"/>
    <w:basedOn w:val="1"/>
    <w:qFormat/>
    <w:uiPriority w:val="0"/>
    <w:pPr>
      <w:widowControl/>
      <w:tabs>
        <w:tab w:val="left" w:pos="2040"/>
      </w:tabs>
      <w:ind w:left="870" w:hanging="450"/>
      <w:jc w:val="left"/>
    </w:pPr>
    <w:rPr>
      <w:rFonts w:ascii="宋体" w:cs="宋体"/>
      <w:kern w:val="0"/>
      <w:sz w:val="24"/>
    </w:rPr>
  </w:style>
  <w:style w:type="paragraph" w:styleId="63">
    <w:name w:val="List"/>
    <w:basedOn w:val="1"/>
    <w:qFormat/>
    <w:uiPriority w:val="0"/>
    <w:pPr>
      <w:ind w:left="200" w:hanging="200" w:hangingChars="200"/>
    </w:pPr>
    <w:rPr>
      <w:sz w:val="28"/>
    </w:rPr>
  </w:style>
  <w:style w:type="paragraph" w:styleId="64">
    <w:name w:val="footnote text"/>
    <w:basedOn w:val="1"/>
    <w:link w:val="745"/>
    <w:qFormat/>
    <w:uiPriority w:val="0"/>
    <w:pPr>
      <w:snapToGrid w:val="0"/>
      <w:jc w:val="left"/>
    </w:pPr>
    <w:rPr>
      <w:kern w:val="0"/>
      <w:sz w:val="18"/>
      <w:szCs w:val="18"/>
    </w:rPr>
  </w:style>
  <w:style w:type="paragraph" w:styleId="65">
    <w:name w:val="toc 6"/>
    <w:basedOn w:val="1"/>
    <w:next w:val="1"/>
    <w:qFormat/>
    <w:uiPriority w:val="0"/>
    <w:pPr>
      <w:ind w:left="1000" w:leftChars="1000"/>
    </w:pPr>
    <w:rPr>
      <w:rFonts w:ascii="Calibri" w:hAnsi="Calibri"/>
      <w:szCs w:val="22"/>
    </w:rPr>
  </w:style>
  <w:style w:type="paragraph" w:styleId="66">
    <w:name w:val="List 5"/>
    <w:basedOn w:val="1"/>
    <w:qFormat/>
    <w:uiPriority w:val="0"/>
    <w:pPr>
      <w:widowControl/>
      <w:ind w:left="1000" w:leftChars="800" w:hanging="200" w:hangingChars="200"/>
      <w:jc w:val="left"/>
    </w:pPr>
    <w:rPr>
      <w:rFonts w:ascii="宋体" w:cs="宋体"/>
      <w:kern w:val="0"/>
      <w:sz w:val="24"/>
    </w:rPr>
  </w:style>
  <w:style w:type="paragraph" w:styleId="67">
    <w:name w:val="Body Text Indent 3"/>
    <w:basedOn w:val="1"/>
    <w:qFormat/>
    <w:uiPriority w:val="0"/>
    <w:pPr>
      <w:spacing w:after="120"/>
      <w:ind w:left="200" w:leftChars="200"/>
    </w:pPr>
    <w:rPr>
      <w:kern w:val="0"/>
      <w:sz w:val="16"/>
      <w:szCs w:val="16"/>
    </w:rPr>
  </w:style>
  <w:style w:type="paragraph" w:styleId="68">
    <w:name w:val="index 7"/>
    <w:basedOn w:val="1"/>
    <w:next w:val="1"/>
    <w:qFormat/>
    <w:uiPriority w:val="0"/>
    <w:pPr>
      <w:ind w:left="1470" w:hanging="210"/>
      <w:jc w:val="left"/>
    </w:pPr>
    <w:rPr>
      <w:sz w:val="20"/>
      <w:szCs w:val="20"/>
    </w:rPr>
  </w:style>
  <w:style w:type="paragraph" w:styleId="69">
    <w:name w:val="index 9"/>
    <w:basedOn w:val="1"/>
    <w:next w:val="1"/>
    <w:qFormat/>
    <w:uiPriority w:val="0"/>
    <w:pPr>
      <w:ind w:left="1890" w:hanging="210"/>
      <w:jc w:val="left"/>
    </w:pPr>
    <w:rPr>
      <w:sz w:val="20"/>
      <w:szCs w:val="20"/>
    </w:rPr>
  </w:style>
  <w:style w:type="paragraph" w:styleId="70">
    <w:name w:val="toc 2"/>
    <w:basedOn w:val="1"/>
    <w:next w:val="1"/>
    <w:qFormat/>
    <w:uiPriority w:val="39"/>
    <w:pPr>
      <w:ind w:left="200" w:leftChars="200"/>
    </w:pPr>
  </w:style>
  <w:style w:type="paragraph" w:styleId="71">
    <w:name w:val="toc 9"/>
    <w:basedOn w:val="1"/>
    <w:next w:val="1"/>
    <w:qFormat/>
    <w:uiPriority w:val="0"/>
    <w:pPr>
      <w:ind w:left="1600" w:leftChars="1600"/>
    </w:pPr>
    <w:rPr>
      <w:rFonts w:ascii="Calibri" w:hAnsi="Calibri"/>
      <w:szCs w:val="22"/>
    </w:rPr>
  </w:style>
  <w:style w:type="paragraph" w:styleId="72">
    <w:name w:val="Body Text 2"/>
    <w:basedOn w:val="1"/>
    <w:qFormat/>
    <w:uiPriority w:val="0"/>
    <w:pPr>
      <w:spacing w:after="120" w:line="480" w:lineRule="auto"/>
    </w:pPr>
    <w:rPr>
      <w:kern w:val="0"/>
      <w:sz w:val="20"/>
    </w:rPr>
  </w:style>
  <w:style w:type="paragraph" w:styleId="73">
    <w:name w:val="List 4"/>
    <w:basedOn w:val="1"/>
    <w:qFormat/>
    <w:uiPriority w:val="0"/>
    <w:pPr>
      <w:widowControl/>
      <w:ind w:left="800" w:leftChars="600" w:hanging="200" w:hangingChars="200"/>
    </w:pPr>
    <w:rPr>
      <w:rFonts w:ascii="宋体" w:cs="宋体"/>
    </w:rPr>
  </w:style>
  <w:style w:type="paragraph" w:styleId="74">
    <w:name w:val="List Continue 2"/>
    <w:basedOn w:val="1"/>
    <w:qFormat/>
    <w:uiPriority w:val="0"/>
    <w:pPr>
      <w:widowControl/>
      <w:spacing w:after="120"/>
      <w:ind w:left="400" w:leftChars="400"/>
    </w:pPr>
    <w:rPr>
      <w:rFonts w:ascii="宋体" w:cs="宋体"/>
    </w:rPr>
  </w:style>
  <w:style w:type="paragraph" w:styleId="75">
    <w:name w:val="Message Header"/>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00" w:leftChars="500" w:hanging="500" w:hangingChars="500"/>
      <w:jc w:val="left"/>
    </w:pPr>
    <w:rPr>
      <w:rFonts w:ascii="Arial" w:hAnsi="Arial"/>
      <w:kern w:val="0"/>
      <w:sz w:val="24"/>
    </w:rPr>
  </w:style>
  <w:style w:type="paragraph" w:styleId="7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77">
    <w:name w:val="Normal (Web)"/>
    <w:basedOn w:val="1"/>
    <w:qFormat/>
    <w:uiPriority w:val="99"/>
    <w:pPr>
      <w:widowControl/>
      <w:spacing w:before="100" w:beforeAutospacing="1" w:after="100" w:afterAutospacing="1"/>
      <w:jc w:val="left"/>
    </w:pPr>
    <w:rPr>
      <w:rFonts w:ascii="宋体"/>
      <w:kern w:val="0"/>
      <w:sz w:val="24"/>
    </w:rPr>
  </w:style>
  <w:style w:type="paragraph" w:styleId="78">
    <w:name w:val="List Continue 3"/>
    <w:basedOn w:val="1"/>
    <w:qFormat/>
    <w:uiPriority w:val="0"/>
    <w:pPr>
      <w:spacing w:after="120"/>
      <w:ind w:left="600" w:leftChars="600"/>
    </w:pPr>
    <w:rPr>
      <w:sz w:val="24"/>
    </w:rPr>
  </w:style>
  <w:style w:type="paragraph" w:styleId="79">
    <w:name w:val="index 2"/>
    <w:basedOn w:val="1"/>
    <w:next w:val="1"/>
    <w:qFormat/>
    <w:uiPriority w:val="0"/>
    <w:pPr>
      <w:ind w:left="420" w:hanging="210"/>
      <w:jc w:val="left"/>
    </w:pPr>
    <w:rPr>
      <w:sz w:val="20"/>
      <w:szCs w:val="20"/>
    </w:rPr>
  </w:style>
  <w:style w:type="paragraph" w:styleId="80">
    <w:name w:val="Title"/>
    <w:basedOn w:val="1"/>
    <w:next w:val="1"/>
    <w:qFormat/>
    <w:uiPriority w:val="0"/>
    <w:pPr>
      <w:spacing w:before="240" w:after="60"/>
      <w:jc w:val="center"/>
      <w:outlineLvl w:val="0"/>
    </w:pPr>
    <w:rPr>
      <w:rFonts w:ascii="Cambria" w:hAnsi="Cambria"/>
      <w:b/>
      <w:bCs/>
      <w:kern w:val="0"/>
      <w:sz w:val="32"/>
      <w:szCs w:val="32"/>
    </w:rPr>
  </w:style>
  <w:style w:type="paragraph" w:styleId="81">
    <w:name w:val="annotation subject"/>
    <w:basedOn w:val="26"/>
    <w:next w:val="26"/>
    <w:qFormat/>
    <w:uiPriority w:val="0"/>
    <w:rPr>
      <w:b/>
      <w:bCs/>
    </w:rPr>
  </w:style>
  <w:style w:type="paragraph" w:styleId="82">
    <w:name w:val="Body Text First Indent"/>
    <w:basedOn w:val="32"/>
    <w:qFormat/>
    <w:uiPriority w:val="0"/>
    <w:pPr>
      <w:ind w:firstLine="100" w:firstLineChars="100"/>
    </w:pPr>
    <w:rPr>
      <w:rFonts w:ascii="宋体"/>
      <w:szCs w:val="21"/>
    </w:rPr>
  </w:style>
  <w:style w:type="paragraph" w:styleId="83">
    <w:name w:val="Body Text First Indent 2"/>
    <w:basedOn w:val="33"/>
    <w:qFormat/>
    <w:uiPriority w:val="0"/>
    <w:pPr>
      <w:spacing w:after="120"/>
      <w:ind w:left="420" w:firstLine="210" w:firstLineChars="0"/>
    </w:pPr>
    <w:rPr>
      <w:rFonts w:ascii="Calibri" w:hAnsi="Calibri" w:eastAsia="宋体"/>
      <w:kern w:val="2"/>
      <w:sz w:val="21"/>
    </w:rPr>
  </w:style>
  <w:style w:type="table" w:styleId="85">
    <w:name w:val="Table Grid"/>
    <w:basedOn w:val="8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7">
    <w:name w:val="Strong"/>
    <w:qFormat/>
    <w:uiPriority w:val="0"/>
    <w:rPr>
      <w:rFonts w:ascii="Tahoma" w:hAnsi="Tahoma" w:eastAsia="宋体" w:cs="Tahoma"/>
      <w:b/>
      <w:bCs/>
      <w:spacing w:val="10"/>
      <w:kern w:val="2"/>
      <w:sz w:val="24"/>
      <w:szCs w:val="24"/>
      <w:lang w:val="en-US" w:eastAsia="zh-CN" w:bidi="ar-SA"/>
    </w:rPr>
  </w:style>
  <w:style w:type="character" w:styleId="88">
    <w:name w:val="page number"/>
    <w:basedOn w:val="86"/>
    <w:qFormat/>
    <w:uiPriority w:val="0"/>
  </w:style>
  <w:style w:type="character" w:styleId="89">
    <w:name w:val="FollowedHyperlink"/>
    <w:basedOn w:val="86"/>
    <w:qFormat/>
    <w:uiPriority w:val="0"/>
    <w:rPr>
      <w:color w:val="000000"/>
      <w:u w:val="none"/>
    </w:rPr>
  </w:style>
  <w:style w:type="character" w:styleId="90">
    <w:name w:val="Emphasis"/>
    <w:qFormat/>
    <w:uiPriority w:val="0"/>
    <w:rPr>
      <w:color w:val="CC0033"/>
    </w:rPr>
  </w:style>
  <w:style w:type="character" w:styleId="91">
    <w:name w:val="HTML Definition"/>
    <w:basedOn w:val="86"/>
    <w:qFormat/>
    <w:uiPriority w:val="0"/>
  </w:style>
  <w:style w:type="character" w:styleId="92">
    <w:name w:val="HTML Typewriter"/>
    <w:basedOn w:val="86"/>
    <w:qFormat/>
    <w:uiPriority w:val="0"/>
    <w:rPr>
      <w:rFonts w:ascii="monospace" w:hAnsi="monospace" w:eastAsia="monospace" w:cs="monospace"/>
      <w:sz w:val="20"/>
    </w:rPr>
  </w:style>
  <w:style w:type="character" w:styleId="93">
    <w:name w:val="HTML Acronym"/>
    <w:basedOn w:val="86"/>
    <w:qFormat/>
    <w:uiPriority w:val="0"/>
  </w:style>
  <w:style w:type="character" w:styleId="94">
    <w:name w:val="HTML Variable"/>
    <w:basedOn w:val="86"/>
    <w:qFormat/>
    <w:uiPriority w:val="0"/>
  </w:style>
  <w:style w:type="character" w:styleId="95">
    <w:name w:val="Hyperlink"/>
    <w:basedOn w:val="86"/>
    <w:qFormat/>
    <w:uiPriority w:val="99"/>
    <w:rPr>
      <w:color w:val="000000"/>
      <w:u w:val="none"/>
    </w:rPr>
  </w:style>
  <w:style w:type="character" w:styleId="96">
    <w:name w:val="HTML Code"/>
    <w:basedOn w:val="86"/>
    <w:qFormat/>
    <w:uiPriority w:val="0"/>
    <w:rPr>
      <w:rFonts w:hint="default" w:ascii="monospace" w:hAnsi="monospace" w:eastAsia="monospace" w:cs="monospace"/>
      <w:sz w:val="20"/>
    </w:rPr>
  </w:style>
  <w:style w:type="character" w:styleId="97">
    <w:name w:val="annotation reference"/>
    <w:qFormat/>
    <w:uiPriority w:val="0"/>
    <w:rPr>
      <w:sz w:val="21"/>
      <w:szCs w:val="21"/>
    </w:rPr>
  </w:style>
  <w:style w:type="character" w:styleId="98">
    <w:name w:val="HTML Cite"/>
    <w:basedOn w:val="86"/>
    <w:qFormat/>
    <w:uiPriority w:val="0"/>
  </w:style>
  <w:style w:type="character" w:styleId="99">
    <w:name w:val="footnote reference"/>
    <w:qFormat/>
    <w:uiPriority w:val="0"/>
    <w:rPr>
      <w:vertAlign w:val="superscript"/>
    </w:rPr>
  </w:style>
  <w:style w:type="character" w:styleId="100">
    <w:name w:val="HTML Keyboard"/>
    <w:basedOn w:val="86"/>
    <w:qFormat/>
    <w:uiPriority w:val="0"/>
    <w:rPr>
      <w:rFonts w:hint="default" w:ascii="monospace" w:hAnsi="monospace" w:eastAsia="monospace" w:cs="monospace"/>
      <w:sz w:val="20"/>
    </w:rPr>
  </w:style>
  <w:style w:type="character" w:styleId="101">
    <w:name w:val="HTML Sample"/>
    <w:basedOn w:val="86"/>
    <w:qFormat/>
    <w:uiPriority w:val="0"/>
    <w:rPr>
      <w:rFonts w:hint="default" w:ascii="monospace" w:hAnsi="monospace" w:eastAsia="monospace" w:cs="monospace"/>
    </w:rPr>
  </w:style>
  <w:style w:type="paragraph" w:customStyle="1" w:styleId="102">
    <w:name w:val="表格文字"/>
    <w:basedOn w:val="33"/>
    <w:next w:val="32"/>
    <w:qFormat/>
    <w:uiPriority w:val="0"/>
    <w:pPr>
      <w:spacing w:before="25" w:after="25"/>
      <w:jc w:val="left"/>
    </w:pPr>
    <w:rPr>
      <w:bCs/>
      <w:spacing w:val="10"/>
      <w:kern w:val="0"/>
      <w:sz w:val="24"/>
      <w:szCs w:val="20"/>
    </w:rPr>
  </w:style>
  <w:style w:type="character" w:customStyle="1" w:styleId="103">
    <w:name w:val="标题 2 Char"/>
    <w:qFormat/>
    <w:uiPriority w:val="0"/>
    <w:rPr>
      <w:rFonts w:ascii="Cambria" w:hAnsi="Cambria" w:eastAsia="宋体" w:cs="Times New Roman"/>
      <w:b/>
      <w:bCs/>
      <w:sz w:val="32"/>
      <w:szCs w:val="32"/>
      <w:lang w:bidi="ar-SA"/>
    </w:rPr>
  </w:style>
  <w:style w:type="character" w:customStyle="1" w:styleId="104">
    <w:name w:val="标题 1 Char1"/>
    <w:qFormat/>
    <w:uiPriority w:val="0"/>
    <w:rPr>
      <w:b/>
      <w:bCs/>
      <w:kern w:val="44"/>
      <w:sz w:val="44"/>
      <w:szCs w:val="44"/>
    </w:rPr>
  </w:style>
  <w:style w:type="character" w:customStyle="1" w:styleId="105">
    <w:name w:val="标题 3 Char1"/>
    <w:qFormat/>
    <w:uiPriority w:val="0"/>
    <w:rPr>
      <w:b/>
      <w:bCs/>
      <w:kern w:val="2"/>
      <w:sz w:val="32"/>
      <w:szCs w:val="32"/>
    </w:rPr>
  </w:style>
  <w:style w:type="character" w:customStyle="1" w:styleId="106">
    <w:name w:val="标题 5 Char1"/>
    <w:qFormat/>
    <w:uiPriority w:val="0"/>
    <w:rPr>
      <w:b/>
      <w:bCs/>
      <w:kern w:val="2"/>
      <w:sz w:val="28"/>
      <w:szCs w:val="28"/>
    </w:rPr>
  </w:style>
  <w:style w:type="character" w:customStyle="1" w:styleId="107">
    <w:name w:val="标题 6 Char1"/>
    <w:qFormat/>
    <w:uiPriority w:val="0"/>
    <w:rPr>
      <w:rFonts w:ascii="Cambria" w:hAnsi="Cambria" w:eastAsia="宋体" w:cs="Times New Roman"/>
      <w:b/>
      <w:bCs/>
      <w:kern w:val="2"/>
      <w:sz w:val="24"/>
      <w:szCs w:val="24"/>
      <w:lang w:bidi="ar-SA"/>
    </w:rPr>
  </w:style>
  <w:style w:type="character" w:customStyle="1" w:styleId="108">
    <w:name w:val="标题 7 Char1"/>
    <w:qFormat/>
    <w:uiPriority w:val="0"/>
    <w:rPr>
      <w:b/>
      <w:bCs/>
      <w:kern w:val="2"/>
      <w:sz w:val="24"/>
      <w:szCs w:val="24"/>
    </w:rPr>
  </w:style>
  <w:style w:type="character" w:customStyle="1" w:styleId="109">
    <w:name w:val="标题 8 Char1"/>
    <w:qFormat/>
    <w:uiPriority w:val="0"/>
    <w:rPr>
      <w:rFonts w:ascii="Cambria" w:hAnsi="Cambria" w:eastAsia="宋体" w:cs="Times New Roman"/>
      <w:kern w:val="2"/>
      <w:sz w:val="24"/>
      <w:szCs w:val="24"/>
      <w:lang w:bidi="ar-SA"/>
    </w:rPr>
  </w:style>
  <w:style w:type="character" w:customStyle="1" w:styleId="110">
    <w:name w:val="标题 9 Char1"/>
    <w:qFormat/>
    <w:uiPriority w:val="0"/>
    <w:rPr>
      <w:rFonts w:ascii="Cambria" w:hAnsi="Cambria" w:eastAsia="宋体" w:cs="Times New Roman"/>
      <w:kern w:val="2"/>
      <w:sz w:val="21"/>
      <w:szCs w:val="21"/>
      <w:lang w:bidi="ar-SA"/>
    </w:rPr>
  </w:style>
  <w:style w:type="character" w:customStyle="1" w:styleId="111">
    <w:name w:val="页脚 Char1"/>
    <w:qFormat/>
    <w:uiPriority w:val="0"/>
    <w:rPr>
      <w:rFonts w:ascii="Times New Roman" w:hAnsi="Times New Roman" w:eastAsia="宋体" w:cs="Times New Roman"/>
      <w:sz w:val="18"/>
      <w:szCs w:val="18"/>
      <w:lang w:bidi="ar-SA"/>
    </w:rPr>
  </w:style>
  <w:style w:type="character" w:customStyle="1" w:styleId="112">
    <w:name w:val="正文文本 Char1"/>
    <w:qFormat/>
    <w:uiPriority w:val="0"/>
    <w:rPr>
      <w:rFonts w:ascii="Times New Roman" w:hAnsi="Times New Roman" w:eastAsia="宋体" w:cs="Times New Roman"/>
      <w:szCs w:val="24"/>
      <w:lang w:bidi="ar-SA"/>
    </w:rPr>
  </w:style>
  <w:style w:type="character" w:customStyle="1" w:styleId="113">
    <w:name w:val="正文文本缩进 Char1"/>
    <w:qFormat/>
    <w:uiPriority w:val="0"/>
    <w:rPr>
      <w:rFonts w:ascii="Times New Roman" w:hAnsi="Times New Roman" w:eastAsia="宋体" w:cs="Times New Roman"/>
      <w:szCs w:val="24"/>
      <w:lang w:bidi="ar-SA"/>
    </w:rPr>
  </w:style>
  <w:style w:type="character" w:customStyle="1" w:styleId="114">
    <w:name w:val="纯文本 Char"/>
    <w:qFormat/>
    <w:uiPriority w:val="0"/>
    <w:rPr>
      <w:rFonts w:ascii="宋体" w:eastAsia="宋体" w:cs="Courier New"/>
      <w:szCs w:val="21"/>
      <w:lang w:bidi="ar-SA"/>
    </w:rPr>
  </w:style>
  <w:style w:type="paragraph" w:customStyle="1" w:styleId="115">
    <w:name w:val="修订1"/>
    <w:qFormat/>
    <w:uiPriority w:val="0"/>
    <w:rPr>
      <w:rFonts w:ascii="Times New Roman" w:hAnsi="Times New Roman" w:eastAsia="宋体" w:cs="Times New Roman"/>
      <w:kern w:val="2"/>
      <w:sz w:val="21"/>
      <w:szCs w:val="24"/>
      <w:lang w:val="en-US" w:eastAsia="zh-CN" w:bidi="ar-SA"/>
    </w:rPr>
  </w:style>
  <w:style w:type="paragraph" w:styleId="116">
    <w:name w:val="List Paragraph"/>
    <w:basedOn w:val="1"/>
    <w:qFormat/>
    <w:uiPriority w:val="0"/>
    <w:pPr>
      <w:ind w:firstLine="200" w:firstLineChars="200"/>
    </w:pPr>
  </w:style>
  <w:style w:type="paragraph" w:customStyle="1" w:styleId="117">
    <w:name w:val="TOC 标题1"/>
    <w:basedOn w:val="2"/>
    <w:next w:val="1"/>
    <w:qFormat/>
    <w:uiPriority w:val="0"/>
    <w:pPr>
      <w:widowControl/>
      <w:numPr>
        <w:ilvl w:val="0"/>
        <w:numId w:val="3"/>
      </w:numPr>
      <w:spacing w:before="480" w:after="0" w:line="276" w:lineRule="auto"/>
      <w:jc w:val="left"/>
      <w:outlineLvl w:val="9"/>
    </w:pPr>
    <w:rPr>
      <w:rFonts w:ascii="Cambria" w:hAnsi="Cambria"/>
      <w:color w:val="365F91"/>
      <w:kern w:val="0"/>
      <w:sz w:val="28"/>
      <w:szCs w:val="28"/>
    </w:rPr>
  </w:style>
  <w:style w:type="paragraph" w:customStyle="1" w:styleId="118">
    <w:name w:val="Zchn Zchn"/>
    <w:basedOn w:val="1"/>
    <w:qFormat/>
    <w:uiPriority w:val="0"/>
    <w:rPr>
      <w:rFonts w:ascii="Tahoma" w:hAnsi="Tahoma"/>
      <w:sz w:val="24"/>
      <w:szCs w:val="20"/>
    </w:rPr>
  </w:style>
  <w:style w:type="paragraph" w:customStyle="1" w:styleId="119">
    <w:name w:val="正文列表"/>
    <w:basedOn w:val="1"/>
    <w:qFormat/>
    <w:uiPriority w:val="0"/>
    <w:pPr>
      <w:autoSpaceDE w:val="0"/>
      <w:autoSpaceDN w:val="0"/>
      <w:adjustRightInd w:val="0"/>
      <w:jc w:val="center"/>
    </w:pPr>
    <w:rPr>
      <w:rFonts w:ascii="宋体"/>
      <w:kern w:val="0"/>
      <w:sz w:val="24"/>
      <w:szCs w:val="20"/>
    </w:rPr>
  </w:style>
  <w:style w:type="paragraph" w:customStyle="1" w:styleId="120">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21">
    <w:name w:val="默认段落字体 Para Char Char Char Char Char Char Char Char Char1 Char Char Char Char"/>
    <w:basedOn w:val="1"/>
    <w:qFormat/>
    <w:uiPriority w:val="0"/>
    <w:rPr>
      <w:rFonts w:ascii="Tahoma" w:hAnsi="Tahoma"/>
      <w:sz w:val="24"/>
      <w:szCs w:val="20"/>
    </w:rPr>
  </w:style>
  <w:style w:type="paragraph" w:customStyle="1" w:styleId="122">
    <w:name w:val="普通 (Web)"/>
    <w:basedOn w:val="1"/>
    <w:qFormat/>
    <w:uiPriority w:val="0"/>
    <w:pPr>
      <w:widowControl/>
      <w:spacing w:before="100" w:beforeAutospacing="1" w:after="100" w:afterAutospacing="1"/>
      <w:jc w:val="left"/>
    </w:pPr>
    <w:rPr>
      <w:rFonts w:ascii="宋体"/>
      <w:kern w:val="0"/>
      <w:sz w:val="24"/>
      <w:szCs w:val="20"/>
    </w:rPr>
  </w:style>
  <w:style w:type="paragraph" w:customStyle="1" w:styleId="123">
    <w:name w:val="xl22"/>
    <w:basedOn w:val="1"/>
    <w:qFormat/>
    <w:uiPriority w:val="0"/>
    <w:pPr>
      <w:widowControl/>
      <w:spacing w:before="100" w:beforeAutospacing="1" w:after="100" w:afterAutospacing="1"/>
      <w:jc w:val="left"/>
    </w:pPr>
    <w:rPr>
      <w:rFonts w:ascii="Arial Unicode MS" w:eastAsia="Arial Unicode MS" w:cs="Arial Unicode MS"/>
      <w:kern w:val="0"/>
      <w:sz w:val="20"/>
      <w:szCs w:val="20"/>
    </w:rPr>
  </w:style>
  <w:style w:type="paragraph" w:customStyle="1" w:styleId="12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2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26">
    <w:name w:val="五级标题"/>
    <w:basedOn w:val="1"/>
    <w:qFormat/>
    <w:uiPriority w:val="0"/>
    <w:pPr>
      <w:numPr>
        <w:ilvl w:val="0"/>
        <w:numId w:val="4"/>
      </w:numPr>
      <w:spacing w:line="360" w:lineRule="auto"/>
      <w:outlineLvl w:val="4"/>
    </w:pPr>
    <w:rPr>
      <w:rFonts w:eastAsia="黑体"/>
      <w:b/>
      <w:sz w:val="28"/>
      <w:szCs w:val="20"/>
    </w:rPr>
  </w:style>
  <w:style w:type="paragraph" w:customStyle="1" w:styleId="127">
    <w:name w:val="题注4"/>
    <w:basedOn w:val="1"/>
    <w:next w:val="20"/>
    <w:qFormat/>
    <w:uiPriority w:val="0"/>
    <w:pPr>
      <w:ind w:left="-62" w:leftChars="-64" w:right="-50" w:rightChars="-50" w:hanging="2"/>
      <w:jc w:val="center"/>
    </w:pPr>
    <w:rPr>
      <w:b/>
      <w:color w:val="FF0000"/>
      <w:szCs w:val="21"/>
      <w:lang w:val="en-GB" w:eastAsia="en-GB"/>
    </w:rPr>
  </w:style>
  <w:style w:type="paragraph" w:customStyle="1" w:styleId="128">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b w:val="0"/>
      <w:bCs w:val="0"/>
      <w:sz w:val="28"/>
      <w:szCs w:val="20"/>
    </w:rPr>
  </w:style>
  <w:style w:type="paragraph" w:customStyle="1" w:styleId="130">
    <w:name w:val="Char Char2 Char"/>
    <w:basedOn w:val="1"/>
    <w:qFormat/>
    <w:uiPriority w:val="0"/>
    <w:rPr>
      <w:rFonts w:ascii="宋体"/>
      <w:b/>
      <w:sz w:val="28"/>
      <w:szCs w:val="28"/>
    </w:rPr>
  </w:style>
  <w:style w:type="paragraph" w:customStyle="1" w:styleId="131">
    <w:name w:val="招标文件样式2"/>
    <w:basedOn w:val="1"/>
    <w:qFormat/>
    <w:uiPriority w:val="0"/>
    <w:pPr>
      <w:jc w:val="center"/>
      <w:outlineLvl w:val="0"/>
    </w:pPr>
    <w:rPr>
      <w:rFonts w:ascii="宋体"/>
      <w:b/>
      <w:sz w:val="28"/>
      <w:szCs w:val="28"/>
    </w:rPr>
  </w:style>
  <w:style w:type="paragraph" w:customStyle="1" w:styleId="132">
    <w:name w:val="Char Char Char Char"/>
    <w:basedOn w:val="1"/>
    <w:qFormat/>
    <w:uiPriority w:val="0"/>
    <w:pPr>
      <w:tabs>
        <w:tab w:val="left" w:pos="780"/>
      </w:tabs>
      <w:ind w:left="780" w:hanging="360"/>
    </w:pPr>
    <w:rPr>
      <w:sz w:val="24"/>
    </w:rPr>
  </w:style>
  <w:style w:type="paragraph" w:customStyle="1" w:styleId="133">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34">
    <w:name w:val="表内文字"/>
    <w:basedOn w:val="1"/>
    <w:qFormat/>
    <w:uiPriority w:val="0"/>
    <w:pPr>
      <w:snapToGrid w:val="0"/>
      <w:spacing w:before="50" w:after="50"/>
      <w:jc w:val="center"/>
    </w:pPr>
    <w:rPr>
      <w:rFonts w:ascii="仿宋_GB2312" w:eastAsia="仿宋_GB2312"/>
      <w:b/>
      <w:color w:val="000000"/>
      <w:sz w:val="32"/>
      <w:szCs w:val="32"/>
    </w:rPr>
  </w:style>
  <w:style w:type="paragraph" w:customStyle="1" w:styleId="135">
    <w:name w:val="默认段落字体 Para Char"/>
    <w:basedOn w:val="1"/>
    <w:qFormat/>
    <w:uiPriority w:val="0"/>
    <w:rPr>
      <w:rFonts w:ascii="宋体"/>
      <w:b/>
      <w:sz w:val="28"/>
      <w:szCs w:val="28"/>
    </w:rPr>
  </w:style>
  <w:style w:type="paragraph" w:customStyle="1" w:styleId="136">
    <w:name w:val="List Paragraph1"/>
    <w:basedOn w:val="1"/>
    <w:qFormat/>
    <w:uiPriority w:val="0"/>
    <w:pPr>
      <w:widowControl/>
      <w:spacing w:after="200" w:line="276" w:lineRule="auto"/>
      <w:ind w:left="720"/>
      <w:jc w:val="left"/>
    </w:pPr>
    <w:rPr>
      <w:rFonts w:ascii="Calibri" w:hAnsi="Calibri"/>
      <w:kern w:val="0"/>
      <w:sz w:val="22"/>
      <w:szCs w:val="22"/>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Char Char Char Char Char Char Char"/>
    <w:basedOn w:val="1"/>
    <w:qFormat/>
    <w:uiPriority w:val="0"/>
    <w:pPr>
      <w:tabs>
        <w:tab w:val="left" w:pos="425"/>
      </w:tabs>
      <w:ind w:left="425" w:hanging="425"/>
    </w:pPr>
    <w:rPr>
      <w:rFonts w:eastAsia="仿宋_GB2312"/>
      <w:kern w:val="24"/>
      <w:sz w:val="24"/>
    </w:rPr>
  </w:style>
  <w:style w:type="paragraph" w:customStyle="1" w:styleId="139">
    <w:name w:val="四级标题"/>
    <w:basedOn w:val="1"/>
    <w:qFormat/>
    <w:uiPriority w:val="0"/>
    <w:pPr>
      <w:numPr>
        <w:ilvl w:val="0"/>
        <w:numId w:val="5"/>
      </w:numPr>
      <w:spacing w:line="360" w:lineRule="auto"/>
      <w:outlineLvl w:val="3"/>
    </w:pPr>
    <w:rPr>
      <w:rFonts w:eastAsia="黑体"/>
      <w:b/>
      <w:sz w:val="28"/>
      <w:szCs w:val="20"/>
    </w:rPr>
  </w:style>
  <w:style w:type="paragraph" w:customStyle="1" w:styleId="140">
    <w:name w:val="表格"/>
    <w:basedOn w:val="1"/>
    <w:qFormat/>
    <w:uiPriority w:val="0"/>
    <w:pPr>
      <w:spacing w:line="400" w:lineRule="exact"/>
    </w:pPr>
    <w:rPr>
      <w:sz w:val="24"/>
    </w:rPr>
  </w:style>
  <w:style w:type="paragraph" w:customStyle="1" w:styleId="14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2">
    <w:name w:val="Char"/>
    <w:basedOn w:val="24"/>
    <w:qFormat/>
    <w:uiPriority w:val="0"/>
    <w:rPr>
      <w:rFonts w:ascii="Tahoma" w:hAnsi="Tahoma" w:cs="Tahoma"/>
      <w:sz w:val="18"/>
    </w:rPr>
  </w:style>
  <w:style w:type="paragraph" w:customStyle="1" w:styleId="143">
    <w:name w:val="正文段"/>
    <w:basedOn w:val="1"/>
    <w:qFormat/>
    <w:uiPriority w:val="0"/>
    <w:pPr>
      <w:widowControl/>
      <w:snapToGrid w:val="0"/>
      <w:spacing w:afterLines="50"/>
      <w:ind w:firstLine="200" w:firstLineChars="200"/>
    </w:pPr>
    <w:rPr>
      <w:kern w:val="0"/>
      <w:sz w:val="24"/>
      <w:szCs w:val="20"/>
    </w:rPr>
  </w:style>
  <w:style w:type="paragraph" w:customStyle="1" w:styleId="144">
    <w:name w:val="Char1"/>
    <w:basedOn w:val="1"/>
    <w:qFormat/>
    <w:uiPriority w:val="0"/>
    <w:rPr>
      <w:szCs w:val="21"/>
    </w:rPr>
  </w:style>
  <w:style w:type="paragraph" w:customStyle="1" w:styleId="145">
    <w:name w:val="样式 首行缩进:  2 字符"/>
    <w:basedOn w:val="1"/>
    <w:qFormat/>
    <w:uiPriority w:val="0"/>
    <w:pPr>
      <w:spacing w:line="400" w:lineRule="exact"/>
      <w:ind w:firstLine="200" w:firstLineChars="200"/>
    </w:pPr>
    <w:rPr>
      <w:rFonts w:cs="宋体"/>
      <w:sz w:val="24"/>
    </w:rPr>
  </w:style>
  <w:style w:type="paragraph" w:customStyle="1" w:styleId="14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4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49">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50">
    <w:name w:val="Char Char2 Char Char Char Char Char"/>
    <w:basedOn w:val="1"/>
    <w:qFormat/>
    <w:uiPriority w:val="0"/>
    <w:pPr>
      <w:numPr>
        <w:ilvl w:val="0"/>
        <w:numId w:val="6"/>
      </w:numPr>
    </w:pPr>
    <w:rPr>
      <w:sz w:val="24"/>
    </w:rPr>
  </w:style>
  <w:style w:type="paragraph" w:customStyle="1" w:styleId="151">
    <w:name w:val="题注5"/>
    <w:basedOn w:val="1"/>
    <w:next w:val="20"/>
    <w:qFormat/>
    <w:uiPriority w:val="0"/>
    <w:pPr>
      <w:jc w:val="center"/>
    </w:pPr>
    <w:rPr>
      <w:b/>
      <w:color w:val="000000"/>
      <w:sz w:val="24"/>
      <w:szCs w:val="21"/>
    </w:rPr>
  </w:style>
  <w:style w:type="paragraph" w:customStyle="1" w:styleId="152">
    <w:name w:val="办公自动化专用标题"/>
    <w:basedOn w:val="80"/>
    <w:qFormat/>
    <w:uiPriority w:val="0"/>
    <w:pPr>
      <w:spacing w:line="560" w:lineRule="atLeast"/>
    </w:pPr>
    <w:rPr>
      <w:rFonts w:ascii="宋体"/>
      <w:bCs w:val="0"/>
      <w:sz w:val="44"/>
      <w:szCs w:val="20"/>
    </w:rPr>
  </w:style>
  <w:style w:type="paragraph" w:customStyle="1" w:styleId="153">
    <w:name w:val="标题-3"/>
    <w:basedOn w:val="1"/>
    <w:qFormat/>
    <w:uiPriority w:val="0"/>
    <w:pPr>
      <w:spacing w:beforeLines="50" w:afterLines="50"/>
      <w:outlineLvl w:val="2"/>
    </w:pPr>
    <w:rPr>
      <w:rFonts w:ascii="宋体"/>
      <w:b/>
      <w:kern w:val="0"/>
      <w:sz w:val="24"/>
    </w:rPr>
  </w:style>
  <w:style w:type="paragraph" w:customStyle="1" w:styleId="154">
    <w:name w:val="5 Char Char Char Char Char Char Char Char Char Char"/>
    <w:basedOn w:val="1"/>
    <w:qFormat/>
    <w:uiPriority w:val="0"/>
  </w:style>
  <w:style w:type="paragraph" w:customStyle="1" w:styleId="155">
    <w:name w:val="Char Char Char1 Char"/>
    <w:basedOn w:val="1"/>
    <w:qFormat/>
    <w:uiPriority w:val="0"/>
    <w:rPr>
      <w:rFonts w:ascii="Calibri" w:hAnsi="Calibri"/>
      <w:szCs w:val="22"/>
    </w:rPr>
  </w:style>
  <w:style w:type="paragraph" w:customStyle="1" w:styleId="156">
    <w:name w:val="1ji"/>
    <w:basedOn w:val="2"/>
    <w:qFormat/>
    <w:uiPriority w:val="0"/>
    <w:pPr>
      <w:keepLines w:val="0"/>
      <w:widowControl/>
      <w:spacing w:before="0" w:after="0" w:line="240" w:lineRule="auto"/>
      <w:jc w:val="center"/>
    </w:pPr>
    <w:rPr>
      <w:rFonts w:ascii="宋体" w:hAnsi="宋体" w:eastAsia="仿宋_GB2312"/>
      <w:sz w:val="36"/>
    </w:rPr>
  </w:style>
  <w:style w:type="paragraph" w:customStyle="1" w:styleId="157">
    <w:name w:val="1"/>
    <w:basedOn w:val="1"/>
    <w:next w:val="42"/>
    <w:qFormat/>
    <w:uiPriority w:val="0"/>
    <w:rPr>
      <w:rFonts w:ascii="宋体"/>
      <w:szCs w:val="20"/>
    </w:rPr>
  </w:style>
  <w:style w:type="paragraph" w:customStyle="1" w:styleId="158">
    <w:name w:val="pa-5"/>
    <w:basedOn w:val="1"/>
    <w:qFormat/>
    <w:uiPriority w:val="0"/>
    <w:pPr>
      <w:widowControl/>
      <w:spacing w:before="150" w:after="150"/>
      <w:jc w:val="left"/>
    </w:pPr>
    <w:rPr>
      <w:rFonts w:ascii="宋体" w:cs="宋体"/>
      <w:kern w:val="0"/>
      <w:sz w:val="24"/>
    </w:rPr>
  </w:style>
  <w:style w:type="paragraph" w:customStyle="1" w:styleId="15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0">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61">
    <w:name w:val="Char Char1 Char Char Char Char"/>
    <w:basedOn w:val="24"/>
    <w:qFormat/>
    <w:uiPriority w:val="0"/>
    <w:rPr>
      <w:rFonts w:ascii="Tahoma" w:hAnsi="Tahoma"/>
      <w:sz w:val="24"/>
    </w:rPr>
  </w:style>
  <w:style w:type="paragraph" w:customStyle="1" w:styleId="162">
    <w:name w:val="_Style 35"/>
    <w:basedOn w:val="24"/>
    <w:qFormat/>
    <w:uiPriority w:val="0"/>
    <w:pPr>
      <w:widowControl/>
      <w:ind w:firstLine="454"/>
      <w:jc w:val="left"/>
    </w:pPr>
  </w:style>
  <w:style w:type="paragraph" w:customStyle="1" w:styleId="163">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164">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65">
    <w:name w:val="apple-style-span"/>
    <w:basedOn w:val="86"/>
    <w:qFormat/>
    <w:uiPriority w:val="0"/>
  </w:style>
  <w:style w:type="character" w:customStyle="1" w:styleId="166">
    <w:name w:val="textcontents"/>
    <w:basedOn w:val="86"/>
    <w:qFormat/>
    <w:uiPriority w:val="0"/>
  </w:style>
  <w:style w:type="character" w:customStyle="1" w:styleId="167">
    <w:name w:val="fontorange1"/>
    <w:qFormat/>
    <w:uiPriority w:val="0"/>
    <w:rPr>
      <w:rFonts w:ascii="ˎ̥" w:hAnsi="ˎ̥" w:eastAsia="宋体"/>
      <w:color w:val="FF6600"/>
      <w:kern w:val="2"/>
      <w:sz w:val="18"/>
      <w:szCs w:val="18"/>
      <w:lang w:val="en-US" w:eastAsia="zh-CN" w:bidi="ar-SA"/>
    </w:rPr>
  </w:style>
  <w:style w:type="character" w:customStyle="1" w:styleId="168">
    <w:name w:val="Char Char17"/>
    <w:qFormat/>
    <w:uiPriority w:val="0"/>
    <w:rPr>
      <w:rFonts w:ascii="Cambria" w:hAnsi="Cambria" w:eastAsia="宋体" w:cs="Times New Roman"/>
      <w:b/>
      <w:bCs/>
      <w:sz w:val="24"/>
      <w:szCs w:val="24"/>
      <w:lang w:bidi="ar-SA"/>
    </w:rPr>
  </w:style>
  <w:style w:type="character" w:customStyle="1" w:styleId="169">
    <w:name w:val="Char Char12"/>
    <w:qFormat/>
    <w:uiPriority w:val="0"/>
    <w:rPr>
      <w:rFonts w:ascii="Times New Roman" w:hAnsi="Times New Roman" w:eastAsia="宋体" w:cs="Times New Roman"/>
      <w:kern w:val="2"/>
      <w:sz w:val="18"/>
      <w:szCs w:val="18"/>
      <w:lang w:bidi="ar-SA"/>
    </w:rPr>
  </w:style>
  <w:style w:type="character" w:customStyle="1" w:styleId="170">
    <w:name w:val="Char Char16"/>
    <w:qFormat/>
    <w:uiPriority w:val="0"/>
    <w:rPr>
      <w:rFonts w:ascii="Calibri" w:hAnsi="Calibri" w:eastAsia="宋体" w:cs="Times New Roman"/>
      <w:b/>
      <w:bCs/>
      <w:sz w:val="24"/>
      <w:szCs w:val="24"/>
      <w:lang w:bidi="ar-SA"/>
    </w:rPr>
  </w:style>
  <w:style w:type="character" w:customStyle="1" w:styleId="171">
    <w:name w:val="ca-12"/>
    <w:qFormat/>
    <w:uiPriority w:val="0"/>
    <w:rPr>
      <w:rFonts w:ascii="宋体" w:eastAsia="宋体" w:cs="Times New Roman"/>
      <w:kern w:val="2"/>
      <w:sz w:val="24"/>
      <w:szCs w:val="24"/>
      <w:lang w:val="en-US" w:eastAsia="zh-CN" w:bidi="ar-SA"/>
    </w:rPr>
  </w:style>
  <w:style w:type="character" w:customStyle="1" w:styleId="172">
    <w:name w:val="short_text"/>
    <w:qFormat/>
    <w:uiPriority w:val="0"/>
    <w:rPr>
      <w:rFonts w:ascii="宋体" w:eastAsia="宋体"/>
      <w:kern w:val="2"/>
      <w:sz w:val="24"/>
      <w:szCs w:val="24"/>
      <w:lang w:val="en-US" w:eastAsia="zh-CN" w:bidi="ar-SA"/>
    </w:rPr>
  </w:style>
  <w:style w:type="character" w:customStyle="1" w:styleId="173">
    <w:name w:val="Char Char13"/>
    <w:qFormat/>
    <w:uiPriority w:val="0"/>
    <w:rPr>
      <w:rFonts w:ascii="Times New Roman" w:hAnsi="Times New Roman" w:eastAsia="宋体" w:cs="Times New Roman"/>
      <w:kern w:val="2"/>
      <w:sz w:val="18"/>
      <w:szCs w:val="18"/>
      <w:lang w:bidi="ar-SA"/>
    </w:rPr>
  </w:style>
  <w:style w:type="character" w:customStyle="1" w:styleId="174">
    <w:name w:val="2nd level Char"/>
    <w:qFormat/>
    <w:uiPriority w:val="0"/>
    <w:rPr>
      <w:rFonts w:ascii="Arial" w:hAnsi="Arial" w:eastAsia="黑体" w:cs="Times New Roman"/>
      <w:b/>
      <w:bCs/>
      <w:kern w:val="2"/>
      <w:sz w:val="32"/>
      <w:szCs w:val="32"/>
      <w:lang w:bidi="ar-SA"/>
    </w:rPr>
  </w:style>
  <w:style w:type="character" w:customStyle="1" w:styleId="175">
    <w:name w:val="apple-converted-space"/>
    <w:basedOn w:val="86"/>
    <w:qFormat/>
    <w:uiPriority w:val="0"/>
  </w:style>
  <w:style w:type="character" w:customStyle="1" w:styleId="176">
    <w:name w:val="正文小标题 Char Char"/>
    <w:qFormat/>
    <w:uiPriority w:val="0"/>
    <w:rPr>
      <w:rFonts w:ascii="仿宋_GB2312" w:eastAsia="仿宋_GB2312" w:cs="Times New Roman"/>
      <w:kern w:val="2"/>
      <w:sz w:val="32"/>
      <w:szCs w:val="20"/>
      <w:lang w:bidi="ar-SA"/>
    </w:rPr>
  </w:style>
  <w:style w:type="character" w:customStyle="1" w:styleId="177">
    <w:name w:val="Char Char15"/>
    <w:qFormat/>
    <w:uiPriority w:val="0"/>
    <w:rPr>
      <w:rFonts w:ascii="Cambria" w:hAnsi="Cambria" w:eastAsia="宋体" w:cs="Times New Roman"/>
      <w:sz w:val="24"/>
      <w:szCs w:val="24"/>
      <w:lang w:bidi="ar-SA"/>
    </w:rPr>
  </w:style>
  <w:style w:type="character" w:customStyle="1" w:styleId="178">
    <w:name w:val="Char Char14"/>
    <w:qFormat/>
    <w:uiPriority w:val="0"/>
    <w:rPr>
      <w:rFonts w:ascii="Cambria" w:hAnsi="Cambria" w:eastAsia="宋体" w:cs="Times New Roman"/>
      <w:sz w:val="21"/>
      <w:szCs w:val="21"/>
      <w:lang w:bidi="ar-SA"/>
    </w:rPr>
  </w:style>
  <w:style w:type="character" w:customStyle="1" w:styleId="179">
    <w:name w:val="Char Char9"/>
    <w:qFormat/>
    <w:uiPriority w:val="0"/>
    <w:rPr>
      <w:rFonts w:ascii="Calibri" w:hAnsi="Calibri" w:eastAsia="宋体" w:cs="Times New Roman"/>
      <w:kern w:val="2"/>
      <w:sz w:val="18"/>
      <w:szCs w:val="18"/>
      <w:lang w:val="en-US" w:eastAsia="zh-CN" w:bidi="ar-SA"/>
    </w:rPr>
  </w:style>
  <w:style w:type="character" w:customStyle="1" w:styleId="180">
    <w:name w:val="Char Char11"/>
    <w:qFormat/>
    <w:uiPriority w:val="0"/>
    <w:rPr>
      <w:rFonts w:ascii="Times New Roman" w:hAnsi="Times New Roman" w:eastAsia="宋体" w:cs="Times New Roman"/>
      <w:kern w:val="2"/>
      <w:sz w:val="21"/>
      <w:szCs w:val="20"/>
      <w:lang w:bidi="ar-SA"/>
    </w:rPr>
  </w:style>
  <w:style w:type="character" w:customStyle="1" w:styleId="181">
    <w:name w:val="无缩进 Char"/>
    <w:qFormat/>
    <w:uiPriority w:val="0"/>
    <w:rPr>
      <w:rFonts w:ascii="Times New Roman" w:hAnsi="Times New Roman" w:eastAsia="宋体" w:cs="Times New Roman"/>
      <w:kern w:val="2"/>
      <w:sz w:val="21"/>
      <w:szCs w:val="20"/>
      <w:lang w:bidi="ar-SA"/>
    </w:rPr>
  </w:style>
  <w:style w:type="character" w:customStyle="1" w:styleId="182">
    <w:name w:val="普通文字 Char Char2"/>
    <w:qFormat/>
    <w:uiPriority w:val="0"/>
    <w:rPr>
      <w:rFonts w:ascii="宋体" w:eastAsia="宋体"/>
      <w:kern w:val="2"/>
      <w:sz w:val="21"/>
      <w:lang w:val="en-US" w:eastAsia="zh-CN" w:bidi="ar-SA"/>
    </w:rPr>
  </w:style>
  <w:style w:type="character" w:customStyle="1" w:styleId="183">
    <w:name w:val="Char Char18"/>
    <w:qFormat/>
    <w:uiPriority w:val="0"/>
    <w:rPr>
      <w:rFonts w:ascii="Calibri" w:hAnsi="Calibri" w:eastAsia="宋体" w:cs="Times New Roman"/>
      <w:b/>
      <w:bCs/>
      <w:sz w:val="28"/>
      <w:szCs w:val="28"/>
      <w:lang w:bidi="ar-SA"/>
    </w:rPr>
  </w:style>
  <w:style w:type="character" w:customStyle="1" w:styleId="184">
    <w:name w:val="ca-2"/>
    <w:basedOn w:val="86"/>
    <w:qFormat/>
    <w:uiPriority w:val="0"/>
  </w:style>
  <w:style w:type="character" w:customStyle="1" w:styleId="185">
    <w:name w:val="ca-1"/>
    <w:basedOn w:val="86"/>
    <w:qFormat/>
    <w:uiPriority w:val="0"/>
  </w:style>
  <w:style w:type="character" w:customStyle="1" w:styleId="186">
    <w:name w:val="st1"/>
    <w:basedOn w:val="86"/>
    <w:qFormat/>
    <w:uiPriority w:val="0"/>
  </w:style>
  <w:style w:type="character" w:customStyle="1" w:styleId="187">
    <w:name w:val="Char Char3"/>
    <w:qFormat/>
    <w:uiPriority w:val="0"/>
    <w:rPr>
      <w:rFonts w:ascii="宋体" w:eastAsia="宋体"/>
      <w:kern w:val="2"/>
      <w:sz w:val="21"/>
      <w:szCs w:val="24"/>
      <w:lang w:val="en-US" w:eastAsia="zh-CN" w:bidi="ar-SA"/>
    </w:rPr>
  </w:style>
  <w:style w:type="paragraph" w:customStyle="1" w:styleId="188">
    <w:name w:val="样式1"/>
    <w:basedOn w:val="54"/>
    <w:qFormat/>
    <w:uiPriority w:val="0"/>
  </w:style>
  <w:style w:type="character" w:customStyle="1" w:styleId="189">
    <w:name w:val="Footer Char_abbf1d01-25a7-47b4-9707-96123d473a0b"/>
    <w:qFormat/>
    <w:uiPriority w:val="0"/>
    <w:rPr>
      <w:rFonts w:ascii="Times New Roman" w:hAnsi="Times New Roman" w:eastAsia="宋体" w:cs="Times New Roman"/>
      <w:sz w:val="18"/>
      <w:szCs w:val="18"/>
      <w:lang w:bidi="ar-SA"/>
    </w:rPr>
  </w:style>
  <w:style w:type="character" w:customStyle="1" w:styleId="190">
    <w:name w:val="Char Char23"/>
    <w:qFormat/>
    <w:uiPriority w:val="0"/>
    <w:rPr>
      <w:rFonts w:eastAsia="宋体"/>
      <w:b/>
      <w:bCs/>
      <w:kern w:val="44"/>
      <w:sz w:val="32"/>
      <w:szCs w:val="44"/>
      <w:lang w:val="en-US" w:eastAsia="zh-CN" w:bidi="ar-SA"/>
    </w:rPr>
  </w:style>
  <w:style w:type="character" w:customStyle="1" w:styleId="191">
    <w:name w:val="Char Char21"/>
    <w:qFormat/>
    <w:uiPriority w:val="0"/>
    <w:rPr>
      <w:rFonts w:ascii="Arial" w:hAnsi="Arial" w:eastAsia="黑体" w:cs="Times New Roman"/>
      <w:b/>
      <w:bCs/>
      <w:sz w:val="32"/>
      <w:szCs w:val="32"/>
      <w:lang w:bidi="ar-SA"/>
    </w:rPr>
  </w:style>
  <w:style w:type="character" w:customStyle="1" w:styleId="192">
    <w:name w:val="Heading 3 Char1"/>
    <w:qFormat/>
    <w:uiPriority w:val="0"/>
    <w:rPr>
      <w:rFonts w:eastAsia="宋体"/>
      <w:b/>
      <w:bCs/>
      <w:kern w:val="2"/>
      <w:sz w:val="24"/>
      <w:szCs w:val="32"/>
      <w:lang w:val="en-US" w:eastAsia="zh-CN" w:bidi="ar-SA"/>
    </w:rPr>
  </w:style>
  <w:style w:type="paragraph" w:customStyle="1" w:styleId="193">
    <w:name w:val="表头11"/>
    <w:basedOn w:val="1"/>
    <w:qFormat/>
    <w:uiPriority w:val="0"/>
    <w:pPr>
      <w:adjustRightInd w:val="0"/>
      <w:snapToGrid w:val="0"/>
      <w:spacing w:beforeLines="50" w:line="300" w:lineRule="auto"/>
      <w:ind w:firstLine="200" w:firstLineChars="200"/>
    </w:pPr>
    <w:rPr>
      <w:rFonts w:ascii="Calibri" w:hAnsi="Calibri" w:eastAsia="黑体"/>
      <w:kern w:val="0"/>
      <w:sz w:val="24"/>
    </w:rPr>
  </w:style>
  <w:style w:type="character" w:customStyle="1" w:styleId="194">
    <w:name w:val="Char Char19"/>
    <w:qFormat/>
    <w:uiPriority w:val="0"/>
    <w:rPr>
      <w:rFonts w:ascii="Arial" w:hAnsi="Arial" w:eastAsia="宋体" w:cs="Times New Roman"/>
      <w:b/>
      <w:bCs/>
      <w:szCs w:val="28"/>
      <w:lang w:bidi="ar-SA"/>
    </w:rPr>
  </w:style>
  <w:style w:type="character" w:customStyle="1" w:styleId="195">
    <w:name w:val="批注框文本 Char1"/>
    <w:qFormat/>
    <w:uiPriority w:val="0"/>
    <w:rPr>
      <w:rFonts w:ascii="Times New Roman" w:hAnsi="Times New Roman" w:eastAsia="宋体" w:cs="Times New Roman"/>
      <w:sz w:val="18"/>
      <w:szCs w:val="18"/>
      <w:lang w:bidi="ar-SA"/>
    </w:rPr>
  </w:style>
  <w:style w:type="character" w:customStyle="1" w:styleId="196">
    <w:name w:val="正文（首行缩进两字）1 Char1"/>
    <w:qFormat/>
    <w:uiPriority w:val="0"/>
    <w:rPr>
      <w:rFonts w:eastAsia="宋体"/>
      <w:kern w:val="2"/>
      <w:sz w:val="21"/>
      <w:szCs w:val="24"/>
      <w:lang w:val="en-US" w:eastAsia="zh-CN" w:bidi="ar-SA"/>
    </w:rPr>
  </w:style>
  <w:style w:type="character" w:customStyle="1" w:styleId="197">
    <w:name w:val="标题2 Char3"/>
    <w:qFormat/>
    <w:uiPriority w:val="0"/>
    <w:rPr>
      <w:rFonts w:ascii="Arial" w:hAnsi="Arial" w:eastAsia="宋体"/>
      <w:b/>
      <w:bCs/>
      <w:snapToGrid w:val="0"/>
      <w:kern w:val="2"/>
      <w:sz w:val="28"/>
      <w:szCs w:val="32"/>
      <w:lang w:val="en-US" w:eastAsia="zh-CN" w:bidi="ar-SA"/>
    </w:rPr>
  </w:style>
  <w:style w:type="character" w:customStyle="1" w:styleId="198">
    <w:name w:val="标题 Char2"/>
    <w:qFormat/>
    <w:uiPriority w:val="0"/>
    <w:rPr>
      <w:rFonts w:ascii="Cambria" w:hAnsi="Cambria" w:eastAsia="宋体" w:cs="Times New Roman"/>
      <w:b/>
      <w:bCs/>
      <w:sz w:val="32"/>
      <w:szCs w:val="32"/>
      <w:lang w:bidi="ar-SA"/>
    </w:rPr>
  </w:style>
  <w:style w:type="character" w:customStyle="1" w:styleId="199">
    <w:name w:val="标题 3 Char Char Char Char Char"/>
    <w:qFormat/>
    <w:uiPriority w:val="0"/>
    <w:rPr>
      <w:rFonts w:ascii="仿宋_GB2312" w:eastAsia="仿宋_GB2312"/>
      <w:b/>
      <w:bCs/>
      <w:snapToGrid w:val="0"/>
      <w:sz w:val="28"/>
      <w:szCs w:val="28"/>
      <w:lang w:val="en-US" w:eastAsia="en-US" w:bidi="ar-SA"/>
    </w:rPr>
  </w:style>
  <w:style w:type="character" w:customStyle="1" w:styleId="200">
    <w:name w:val="正文缩进 Char2"/>
    <w:qFormat/>
    <w:uiPriority w:val="0"/>
    <w:rPr>
      <w:rFonts w:eastAsia="宋体"/>
      <w:kern w:val="2"/>
      <w:sz w:val="21"/>
      <w:lang w:val="en-US" w:eastAsia="zh-CN" w:bidi="ar-SA"/>
    </w:rPr>
  </w:style>
  <w:style w:type="character" w:customStyle="1" w:styleId="201">
    <w:name w:val="Char Char2"/>
    <w:qFormat/>
    <w:uiPriority w:val="0"/>
    <w:rPr>
      <w:rFonts w:eastAsia="宋体"/>
      <w:kern w:val="2"/>
      <w:sz w:val="18"/>
      <w:lang w:val="en-US" w:eastAsia="zh-CN"/>
    </w:rPr>
  </w:style>
  <w:style w:type="paragraph" w:customStyle="1" w:styleId="202">
    <w:name w:val="表头图名"/>
    <w:basedOn w:val="203"/>
    <w:qFormat/>
    <w:uiPriority w:val="0"/>
    <w:pPr>
      <w:widowControl w:val="0"/>
      <w:adjustRightInd w:val="0"/>
      <w:spacing w:line="240" w:lineRule="exact"/>
      <w:ind w:firstLine="0" w:firstLineChars="0"/>
      <w:jc w:val="both"/>
      <w:textAlignment w:val="baseline"/>
    </w:pPr>
    <w:rPr>
      <w:rFonts w:ascii="宋体" w:hAnsi="宋体" w:eastAsia="黑体"/>
      <w:sz w:val="24"/>
      <w:szCs w:val="21"/>
    </w:rPr>
  </w:style>
  <w:style w:type="paragraph" w:customStyle="1" w:styleId="203">
    <w:name w:val="说明书正文"/>
    <w:qFormat/>
    <w:uiPriority w:val="0"/>
    <w:pPr>
      <w:spacing w:line="480" w:lineRule="exact"/>
      <w:ind w:firstLine="200" w:firstLineChars="200"/>
    </w:pPr>
    <w:rPr>
      <w:rFonts w:ascii="Calibri" w:hAnsi="Calibri" w:eastAsia="方正书宋简体" w:cs="Times New Roman"/>
      <w:w w:val="90"/>
      <w:kern w:val="2"/>
      <w:sz w:val="32"/>
      <w:szCs w:val="32"/>
      <w:lang w:val="en-US" w:eastAsia="zh-CN" w:bidi="ar-SA"/>
    </w:rPr>
  </w:style>
  <w:style w:type="character" w:customStyle="1" w:styleId="204">
    <w:name w:val="Char Char10"/>
    <w:qFormat/>
    <w:uiPriority w:val="0"/>
    <w:rPr>
      <w:rFonts w:eastAsia="宋体"/>
      <w:b/>
      <w:sz w:val="24"/>
      <w:lang w:val="en-US" w:eastAsia="zh-CN"/>
    </w:rPr>
  </w:style>
  <w:style w:type="character" w:customStyle="1" w:styleId="205">
    <w:name w:val="Char Char161"/>
    <w:qFormat/>
    <w:uiPriority w:val="0"/>
    <w:rPr>
      <w:rFonts w:eastAsia="宋体"/>
      <w:b/>
      <w:kern w:val="44"/>
      <w:sz w:val="44"/>
      <w:lang w:val="en-US" w:eastAsia="zh-CN"/>
    </w:rPr>
  </w:style>
  <w:style w:type="paragraph" w:customStyle="1" w:styleId="206">
    <w:name w:val="表格文字居中（小四）"/>
    <w:basedOn w:val="203"/>
    <w:qFormat/>
    <w:uiPriority w:val="0"/>
    <w:pPr>
      <w:widowControl w:val="0"/>
      <w:adjustRightInd w:val="0"/>
      <w:snapToGrid w:val="0"/>
      <w:spacing w:line="240" w:lineRule="auto"/>
      <w:ind w:right="-58" w:rightChars="-58" w:firstLine="0" w:firstLineChars="0"/>
      <w:jc w:val="center"/>
    </w:pPr>
    <w:rPr>
      <w:rFonts w:ascii="宋体" w:eastAsia="宋体"/>
      <w:w w:val="100"/>
      <w:sz w:val="21"/>
      <w:szCs w:val="21"/>
    </w:rPr>
  </w:style>
  <w:style w:type="paragraph" w:customStyle="1" w:styleId="207">
    <w:name w:val="表格文字居中"/>
    <w:basedOn w:val="82"/>
    <w:qFormat/>
    <w:uiPriority w:val="0"/>
    <w:pPr>
      <w:keepNext/>
      <w:keepLines/>
      <w:tabs>
        <w:tab w:val="left" w:pos="628"/>
        <w:tab w:val="left" w:pos="1727"/>
        <w:tab w:val="left" w:pos="1884"/>
        <w:tab w:val="left" w:pos="7252"/>
      </w:tabs>
      <w:snapToGrid w:val="0"/>
      <w:spacing w:before="100" w:beforeAutospacing="1" w:after="0"/>
      <w:ind w:firstLine="0" w:firstLineChars="0"/>
      <w:jc w:val="center"/>
      <w:outlineLvl w:val="0"/>
    </w:pPr>
    <w:rPr>
      <w:kern w:val="2"/>
      <w:sz w:val="24"/>
      <w:szCs w:val="24"/>
    </w:rPr>
  </w:style>
  <w:style w:type="character" w:customStyle="1" w:styleId="208">
    <w:name w:val="标题 Char1"/>
    <w:qFormat/>
    <w:uiPriority w:val="0"/>
    <w:rPr>
      <w:rFonts w:ascii="Cambria" w:hAnsi="Cambria" w:eastAsia="宋体" w:cs="Times New Roman"/>
      <w:b/>
      <w:bCs/>
      <w:sz w:val="32"/>
      <w:szCs w:val="32"/>
      <w:lang w:bidi="ar-SA"/>
    </w:rPr>
  </w:style>
  <w:style w:type="paragraph" w:customStyle="1" w:styleId="209">
    <w:name w:val="规范正文"/>
    <w:qFormat/>
    <w:uiPriority w:val="0"/>
    <w:pPr>
      <w:adjustRightInd w:val="0"/>
      <w:snapToGrid w:val="0"/>
      <w:spacing w:line="312" w:lineRule="auto"/>
    </w:pPr>
    <w:rPr>
      <w:rFonts w:ascii="Calibri" w:hAnsi="Calibri" w:eastAsia="Times New Roman" w:cs="Times New Roman"/>
      <w:w w:val="95"/>
      <w:kern w:val="2"/>
      <w:sz w:val="24"/>
      <w:szCs w:val="24"/>
      <w:lang w:val="en-US" w:eastAsia="zh-CN" w:bidi="ar-SA"/>
    </w:rPr>
  </w:style>
  <w:style w:type="character" w:customStyle="1" w:styleId="210">
    <w:name w:val="标题－4 Char"/>
    <w:qFormat/>
    <w:uiPriority w:val="0"/>
    <w:rPr>
      <w:rFonts w:ascii="黑体" w:eastAsia="黑体"/>
      <w:b/>
      <w:bCs/>
      <w:snapToGrid w:val="0"/>
      <w:color w:val="008000"/>
      <w:sz w:val="28"/>
      <w:szCs w:val="28"/>
      <w:lang w:val="en-US" w:eastAsia="zh-CN" w:bidi="ar-SA"/>
    </w:rPr>
  </w:style>
  <w:style w:type="character" w:customStyle="1" w:styleId="211">
    <w:name w:val="正文（首行缩进两字） Char Char Char"/>
    <w:qFormat/>
    <w:uiPriority w:val="0"/>
    <w:rPr>
      <w:rFonts w:eastAsia="宋体"/>
      <w:kern w:val="2"/>
      <w:sz w:val="28"/>
      <w:lang w:val="en-US" w:eastAsia="zh-CN"/>
    </w:rPr>
  </w:style>
  <w:style w:type="character" w:customStyle="1" w:styleId="212">
    <w:name w:val="引用 Char"/>
    <w:qFormat/>
    <w:uiPriority w:val="0"/>
    <w:rPr>
      <w:rFonts w:ascii="Calibri" w:hAnsi="Calibri" w:eastAsia="宋体"/>
      <w:i/>
      <w:sz w:val="24"/>
      <w:lang w:val="en-US" w:eastAsia="en-US"/>
    </w:rPr>
  </w:style>
  <w:style w:type="paragraph" w:styleId="213">
    <w:name w:val="Quote"/>
    <w:basedOn w:val="1"/>
    <w:next w:val="1"/>
    <w:qFormat/>
    <w:uiPriority w:val="0"/>
    <w:pPr>
      <w:widowControl/>
      <w:jc w:val="left"/>
    </w:pPr>
    <w:rPr>
      <w:rFonts w:ascii="Calibri" w:hAnsi="Calibri"/>
      <w:i/>
      <w:sz w:val="24"/>
      <w:szCs w:val="20"/>
      <w:lang w:eastAsia="en-US"/>
    </w:rPr>
  </w:style>
  <w:style w:type="character" w:customStyle="1" w:styleId="214">
    <w:name w:val="明显参考1"/>
    <w:qFormat/>
    <w:uiPriority w:val="0"/>
    <w:rPr>
      <w:b/>
      <w:sz w:val="24"/>
      <w:u w:val="single"/>
    </w:rPr>
  </w:style>
  <w:style w:type="paragraph" w:customStyle="1" w:styleId="215">
    <w:name w:val="样式 正文缩进正文（首行缩进两字） + 宋体 四号"/>
    <w:basedOn w:val="7"/>
    <w:qFormat/>
    <w:uiPriority w:val="0"/>
    <w:pPr>
      <w:spacing w:after="156"/>
      <w:ind w:firstLine="200"/>
    </w:pPr>
    <w:rPr>
      <w:rFonts w:ascii="宋体"/>
      <w:kern w:val="2"/>
      <w:sz w:val="28"/>
    </w:rPr>
  </w:style>
  <w:style w:type="character" w:customStyle="1" w:styleId="216">
    <w:name w:val="Char Char32"/>
    <w:qFormat/>
    <w:uiPriority w:val="0"/>
    <w:rPr>
      <w:rFonts w:ascii="Arial" w:hAnsi="Arial" w:eastAsia="黑体"/>
      <w:b/>
      <w:bCs/>
      <w:kern w:val="2"/>
      <w:sz w:val="32"/>
      <w:szCs w:val="32"/>
      <w:lang w:val="en-US" w:eastAsia="zh-CN" w:bidi="ar-SA"/>
    </w:rPr>
  </w:style>
  <w:style w:type="paragraph" w:customStyle="1" w:styleId="217">
    <w:name w:val="黑~正文文本"/>
    <w:basedOn w:val="48"/>
    <w:qFormat/>
    <w:uiPriority w:val="0"/>
    <w:pPr>
      <w:spacing w:beforeLines="50" w:line="360" w:lineRule="auto"/>
      <w:ind w:firstLine="200" w:firstLineChars="200"/>
    </w:pPr>
    <w:rPr>
      <w:rFonts w:ascii="Calibri" w:hAnsi="Calibri"/>
      <w:kern w:val="2"/>
      <w:sz w:val="24"/>
      <w:szCs w:val="21"/>
    </w:rPr>
  </w:style>
  <w:style w:type="character" w:customStyle="1" w:styleId="218">
    <w:name w:val="Char Char6"/>
    <w:qFormat/>
    <w:uiPriority w:val="0"/>
    <w:rPr>
      <w:rFonts w:ascii="仿宋_GB2312" w:eastAsia="仿宋_GB2312"/>
      <w:b/>
      <w:kern w:val="2"/>
      <w:sz w:val="32"/>
      <w:lang w:val="en-US" w:eastAsia="zh-CN"/>
    </w:rPr>
  </w:style>
  <w:style w:type="character" w:customStyle="1" w:styleId="219">
    <w:name w:val="Char Char56"/>
    <w:qFormat/>
    <w:uiPriority w:val="0"/>
    <w:rPr>
      <w:rFonts w:ascii="Arial" w:hAnsi="Arial" w:eastAsia="黑体"/>
      <w:b/>
      <w:bCs/>
      <w:kern w:val="2"/>
      <w:sz w:val="32"/>
      <w:szCs w:val="32"/>
      <w:lang w:val="en-US" w:eastAsia="zh-CN" w:bidi="ar-SA"/>
    </w:rPr>
  </w:style>
  <w:style w:type="character" w:customStyle="1" w:styleId="220">
    <w:name w:val="正文文本 2 Char1"/>
    <w:qFormat/>
    <w:uiPriority w:val="0"/>
  </w:style>
  <w:style w:type="character" w:customStyle="1" w:styleId="221">
    <w:name w:val="正文 + 宋体 Char"/>
    <w:qFormat/>
    <w:uiPriority w:val="0"/>
    <w:rPr>
      <w:rFonts w:eastAsia="宋体"/>
      <w:b/>
      <w:spacing w:val="32"/>
      <w:kern w:val="2"/>
      <w:sz w:val="24"/>
      <w:szCs w:val="24"/>
      <w:lang w:val="en-US" w:eastAsia="zh-CN" w:bidi="ar-SA"/>
    </w:rPr>
  </w:style>
  <w:style w:type="character" w:customStyle="1" w:styleId="222">
    <w:name w:val="Char Char24"/>
    <w:qFormat/>
    <w:uiPriority w:val="0"/>
    <w:rPr>
      <w:rFonts w:eastAsia="宋体"/>
      <w:b/>
      <w:bCs/>
      <w:kern w:val="44"/>
      <w:sz w:val="32"/>
      <w:szCs w:val="44"/>
      <w:lang w:val="en-US" w:eastAsia="zh-CN" w:bidi="ar-SA"/>
    </w:rPr>
  </w:style>
  <w:style w:type="character" w:customStyle="1" w:styleId="223">
    <w:name w:val="批注文字 Char2"/>
    <w:qFormat/>
    <w:uiPriority w:val="0"/>
    <w:rPr>
      <w:rFonts w:eastAsia="宋体"/>
      <w:kern w:val="2"/>
      <w:sz w:val="21"/>
      <w:szCs w:val="24"/>
      <w:lang w:val="en-US" w:eastAsia="zh-CN" w:bidi="ar-SA"/>
    </w:rPr>
  </w:style>
  <w:style w:type="character" w:customStyle="1" w:styleId="224">
    <w:name w:val="引用 Char2"/>
    <w:qFormat/>
    <w:uiPriority w:val="0"/>
    <w:rPr>
      <w:i/>
      <w:iCs/>
      <w:color w:val="000000"/>
      <w:kern w:val="2"/>
      <w:sz w:val="21"/>
      <w:szCs w:val="24"/>
    </w:rPr>
  </w:style>
  <w:style w:type="paragraph" w:styleId="225">
    <w:name w:val="Intense Quote"/>
    <w:basedOn w:val="1"/>
    <w:next w:val="1"/>
    <w:qFormat/>
    <w:uiPriority w:val="0"/>
    <w:pPr>
      <w:widowControl/>
      <w:ind w:left="720" w:right="720"/>
      <w:jc w:val="left"/>
    </w:pPr>
    <w:rPr>
      <w:rFonts w:ascii="Calibri" w:hAnsi="Calibri"/>
      <w:b/>
      <w:i/>
      <w:sz w:val="24"/>
      <w:szCs w:val="20"/>
      <w:lang w:eastAsia="en-US"/>
    </w:rPr>
  </w:style>
  <w:style w:type="character" w:customStyle="1" w:styleId="226">
    <w:name w:val="批注文字 Char Char"/>
    <w:qFormat/>
    <w:uiPriority w:val="0"/>
    <w:rPr>
      <w:rFonts w:ascii="宋体" w:eastAsia="宋体" w:cs="Times New Roman"/>
      <w:sz w:val="28"/>
      <w:szCs w:val="20"/>
      <w:lang w:bidi="ar-SA"/>
    </w:rPr>
  </w:style>
  <w:style w:type="character" w:customStyle="1" w:styleId="227">
    <w:name w:val="日期 Char1"/>
    <w:qFormat/>
    <w:uiPriority w:val="0"/>
    <w:rPr>
      <w:rFonts w:ascii="Times New Roman" w:hAnsi="Times New Roman" w:eastAsia="宋体" w:cs="Times New Roman"/>
      <w:szCs w:val="24"/>
      <w:lang w:bidi="ar-SA"/>
    </w:rPr>
  </w:style>
  <w:style w:type="character" w:customStyle="1" w:styleId="228">
    <w:name w:val="标题 2 Char2 Char"/>
    <w:qFormat/>
    <w:uiPriority w:val="0"/>
    <w:rPr>
      <w:rFonts w:ascii="Arial" w:hAnsi="Arial" w:eastAsia="宋体"/>
      <w:b/>
      <w:bCs/>
      <w:snapToGrid w:val="0"/>
      <w:kern w:val="2"/>
      <w:sz w:val="28"/>
      <w:szCs w:val="32"/>
      <w:lang w:val="en-US" w:eastAsia="zh-CN" w:bidi="ar-SA"/>
    </w:rPr>
  </w:style>
  <w:style w:type="character" w:customStyle="1" w:styleId="229">
    <w:name w:val="纯文本 Char Char Char Char1"/>
    <w:qFormat/>
    <w:uiPriority w:val="0"/>
    <w:rPr>
      <w:rFonts w:ascii="宋体" w:eastAsia="宋体"/>
      <w:kern w:val="2"/>
      <w:sz w:val="21"/>
      <w:lang w:val="en-US" w:eastAsia="zh-CN" w:bidi="ar-SA"/>
    </w:rPr>
  </w:style>
  <w:style w:type="character" w:customStyle="1" w:styleId="230">
    <w:name w:val="正文文本 Char2"/>
    <w:qFormat/>
    <w:uiPriority w:val="0"/>
    <w:rPr>
      <w:rFonts w:eastAsia="宋体"/>
      <w:kern w:val="2"/>
      <w:sz w:val="21"/>
      <w:szCs w:val="24"/>
      <w:lang w:val="en-US" w:eastAsia="zh-CN" w:bidi="ar-SA"/>
    </w:rPr>
  </w:style>
  <w:style w:type="character" w:customStyle="1" w:styleId="231">
    <w:name w:val="Date Char"/>
    <w:qFormat/>
    <w:uiPriority w:val="0"/>
    <w:rPr>
      <w:rFonts w:ascii="Times New Roman" w:hAnsi="Times New Roman" w:eastAsia="仿宋_GB2312" w:cs="Times New Roman"/>
      <w:color w:val="FF0000"/>
      <w:sz w:val="24"/>
      <w:szCs w:val="24"/>
      <w:lang w:bidi="ar-SA"/>
    </w:rPr>
  </w:style>
  <w:style w:type="character" w:customStyle="1" w:styleId="232">
    <w:name w:val="脚注文本 Char1"/>
    <w:qFormat/>
    <w:uiPriority w:val="0"/>
    <w:rPr>
      <w:sz w:val="18"/>
      <w:szCs w:val="18"/>
    </w:rPr>
  </w:style>
  <w:style w:type="paragraph" w:customStyle="1" w:styleId="233">
    <w:name w:val="表内容"/>
    <w:qFormat/>
    <w:uiPriority w:val="0"/>
    <w:pPr>
      <w:widowControl w:val="0"/>
      <w:adjustRightInd w:val="0"/>
      <w:snapToGrid w:val="0"/>
      <w:spacing w:line="360" w:lineRule="exact"/>
      <w:ind w:left="-50" w:leftChars="-50" w:right="-56" w:rightChars="-56"/>
      <w:jc w:val="center"/>
      <w:textAlignment w:val="baseline"/>
    </w:pPr>
    <w:rPr>
      <w:rFonts w:ascii="Calibri" w:hAnsi="Calibri" w:eastAsia="Times New Roman" w:cs="Times New Roman"/>
      <w:sz w:val="21"/>
      <w:lang w:val="en-US" w:eastAsia="zh-CN" w:bidi="ar-SA"/>
    </w:rPr>
  </w:style>
  <w:style w:type="character" w:customStyle="1" w:styleId="234">
    <w:name w:val="Char Char171"/>
    <w:qFormat/>
    <w:uiPriority w:val="0"/>
    <w:rPr>
      <w:b/>
      <w:bCs/>
      <w:kern w:val="44"/>
      <w:sz w:val="32"/>
      <w:szCs w:val="44"/>
    </w:rPr>
  </w:style>
  <w:style w:type="character" w:customStyle="1" w:styleId="235">
    <w:name w:val="Char Char111"/>
    <w:qFormat/>
    <w:uiPriority w:val="0"/>
    <w:rPr>
      <w:rFonts w:ascii="Arial" w:hAnsi="Arial" w:eastAsia="黑体"/>
      <w:b/>
      <w:sz w:val="24"/>
      <w:lang w:val="en-US" w:eastAsia="zh-CN"/>
    </w:rPr>
  </w:style>
  <w:style w:type="character" w:customStyle="1" w:styleId="236">
    <w:name w:val="正文文本 3 Char1"/>
    <w:qFormat/>
    <w:uiPriority w:val="0"/>
    <w:rPr>
      <w:sz w:val="16"/>
      <w:szCs w:val="16"/>
    </w:rPr>
  </w:style>
  <w:style w:type="character" w:customStyle="1" w:styleId="237">
    <w:name w:val="正文文本缩进 3 Char1"/>
    <w:qFormat/>
    <w:uiPriority w:val="0"/>
    <w:rPr>
      <w:sz w:val="16"/>
      <w:szCs w:val="16"/>
    </w:rPr>
  </w:style>
  <w:style w:type="character" w:customStyle="1" w:styleId="238">
    <w:name w:val="Char Char241"/>
    <w:qFormat/>
    <w:uiPriority w:val="0"/>
    <w:rPr>
      <w:kern w:val="2"/>
      <w:sz w:val="18"/>
      <w:szCs w:val="18"/>
    </w:rPr>
  </w:style>
  <w:style w:type="character" w:customStyle="1" w:styleId="239">
    <w:name w:val="标题 Char3"/>
    <w:qFormat/>
    <w:uiPriority w:val="0"/>
    <w:rPr>
      <w:rFonts w:ascii="Arial" w:hAnsi="Arial" w:cs="Arial"/>
      <w:b/>
      <w:kern w:val="2"/>
      <w:sz w:val="32"/>
      <w:szCs w:val="24"/>
      <w:u w:val="single"/>
      <w:lang w:bidi="ar-SA"/>
    </w:rPr>
  </w:style>
  <w:style w:type="character" w:customStyle="1" w:styleId="240">
    <w:name w:val="不明显强调1"/>
    <w:qFormat/>
    <w:uiPriority w:val="0"/>
    <w:rPr>
      <w:i/>
      <w:color w:val="5A5A5A"/>
    </w:rPr>
  </w:style>
  <w:style w:type="character" w:customStyle="1" w:styleId="241">
    <w:name w:val="Header Char_24696c7d-4699-44cf-b0a8-21c4243fd506"/>
    <w:qFormat/>
    <w:uiPriority w:val="0"/>
    <w:rPr>
      <w:rFonts w:ascii="Times New Roman" w:hAnsi="Times New Roman" w:eastAsia="仿宋_GB2312" w:cs="Times New Roman"/>
      <w:sz w:val="18"/>
      <w:szCs w:val="18"/>
      <w:lang w:bidi="ar-SA"/>
    </w:rPr>
  </w:style>
  <w:style w:type="character" w:customStyle="1" w:styleId="242">
    <w:name w:val="正文文本 Char3"/>
    <w:qFormat/>
    <w:uiPriority w:val="0"/>
  </w:style>
  <w:style w:type="character" w:customStyle="1" w:styleId="243">
    <w:name w:val="emailstyle20"/>
    <w:qFormat/>
    <w:uiPriority w:val="0"/>
    <w:rPr>
      <w:rFonts w:ascii="Arial" w:hAnsi="Arial" w:eastAsia="宋体"/>
      <w:color w:val="000000"/>
      <w:sz w:val="20"/>
    </w:rPr>
  </w:style>
  <w:style w:type="character" w:customStyle="1" w:styleId="244">
    <w:name w:val="页眉 Char1"/>
    <w:qFormat/>
    <w:uiPriority w:val="0"/>
    <w:rPr>
      <w:sz w:val="18"/>
      <w:szCs w:val="18"/>
    </w:rPr>
  </w:style>
  <w:style w:type="character" w:customStyle="1" w:styleId="245">
    <w:name w:val="纯文本 Char4"/>
    <w:qFormat/>
    <w:uiPriority w:val="0"/>
    <w:rPr>
      <w:rFonts w:ascii="宋体" w:eastAsia="宋体"/>
      <w:kern w:val="2"/>
      <w:sz w:val="21"/>
      <w:lang w:val="en-US" w:eastAsia="zh-CN" w:bidi="ar-SA"/>
    </w:rPr>
  </w:style>
  <w:style w:type="paragraph" w:customStyle="1" w:styleId="246">
    <w:name w:val="表名"/>
    <w:basedOn w:val="1"/>
    <w:qFormat/>
    <w:uiPriority w:val="0"/>
    <w:pPr>
      <w:adjustRightInd w:val="0"/>
      <w:snapToGrid w:val="0"/>
      <w:spacing w:beforeLines="50" w:afterLines="10" w:line="300" w:lineRule="auto"/>
      <w:jc w:val="center"/>
    </w:pPr>
    <w:rPr>
      <w:rFonts w:ascii="黑体" w:eastAsia="黑体"/>
      <w:kern w:val="0"/>
      <w:sz w:val="24"/>
      <w:szCs w:val="20"/>
    </w:rPr>
  </w:style>
  <w:style w:type="paragraph" w:customStyle="1" w:styleId="247">
    <w:name w:val="表头1-1"/>
    <w:basedOn w:val="248"/>
    <w:qFormat/>
    <w:uiPriority w:val="0"/>
    <w:pPr>
      <w:spacing w:beforeLines="50" w:line="300" w:lineRule="auto"/>
      <w:ind w:firstLine="200" w:firstLineChars="200"/>
    </w:pPr>
    <w:rPr>
      <w:rFonts w:eastAsia="黑体"/>
    </w:rPr>
  </w:style>
  <w:style w:type="paragraph" w:customStyle="1" w:styleId="248">
    <w:name w:val="表字"/>
    <w:basedOn w:val="1"/>
    <w:qFormat/>
    <w:uiPriority w:val="0"/>
    <w:pPr>
      <w:keepNext/>
      <w:widowControl/>
      <w:spacing w:line="360" w:lineRule="exact"/>
      <w:jc w:val="left"/>
    </w:pPr>
    <w:rPr>
      <w:rFonts w:ascii="Calibri" w:hAnsi="Calibri"/>
      <w:sz w:val="24"/>
    </w:rPr>
  </w:style>
  <w:style w:type="character" w:customStyle="1" w:styleId="249">
    <w:name w:val="批注文字 Char4"/>
    <w:qFormat/>
    <w:uiPriority w:val="0"/>
  </w:style>
  <w:style w:type="character" w:customStyle="1" w:styleId="250">
    <w:name w:val="Char Char33"/>
    <w:qFormat/>
    <w:uiPriority w:val="0"/>
    <w:rPr>
      <w:rFonts w:eastAsia="宋体"/>
      <w:b/>
      <w:bCs/>
      <w:kern w:val="44"/>
      <w:sz w:val="44"/>
      <w:szCs w:val="44"/>
      <w:lang w:val="en-US" w:eastAsia="zh-CN" w:bidi="ar-SA"/>
    </w:rPr>
  </w:style>
  <w:style w:type="character" w:customStyle="1" w:styleId="251">
    <w:name w:val="Footnote Text Char"/>
    <w:qFormat/>
    <w:uiPriority w:val="0"/>
    <w:rPr>
      <w:rFonts w:eastAsia="宋体"/>
      <w:sz w:val="18"/>
      <w:lang w:val="en-US" w:eastAsia="zh-CN" w:bidi="ar-SA"/>
    </w:rPr>
  </w:style>
  <w:style w:type="character" w:customStyle="1" w:styleId="252">
    <w:name w:val="批注框文本 Char2"/>
    <w:qFormat/>
    <w:uiPriority w:val="0"/>
    <w:rPr>
      <w:sz w:val="18"/>
      <w:szCs w:val="18"/>
    </w:rPr>
  </w:style>
  <w:style w:type="character" w:customStyle="1" w:styleId="253">
    <w:name w:val="章 Char"/>
    <w:qFormat/>
    <w:uiPriority w:val="0"/>
    <w:rPr>
      <w:rFonts w:eastAsia="宋体"/>
      <w:b/>
      <w:kern w:val="44"/>
      <w:sz w:val="44"/>
      <w:lang w:val="en-US" w:eastAsia="zh-CN"/>
    </w:rPr>
  </w:style>
  <w:style w:type="character" w:customStyle="1" w:styleId="254">
    <w:name w:val="Body Text Indent 2 Char"/>
    <w:qFormat/>
    <w:uiPriority w:val="0"/>
    <w:rPr>
      <w:rFonts w:ascii="Times New Roman" w:hAnsi="Times New Roman" w:eastAsia="仿宋_GB2312" w:cs="Times New Roman"/>
      <w:sz w:val="24"/>
      <w:szCs w:val="24"/>
      <w:lang w:bidi="ar-SA"/>
    </w:rPr>
  </w:style>
  <w:style w:type="paragraph" w:customStyle="1" w:styleId="255">
    <w:name w:val="z-窗体底端1"/>
    <w:basedOn w:val="1"/>
    <w:next w:val="1"/>
    <w:qFormat/>
    <w:uiPriority w:val="0"/>
    <w:pPr>
      <w:widowControl/>
      <w:pBdr>
        <w:top w:val="single" w:color="auto" w:sz="6" w:space="1"/>
      </w:pBdr>
      <w:jc w:val="center"/>
    </w:pPr>
    <w:rPr>
      <w:rFonts w:ascii="Arial" w:hAnsi="Arial"/>
      <w:vanish/>
      <w:kern w:val="0"/>
      <w:sz w:val="16"/>
      <w:szCs w:val="16"/>
    </w:rPr>
  </w:style>
  <w:style w:type="character" w:customStyle="1" w:styleId="256">
    <w:name w:val="标题2 Char2"/>
    <w:qFormat/>
    <w:uiPriority w:val="0"/>
    <w:rPr>
      <w:rFonts w:ascii="Arial" w:hAnsi="Arial" w:eastAsia="宋体"/>
      <w:b/>
      <w:bCs/>
      <w:snapToGrid w:val="0"/>
      <w:kern w:val="2"/>
      <w:sz w:val="28"/>
      <w:szCs w:val="32"/>
      <w:lang w:val="en-US" w:eastAsia="zh-CN" w:bidi="ar-SA"/>
    </w:rPr>
  </w:style>
  <w:style w:type="character" w:customStyle="1" w:styleId="257">
    <w:name w:val="Char Char101"/>
    <w:qFormat/>
    <w:uiPriority w:val="0"/>
    <w:rPr>
      <w:rFonts w:eastAsia="宋体"/>
      <w:b/>
      <w:sz w:val="24"/>
      <w:lang w:val="en-US" w:eastAsia="zh-CN"/>
    </w:rPr>
  </w:style>
  <w:style w:type="character" w:customStyle="1" w:styleId="258">
    <w:name w:val="Char Char20"/>
    <w:qFormat/>
    <w:uiPriority w:val="0"/>
    <w:rPr>
      <w:rFonts w:ascii="Times New Roman" w:hAnsi="Times New Roman" w:eastAsia="宋体" w:cs="Times New Roman"/>
      <w:b/>
      <w:bCs/>
      <w:sz w:val="24"/>
      <w:szCs w:val="32"/>
      <w:lang w:bidi="ar-SA"/>
    </w:rPr>
  </w:style>
  <w:style w:type="character" w:customStyle="1" w:styleId="259">
    <w:name w:val="纯文本 Char2"/>
    <w:qFormat/>
    <w:uiPriority w:val="0"/>
    <w:rPr>
      <w:rFonts w:ascii="宋体"/>
      <w:sz w:val="21"/>
    </w:rPr>
  </w:style>
  <w:style w:type="character" w:customStyle="1" w:styleId="260">
    <w:name w:val="Body Text Indent Char"/>
    <w:qFormat/>
    <w:uiPriority w:val="0"/>
    <w:rPr>
      <w:rFonts w:ascii="Times New Roman" w:hAnsi="Times New Roman" w:eastAsia="仿宋_GB2312" w:cs="Times New Roman"/>
      <w:sz w:val="24"/>
      <w:szCs w:val="24"/>
      <w:lang w:bidi="ar-SA"/>
    </w:rPr>
  </w:style>
  <w:style w:type="character" w:customStyle="1" w:styleId="261">
    <w:name w:val="Char Char231"/>
    <w:qFormat/>
    <w:uiPriority w:val="0"/>
    <w:rPr>
      <w:kern w:val="2"/>
      <w:sz w:val="18"/>
      <w:szCs w:val="18"/>
    </w:rPr>
  </w:style>
  <w:style w:type="character" w:customStyle="1" w:styleId="262">
    <w:name w:val="Char Char201"/>
    <w:qFormat/>
    <w:uiPriority w:val="0"/>
    <w:rPr>
      <w:rFonts w:ascii="Times New Roman" w:hAnsi="Times New Roman" w:eastAsia="宋体" w:cs="Times New Roman"/>
      <w:b/>
      <w:bCs/>
      <w:sz w:val="24"/>
      <w:szCs w:val="32"/>
      <w:lang w:bidi="ar-SA"/>
    </w:rPr>
  </w:style>
  <w:style w:type="character" w:customStyle="1" w:styleId="263">
    <w:name w:val="Char Char191"/>
    <w:qFormat/>
    <w:uiPriority w:val="0"/>
    <w:rPr>
      <w:rFonts w:ascii="Arial" w:hAnsi="Arial" w:eastAsia="宋体" w:cs="Times New Roman"/>
      <w:b/>
      <w:bCs/>
      <w:szCs w:val="28"/>
      <w:lang w:bidi="ar-SA"/>
    </w:rPr>
  </w:style>
  <w:style w:type="character" w:customStyle="1" w:styleId="264">
    <w:name w:val="Balloon Text Char"/>
    <w:qFormat/>
    <w:uiPriority w:val="0"/>
    <w:rPr>
      <w:sz w:val="18"/>
      <w:lang w:bidi="ar-SA"/>
    </w:rPr>
  </w:style>
  <w:style w:type="paragraph" w:customStyle="1" w:styleId="265">
    <w:name w:val="图头"/>
    <w:basedOn w:val="1"/>
    <w:qFormat/>
    <w:uiPriority w:val="0"/>
    <w:pPr>
      <w:spacing w:beforeLines="50" w:line="300" w:lineRule="auto"/>
      <w:jc w:val="center"/>
    </w:pPr>
    <w:rPr>
      <w:rFonts w:ascii="Calibri" w:hAnsi="Calibri" w:eastAsia="黑体"/>
      <w:sz w:val="24"/>
    </w:rPr>
  </w:style>
  <w:style w:type="character" w:customStyle="1" w:styleId="266">
    <w:name w:val="Char Char5"/>
    <w:qFormat/>
    <w:uiPriority w:val="0"/>
    <w:rPr>
      <w:rFonts w:eastAsia="仿宋_GB2312"/>
      <w:kern w:val="2"/>
      <w:sz w:val="28"/>
      <w:lang w:val="en-US" w:eastAsia="zh-CN"/>
    </w:rPr>
  </w:style>
  <w:style w:type="paragraph" w:customStyle="1" w:styleId="267">
    <w:name w:val="工作范围3"/>
    <w:basedOn w:val="4"/>
    <w:next w:val="1"/>
    <w:qFormat/>
    <w:uiPriority w:val="0"/>
    <w:pPr>
      <w:keepNext w:val="0"/>
      <w:keepLines w:val="0"/>
      <w:tabs>
        <w:tab w:val="left" w:pos="482"/>
      </w:tabs>
      <w:spacing w:before="0" w:after="0" w:line="360" w:lineRule="auto"/>
    </w:pPr>
    <w:rPr>
      <w:rFonts w:ascii="Calibri" w:hAnsi="Calibri"/>
      <w:b w:val="0"/>
      <w:kern w:val="2"/>
      <w:sz w:val="24"/>
      <w:szCs w:val="24"/>
    </w:rPr>
  </w:style>
  <w:style w:type="character" w:customStyle="1" w:styleId="268">
    <w:name w:val="文档结构图 Char2"/>
    <w:qFormat/>
    <w:uiPriority w:val="0"/>
    <w:rPr>
      <w:rFonts w:ascii="宋体" w:eastAsia="宋体"/>
      <w:sz w:val="18"/>
      <w:szCs w:val="18"/>
    </w:rPr>
  </w:style>
  <w:style w:type="character" w:customStyle="1" w:styleId="269">
    <w:name w:val="批注文字 Char Char Char"/>
    <w:qFormat/>
    <w:uiPriority w:val="0"/>
    <w:rPr>
      <w:kern w:val="2"/>
      <w:sz w:val="21"/>
      <w:szCs w:val="24"/>
    </w:rPr>
  </w:style>
  <w:style w:type="character" w:customStyle="1" w:styleId="270">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kern w:val="2"/>
      <w:sz w:val="28"/>
      <w:lang w:val="en-US" w:eastAsia="zh-CN"/>
    </w:rPr>
  </w:style>
  <w:style w:type="character" w:customStyle="1" w:styleId="271">
    <w:name w:val="正文手行缩进2字 Char"/>
    <w:qFormat/>
    <w:uiPriority w:val="0"/>
    <w:rPr>
      <w:rFonts w:eastAsia="宋体"/>
      <w:kern w:val="2"/>
      <w:sz w:val="28"/>
      <w:szCs w:val="28"/>
      <w:lang w:val="en-US" w:eastAsia="zh-CN" w:bidi="ar-SA"/>
    </w:rPr>
  </w:style>
  <w:style w:type="character" w:customStyle="1" w:styleId="272">
    <w:name w:val="书籍标题1"/>
    <w:qFormat/>
    <w:uiPriority w:val="0"/>
    <w:rPr>
      <w:rFonts w:ascii="Cambria" w:hAnsi="Cambria" w:eastAsia="宋体"/>
      <w:b/>
      <w:i/>
      <w:sz w:val="24"/>
    </w:rPr>
  </w:style>
  <w:style w:type="paragraph" w:customStyle="1" w:styleId="273">
    <w:name w:val="3级标题"/>
    <w:basedOn w:val="4"/>
    <w:qFormat/>
    <w:uiPriority w:val="0"/>
    <w:pPr>
      <w:widowControl/>
      <w:adjustRightInd w:val="0"/>
      <w:snapToGrid w:val="0"/>
      <w:spacing w:beforeLines="50" w:after="0" w:line="300" w:lineRule="auto"/>
      <w:jc w:val="left"/>
    </w:pPr>
    <w:rPr>
      <w:rFonts w:ascii="Calibri" w:hAnsi="Calibri"/>
      <w:b w:val="0"/>
      <w:sz w:val="24"/>
    </w:rPr>
  </w:style>
  <w:style w:type="character" w:customStyle="1" w:styleId="274">
    <w:name w:val="不明显参考1"/>
    <w:qFormat/>
    <w:uiPriority w:val="0"/>
    <w:rPr>
      <w:sz w:val="24"/>
      <w:u w:val="single"/>
    </w:rPr>
  </w:style>
  <w:style w:type="character" w:customStyle="1" w:styleId="275">
    <w:name w:val="Char Char22"/>
    <w:qFormat/>
    <w:uiPriority w:val="0"/>
    <w:rPr>
      <w:rFonts w:ascii="Times New Roman" w:hAnsi="Times New Roman" w:eastAsia="宋体" w:cs="Times New Roman"/>
      <w:b/>
      <w:bCs/>
      <w:kern w:val="44"/>
      <w:sz w:val="32"/>
      <w:szCs w:val="44"/>
      <w:lang w:bidi="ar-SA"/>
    </w:rPr>
  </w:style>
  <w:style w:type="character" w:customStyle="1" w:styleId="276">
    <w:name w:val="图名 Char"/>
    <w:qFormat/>
    <w:uiPriority w:val="0"/>
    <w:rPr>
      <w:rFonts w:ascii="楷体_GB2312" w:eastAsia="楷体_GB2312"/>
      <w:kern w:val="2"/>
      <w:sz w:val="21"/>
      <w:szCs w:val="24"/>
      <w:lang w:val="en-US" w:eastAsia="zh-CN" w:bidi="ar-SA"/>
    </w:rPr>
  </w:style>
  <w:style w:type="character" w:customStyle="1" w:styleId="277">
    <w:name w:val="正文1234"/>
    <w:qFormat/>
    <w:uiPriority w:val="0"/>
    <w:rPr>
      <w:rFonts w:ascii="仿宋_GB2312" w:eastAsia="仿宋_GB2312"/>
      <w:b/>
      <w:bCs/>
      <w:snapToGrid w:val="0"/>
      <w:sz w:val="28"/>
      <w:szCs w:val="28"/>
      <w:lang w:val="en-US" w:eastAsia="en-US" w:bidi="ar-SA"/>
    </w:rPr>
  </w:style>
  <w:style w:type="character" w:customStyle="1" w:styleId="278">
    <w:name w:val="Char Char151"/>
    <w:qFormat/>
    <w:uiPriority w:val="0"/>
    <w:rPr>
      <w:rFonts w:ascii="Arial" w:hAnsi="Arial" w:eastAsia="黑体"/>
      <w:b/>
      <w:kern w:val="2"/>
      <w:sz w:val="32"/>
      <w:lang w:val="en-US" w:eastAsia="zh-CN"/>
    </w:rPr>
  </w:style>
  <w:style w:type="character" w:customStyle="1" w:styleId="279">
    <w:name w:val="标题4 Char"/>
    <w:qFormat/>
    <w:uiPriority w:val="0"/>
    <w:rPr>
      <w:rFonts w:ascii="黑体" w:eastAsia="黑体"/>
      <w:b/>
      <w:bCs/>
      <w:snapToGrid w:val="0"/>
      <w:color w:val="FF00FF"/>
      <w:sz w:val="24"/>
      <w:szCs w:val="28"/>
      <w:lang w:val="en-US" w:eastAsia="zh-CN" w:bidi="ar-SA"/>
    </w:rPr>
  </w:style>
  <w:style w:type="character" w:customStyle="1" w:styleId="280">
    <w:name w:val="Char Char141"/>
    <w:qFormat/>
    <w:uiPriority w:val="0"/>
    <w:rPr>
      <w:rFonts w:eastAsia="宋体"/>
      <w:kern w:val="2"/>
      <w:sz w:val="28"/>
      <w:lang w:val="en-US" w:eastAsia="zh-CN"/>
    </w:rPr>
  </w:style>
  <w:style w:type="character" w:customStyle="1" w:styleId="281">
    <w:name w:val="Heading 3 Char_b69c9108-9bf1-48db-8d8a-92f9a51ee280"/>
    <w:qFormat/>
    <w:uiPriority w:val="0"/>
    <w:rPr>
      <w:rFonts w:ascii="Times New Roman" w:hAnsi="Times New Roman" w:eastAsia="仿宋_GB2312" w:cs="Times New Roman"/>
      <w:b/>
      <w:bCs/>
      <w:sz w:val="32"/>
      <w:szCs w:val="32"/>
      <w:lang w:bidi="ar-SA"/>
    </w:rPr>
  </w:style>
  <w:style w:type="character" w:customStyle="1" w:styleId="282">
    <w:name w:val="批注文字 Char3"/>
    <w:qFormat/>
    <w:uiPriority w:val="0"/>
    <w:rPr>
      <w:rFonts w:eastAsia="宋体"/>
      <w:kern w:val="2"/>
      <w:sz w:val="21"/>
      <w:szCs w:val="24"/>
      <w:lang w:val="en-US" w:eastAsia="zh-CN" w:bidi="ar-SA"/>
    </w:rPr>
  </w:style>
  <w:style w:type="character" w:customStyle="1" w:styleId="283">
    <w:name w:val="批注文字 Char Char Char Char"/>
    <w:qFormat/>
    <w:uiPriority w:val="0"/>
    <w:rPr>
      <w:kern w:val="2"/>
      <w:sz w:val="21"/>
      <w:szCs w:val="24"/>
    </w:rPr>
  </w:style>
  <w:style w:type="character" w:customStyle="1" w:styleId="284">
    <w:name w:val="Title Char_9436c501-ad04-4553-a5bc-9844a4c31dfb"/>
    <w:qFormat/>
    <w:uiPriority w:val="0"/>
    <w:rPr>
      <w:rFonts w:ascii="Cambria" w:hAnsi="Cambria"/>
      <w:b/>
      <w:sz w:val="32"/>
      <w:lang w:bidi="ar-SA"/>
    </w:rPr>
  </w:style>
  <w:style w:type="paragraph" w:customStyle="1" w:styleId="285">
    <w:name w:val="正文A"/>
    <w:basedOn w:val="1"/>
    <w:qFormat/>
    <w:uiPriority w:val="0"/>
    <w:pPr>
      <w:adjustRightInd w:val="0"/>
      <w:snapToGrid w:val="0"/>
      <w:spacing w:beforeLines="50" w:line="360" w:lineRule="auto"/>
      <w:ind w:right="200" w:rightChars="200" w:firstLine="225" w:firstLineChars="225"/>
      <w:jc w:val="left"/>
    </w:pPr>
    <w:rPr>
      <w:rFonts w:ascii="Calibri" w:hAnsi="Calibri"/>
      <w:snapToGrid w:val="0"/>
      <w:color w:val="FF0000"/>
      <w:kern w:val="0"/>
      <w:sz w:val="24"/>
    </w:rPr>
  </w:style>
  <w:style w:type="character" w:customStyle="1" w:styleId="286">
    <w:name w:val="Char Char181"/>
    <w:qFormat/>
    <w:uiPriority w:val="0"/>
    <w:rPr>
      <w:b/>
      <w:bCs/>
      <w:kern w:val="44"/>
      <w:sz w:val="44"/>
      <w:szCs w:val="44"/>
    </w:rPr>
  </w:style>
  <w:style w:type="character" w:customStyle="1" w:styleId="287">
    <w:name w:val="标题4 Char Char"/>
    <w:qFormat/>
    <w:uiPriority w:val="0"/>
    <w:rPr>
      <w:rFonts w:ascii="Arial" w:hAnsi="Arial"/>
      <w:b/>
      <w:bCs/>
      <w:sz w:val="24"/>
      <w:szCs w:val="32"/>
      <w:lang w:bidi="ar-SA"/>
    </w:rPr>
  </w:style>
  <w:style w:type="paragraph" w:customStyle="1" w:styleId="288">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289">
    <w:name w:val="批注主题 Char2"/>
    <w:qFormat/>
    <w:uiPriority w:val="0"/>
    <w:rPr>
      <w:b/>
      <w:bCs/>
    </w:rPr>
  </w:style>
  <w:style w:type="character" w:customStyle="1" w:styleId="290">
    <w:name w:val="Char Char131"/>
    <w:qFormat/>
    <w:uiPriority w:val="0"/>
    <w:rPr>
      <w:rFonts w:ascii="宋体"/>
      <w:sz w:val="21"/>
      <w:szCs w:val="21"/>
      <w:lang w:bidi="ar-SA"/>
    </w:rPr>
  </w:style>
  <w:style w:type="character" w:customStyle="1" w:styleId="291">
    <w:name w:val="1.1标题 2 Char Char"/>
    <w:qFormat/>
    <w:uiPriority w:val="0"/>
    <w:rPr>
      <w:rFonts w:ascii="黑体" w:eastAsia="黑体"/>
      <w:b/>
      <w:bCs/>
      <w:snapToGrid w:val="0"/>
      <w:kern w:val="2"/>
      <w:sz w:val="30"/>
      <w:szCs w:val="28"/>
      <w:lang w:val="en-US" w:eastAsia="zh-CN" w:bidi="ar-SA"/>
    </w:rPr>
  </w:style>
  <w:style w:type="character" w:customStyle="1" w:styleId="292">
    <w:name w:val="纯文本 Char Char Char Char Char Char"/>
    <w:qFormat/>
    <w:uiPriority w:val="0"/>
    <w:rPr>
      <w:rFonts w:ascii="宋体" w:eastAsia="宋体"/>
      <w:kern w:val="2"/>
      <w:sz w:val="21"/>
      <w:lang w:val="en-US" w:eastAsia="zh-CN" w:bidi="ar-SA"/>
    </w:rPr>
  </w:style>
  <w:style w:type="character" w:customStyle="1" w:styleId="293">
    <w:name w:val="明显引用 Char1"/>
    <w:qFormat/>
    <w:uiPriority w:val="0"/>
    <w:rPr>
      <w:rFonts w:ascii="Times New Roman" w:hAnsi="Times New Roman" w:eastAsia="宋体" w:cs="Times New Roman"/>
      <w:b/>
      <w:bCs/>
      <w:i/>
      <w:iCs/>
      <w:color w:val="4F81BD"/>
      <w:szCs w:val="24"/>
      <w:lang w:bidi="ar-SA"/>
    </w:rPr>
  </w:style>
  <w:style w:type="paragraph" w:customStyle="1" w:styleId="294">
    <w:name w:val="工作范围4"/>
    <w:basedOn w:val="1"/>
    <w:qFormat/>
    <w:uiPriority w:val="0"/>
    <w:pPr>
      <w:tabs>
        <w:tab w:val="left" w:pos="792"/>
      </w:tabs>
      <w:spacing w:line="360" w:lineRule="auto"/>
      <w:ind w:left="792"/>
    </w:pPr>
    <w:rPr>
      <w:rFonts w:ascii="Calibri" w:hAnsi="Calibri"/>
      <w:sz w:val="24"/>
    </w:rPr>
  </w:style>
  <w:style w:type="character" w:customStyle="1" w:styleId="295">
    <w:name w:val="Char Char31"/>
    <w:qFormat/>
    <w:uiPriority w:val="0"/>
    <w:rPr>
      <w:rFonts w:eastAsia="宋体"/>
      <w:kern w:val="2"/>
      <w:sz w:val="18"/>
      <w:lang w:val="en-US" w:eastAsia="zh-CN"/>
    </w:rPr>
  </w:style>
  <w:style w:type="paragraph" w:customStyle="1" w:styleId="296">
    <w:name w:val="林宝辉 标题1"/>
    <w:basedOn w:val="1"/>
    <w:qFormat/>
    <w:uiPriority w:val="0"/>
    <w:pPr>
      <w:tabs>
        <w:tab w:val="left" w:pos="397"/>
        <w:tab w:val="left" w:pos="960"/>
      </w:tabs>
      <w:spacing w:line="360" w:lineRule="auto"/>
      <w:ind w:left="960" w:hanging="480"/>
      <w:jc w:val="center"/>
      <w:outlineLvl w:val="0"/>
    </w:pPr>
    <w:rPr>
      <w:rFonts w:ascii="Calibri" w:hAnsi="Calibri" w:eastAsia="新宋体"/>
      <w:b/>
      <w:bCs/>
      <w:sz w:val="28"/>
      <w:szCs w:val="28"/>
    </w:rPr>
  </w:style>
  <w:style w:type="character" w:customStyle="1" w:styleId="297">
    <w:name w:val="Char Char91"/>
    <w:qFormat/>
    <w:uiPriority w:val="0"/>
    <w:rPr>
      <w:rFonts w:ascii="Arial" w:hAnsi="Arial" w:eastAsia="黑体"/>
      <w:sz w:val="24"/>
      <w:lang w:val="en-US" w:eastAsia="zh-CN"/>
    </w:rPr>
  </w:style>
  <w:style w:type="character" w:customStyle="1" w:styleId="298">
    <w:name w:val="Char Char57"/>
    <w:qFormat/>
    <w:uiPriority w:val="0"/>
    <w:rPr>
      <w:rFonts w:eastAsia="宋体"/>
      <w:b/>
      <w:bCs/>
      <w:kern w:val="44"/>
      <w:sz w:val="32"/>
      <w:szCs w:val="44"/>
      <w:lang w:val="en-US" w:eastAsia="zh-CN" w:bidi="ar-SA"/>
    </w:rPr>
  </w:style>
  <w:style w:type="character" w:customStyle="1" w:styleId="299">
    <w:name w:val="Heading 5 Char_653b9517-2733-4daf-b6d5-c885e9074fe4"/>
    <w:qFormat/>
    <w:uiPriority w:val="0"/>
    <w:rPr>
      <w:rFonts w:eastAsia="宋体"/>
      <w:b/>
      <w:bCs/>
      <w:kern w:val="2"/>
      <w:sz w:val="28"/>
      <w:szCs w:val="28"/>
      <w:lang w:val="en-US" w:eastAsia="zh-CN" w:bidi="ar-SA"/>
    </w:rPr>
  </w:style>
  <w:style w:type="character" w:customStyle="1" w:styleId="300">
    <w:name w:val="明显引用 Char"/>
    <w:qFormat/>
    <w:uiPriority w:val="0"/>
    <w:rPr>
      <w:rFonts w:ascii="Calibri" w:hAnsi="Calibri" w:eastAsia="宋体"/>
      <w:b/>
      <w:i/>
      <w:sz w:val="24"/>
      <w:lang w:val="en-US" w:eastAsia="en-US"/>
    </w:rPr>
  </w:style>
  <w:style w:type="paragraph" w:customStyle="1" w:styleId="301">
    <w:name w:val="牛元镇标题2"/>
    <w:basedOn w:val="1"/>
    <w:qFormat/>
    <w:uiPriority w:val="0"/>
    <w:pPr>
      <w:keepNext/>
      <w:keepLines/>
      <w:adjustRightInd w:val="0"/>
      <w:snapToGrid w:val="0"/>
      <w:spacing w:line="336" w:lineRule="auto"/>
      <w:ind w:right="100" w:rightChars="100" w:firstLine="100" w:firstLineChars="100"/>
      <w:textAlignment w:val="baseline"/>
      <w:outlineLvl w:val="0"/>
    </w:pPr>
    <w:rPr>
      <w:rFonts w:ascii="Arial" w:hAnsi="Arial"/>
      <w:color w:val="0000FF"/>
      <w:kern w:val="44"/>
      <w:sz w:val="24"/>
    </w:rPr>
  </w:style>
  <w:style w:type="character" w:customStyle="1" w:styleId="302">
    <w:name w:val="纯文本 Char3"/>
    <w:qFormat/>
    <w:uiPriority w:val="0"/>
    <w:rPr>
      <w:rFonts w:ascii="宋体" w:eastAsia="宋体"/>
      <w:kern w:val="2"/>
      <w:sz w:val="21"/>
      <w:lang w:val="en-US" w:eastAsia="zh-CN" w:bidi="ar-SA"/>
    </w:rPr>
  </w:style>
  <w:style w:type="character" w:customStyle="1" w:styleId="303">
    <w:name w:val="批注主题 Char1"/>
    <w:qFormat/>
    <w:uiPriority w:val="0"/>
    <w:rPr>
      <w:rFonts w:ascii="Times New Roman" w:hAnsi="Times New Roman" w:eastAsia="宋体" w:cs="Times New Roman"/>
      <w:b/>
      <w:bCs/>
      <w:szCs w:val="24"/>
      <w:lang w:bidi="ar-SA"/>
    </w:rPr>
  </w:style>
  <w:style w:type="character" w:customStyle="1" w:styleId="304">
    <w:name w:val="文档结构图 Char1"/>
    <w:qFormat/>
    <w:uiPriority w:val="0"/>
    <w:rPr>
      <w:rFonts w:ascii="宋体" w:eastAsia="宋体" w:cs="Times New Roman"/>
      <w:sz w:val="18"/>
      <w:szCs w:val="18"/>
      <w:lang w:bidi="ar-SA"/>
    </w:rPr>
  </w:style>
  <w:style w:type="character" w:customStyle="1" w:styleId="305">
    <w:name w:val="cucd-1 Char"/>
    <w:qFormat/>
    <w:uiPriority w:val="0"/>
    <w:rPr>
      <w:rFonts w:eastAsia="黑体"/>
      <w:b/>
      <w:kern w:val="2"/>
      <w:sz w:val="36"/>
      <w:lang w:val="en-US" w:eastAsia="zh-CN" w:bidi="ar-SA"/>
    </w:rPr>
  </w:style>
  <w:style w:type="character" w:customStyle="1" w:styleId="306">
    <w:name w:val="Char Char51"/>
    <w:qFormat/>
    <w:uiPriority w:val="0"/>
    <w:rPr>
      <w:rFonts w:eastAsia="仿宋_GB2312"/>
      <w:kern w:val="2"/>
      <w:sz w:val="28"/>
      <w:lang w:val="en-US" w:eastAsia="zh-CN"/>
    </w:rPr>
  </w:style>
  <w:style w:type="character" w:customStyle="1" w:styleId="307">
    <w:name w:val="Char Char25"/>
    <w:qFormat/>
    <w:uiPriority w:val="0"/>
    <w:rPr>
      <w:rFonts w:eastAsia="宋体"/>
      <w:kern w:val="2"/>
      <w:sz w:val="18"/>
      <w:lang w:val="en-US" w:eastAsia="zh-CN" w:bidi="ar-SA"/>
    </w:rPr>
  </w:style>
  <w:style w:type="character" w:customStyle="1" w:styleId="308">
    <w:name w:val="font161"/>
    <w:qFormat/>
    <w:uiPriority w:val="0"/>
    <w:rPr>
      <w:b/>
      <w:bCs/>
      <w:sz w:val="32"/>
      <w:szCs w:val="32"/>
    </w:rPr>
  </w:style>
  <w:style w:type="character" w:customStyle="1" w:styleId="309">
    <w:name w:val="Comment Text Char"/>
    <w:qFormat/>
    <w:uiPriority w:val="0"/>
    <w:rPr>
      <w:rFonts w:cs="Times New Roman"/>
      <w:sz w:val="24"/>
      <w:szCs w:val="24"/>
      <w:lang w:bidi="ar-SA"/>
    </w:rPr>
  </w:style>
  <w:style w:type="character" w:customStyle="1" w:styleId="310">
    <w:name w:val="正文文本缩进 2 Char1"/>
    <w:qFormat/>
    <w:uiPriority w:val="0"/>
  </w:style>
  <w:style w:type="character" w:customStyle="1" w:styleId="311">
    <w:name w:val="Char Char7"/>
    <w:qFormat/>
    <w:uiPriority w:val="0"/>
    <w:rPr>
      <w:rFonts w:eastAsia="宋体"/>
      <w:sz w:val="24"/>
      <w:lang w:val="en-US" w:eastAsia="zh-CN"/>
    </w:rPr>
  </w:style>
  <w:style w:type="character" w:customStyle="1" w:styleId="312">
    <w:name w:val="批注文字 Char1"/>
    <w:qFormat/>
    <w:uiPriority w:val="0"/>
    <w:rPr>
      <w:rFonts w:ascii="Times New Roman" w:hAnsi="Times New Roman" w:eastAsia="宋体" w:cs="Times New Roman"/>
      <w:szCs w:val="24"/>
      <w:lang w:bidi="ar-SA"/>
    </w:rPr>
  </w:style>
  <w:style w:type="paragraph" w:customStyle="1" w:styleId="313">
    <w:name w:val="内容"/>
    <w:basedOn w:val="1"/>
    <w:qFormat/>
    <w:uiPriority w:val="0"/>
    <w:pPr>
      <w:adjustRightInd w:val="0"/>
      <w:snapToGrid w:val="0"/>
      <w:spacing w:line="360" w:lineRule="auto"/>
      <w:ind w:left="100" w:leftChars="100" w:right="100" w:rightChars="100" w:firstLine="200" w:firstLineChars="200"/>
    </w:pPr>
    <w:rPr>
      <w:rFonts w:ascii="Calibri" w:hAnsi="Calibri"/>
      <w:sz w:val="28"/>
      <w:szCs w:val="28"/>
    </w:rPr>
  </w:style>
  <w:style w:type="paragraph" w:customStyle="1" w:styleId="314">
    <w:name w:val="马学海内容"/>
    <w:basedOn w:val="1"/>
    <w:qFormat/>
    <w:uiPriority w:val="0"/>
    <w:pPr>
      <w:tabs>
        <w:tab w:val="left" w:pos="5725"/>
        <w:tab w:val="left" w:pos="5880"/>
      </w:tabs>
      <w:spacing w:line="360" w:lineRule="auto"/>
      <w:ind w:firstLine="200" w:firstLineChars="200"/>
    </w:pPr>
    <w:rPr>
      <w:rFonts w:ascii="新宋体" w:hAnsi="新宋体"/>
      <w:kern w:val="44"/>
      <w:sz w:val="24"/>
    </w:rPr>
  </w:style>
  <w:style w:type="paragraph" w:customStyle="1" w:styleId="315">
    <w:name w:val="报告正文"/>
    <w:basedOn w:val="1"/>
    <w:qFormat/>
    <w:uiPriority w:val="0"/>
    <w:pPr>
      <w:adjustRightInd w:val="0"/>
      <w:snapToGrid w:val="0"/>
      <w:spacing w:line="300" w:lineRule="auto"/>
    </w:pPr>
    <w:rPr>
      <w:rFonts w:ascii="宋体"/>
      <w:sz w:val="28"/>
      <w:szCs w:val="28"/>
    </w:rPr>
  </w:style>
  <w:style w:type="paragraph" w:customStyle="1" w:styleId="316">
    <w:name w:val="正文：样式 小四 首行缩进:  0.74 厘米 行距: 1.5 倍行距"/>
    <w:basedOn w:val="1"/>
    <w:qFormat/>
    <w:uiPriority w:val="0"/>
    <w:pPr>
      <w:spacing w:line="360" w:lineRule="auto"/>
      <w:ind w:firstLine="420"/>
    </w:pPr>
    <w:rPr>
      <w:rFonts w:ascii="Calibri" w:hAnsi="Calibri"/>
      <w:sz w:val="24"/>
      <w:szCs w:val="20"/>
    </w:rPr>
  </w:style>
  <w:style w:type="character" w:customStyle="1" w:styleId="317">
    <w:name w:val="Char Char61"/>
    <w:qFormat/>
    <w:uiPriority w:val="0"/>
    <w:rPr>
      <w:rFonts w:eastAsia="宋体"/>
      <w:b/>
      <w:bCs/>
      <w:kern w:val="44"/>
      <w:sz w:val="32"/>
      <w:szCs w:val="44"/>
      <w:lang w:val="en-US" w:eastAsia="zh-CN" w:bidi="ar-SA"/>
    </w:rPr>
  </w:style>
  <w:style w:type="character" w:customStyle="1" w:styleId="318">
    <w:name w:val="Heading 1 Char_f079d127-03c0-4101-838e-66332e50f563"/>
    <w:qFormat/>
    <w:uiPriority w:val="0"/>
    <w:rPr>
      <w:rFonts w:ascii="Times New Roman" w:hAnsi="Times New Roman" w:eastAsia="仿宋_GB2312" w:cs="Times New Roman"/>
      <w:b/>
      <w:bCs/>
      <w:kern w:val="44"/>
      <w:sz w:val="44"/>
      <w:szCs w:val="44"/>
      <w:lang w:bidi="ar-SA"/>
    </w:rPr>
  </w:style>
  <w:style w:type="character" w:customStyle="1" w:styleId="319">
    <w:name w:val="15"/>
    <w:qFormat/>
    <w:uiPriority w:val="0"/>
    <w:rPr>
      <w:rFonts w:ascii="Calibri" w:hAnsi="Calibri"/>
      <w:color w:val="0000FF"/>
      <w:u w:val="single"/>
    </w:rPr>
  </w:style>
  <w:style w:type="character" w:customStyle="1" w:styleId="320">
    <w:name w:val="Char Char561"/>
    <w:qFormat/>
    <w:uiPriority w:val="0"/>
    <w:rPr>
      <w:rFonts w:ascii="Arial" w:hAnsi="Arial" w:eastAsia="黑体"/>
      <w:b/>
      <w:bCs/>
      <w:kern w:val="2"/>
      <w:sz w:val="32"/>
      <w:szCs w:val="32"/>
      <w:lang w:val="en-US" w:eastAsia="zh-CN" w:bidi="ar-SA"/>
    </w:rPr>
  </w:style>
  <w:style w:type="character" w:customStyle="1" w:styleId="321">
    <w:name w:val="明显引用 Char2"/>
    <w:qFormat/>
    <w:uiPriority w:val="0"/>
    <w:rPr>
      <w:b/>
      <w:bCs/>
      <w:i/>
      <w:iCs/>
      <w:color w:val="4F81BD"/>
      <w:kern w:val="2"/>
      <w:sz w:val="21"/>
      <w:szCs w:val="24"/>
    </w:rPr>
  </w:style>
  <w:style w:type="character" w:customStyle="1" w:styleId="322">
    <w:name w:val="Document Map Char"/>
    <w:qFormat/>
    <w:uiPriority w:val="0"/>
    <w:rPr>
      <w:rFonts w:eastAsia="宋体"/>
      <w:kern w:val="2"/>
      <w:sz w:val="21"/>
      <w:szCs w:val="24"/>
      <w:lang w:val="en-US" w:eastAsia="zh-CN" w:bidi="ar-SA"/>
    </w:rPr>
  </w:style>
  <w:style w:type="paragraph" w:customStyle="1" w:styleId="323">
    <w:name w:val="标题 41"/>
    <w:basedOn w:val="1"/>
    <w:next w:val="324"/>
    <w:qFormat/>
    <w:uiPriority w:val="0"/>
    <w:pPr>
      <w:tabs>
        <w:tab w:val="left" w:pos="-709"/>
        <w:tab w:val="left" w:pos="284"/>
      </w:tabs>
      <w:snapToGrid w:val="0"/>
      <w:spacing w:line="300" w:lineRule="auto"/>
      <w:ind w:left="2100" w:hanging="420"/>
      <w:textAlignment w:val="baseline"/>
      <w:outlineLvl w:val="3"/>
    </w:pPr>
    <w:rPr>
      <w:rFonts w:ascii="Cambria" w:hAnsi="Cambria"/>
      <w:b/>
      <w:kern w:val="0"/>
      <w:sz w:val="28"/>
      <w:szCs w:val="20"/>
    </w:rPr>
  </w:style>
  <w:style w:type="paragraph" w:customStyle="1" w:styleId="324">
    <w:name w:val="正文缩进1"/>
    <w:basedOn w:val="1"/>
    <w:qFormat/>
    <w:uiPriority w:val="0"/>
    <w:pPr>
      <w:tabs>
        <w:tab w:val="left" w:pos="-709"/>
        <w:tab w:val="left" w:pos="284"/>
      </w:tabs>
      <w:spacing w:line="300" w:lineRule="auto"/>
      <w:ind w:firstLine="510"/>
      <w:jc w:val="center"/>
      <w:textAlignment w:val="baseline"/>
    </w:pPr>
    <w:rPr>
      <w:rFonts w:ascii="宋体"/>
      <w:sz w:val="24"/>
      <w:szCs w:val="20"/>
    </w:rPr>
  </w:style>
  <w:style w:type="character" w:customStyle="1" w:styleId="325">
    <w:name w:val="篇号"/>
    <w:qFormat/>
    <w:uiPriority w:val="0"/>
    <w:rPr>
      <w:rFonts w:eastAsia="宋体"/>
    </w:rPr>
  </w:style>
  <w:style w:type="character" w:customStyle="1" w:styleId="326">
    <w:name w:val="标题 1 Char Char Char"/>
    <w:qFormat/>
    <w:uiPriority w:val="0"/>
    <w:rPr>
      <w:rFonts w:ascii="宋体" w:eastAsia="宋体"/>
      <w:b/>
      <w:color w:val="000000"/>
      <w:kern w:val="32"/>
      <w:sz w:val="32"/>
      <w:szCs w:val="32"/>
      <w:lang w:val="en-US" w:eastAsia="zh-CN" w:bidi="ar-SA"/>
    </w:rPr>
  </w:style>
  <w:style w:type="character" w:customStyle="1" w:styleId="327">
    <w:name w:val="Heading 4 Char_03b3ec48-5303-465a-87ba-6cc481415ce6"/>
    <w:qFormat/>
    <w:uiPriority w:val="0"/>
    <w:rPr>
      <w:rFonts w:ascii="Arial" w:hAnsi="Arial" w:eastAsia="宋体"/>
      <w:b/>
      <w:bCs/>
      <w:kern w:val="2"/>
      <w:sz w:val="21"/>
      <w:szCs w:val="28"/>
      <w:lang w:val="en-US" w:eastAsia="zh-CN" w:bidi="ar-SA"/>
    </w:rPr>
  </w:style>
  <w:style w:type="character" w:customStyle="1" w:styleId="328">
    <w:name w:val="引用 Char1"/>
    <w:qFormat/>
    <w:uiPriority w:val="0"/>
    <w:rPr>
      <w:rFonts w:ascii="Times New Roman" w:hAnsi="Times New Roman" w:eastAsia="宋体" w:cs="Times New Roman"/>
      <w:i/>
      <w:iCs/>
      <w:color w:val="000000"/>
      <w:szCs w:val="24"/>
      <w:lang w:bidi="ar-SA"/>
    </w:rPr>
  </w:style>
  <w:style w:type="character" w:customStyle="1" w:styleId="329">
    <w:name w:val="正文（首行缩进两字）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kern w:val="2"/>
      <w:sz w:val="28"/>
      <w:lang w:val="en-US" w:eastAsia="zh-CN"/>
    </w:rPr>
  </w:style>
  <w:style w:type="paragraph" w:customStyle="1" w:styleId="330">
    <w:name w:val="表头"/>
    <w:basedOn w:val="1"/>
    <w:next w:val="1"/>
    <w:qFormat/>
    <w:uiPriority w:val="0"/>
    <w:pPr>
      <w:tabs>
        <w:tab w:val="left" w:pos="5450"/>
      </w:tabs>
      <w:adjustRightInd w:val="0"/>
      <w:snapToGrid w:val="0"/>
      <w:ind w:left="1" w:leftChars="-7" w:right="100" w:rightChars="100" w:hanging="8" w:hangingChars="8"/>
      <w:jc w:val="center"/>
    </w:pPr>
    <w:rPr>
      <w:rFonts w:ascii="黑体" w:eastAsia="黑体"/>
      <w:sz w:val="24"/>
    </w:rPr>
  </w:style>
  <w:style w:type="character" w:customStyle="1" w:styleId="331">
    <w:name w:val="日期 Char2"/>
    <w:qFormat/>
    <w:uiPriority w:val="0"/>
  </w:style>
  <w:style w:type="character" w:customStyle="1" w:styleId="332">
    <w:name w:val="正文 Char"/>
    <w:qFormat/>
    <w:uiPriority w:val="0"/>
    <w:rPr>
      <w:rFonts w:ascii="仿宋_GB2312" w:hAnsi="仿宋_GB2312" w:eastAsia="宋体"/>
      <w:b/>
      <w:bCs/>
      <w:snapToGrid w:val="0"/>
      <w:kern w:val="2"/>
      <w:sz w:val="24"/>
      <w:szCs w:val="24"/>
      <w:lang w:val="en-US" w:eastAsia="zh-CN" w:bidi="ar-SA"/>
    </w:rPr>
  </w:style>
  <w:style w:type="character" w:customStyle="1" w:styleId="333">
    <w:name w:val="明显强调1"/>
    <w:qFormat/>
    <w:uiPriority w:val="0"/>
    <w:rPr>
      <w:b/>
      <w:i/>
      <w:sz w:val="24"/>
      <w:u w:val="single"/>
    </w:rPr>
  </w:style>
  <w:style w:type="character" w:customStyle="1" w:styleId="334">
    <w:name w:val="Char Char211"/>
    <w:qFormat/>
    <w:uiPriority w:val="0"/>
    <w:rPr>
      <w:rFonts w:ascii="Arial" w:hAnsi="Arial" w:eastAsia="黑体" w:cs="Times New Roman"/>
      <w:b/>
      <w:bCs/>
      <w:sz w:val="32"/>
      <w:szCs w:val="32"/>
      <w:lang w:bidi="ar-SA"/>
    </w:rPr>
  </w:style>
  <w:style w:type="character" w:customStyle="1" w:styleId="335">
    <w:name w:val="Char2"/>
    <w:qFormat/>
    <w:uiPriority w:val="0"/>
    <w:rPr>
      <w:rFonts w:ascii="Arial" w:hAnsi="Arial" w:eastAsia="黑体"/>
      <w:b/>
      <w:sz w:val="32"/>
      <w:lang w:val="en-US" w:eastAsia="zh-CN"/>
    </w:rPr>
  </w:style>
  <w:style w:type="character" w:customStyle="1" w:styleId="336">
    <w:name w:val="Comment Text Char1"/>
    <w:qFormat/>
    <w:uiPriority w:val="0"/>
    <w:rPr>
      <w:sz w:val="24"/>
      <w:lang w:bidi="ar-SA"/>
    </w:rPr>
  </w:style>
  <w:style w:type="character" w:customStyle="1" w:styleId="337">
    <w:name w:val="Heading 2 Char_49f3a88e-3db8-4cfe-bceb-80d9cfb9292f"/>
    <w:qFormat/>
    <w:uiPriority w:val="0"/>
    <w:rPr>
      <w:rFonts w:ascii="Arial" w:hAnsi="Arial" w:eastAsia="仿宋_GB2312" w:cs="Times New Roman"/>
      <w:b/>
      <w:bCs/>
      <w:sz w:val="32"/>
      <w:szCs w:val="32"/>
      <w:lang w:bidi="ar-SA"/>
    </w:rPr>
  </w:style>
  <w:style w:type="character" w:customStyle="1" w:styleId="338">
    <w:name w:val="Char Char121"/>
    <w:qFormat/>
    <w:uiPriority w:val="0"/>
    <w:rPr>
      <w:rFonts w:ascii="宋体" w:eastAsia="宋体"/>
      <w:b/>
      <w:sz w:val="24"/>
      <w:lang w:val="en-US" w:eastAsia="zh-CN"/>
    </w:rPr>
  </w:style>
  <w:style w:type="character" w:customStyle="1" w:styleId="339">
    <w:name w:val="Body Text Indent 3 Char"/>
    <w:qFormat/>
    <w:uiPriority w:val="0"/>
    <w:rPr>
      <w:rFonts w:ascii="Times New Roman" w:hAnsi="Times New Roman" w:eastAsia="仿宋_GB2312" w:cs="Times New Roman"/>
      <w:color w:val="FF0000"/>
      <w:sz w:val="24"/>
      <w:szCs w:val="24"/>
      <w:lang w:bidi="ar-SA"/>
    </w:rPr>
  </w:style>
  <w:style w:type="paragraph" w:customStyle="1" w:styleId="340">
    <w:name w:val="z-窗体顶端1"/>
    <w:basedOn w:val="1"/>
    <w:next w:val="1"/>
    <w:qFormat/>
    <w:uiPriority w:val="0"/>
    <w:pPr>
      <w:widowControl/>
      <w:pBdr>
        <w:bottom w:val="single" w:color="auto" w:sz="6" w:space="1"/>
      </w:pBdr>
      <w:jc w:val="center"/>
    </w:pPr>
    <w:rPr>
      <w:rFonts w:ascii="Arial" w:hAnsi="Arial"/>
      <w:vanish/>
      <w:kern w:val="0"/>
      <w:sz w:val="16"/>
      <w:szCs w:val="16"/>
    </w:rPr>
  </w:style>
  <w:style w:type="character" w:customStyle="1" w:styleId="341">
    <w:name w:val="Comment Subject Char"/>
    <w:qFormat/>
    <w:uiPriority w:val="0"/>
    <w:rPr>
      <w:b/>
      <w:sz w:val="24"/>
      <w:lang w:bidi="ar-SA"/>
    </w:rPr>
  </w:style>
  <w:style w:type="paragraph" w:customStyle="1" w:styleId="342">
    <w:name w:val="标题5"/>
    <w:basedOn w:val="4"/>
    <w:qFormat/>
    <w:uiPriority w:val="0"/>
    <w:rPr>
      <w:rFonts w:ascii="Arial" w:hAnsi="Arial"/>
      <w:sz w:val="24"/>
    </w:rPr>
  </w:style>
  <w:style w:type="character" w:customStyle="1" w:styleId="343">
    <w:name w:val="Char Char571"/>
    <w:qFormat/>
    <w:uiPriority w:val="0"/>
    <w:rPr>
      <w:rFonts w:eastAsia="宋体"/>
      <w:b/>
      <w:bCs/>
      <w:kern w:val="44"/>
      <w:sz w:val="32"/>
      <w:szCs w:val="44"/>
      <w:lang w:val="en-US" w:eastAsia="zh-CN" w:bidi="ar-SA"/>
    </w:rPr>
  </w:style>
  <w:style w:type="character" w:customStyle="1" w:styleId="344">
    <w:name w:val="Char Char221"/>
    <w:qFormat/>
    <w:uiPriority w:val="0"/>
    <w:rPr>
      <w:rFonts w:ascii="Times New Roman" w:hAnsi="Times New Roman" w:eastAsia="宋体" w:cs="Times New Roman"/>
      <w:b/>
      <w:bCs/>
      <w:kern w:val="44"/>
      <w:sz w:val="32"/>
      <w:szCs w:val="44"/>
      <w:lang w:bidi="ar-SA"/>
    </w:rPr>
  </w:style>
  <w:style w:type="character" w:customStyle="1" w:styleId="345">
    <w:name w:val="Char Char71"/>
    <w:qFormat/>
    <w:uiPriority w:val="0"/>
    <w:rPr>
      <w:rFonts w:eastAsia="宋体"/>
      <w:sz w:val="24"/>
      <w:lang w:val="en-US" w:eastAsia="zh-CN"/>
    </w:rPr>
  </w:style>
  <w:style w:type="character" w:customStyle="1" w:styleId="346">
    <w:name w:val="Char Char331"/>
    <w:qFormat/>
    <w:uiPriority w:val="0"/>
    <w:rPr>
      <w:rFonts w:eastAsia="宋体"/>
      <w:b/>
      <w:bCs/>
      <w:kern w:val="44"/>
      <w:sz w:val="44"/>
      <w:szCs w:val="44"/>
      <w:lang w:val="en-US" w:eastAsia="zh-CN" w:bidi="ar-SA"/>
    </w:rPr>
  </w:style>
  <w:style w:type="character" w:customStyle="1" w:styleId="347">
    <w:name w:val="Char Char321"/>
    <w:qFormat/>
    <w:uiPriority w:val="0"/>
    <w:rPr>
      <w:rFonts w:ascii="Arial" w:hAnsi="Arial" w:eastAsia="黑体"/>
      <w:b/>
      <w:bCs/>
      <w:kern w:val="2"/>
      <w:sz w:val="32"/>
      <w:szCs w:val="32"/>
      <w:lang w:val="en-US" w:eastAsia="zh-CN" w:bidi="ar-SA"/>
    </w:rPr>
  </w:style>
  <w:style w:type="character" w:customStyle="1" w:styleId="348">
    <w:name w:val="正文文字 Char Char"/>
    <w:qFormat/>
    <w:uiPriority w:val="0"/>
    <w:rPr>
      <w:rFonts w:eastAsia="宋体"/>
      <w:sz w:val="28"/>
      <w:lang w:val="en-US" w:eastAsia="zh-CN" w:bidi="ar-SA"/>
    </w:rPr>
  </w:style>
  <w:style w:type="character" w:customStyle="1" w:styleId="349">
    <w:name w:val="报告正文 Char"/>
    <w:qFormat/>
    <w:uiPriority w:val="0"/>
    <w:rPr>
      <w:rFonts w:ascii="宋体" w:eastAsia="宋体"/>
      <w:kern w:val="2"/>
      <w:sz w:val="28"/>
      <w:szCs w:val="24"/>
      <w:lang w:val="en-US" w:eastAsia="zh-CN" w:bidi="ar-SA"/>
    </w:rPr>
  </w:style>
  <w:style w:type="character" w:customStyle="1" w:styleId="350">
    <w:name w:val="正文首行缩进 Char1"/>
    <w:qFormat/>
    <w:uiPriority w:val="0"/>
    <w:rPr>
      <w:kern w:val="2"/>
      <w:sz w:val="21"/>
      <w:szCs w:val="24"/>
    </w:rPr>
  </w:style>
  <w:style w:type="paragraph" w:customStyle="1" w:styleId="351">
    <w:name w:val="表格正文"/>
    <w:basedOn w:val="1"/>
    <w:qFormat/>
    <w:uiPriority w:val="0"/>
    <w:pPr>
      <w:autoSpaceDE w:val="0"/>
      <w:autoSpaceDN w:val="0"/>
      <w:adjustRightInd w:val="0"/>
      <w:snapToGrid w:val="0"/>
      <w:spacing w:before="60"/>
      <w:ind w:right="-96"/>
      <w:jc w:val="center"/>
    </w:pPr>
    <w:rPr>
      <w:rFonts w:ascii="宋体" w:cs="Arial"/>
      <w:color w:val="000000"/>
      <w:sz w:val="24"/>
      <w:szCs w:val="21"/>
    </w:rPr>
  </w:style>
  <w:style w:type="paragraph" w:customStyle="1" w:styleId="352">
    <w:name w:val="WG标题2"/>
    <w:basedOn w:val="1"/>
    <w:qFormat/>
    <w:uiPriority w:val="0"/>
    <w:pPr>
      <w:autoSpaceDE w:val="0"/>
      <w:autoSpaceDN w:val="0"/>
      <w:adjustRightInd w:val="0"/>
      <w:outlineLvl w:val="1"/>
    </w:pPr>
    <w:rPr>
      <w:rFonts w:ascii="仿宋_GB2312" w:hAnsi="仿宋_GB2312" w:cs="宋体"/>
      <w:b/>
      <w:color w:val="000000"/>
      <w:kern w:val="20"/>
      <w:sz w:val="24"/>
      <w:szCs w:val="20"/>
    </w:rPr>
  </w:style>
  <w:style w:type="paragraph" w:customStyle="1" w:styleId="353">
    <w:name w:val="b-b1"/>
    <w:basedOn w:val="2"/>
    <w:next w:val="1"/>
    <w:qFormat/>
    <w:uiPriority w:val="0"/>
    <w:pPr>
      <w:keepNext w:val="0"/>
      <w:keepLines w:val="0"/>
      <w:tabs>
        <w:tab w:val="left" w:pos="360"/>
        <w:tab w:val="left" w:pos="1800"/>
      </w:tabs>
      <w:autoSpaceDE w:val="0"/>
      <w:autoSpaceDN w:val="0"/>
      <w:adjustRightInd w:val="0"/>
      <w:snapToGrid w:val="0"/>
      <w:spacing w:before="160" w:after="160" w:line="400" w:lineRule="exact"/>
      <w:ind w:left="1531" w:hanging="1531"/>
      <w:jc w:val="left"/>
      <w:textAlignment w:val="baseline"/>
    </w:pPr>
    <w:rPr>
      <w:rFonts w:ascii="黑体" w:eastAsia="黑体"/>
      <w:b w:val="0"/>
      <w:bCs w:val="0"/>
      <w:color w:val="000000"/>
      <w:sz w:val="28"/>
      <w:szCs w:val="20"/>
    </w:rPr>
  </w:style>
  <w:style w:type="paragraph" w:customStyle="1" w:styleId="354">
    <w:name w:val="插表文字"/>
    <w:basedOn w:val="1"/>
    <w:next w:val="1"/>
    <w:qFormat/>
    <w:uiPriority w:val="0"/>
    <w:pPr>
      <w:keepNext/>
      <w:adjustRightInd w:val="0"/>
      <w:snapToGrid w:val="0"/>
      <w:spacing w:beforeLines="20" w:afterLines="20" w:line="360" w:lineRule="auto"/>
    </w:pPr>
    <w:rPr>
      <w:rFonts w:ascii="宋体"/>
      <w:bCs/>
      <w:kern w:val="0"/>
      <w:sz w:val="24"/>
      <w:szCs w:val="28"/>
    </w:rPr>
  </w:style>
  <w:style w:type="paragraph" w:customStyle="1" w:styleId="355">
    <w:name w:val="页眉1"/>
    <w:basedOn w:val="1"/>
    <w:qFormat/>
    <w:uiPriority w:val="0"/>
    <w:pPr>
      <w:tabs>
        <w:tab w:val="left" w:pos="1727"/>
        <w:tab w:val="left" w:pos="1884"/>
        <w:tab w:val="center" w:pos="4153"/>
        <w:tab w:val="right" w:pos="8306"/>
      </w:tabs>
      <w:snapToGrid w:val="0"/>
      <w:jc w:val="center"/>
      <w:outlineLvl w:val="0"/>
    </w:pPr>
    <w:rPr>
      <w:rFonts w:ascii="隶书" w:eastAsia="隶书" w:cs="隶书"/>
      <w:w w:val="90"/>
      <w:szCs w:val="21"/>
    </w:rPr>
  </w:style>
  <w:style w:type="paragraph" w:customStyle="1" w:styleId="356">
    <w:name w:val="报告标1"/>
    <w:basedOn w:val="1"/>
    <w:next w:val="315"/>
    <w:qFormat/>
    <w:uiPriority w:val="0"/>
    <w:pPr>
      <w:adjustRightInd w:val="0"/>
      <w:snapToGrid w:val="0"/>
      <w:spacing w:line="300" w:lineRule="auto"/>
    </w:pPr>
    <w:rPr>
      <w:rFonts w:ascii="黑体" w:eastAsia="黑体" w:cs="黑体"/>
      <w:sz w:val="28"/>
      <w:szCs w:val="28"/>
    </w:rPr>
  </w:style>
  <w:style w:type="paragraph" w:customStyle="1" w:styleId="357">
    <w:name w:val="ZB第一卷"/>
    <w:basedOn w:val="2"/>
    <w:next w:val="1"/>
    <w:qFormat/>
    <w:uiPriority w:val="0"/>
    <w:pPr>
      <w:pageBreakBefore/>
      <w:tabs>
        <w:tab w:val="left" w:pos="425"/>
      </w:tabs>
      <w:adjustRightInd w:val="0"/>
      <w:snapToGrid w:val="0"/>
      <w:spacing w:before="0" w:after="0" w:line="360" w:lineRule="auto"/>
      <w:ind w:left="780" w:hanging="360"/>
      <w:jc w:val="center"/>
    </w:pPr>
    <w:rPr>
      <w:rFonts w:eastAsia="黑体"/>
    </w:rPr>
  </w:style>
  <w:style w:type="paragraph" w:customStyle="1" w:styleId="358">
    <w:name w:val="小表左"/>
    <w:basedOn w:val="1"/>
    <w:qFormat/>
    <w:uiPriority w:val="0"/>
    <w:pPr>
      <w:keepNext/>
      <w:adjustRightInd w:val="0"/>
      <w:snapToGrid w:val="0"/>
      <w:spacing w:line="240" w:lineRule="atLeast"/>
      <w:jc w:val="center"/>
    </w:pPr>
    <w:rPr>
      <w:rFonts w:ascii="宋体" w:cs="宋体"/>
      <w:color w:val="000000"/>
      <w:kern w:val="0"/>
      <w:sz w:val="24"/>
    </w:rPr>
  </w:style>
  <w:style w:type="paragraph" w:customStyle="1" w:styleId="359">
    <w:name w:val="标题二"/>
    <w:basedOn w:val="1"/>
    <w:qFormat/>
    <w:uiPriority w:val="0"/>
    <w:pPr>
      <w:spacing w:beforeLines="50" w:afterLines="50"/>
      <w:jc w:val="center"/>
      <w:outlineLvl w:val="1"/>
    </w:pPr>
    <w:rPr>
      <w:rFonts w:ascii="宋体"/>
      <w:b/>
      <w:sz w:val="30"/>
      <w:szCs w:val="30"/>
    </w:rPr>
  </w:style>
  <w:style w:type="paragraph" w:customStyle="1" w:styleId="360">
    <w:name w:val="l_text"/>
    <w:basedOn w:val="1"/>
    <w:qFormat/>
    <w:uiPriority w:val="0"/>
    <w:pPr>
      <w:widowControl/>
      <w:overflowPunct w:val="0"/>
      <w:autoSpaceDE w:val="0"/>
      <w:autoSpaceDN w:val="0"/>
      <w:adjustRightInd w:val="0"/>
      <w:spacing w:line="360" w:lineRule="auto"/>
      <w:ind w:left="170" w:firstLine="680"/>
      <w:textAlignment w:val="baseline"/>
    </w:pPr>
    <w:rPr>
      <w:rFonts w:ascii="宋体"/>
      <w:kern w:val="0"/>
      <w:sz w:val="28"/>
      <w:szCs w:val="20"/>
      <w:lang w:val="en-GB" w:eastAsia="en-GB"/>
    </w:rPr>
  </w:style>
  <w:style w:type="paragraph" w:customStyle="1" w:styleId="361">
    <w:name w:val="附录一级条标题"/>
    <w:basedOn w:val="362"/>
    <w:next w:val="363"/>
    <w:qFormat/>
    <w:uiPriority w:val="0"/>
    <w:pPr>
      <w:tabs>
        <w:tab w:val="left" w:pos="360"/>
      </w:tabs>
      <w:autoSpaceDN w:val="0"/>
      <w:spacing w:before="0" w:after="0"/>
      <w:outlineLvl w:val="2"/>
    </w:pPr>
  </w:style>
  <w:style w:type="paragraph" w:customStyle="1" w:styleId="362">
    <w:name w:val="附录章标题"/>
    <w:next w:val="363"/>
    <w:qFormat/>
    <w:uiPriority w:val="0"/>
    <w:p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36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4">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365">
    <w:name w:val="样式 标题 3头 + 行距: 多倍行距 0.5 字行"/>
    <w:basedOn w:val="4"/>
    <w:qFormat/>
    <w:uiPriority w:val="0"/>
    <w:pPr>
      <w:tabs>
        <w:tab w:val="left" w:pos="578"/>
        <w:tab w:val="left" w:pos="1560"/>
      </w:tabs>
      <w:spacing w:before="60" w:after="60" w:line="120" w:lineRule="auto"/>
      <w:ind w:left="578" w:hanging="578"/>
    </w:pPr>
    <w:rPr>
      <w:bCs w:val="0"/>
      <w:kern w:val="2"/>
      <w:sz w:val="28"/>
      <w:szCs w:val="20"/>
    </w:rPr>
  </w:style>
  <w:style w:type="paragraph" w:customStyle="1" w:styleId="366">
    <w:name w:val="设计证书编号"/>
    <w:basedOn w:val="1"/>
    <w:qFormat/>
    <w:uiPriority w:val="0"/>
    <w:pPr>
      <w:keepNext/>
      <w:snapToGrid w:val="0"/>
      <w:spacing w:line="300" w:lineRule="auto"/>
      <w:jc w:val="center"/>
    </w:pPr>
    <w:rPr>
      <w:rFonts w:ascii="宋体" w:cs="宋体"/>
      <w:sz w:val="32"/>
      <w:szCs w:val="32"/>
    </w:rPr>
  </w:style>
  <w:style w:type="paragraph" w:customStyle="1" w:styleId="367">
    <w:name w:val="CM56"/>
    <w:basedOn w:val="147"/>
    <w:next w:val="147"/>
    <w:qFormat/>
    <w:uiPriority w:val="0"/>
    <w:rPr>
      <w:color w:val="auto"/>
    </w:rPr>
  </w:style>
  <w:style w:type="paragraph" w:customStyle="1" w:styleId="368">
    <w:name w:val="Char11"/>
    <w:basedOn w:val="1"/>
    <w:qFormat/>
    <w:uiPriority w:val="0"/>
    <w:rPr>
      <w:rFonts w:ascii="Tahoma" w:hAnsi="Tahoma"/>
      <w:b/>
      <w:sz w:val="28"/>
      <w:szCs w:val="28"/>
    </w:rPr>
  </w:style>
  <w:style w:type="paragraph" w:customStyle="1" w:styleId="369">
    <w:name w:val="Zchn Zchn1 Char Char Zchn Zchn Char Char1"/>
    <w:basedOn w:val="1"/>
    <w:qFormat/>
    <w:uiPriority w:val="0"/>
    <w:rPr>
      <w:szCs w:val="20"/>
    </w:rPr>
  </w:style>
  <w:style w:type="paragraph" w:customStyle="1" w:styleId="370">
    <w:name w:val="表1"/>
    <w:basedOn w:val="1"/>
    <w:qFormat/>
    <w:uiPriority w:val="0"/>
    <w:pPr>
      <w:widowControl/>
      <w:snapToGrid w:val="0"/>
      <w:jc w:val="center"/>
    </w:pPr>
    <w:rPr>
      <w:rFonts w:ascii="宋体" w:cs="宋体"/>
      <w:kern w:val="24"/>
    </w:rPr>
  </w:style>
  <w:style w:type="paragraph" w:customStyle="1" w:styleId="371">
    <w:name w:val="默认段落字体 Para Char Char Char Char Char Char Char"/>
    <w:basedOn w:val="1"/>
    <w:qFormat/>
    <w:uiPriority w:val="0"/>
    <w:pPr>
      <w:widowControl/>
    </w:pPr>
    <w:rPr>
      <w:rFonts w:ascii="宋体" w:cs="宋体"/>
      <w:sz w:val="24"/>
    </w:rPr>
  </w:style>
  <w:style w:type="paragraph" w:customStyle="1" w:styleId="372">
    <w:name w:val="reader-word-layer reader-word-s2-3"/>
    <w:basedOn w:val="1"/>
    <w:qFormat/>
    <w:uiPriority w:val="0"/>
    <w:pPr>
      <w:widowControl/>
      <w:spacing w:before="100" w:beforeAutospacing="1" w:after="100" w:afterAutospacing="1"/>
      <w:jc w:val="left"/>
    </w:pPr>
    <w:rPr>
      <w:rFonts w:ascii="宋体" w:cs="宋体"/>
      <w:kern w:val="0"/>
      <w:sz w:val="24"/>
    </w:rPr>
  </w:style>
  <w:style w:type="paragraph" w:customStyle="1" w:styleId="373">
    <w:name w:val="CM37"/>
    <w:basedOn w:val="147"/>
    <w:next w:val="147"/>
    <w:qFormat/>
    <w:uiPriority w:val="0"/>
    <w:rPr>
      <w:color w:val="auto"/>
    </w:rPr>
  </w:style>
  <w:style w:type="paragraph" w:customStyle="1" w:styleId="374">
    <w:name w:val="节名"/>
    <w:basedOn w:val="1"/>
    <w:qFormat/>
    <w:uiPriority w:val="0"/>
    <w:pPr>
      <w:adjustRightInd w:val="0"/>
      <w:snapToGrid w:val="0"/>
      <w:spacing w:line="300" w:lineRule="auto"/>
      <w:jc w:val="center"/>
    </w:pPr>
    <w:rPr>
      <w:rFonts w:ascii="黑体" w:eastAsia="黑体" w:cs="黑体"/>
      <w:sz w:val="24"/>
    </w:rPr>
  </w:style>
  <w:style w:type="paragraph" w:customStyle="1" w:styleId="375">
    <w:name w:val="姓名"/>
    <w:basedOn w:val="1"/>
    <w:qFormat/>
    <w:uiPriority w:val="0"/>
    <w:pPr>
      <w:adjustRightInd w:val="0"/>
      <w:spacing w:line="240" w:lineRule="atLeast"/>
      <w:ind w:firstLine="200" w:firstLineChars="200"/>
      <w:jc w:val="center"/>
    </w:pPr>
    <w:rPr>
      <w:rFonts w:eastAsia="仿宋_GB2312"/>
      <w:sz w:val="28"/>
      <w:szCs w:val="20"/>
    </w:rPr>
  </w:style>
  <w:style w:type="paragraph" w:customStyle="1" w:styleId="376">
    <w:name w:val="CM57"/>
    <w:basedOn w:val="147"/>
    <w:next w:val="147"/>
    <w:qFormat/>
    <w:uiPriority w:val="0"/>
    <w:rPr>
      <w:color w:val="auto"/>
    </w:rPr>
  </w:style>
  <w:style w:type="paragraph" w:customStyle="1" w:styleId="377">
    <w:name w:val="图内容"/>
    <w:qFormat/>
    <w:uiPriority w:val="0"/>
    <w:pPr>
      <w:widowControl w:val="0"/>
      <w:adjustRightInd w:val="0"/>
      <w:jc w:val="center"/>
      <w:textAlignment w:val="baseline"/>
    </w:pPr>
    <w:rPr>
      <w:rFonts w:ascii="Times New Roman" w:hAnsi="Times New Roman" w:eastAsia="仿宋体" w:cs="Times New Roman"/>
      <w:sz w:val="24"/>
      <w:lang w:val="en-US" w:eastAsia="zh-CN" w:bidi="ar-SA"/>
    </w:rPr>
  </w:style>
  <w:style w:type="paragraph" w:customStyle="1" w:styleId="378">
    <w:name w:val="b-b2"/>
    <w:basedOn w:val="3"/>
    <w:next w:val="1"/>
    <w:qFormat/>
    <w:uiPriority w:val="0"/>
    <w:pPr>
      <w:keepNext w:val="0"/>
      <w:keepLines w:val="0"/>
      <w:tabs>
        <w:tab w:val="left" w:pos="1985"/>
      </w:tabs>
      <w:adjustRightInd w:val="0"/>
      <w:snapToGrid w:val="0"/>
      <w:spacing w:before="120" w:after="120" w:line="400" w:lineRule="exact"/>
      <w:jc w:val="left"/>
      <w:textAlignment w:val="baseline"/>
    </w:pPr>
    <w:rPr>
      <w:rFonts w:ascii="黑体" w:eastAsia="黑体"/>
      <w:b w:val="0"/>
      <w:bCs w:val="0"/>
      <w:sz w:val="24"/>
      <w:szCs w:val="20"/>
    </w:rPr>
  </w:style>
  <w:style w:type="paragraph" w:customStyle="1" w:styleId="379">
    <w:name w:val="标题 4 宋体"/>
    <w:basedOn w:val="5"/>
    <w:next w:val="1"/>
    <w:qFormat/>
    <w:uiPriority w:val="0"/>
    <w:pPr>
      <w:tabs>
        <w:tab w:val="left" w:pos="1064"/>
        <w:tab w:val="left" w:pos="3018"/>
      </w:tabs>
      <w:adjustRightInd w:val="0"/>
      <w:snapToGrid w:val="0"/>
      <w:spacing w:before="0" w:after="0" w:line="360" w:lineRule="auto"/>
      <w:ind w:left="1443" w:hanging="864"/>
    </w:pPr>
    <w:rPr>
      <w:rFonts w:ascii="宋体" w:eastAsia="宋体"/>
      <w:b w:val="0"/>
      <w:bCs w:val="0"/>
      <w:kern w:val="2"/>
      <w:sz w:val="24"/>
      <w:szCs w:val="24"/>
    </w:rPr>
  </w:style>
  <w:style w:type="paragraph" w:customStyle="1" w:styleId="380">
    <w:name w:val="新标题3"/>
    <w:basedOn w:val="1"/>
    <w:qFormat/>
    <w:uiPriority w:val="0"/>
    <w:pPr>
      <w:keepNext/>
      <w:keepLines/>
      <w:adjustRightInd w:val="0"/>
      <w:snapToGrid w:val="0"/>
      <w:spacing w:line="300" w:lineRule="auto"/>
      <w:outlineLvl w:val="2"/>
    </w:pPr>
    <w:rPr>
      <w:rFonts w:eastAsia="黑体"/>
      <w:b/>
      <w:sz w:val="28"/>
      <w:szCs w:val="32"/>
    </w:rPr>
  </w:style>
  <w:style w:type="paragraph" w:customStyle="1" w:styleId="381">
    <w:name w:val="bf.1"/>
    <w:basedOn w:val="7"/>
    <w:qFormat/>
    <w:uiPriority w:val="0"/>
    <w:pPr>
      <w:spacing w:line="360" w:lineRule="auto"/>
      <w:ind w:left="375" w:hanging="375" w:hangingChars="375"/>
    </w:pPr>
    <w:rPr>
      <w:rFonts w:ascii="Arial" w:hAnsi="Arial"/>
      <w:kern w:val="2"/>
      <w:sz w:val="24"/>
    </w:rPr>
  </w:style>
  <w:style w:type="paragraph" w:customStyle="1" w:styleId="3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83">
    <w:name w:val="Div_MsoNormal ParagraphIndent"/>
    <w:basedOn w:val="384"/>
    <w:qFormat/>
    <w:uiPriority w:val="0"/>
    <w:pPr>
      <w:widowControl/>
      <w:tabs>
        <w:tab w:val="left" w:pos="0"/>
        <w:tab w:val="left" w:pos="1134"/>
        <w:tab w:val="left" w:pos="8505"/>
      </w:tabs>
      <w:adjustRightInd/>
      <w:spacing w:before="0" w:after="0" w:line="240" w:lineRule="auto"/>
      <w:ind w:left="0" w:firstLine="0"/>
      <w:jc w:val="left"/>
      <w:textAlignment w:val="auto"/>
    </w:pPr>
    <w:rPr>
      <w:rFonts w:ascii="Calibri" w:hAnsi="Calibri" w:eastAsia="Calibri"/>
      <w:sz w:val="21"/>
      <w:szCs w:val="24"/>
    </w:rPr>
  </w:style>
  <w:style w:type="paragraph" w:customStyle="1" w:styleId="384">
    <w:name w:val="正文1"/>
    <w:next w:val="385"/>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sz w:val="24"/>
      <w:lang w:val="en-US" w:eastAsia="zh-CN" w:bidi="ar-SA"/>
    </w:rPr>
  </w:style>
  <w:style w:type="paragraph" w:customStyle="1" w:styleId="385">
    <w:name w:val="正文文本1"/>
    <w:basedOn w:val="1"/>
    <w:next w:val="384"/>
    <w:qFormat/>
    <w:uiPriority w:val="0"/>
    <w:pPr>
      <w:widowControl/>
      <w:spacing w:after="120"/>
      <w:jc w:val="left"/>
    </w:pPr>
    <w:rPr>
      <w:rFonts w:ascii="Calibri" w:hAnsi="Calibri"/>
      <w:szCs w:val="22"/>
    </w:rPr>
  </w:style>
  <w:style w:type="paragraph" w:customStyle="1" w:styleId="386">
    <w:name w:val="textstyle1"/>
    <w:basedOn w:val="1"/>
    <w:qFormat/>
    <w:uiPriority w:val="0"/>
    <w:pPr>
      <w:widowControl/>
      <w:overflowPunct w:val="0"/>
      <w:autoSpaceDE w:val="0"/>
      <w:autoSpaceDN w:val="0"/>
      <w:adjustRightInd w:val="0"/>
      <w:spacing w:before="120"/>
      <w:ind w:left="288" w:firstLine="432"/>
      <w:textAlignment w:val="baseline"/>
    </w:pPr>
    <w:rPr>
      <w:rFonts w:ascii="楷体" w:eastAsia="楷体"/>
      <w:kern w:val="0"/>
      <w:sz w:val="24"/>
      <w:szCs w:val="20"/>
    </w:rPr>
  </w:style>
  <w:style w:type="paragraph" w:customStyle="1" w:styleId="38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88">
    <w:name w:val="4"/>
    <w:basedOn w:val="5"/>
    <w:qFormat/>
    <w:uiPriority w:val="0"/>
    <w:pPr>
      <w:tabs>
        <w:tab w:val="left" w:pos="1575"/>
      </w:tabs>
      <w:spacing w:before="60" w:after="60" w:line="300" w:lineRule="auto"/>
    </w:pPr>
    <w:rPr>
      <w:b w:val="0"/>
      <w:bCs w:val="0"/>
      <w:kern w:val="2"/>
      <w:sz w:val="24"/>
      <w:szCs w:val="20"/>
    </w:rPr>
  </w:style>
  <w:style w:type="paragraph" w:customStyle="1" w:styleId="389">
    <w:name w:val="图字"/>
    <w:qFormat/>
    <w:uiPriority w:val="0"/>
    <w:pPr>
      <w:snapToGrid w:val="0"/>
    </w:pPr>
    <w:rPr>
      <w:rFonts w:ascii="Times New Roman" w:hAnsi="Times New Roman" w:eastAsia="宋体" w:cs="Times New Roman"/>
      <w:kern w:val="2"/>
      <w:sz w:val="18"/>
      <w:szCs w:val="24"/>
      <w:lang w:val="en-US" w:eastAsia="zh-CN" w:bidi="ar-SA"/>
    </w:rPr>
  </w:style>
  <w:style w:type="paragraph" w:customStyle="1" w:styleId="390">
    <w:name w:val="(i)正文"/>
    <w:basedOn w:val="1"/>
    <w:qFormat/>
    <w:uiPriority w:val="0"/>
    <w:pPr>
      <w:widowControl/>
      <w:tabs>
        <w:tab w:val="left" w:pos="2381"/>
        <w:tab w:val="left" w:pos="2951"/>
      </w:tabs>
      <w:spacing w:line="360" w:lineRule="exact"/>
      <w:ind w:left="2381" w:hanging="510"/>
    </w:pPr>
    <w:rPr>
      <w:sz w:val="24"/>
      <w:szCs w:val="20"/>
    </w:rPr>
  </w:style>
  <w:style w:type="paragraph" w:customStyle="1" w:styleId="391">
    <w:name w:val="注释"/>
    <w:basedOn w:val="1"/>
    <w:qFormat/>
    <w:uiPriority w:val="0"/>
    <w:pPr>
      <w:adjustRightInd w:val="0"/>
      <w:snapToGrid w:val="0"/>
      <w:spacing w:afterLines="50" w:line="288" w:lineRule="auto"/>
    </w:pPr>
  </w:style>
  <w:style w:type="paragraph" w:customStyle="1" w:styleId="392">
    <w:name w:val="一级条标题"/>
    <w:basedOn w:val="2"/>
    <w:next w:val="363"/>
    <w:qFormat/>
    <w:uiPriority w:val="0"/>
    <w:pPr>
      <w:keepNext w:val="0"/>
      <w:keepLines w:val="0"/>
      <w:widowControl/>
      <w:spacing w:before="0" w:after="0" w:line="240" w:lineRule="auto"/>
      <w:outlineLvl w:val="2"/>
    </w:pPr>
    <w:rPr>
      <w:rFonts w:ascii="黑体" w:eastAsia="黑体"/>
      <w:b w:val="0"/>
      <w:bCs w:val="0"/>
      <w:kern w:val="0"/>
      <w:sz w:val="21"/>
      <w:szCs w:val="20"/>
    </w:rPr>
  </w:style>
  <w:style w:type="paragraph" w:customStyle="1" w:styleId="393">
    <w:name w:val="样式 标题 3头 + 小三"/>
    <w:basedOn w:val="4"/>
    <w:qFormat/>
    <w:uiPriority w:val="0"/>
    <w:pPr>
      <w:tabs>
        <w:tab w:val="left" w:pos="578"/>
        <w:tab w:val="left" w:pos="1560"/>
      </w:tabs>
      <w:spacing w:before="60" w:after="60" w:line="240" w:lineRule="auto"/>
      <w:ind w:left="578" w:hanging="578"/>
    </w:pPr>
    <w:rPr>
      <w:bCs w:val="0"/>
      <w:kern w:val="2"/>
      <w:sz w:val="30"/>
      <w:szCs w:val="20"/>
    </w:rPr>
  </w:style>
  <w:style w:type="paragraph" w:customStyle="1" w:styleId="394">
    <w:name w:val="设料表居中"/>
    <w:basedOn w:val="1"/>
    <w:qFormat/>
    <w:uiPriority w:val="0"/>
    <w:pPr>
      <w:adjustRightInd w:val="0"/>
      <w:spacing w:line="312" w:lineRule="atLeast"/>
      <w:jc w:val="center"/>
      <w:textAlignment w:val="baseline"/>
    </w:pPr>
    <w:rPr>
      <w:rFonts w:eastAsia="方正综艺简体"/>
      <w:w w:val="98"/>
      <w:kern w:val="0"/>
      <w:sz w:val="24"/>
      <w:szCs w:val="20"/>
    </w:rPr>
  </w:style>
  <w:style w:type="paragraph" w:customStyle="1" w:styleId="395">
    <w:name w:val="王海兰"/>
    <w:basedOn w:val="1"/>
    <w:next w:val="1"/>
    <w:qFormat/>
    <w:uiPriority w:val="0"/>
    <w:pPr>
      <w:spacing w:line="360" w:lineRule="auto"/>
      <w:ind w:left="-30" w:leftChars="-30" w:right="-27" w:rightChars="-27" w:firstLine="200" w:firstLineChars="200"/>
      <w:jc w:val="left"/>
    </w:pPr>
    <w:rPr>
      <w:rFonts w:ascii="Arial" w:hAnsi="Arial" w:cs="Arial"/>
      <w:sz w:val="28"/>
      <w:szCs w:val="28"/>
    </w:rPr>
  </w:style>
  <w:style w:type="paragraph" w:customStyle="1" w:styleId="396">
    <w:name w:val="表格文字1-小4居中"/>
    <w:basedOn w:val="1"/>
    <w:qFormat/>
    <w:uiPriority w:val="0"/>
    <w:pPr>
      <w:snapToGrid w:val="0"/>
      <w:spacing w:line="300" w:lineRule="auto"/>
      <w:jc w:val="center"/>
    </w:pPr>
    <w:rPr>
      <w:sz w:val="24"/>
    </w:rPr>
  </w:style>
  <w:style w:type="paragraph" w:customStyle="1" w:styleId="397">
    <w:name w:val="附录二级条标题"/>
    <w:basedOn w:val="361"/>
    <w:next w:val="363"/>
    <w:qFormat/>
    <w:uiPriority w:val="0"/>
    <w:pPr>
      <w:outlineLvl w:val="3"/>
    </w:pPr>
  </w:style>
  <w:style w:type="paragraph" w:customStyle="1" w:styleId="398">
    <w:name w:val="表格索引"/>
    <w:basedOn w:val="1"/>
    <w:qFormat/>
    <w:uiPriority w:val="0"/>
    <w:pPr>
      <w:adjustRightInd w:val="0"/>
      <w:snapToGrid w:val="0"/>
      <w:spacing w:line="300" w:lineRule="auto"/>
      <w:jc w:val="center"/>
    </w:pPr>
    <w:rPr>
      <w:rFonts w:ascii="黑体" w:eastAsia="黑体"/>
      <w:sz w:val="24"/>
    </w:rPr>
  </w:style>
  <w:style w:type="paragraph" w:customStyle="1" w:styleId="399">
    <w:name w:val="部分编号"/>
    <w:basedOn w:val="1"/>
    <w:qFormat/>
    <w:uiPriority w:val="0"/>
    <w:pPr>
      <w:widowControl/>
      <w:tabs>
        <w:tab w:val="left" w:pos="1531"/>
        <w:tab w:val="left" w:pos="1800"/>
      </w:tabs>
      <w:spacing w:before="160" w:after="120" w:line="400" w:lineRule="exact"/>
      <w:ind w:left="1531" w:hanging="1531"/>
    </w:pPr>
    <w:rPr>
      <w:rFonts w:ascii="Arial" w:hAnsi="Arial" w:eastAsia="黑体"/>
      <w:spacing w:val="30"/>
      <w:sz w:val="24"/>
      <w:szCs w:val="20"/>
    </w:rPr>
  </w:style>
  <w:style w:type="paragraph" w:customStyle="1" w:styleId="400">
    <w:name w:val="正文 + 四号"/>
    <w:basedOn w:val="2"/>
    <w:qFormat/>
    <w:uiPriority w:val="0"/>
    <w:pPr>
      <w:keepNext w:val="0"/>
      <w:keepLines w:val="0"/>
      <w:adjustRightInd w:val="0"/>
      <w:spacing w:before="0" w:after="0" w:line="300" w:lineRule="auto"/>
      <w:jc w:val="center"/>
      <w:textAlignment w:val="baseline"/>
      <w:outlineLvl w:val="9"/>
    </w:pPr>
    <w:rPr>
      <w:rFonts w:ascii="宋体" w:cs="宋体"/>
      <w:b w:val="0"/>
      <w:bCs w:val="0"/>
      <w:color w:val="FF0000"/>
      <w:kern w:val="2"/>
      <w:sz w:val="24"/>
      <w:szCs w:val="24"/>
    </w:rPr>
  </w:style>
  <w:style w:type="paragraph" w:customStyle="1" w:styleId="401">
    <w:name w:val="标题 21"/>
    <w:basedOn w:val="1"/>
    <w:next w:val="402"/>
    <w:qFormat/>
    <w:uiPriority w:val="0"/>
    <w:pPr>
      <w:tabs>
        <w:tab w:val="left" w:pos="-709"/>
        <w:tab w:val="left" w:pos="284"/>
      </w:tabs>
      <w:spacing w:line="300" w:lineRule="auto"/>
      <w:ind w:left="1260" w:hanging="420"/>
      <w:textAlignment w:val="baseline"/>
      <w:outlineLvl w:val="1"/>
    </w:pPr>
    <w:rPr>
      <w:rFonts w:ascii="Cambria" w:hAnsi="Cambria"/>
      <w:b/>
      <w:sz w:val="32"/>
      <w:szCs w:val="22"/>
    </w:rPr>
  </w:style>
  <w:style w:type="paragraph" w:customStyle="1" w:styleId="402">
    <w:name w:val="正文缩进11"/>
    <w:basedOn w:val="1"/>
    <w:qFormat/>
    <w:uiPriority w:val="0"/>
    <w:pPr>
      <w:tabs>
        <w:tab w:val="left" w:pos="-709"/>
        <w:tab w:val="left" w:pos="284"/>
      </w:tabs>
      <w:spacing w:line="300" w:lineRule="auto"/>
      <w:ind w:firstLine="510"/>
      <w:jc w:val="center"/>
      <w:textAlignment w:val="baseline"/>
    </w:pPr>
    <w:rPr>
      <w:rFonts w:ascii="宋体"/>
      <w:sz w:val="24"/>
      <w:szCs w:val="20"/>
    </w:rPr>
  </w:style>
  <w:style w:type="paragraph" w:customStyle="1" w:styleId="403">
    <w:name w:val="样式 标题 1 + 黑体 三号 非加粗 居中 段前: 6 磅 段后: 6 磅 行距: 固定值 20 磅"/>
    <w:basedOn w:val="2"/>
    <w:qFormat/>
    <w:uiPriority w:val="0"/>
    <w:pPr>
      <w:spacing w:before="120" w:after="120" w:line="400" w:lineRule="exact"/>
      <w:jc w:val="center"/>
    </w:pPr>
    <w:rPr>
      <w:rFonts w:ascii="黑体" w:eastAsia="黑体" w:cs="宋体"/>
      <w:b w:val="0"/>
      <w:bCs w:val="0"/>
      <w:sz w:val="32"/>
      <w:szCs w:val="20"/>
    </w:rPr>
  </w:style>
  <w:style w:type="paragraph" w:customStyle="1" w:styleId="404">
    <w:name w:val="cucd-0"/>
    <w:qFormat/>
    <w:uiPriority w:val="0"/>
    <w:pPr>
      <w:spacing w:line="360" w:lineRule="auto"/>
      <w:ind w:firstLine="200" w:firstLineChars="200"/>
    </w:pPr>
    <w:rPr>
      <w:rFonts w:ascii="Times New Roman" w:hAnsi="Times New Roman" w:eastAsia="宋体" w:cs="Times New Roman"/>
      <w:kern w:val="2"/>
      <w:sz w:val="24"/>
      <w:lang w:val="en-US" w:eastAsia="zh-CN" w:bidi="ar-SA"/>
    </w:rPr>
  </w:style>
  <w:style w:type="paragraph" w:customStyle="1" w:styleId="405">
    <w:name w:val="样式 标题 4 + 宋体 四号 两端对齐"/>
    <w:basedOn w:val="5"/>
    <w:qFormat/>
    <w:uiPriority w:val="0"/>
    <w:pPr>
      <w:keepNext w:val="0"/>
      <w:suppressLineNumbers/>
      <w:suppressAutoHyphens/>
      <w:autoSpaceDE w:val="0"/>
      <w:autoSpaceDN w:val="0"/>
      <w:spacing w:before="0" w:after="0" w:line="500" w:lineRule="exact"/>
      <w:ind w:left="200" w:leftChars="200"/>
      <w:textAlignment w:val="baseline"/>
    </w:pPr>
    <w:rPr>
      <w:rFonts w:ascii="宋体" w:eastAsia="宋体"/>
      <w:bCs w:val="0"/>
      <w:snapToGrid w:val="0"/>
      <w:szCs w:val="20"/>
    </w:rPr>
  </w:style>
  <w:style w:type="paragraph" w:customStyle="1" w:styleId="406">
    <w:name w:val="cucd-4"/>
    <w:next w:val="404"/>
    <w:qFormat/>
    <w:uiPriority w:val="0"/>
    <w:pPr>
      <w:tabs>
        <w:tab w:val="left" w:pos="2098"/>
        <w:tab w:val="left" w:pos="3731"/>
      </w:tabs>
      <w:spacing w:line="360" w:lineRule="auto"/>
      <w:ind w:left="2098" w:hanging="420"/>
      <w:outlineLvl w:val="3"/>
    </w:pPr>
    <w:rPr>
      <w:rFonts w:ascii="Times New Roman" w:hAnsi="Times New Roman" w:eastAsia="宋体" w:cs="Times New Roman"/>
      <w:b/>
      <w:kern w:val="2"/>
      <w:sz w:val="24"/>
      <w:lang w:val="en-US" w:eastAsia="zh-CN" w:bidi="ar-SA"/>
    </w:rPr>
  </w:style>
  <w:style w:type="paragraph" w:customStyle="1" w:styleId="407">
    <w:name w:val="NN"/>
    <w:basedOn w:val="1"/>
    <w:qFormat/>
    <w:uiPriority w:val="0"/>
    <w:pPr>
      <w:adjustRightInd w:val="0"/>
      <w:spacing w:line="360" w:lineRule="atLeast"/>
      <w:ind w:left="1134"/>
      <w:textAlignment w:val="baseline"/>
    </w:pPr>
    <w:rPr>
      <w:rFonts w:ascii="宋体"/>
      <w:spacing w:val="5"/>
      <w:kern w:val="0"/>
      <w:sz w:val="24"/>
      <w:szCs w:val="20"/>
    </w:rPr>
  </w:style>
  <w:style w:type="paragraph" w:customStyle="1" w:styleId="408">
    <w:name w:val="小表右"/>
    <w:basedOn w:val="1"/>
    <w:qFormat/>
    <w:uiPriority w:val="0"/>
    <w:pPr>
      <w:keepNext/>
      <w:snapToGrid w:val="0"/>
      <w:spacing w:line="240" w:lineRule="atLeast"/>
      <w:ind w:right="30" w:rightChars="30"/>
      <w:jc w:val="right"/>
    </w:pPr>
    <w:rPr>
      <w:rFonts w:ascii="宋体" w:cs="宋体"/>
      <w:sz w:val="24"/>
    </w:rPr>
  </w:style>
  <w:style w:type="paragraph" w:customStyle="1" w:styleId="409">
    <w:name w:val="xl34"/>
    <w:basedOn w:val="1"/>
    <w:qFormat/>
    <w:uiPriority w:val="0"/>
    <w:pPr>
      <w:widowControl/>
      <w:pBdr>
        <w:left w:val="single" w:color="auto" w:sz="4" w:space="0"/>
        <w:right w:val="single" w:color="auto" w:sz="4" w:space="0"/>
      </w:pBdr>
      <w:spacing w:before="100" w:beforeAutospacing="1" w:after="100" w:afterAutospacing="1"/>
      <w:jc w:val="center"/>
    </w:pPr>
    <w:rPr>
      <w:kern w:val="0"/>
      <w:sz w:val="24"/>
      <w:szCs w:val="20"/>
    </w:rPr>
  </w:style>
  <w:style w:type="paragraph" w:customStyle="1" w:styleId="410">
    <w:name w:val="样式 样式 样式1 + 首行缩进:  2 字符 + 首行缩进:  2 字符"/>
    <w:basedOn w:val="411"/>
    <w:qFormat/>
    <w:uiPriority w:val="0"/>
    <w:rPr>
      <w:szCs w:val="20"/>
    </w:rPr>
  </w:style>
  <w:style w:type="paragraph" w:customStyle="1" w:styleId="411">
    <w:name w:val="样式 样式1 + 首行缩进:  2 字符"/>
    <w:basedOn w:val="1"/>
    <w:qFormat/>
    <w:uiPriority w:val="0"/>
    <w:pPr>
      <w:spacing w:line="360" w:lineRule="auto"/>
      <w:ind w:firstLine="560"/>
    </w:pPr>
    <w:rPr>
      <w:rFonts w:eastAsia="仿宋_GB2312" w:cs="宋体"/>
      <w:color w:val="000000"/>
      <w:sz w:val="28"/>
      <w:szCs w:val="28"/>
    </w:rPr>
  </w:style>
  <w:style w:type="paragraph" w:customStyle="1" w:styleId="412">
    <w:name w:val="主要条文"/>
    <w:basedOn w:val="1"/>
    <w:qFormat/>
    <w:uiPriority w:val="0"/>
    <w:pPr>
      <w:spacing w:before="100" w:after="100" w:line="400" w:lineRule="exact"/>
      <w:outlineLvl w:val="0"/>
    </w:pPr>
    <w:rPr>
      <w:rFonts w:ascii="宋体"/>
      <w:b/>
      <w:bCs/>
      <w:sz w:val="28"/>
    </w:rPr>
  </w:style>
  <w:style w:type="paragraph" w:customStyle="1" w:styleId="413">
    <w:name w:val="文件正文"/>
    <w:basedOn w:val="1"/>
    <w:qFormat/>
    <w:uiPriority w:val="0"/>
    <w:pPr>
      <w:adjustRightInd w:val="0"/>
      <w:spacing w:before="240" w:line="360" w:lineRule="auto"/>
      <w:textAlignment w:val="baseline"/>
    </w:pPr>
    <w:rPr>
      <w:rFonts w:ascii="方正仿宋简体" w:eastAsia="方正仿宋简体"/>
      <w:kern w:val="0"/>
      <w:sz w:val="32"/>
      <w:szCs w:val="32"/>
    </w:rPr>
  </w:style>
  <w:style w:type="paragraph" w:customStyle="1" w:styleId="414">
    <w:name w:val="样式7"/>
    <w:basedOn w:val="1"/>
    <w:next w:val="1"/>
    <w:qFormat/>
    <w:uiPriority w:val="0"/>
    <w:pPr>
      <w:spacing w:line="360" w:lineRule="auto"/>
      <w:ind w:firstLine="200"/>
    </w:pPr>
    <w:rPr>
      <w:color w:val="000000"/>
      <w:sz w:val="28"/>
    </w:rPr>
  </w:style>
  <w:style w:type="paragraph" w:customStyle="1" w:styleId="415">
    <w:name w:val="q"/>
    <w:basedOn w:val="1"/>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szCs w:val="20"/>
    </w:rPr>
  </w:style>
  <w:style w:type="paragraph" w:customStyle="1" w:styleId="416">
    <w:name w:val="SuepSubHead"/>
    <w:basedOn w:val="1"/>
    <w:qFormat/>
    <w:uiPriority w:val="0"/>
    <w:pPr>
      <w:widowControl/>
      <w:tabs>
        <w:tab w:val="left" w:pos="1260"/>
      </w:tabs>
      <w:ind w:left="1260" w:hanging="420"/>
      <w:jc w:val="left"/>
    </w:pPr>
    <w:rPr>
      <w:b/>
      <w:kern w:val="0"/>
      <w:sz w:val="22"/>
      <w:szCs w:val="20"/>
    </w:rPr>
  </w:style>
  <w:style w:type="paragraph" w:customStyle="1" w:styleId="417">
    <w:name w:val="附录四级条标题"/>
    <w:basedOn w:val="418"/>
    <w:next w:val="363"/>
    <w:qFormat/>
    <w:uiPriority w:val="0"/>
    <w:pPr>
      <w:tabs>
        <w:tab w:val="left" w:pos="360"/>
      </w:tabs>
      <w:outlineLvl w:val="5"/>
    </w:pPr>
  </w:style>
  <w:style w:type="paragraph" w:customStyle="1" w:styleId="418">
    <w:name w:val="附录三级条标题"/>
    <w:basedOn w:val="397"/>
    <w:next w:val="363"/>
    <w:qFormat/>
    <w:uiPriority w:val="0"/>
    <w:pPr>
      <w:outlineLvl w:val="4"/>
    </w:pPr>
  </w:style>
  <w:style w:type="paragraph" w:customStyle="1" w:styleId="419">
    <w:name w:val="Report Text"/>
    <w:basedOn w:val="1"/>
    <w:qFormat/>
    <w:uiPriority w:val="0"/>
    <w:pPr>
      <w:widowControl/>
      <w:ind w:left="1080"/>
    </w:pPr>
    <w:rPr>
      <w:kern w:val="0"/>
      <w:sz w:val="22"/>
      <w:szCs w:val="20"/>
      <w:lang w:val="en-GB" w:eastAsia="zh-TW"/>
    </w:rPr>
  </w:style>
  <w:style w:type="paragraph" w:customStyle="1" w:styleId="420">
    <w:name w:val="图底11"/>
    <w:basedOn w:val="1"/>
    <w:qFormat/>
    <w:uiPriority w:val="0"/>
    <w:pPr>
      <w:adjustRightInd w:val="0"/>
      <w:snapToGrid w:val="0"/>
      <w:spacing w:beforeLines="50" w:line="300" w:lineRule="auto"/>
      <w:jc w:val="center"/>
    </w:pPr>
    <w:rPr>
      <w:rFonts w:eastAsia="黑体"/>
      <w:kern w:val="0"/>
      <w:sz w:val="24"/>
    </w:rPr>
  </w:style>
  <w:style w:type="paragraph" w:customStyle="1" w:styleId="421">
    <w:name w:val="页眉2"/>
    <w:basedOn w:val="147"/>
    <w:next w:val="147"/>
    <w:qFormat/>
    <w:uiPriority w:val="0"/>
    <w:pPr>
      <w:spacing w:after="120"/>
    </w:pPr>
    <w:rPr>
      <w:rFonts w:ascii="Arial Unicode MS" w:hAnsi="Arial Unicode MS"/>
      <w:color w:val="auto"/>
      <w:szCs w:val="20"/>
    </w:rPr>
  </w:style>
  <w:style w:type="paragraph" w:customStyle="1" w:styleId="422">
    <w:name w:val="标题4-1"/>
    <w:basedOn w:val="423"/>
    <w:qFormat/>
    <w:uiPriority w:val="0"/>
    <w:pPr>
      <w:keepNext/>
      <w:keepLines/>
      <w:widowControl w:val="0"/>
      <w:tabs>
        <w:tab w:val="left" w:pos="420"/>
      </w:tabs>
      <w:snapToGrid/>
      <w:spacing w:after="0" w:line="300" w:lineRule="auto"/>
      <w:ind w:left="0" w:firstLine="0"/>
      <w:jc w:val="left"/>
      <w:outlineLvl w:val="3"/>
    </w:pPr>
    <w:rPr>
      <w:rFonts w:eastAsia="宋体"/>
      <w:color w:val="auto"/>
      <w:kern w:val="2"/>
      <w:sz w:val="24"/>
      <w:szCs w:val="24"/>
    </w:rPr>
  </w:style>
  <w:style w:type="paragraph" w:customStyle="1" w:styleId="423">
    <w:name w:val="标题3"/>
    <w:qFormat/>
    <w:uiPriority w:val="0"/>
    <w:pPr>
      <w:tabs>
        <w:tab w:val="left" w:pos="420"/>
      </w:tabs>
      <w:snapToGrid w:val="0"/>
      <w:spacing w:before="120" w:after="120" w:line="336" w:lineRule="auto"/>
      <w:ind w:left="420" w:hanging="420"/>
      <w:jc w:val="both"/>
    </w:pPr>
    <w:rPr>
      <w:rFonts w:ascii="Times New Roman" w:hAnsi="Times New Roman" w:eastAsia="黑体" w:cs="Times New Roman"/>
      <w:color w:val="000000"/>
      <w:sz w:val="28"/>
      <w:szCs w:val="28"/>
      <w:lang w:val="en-US" w:eastAsia="zh-CN" w:bidi="ar-SA"/>
    </w:rPr>
  </w:style>
  <w:style w:type="paragraph" w:customStyle="1" w:styleId="424">
    <w:name w:val="reader-word-layer reader-word-s1-10"/>
    <w:basedOn w:val="1"/>
    <w:qFormat/>
    <w:uiPriority w:val="0"/>
    <w:pPr>
      <w:widowControl/>
      <w:spacing w:before="100" w:beforeAutospacing="1" w:after="100" w:afterAutospacing="1"/>
      <w:jc w:val="left"/>
    </w:pPr>
    <w:rPr>
      <w:rFonts w:ascii="宋体" w:cs="宋体"/>
      <w:kern w:val="0"/>
      <w:sz w:val="24"/>
    </w:rPr>
  </w:style>
  <w:style w:type="paragraph" w:customStyle="1" w:styleId="425">
    <w:name w:val="标题 411"/>
    <w:basedOn w:val="1"/>
    <w:next w:val="402"/>
    <w:qFormat/>
    <w:uiPriority w:val="0"/>
    <w:pPr>
      <w:tabs>
        <w:tab w:val="left" w:pos="-709"/>
        <w:tab w:val="left" w:pos="284"/>
      </w:tabs>
      <w:snapToGrid w:val="0"/>
      <w:spacing w:line="300" w:lineRule="auto"/>
      <w:ind w:left="2100" w:hanging="420"/>
      <w:textAlignment w:val="baseline"/>
      <w:outlineLvl w:val="3"/>
    </w:pPr>
    <w:rPr>
      <w:rFonts w:ascii="Cambria" w:hAnsi="Cambria"/>
      <w:b/>
      <w:sz w:val="28"/>
      <w:szCs w:val="22"/>
    </w:rPr>
  </w:style>
  <w:style w:type="paragraph" w:customStyle="1" w:styleId="426">
    <w:name w:val="reader-word-layer"/>
    <w:basedOn w:val="1"/>
    <w:qFormat/>
    <w:uiPriority w:val="0"/>
    <w:pPr>
      <w:widowControl/>
      <w:spacing w:before="100" w:beforeAutospacing="1" w:after="100" w:afterAutospacing="1"/>
      <w:jc w:val="left"/>
    </w:pPr>
    <w:rPr>
      <w:rFonts w:ascii="宋体" w:cs="宋体"/>
      <w:kern w:val="0"/>
      <w:sz w:val="24"/>
    </w:rPr>
  </w:style>
  <w:style w:type="paragraph" w:customStyle="1" w:styleId="427">
    <w:name w:val="表格内容"/>
    <w:basedOn w:val="7"/>
    <w:next w:val="7"/>
    <w:qFormat/>
    <w:uiPriority w:val="0"/>
    <w:pPr>
      <w:adjustRightInd w:val="0"/>
      <w:snapToGrid w:val="0"/>
      <w:ind w:left="-108" w:right="-108" w:firstLine="18" w:firstLineChars="18"/>
      <w:jc w:val="center"/>
    </w:pPr>
    <w:rPr>
      <w:rFonts w:ascii="Arial" w:hAnsi="Arial" w:eastAsia="仿宋_GB2312" w:cs="Arial"/>
      <w:kern w:val="2"/>
      <w:sz w:val="24"/>
      <w:szCs w:val="24"/>
    </w:rPr>
  </w:style>
  <w:style w:type="paragraph" w:customStyle="1" w:styleId="428">
    <w:name w:val="样式 正文缩进正文（首行缩进两字）正文（首行缩进两字） Char Char Char Char Char Char Char..."/>
    <w:basedOn w:val="7"/>
    <w:qFormat/>
    <w:uiPriority w:val="0"/>
    <w:pPr>
      <w:spacing w:line="312" w:lineRule="auto"/>
      <w:ind w:firstLine="539"/>
    </w:pPr>
    <w:rPr>
      <w:kern w:val="2"/>
      <w:sz w:val="28"/>
    </w:rPr>
  </w:style>
  <w:style w:type="paragraph" w:customStyle="1" w:styleId="429">
    <w:name w:val="Char Char13 Char Char Char Char Char Char"/>
    <w:basedOn w:val="1"/>
    <w:qFormat/>
    <w:uiPriority w:val="0"/>
  </w:style>
  <w:style w:type="paragraph" w:customStyle="1" w:styleId="430">
    <w:name w:val="新正文"/>
    <w:basedOn w:val="1"/>
    <w:qFormat/>
    <w:uiPriority w:val="0"/>
    <w:pPr>
      <w:spacing w:line="300" w:lineRule="auto"/>
      <w:jc w:val="left"/>
    </w:pPr>
    <w:rPr>
      <w:rFonts w:ascii="宋体"/>
      <w:b/>
      <w:szCs w:val="20"/>
    </w:rPr>
  </w:style>
  <w:style w:type="paragraph" w:customStyle="1" w:styleId="431">
    <w:name w:val="SuepChapter"/>
    <w:basedOn w:val="1"/>
    <w:qFormat/>
    <w:uiPriority w:val="0"/>
    <w:pPr>
      <w:widowControl/>
      <w:tabs>
        <w:tab w:val="left" w:pos="420"/>
        <w:tab w:val="center" w:pos="4513"/>
      </w:tabs>
      <w:suppressAutoHyphens/>
      <w:ind w:left="420" w:hanging="420"/>
      <w:jc w:val="center"/>
    </w:pPr>
    <w:rPr>
      <w:b/>
      <w:spacing w:val="-2"/>
      <w:kern w:val="0"/>
      <w:sz w:val="22"/>
      <w:szCs w:val="20"/>
      <w:lang w:val="en-GB" w:eastAsia="en-GB"/>
    </w:rPr>
  </w:style>
  <w:style w:type="paragraph" w:customStyle="1" w:styleId="432">
    <w:name w:val="reader-word-layer reader-word-s2-4"/>
    <w:basedOn w:val="1"/>
    <w:qFormat/>
    <w:uiPriority w:val="0"/>
    <w:pPr>
      <w:widowControl/>
      <w:spacing w:before="100" w:beforeAutospacing="1" w:after="100" w:afterAutospacing="1"/>
      <w:jc w:val="left"/>
    </w:pPr>
    <w:rPr>
      <w:rFonts w:ascii="宋体" w:cs="宋体"/>
      <w:kern w:val="0"/>
      <w:sz w:val="24"/>
    </w:rPr>
  </w:style>
  <w:style w:type="paragraph" w:customStyle="1" w:styleId="433">
    <w:name w:val="三黑居中"/>
    <w:qFormat/>
    <w:uiPriority w:val="0"/>
    <w:pPr>
      <w:widowControl w:val="0"/>
      <w:autoSpaceDE w:val="0"/>
      <w:autoSpaceDN w:val="0"/>
      <w:adjustRightInd w:val="0"/>
      <w:spacing w:line="680" w:lineRule="atLeast"/>
      <w:jc w:val="center"/>
    </w:pPr>
    <w:rPr>
      <w:rFonts w:ascii="汉仪中黑简" w:hAnsi="Times New Roman" w:eastAsia="汉仪中黑简" w:cs="Times New Roman"/>
      <w:color w:val="000000"/>
      <w:sz w:val="31"/>
      <w:szCs w:val="31"/>
      <w:lang w:val="en-US" w:eastAsia="zh-CN" w:bidi="ar-SA"/>
    </w:rPr>
  </w:style>
  <w:style w:type="paragraph" w:customStyle="1" w:styleId="434">
    <w:name w:val="列出段落1"/>
    <w:basedOn w:val="1"/>
    <w:qFormat/>
    <w:uiPriority w:val="0"/>
    <w:pPr>
      <w:ind w:firstLine="200" w:firstLineChars="200"/>
    </w:pPr>
    <w:rPr>
      <w:rFonts w:ascii="Calibri" w:hAnsi="Calibri"/>
      <w:szCs w:val="22"/>
    </w:rPr>
  </w:style>
  <w:style w:type="paragraph" w:customStyle="1" w:styleId="435">
    <w:name w:val="表右"/>
    <w:basedOn w:val="1"/>
    <w:qFormat/>
    <w:uiPriority w:val="0"/>
    <w:pPr>
      <w:keepNext/>
      <w:spacing w:line="240" w:lineRule="atLeast"/>
      <w:ind w:right="30" w:rightChars="30"/>
      <w:jc w:val="right"/>
    </w:pPr>
    <w:rPr>
      <w:rFonts w:ascii="宋体" w:cs="宋体"/>
      <w:sz w:val="24"/>
    </w:rPr>
  </w:style>
  <w:style w:type="paragraph" w:customStyle="1" w:styleId="436">
    <w:name w:val="正5中"/>
    <w:basedOn w:val="1"/>
    <w:qFormat/>
    <w:uiPriority w:val="0"/>
    <w:pPr>
      <w:spacing w:line="320" w:lineRule="atLeast"/>
      <w:jc w:val="center"/>
    </w:pPr>
    <w:rPr>
      <w:sz w:val="18"/>
      <w:szCs w:val="20"/>
    </w:rPr>
  </w:style>
  <w:style w:type="paragraph" w:customStyle="1" w:styleId="437">
    <w:name w:val="样式 WG标题3居中 + 行距: 固定值 18 磅"/>
    <w:basedOn w:val="1"/>
    <w:qFormat/>
    <w:uiPriority w:val="0"/>
    <w:pPr>
      <w:spacing w:before="100" w:beforeAutospacing="1" w:after="100" w:afterAutospacing="1" w:line="360" w:lineRule="exact"/>
      <w:jc w:val="center"/>
      <w:outlineLvl w:val="2"/>
    </w:pPr>
    <w:rPr>
      <w:rFonts w:cs="宋体"/>
      <w:b/>
      <w:bCs/>
      <w:sz w:val="32"/>
      <w:szCs w:val="20"/>
    </w:rPr>
  </w:style>
  <w:style w:type="paragraph" w:customStyle="1" w:styleId="438">
    <w:name w:val="Title_u"/>
    <w:basedOn w:val="1"/>
    <w:qFormat/>
    <w:uiPriority w:val="0"/>
    <w:pPr>
      <w:widowControl/>
      <w:overflowPunct w:val="0"/>
      <w:autoSpaceDE w:val="0"/>
      <w:autoSpaceDN w:val="0"/>
      <w:adjustRightInd w:val="0"/>
      <w:spacing w:before="120" w:after="120" w:line="360" w:lineRule="auto"/>
      <w:jc w:val="center"/>
      <w:textAlignment w:val="baseline"/>
    </w:pPr>
    <w:rPr>
      <w:rFonts w:ascii="黑体" w:eastAsia="黑体"/>
      <w:b/>
      <w:kern w:val="0"/>
      <w:sz w:val="28"/>
      <w:szCs w:val="20"/>
    </w:rPr>
  </w:style>
  <w:style w:type="paragraph" w:customStyle="1" w:styleId="439">
    <w:name w:val="样式 标题 1 + 行距: 1.5 倍行距"/>
    <w:basedOn w:val="2"/>
    <w:qFormat/>
    <w:uiPriority w:val="0"/>
    <w:pPr>
      <w:pageBreakBefore/>
      <w:tabs>
        <w:tab w:val="left" w:pos="432"/>
      </w:tabs>
      <w:spacing w:before="0" w:after="240" w:line="360" w:lineRule="auto"/>
      <w:ind w:left="432" w:hanging="432"/>
      <w:jc w:val="center"/>
      <w:textAlignment w:val="center"/>
    </w:pPr>
    <w:rPr>
      <w:rFonts w:ascii="宋体"/>
      <w:bCs w:val="0"/>
      <w:sz w:val="40"/>
      <w:szCs w:val="20"/>
    </w:rPr>
  </w:style>
  <w:style w:type="paragraph" w:customStyle="1" w:styleId="440">
    <w:name w:val="表"/>
    <w:basedOn w:val="2"/>
    <w:next w:val="1"/>
    <w:qFormat/>
    <w:uiPriority w:val="0"/>
    <w:pPr>
      <w:spacing w:line="240" w:lineRule="auto"/>
      <w:jc w:val="center"/>
      <w:outlineLvl w:val="9"/>
    </w:pPr>
    <w:rPr>
      <w:b w:val="0"/>
      <w:kern w:val="21"/>
      <w:sz w:val="21"/>
    </w:rPr>
  </w:style>
  <w:style w:type="paragraph" w:customStyle="1" w:styleId="441">
    <w:name w:val="正文文字2"/>
    <w:basedOn w:val="1"/>
    <w:qFormat/>
    <w:uiPriority w:val="0"/>
    <w:pPr>
      <w:adjustRightInd w:val="0"/>
      <w:spacing w:before="40" w:after="100" w:line="360" w:lineRule="atLeast"/>
      <w:ind w:left="30" w:leftChars="30" w:right="30" w:rightChars="30"/>
      <w:jc w:val="center"/>
      <w:textAlignment w:val="baseline"/>
    </w:pPr>
    <w:rPr>
      <w:rFonts w:ascii="Arial" w:hAnsi="Arial" w:eastAsia="黑体"/>
      <w:kern w:val="0"/>
      <w:szCs w:val="20"/>
    </w:rPr>
  </w:style>
  <w:style w:type="paragraph" w:customStyle="1" w:styleId="442">
    <w:name w:val="b-b4"/>
    <w:basedOn w:val="5"/>
    <w:next w:val="1"/>
    <w:qFormat/>
    <w:uiPriority w:val="0"/>
    <w:pPr>
      <w:keepNext w:val="0"/>
      <w:keepLines w:val="0"/>
      <w:tabs>
        <w:tab w:val="left" w:pos="540"/>
        <w:tab w:val="left" w:pos="1575"/>
      </w:tabs>
      <w:spacing w:before="60" w:after="60" w:line="400" w:lineRule="exact"/>
      <w:ind w:firstLine="198"/>
      <w:jc w:val="left"/>
    </w:pPr>
    <w:rPr>
      <w:rFonts w:ascii="黑体"/>
      <w:bCs w:val="0"/>
      <w:szCs w:val="20"/>
    </w:rPr>
  </w:style>
  <w:style w:type="paragraph" w:customStyle="1" w:styleId="443">
    <w:name w:val="正缩进"/>
    <w:basedOn w:val="1"/>
    <w:qFormat/>
    <w:uiPriority w:val="0"/>
    <w:pPr>
      <w:spacing w:line="360" w:lineRule="auto"/>
      <w:ind w:firstLine="454"/>
    </w:pPr>
    <w:rPr>
      <w:sz w:val="24"/>
      <w:szCs w:val="20"/>
    </w:rPr>
  </w:style>
  <w:style w:type="paragraph" w:customStyle="1" w:styleId="444">
    <w:name w:val="3.2标题"/>
    <w:basedOn w:val="1"/>
    <w:qFormat/>
    <w:uiPriority w:val="0"/>
    <w:pPr>
      <w:spacing w:before="120" w:after="120" w:line="400" w:lineRule="exact"/>
      <w:ind w:left="1680" w:hanging="420"/>
      <w:jc w:val="center"/>
      <w:outlineLvl w:val="2"/>
    </w:pPr>
    <w:rPr>
      <w:rFonts w:ascii="宋体"/>
      <w:b/>
      <w:bCs/>
      <w:color w:val="000000"/>
      <w:sz w:val="28"/>
      <w:szCs w:val="28"/>
    </w:rPr>
  </w:style>
  <w:style w:type="paragraph" w:customStyle="1" w:styleId="445">
    <w:name w:val="三级条标题"/>
    <w:basedOn w:val="446"/>
    <w:next w:val="363"/>
    <w:qFormat/>
    <w:uiPriority w:val="0"/>
    <w:pPr>
      <w:tabs>
        <w:tab w:val="left" w:pos="2100"/>
      </w:tabs>
      <w:ind w:left="2100" w:hanging="420"/>
      <w:outlineLvl w:val="4"/>
    </w:pPr>
  </w:style>
  <w:style w:type="paragraph" w:customStyle="1" w:styleId="446">
    <w:name w:val="二级条标题"/>
    <w:basedOn w:val="392"/>
    <w:next w:val="363"/>
    <w:qFormat/>
    <w:uiPriority w:val="0"/>
    <w:pPr>
      <w:outlineLvl w:val="3"/>
    </w:pPr>
  </w:style>
  <w:style w:type="paragraph" w:customStyle="1" w:styleId="44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4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50">
    <w:name w:val="缩进正文"/>
    <w:basedOn w:val="33"/>
    <w:qFormat/>
    <w:uiPriority w:val="0"/>
    <w:pPr>
      <w:adjustRightInd w:val="0"/>
      <w:snapToGrid w:val="0"/>
      <w:spacing w:line="300" w:lineRule="auto"/>
      <w:ind w:firstLine="200" w:firstLineChars="0"/>
    </w:pPr>
    <w:rPr>
      <w:rFonts w:ascii="宋体" w:eastAsia="宋体"/>
      <w:kern w:val="2"/>
      <w:sz w:val="28"/>
    </w:rPr>
  </w:style>
  <w:style w:type="paragraph" w:customStyle="1" w:styleId="451">
    <w:name w:val="分标题"/>
    <w:basedOn w:val="1"/>
    <w:next w:val="1"/>
    <w:qFormat/>
    <w:uiPriority w:val="0"/>
    <w:pPr>
      <w:widowControl/>
      <w:spacing w:before="50" w:line="480" w:lineRule="atLeast"/>
      <w:ind w:firstLine="200" w:firstLineChars="200"/>
    </w:pPr>
    <w:rPr>
      <w:rFonts w:ascii="宋体" w:hAnsi="宋体" w:eastAsia="仿宋_GB2312" w:cs="宋体"/>
      <w:color w:val="000000"/>
      <w:sz w:val="24"/>
      <w:szCs w:val="28"/>
    </w:rPr>
  </w:style>
  <w:style w:type="paragraph" w:customStyle="1" w:styleId="452">
    <w:name w:val="p0"/>
    <w:basedOn w:val="1"/>
    <w:qFormat/>
    <w:uiPriority w:val="0"/>
    <w:pPr>
      <w:widowControl/>
    </w:pPr>
    <w:rPr>
      <w:rFonts w:ascii="宋体"/>
      <w:kern w:val="0"/>
      <w:sz w:val="30"/>
      <w:szCs w:val="20"/>
    </w:rPr>
  </w:style>
  <w:style w:type="paragraph" w:customStyle="1" w:styleId="453">
    <w:name w:val="标题 22"/>
    <w:basedOn w:val="1"/>
    <w:next w:val="324"/>
    <w:qFormat/>
    <w:uiPriority w:val="0"/>
    <w:pPr>
      <w:tabs>
        <w:tab w:val="left" w:pos="-709"/>
        <w:tab w:val="left" w:pos="284"/>
      </w:tabs>
      <w:spacing w:line="300" w:lineRule="auto"/>
      <w:ind w:left="1260" w:hanging="420"/>
      <w:textAlignment w:val="baseline"/>
      <w:outlineLvl w:val="1"/>
    </w:pPr>
    <w:rPr>
      <w:rFonts w:ascii="Cambria" w:hAnsi="Cambria"/>
      <w:b/>
      <w:kern w:val="0"/>
      <w:sz w:val="32"/>
      <w:szCs w:val="20"/>
    </w:rPr>
  </w:style>
  <w:style w:type="paragraph" w:customStyle="1" w:styleId="454">
    <w:name w:val="Headings Font"/>
    <w:basedOn w:val="1"/>
    <w:next w:val="32"/>
    <w:qFormat/>
    <w:uiPriority w:val="0"/>
    <w:pPr>
      <w:keepNext/>
      <w:spacing w:line="280" w:lineRule="atLeast"/>
      <w:jc w:val="left"/>
    </w:pPr>
    <w:rPr>
      <w:rFonts w:ascii="Arial" w:hAnsi="Arial"/>
      <w:kern w:val="0"/>
      <w:sz w:val="22"/>
      <w:szCs w:val="20"/>
      <w:lang w:val="en-GB" w:eastAsia="en-GB"/>
    </w:rPr>
  </w:style>
  <w:style w:type="paragraph" w:customStyle="1" w:styleId="455">
    <w:name w:val="签署栏"/>
    <w:basedOn w:val="1"/>
    <w:qFormat/>
    <w:uiPriority w:val="0"/>
    <w:pPr>
      <w:keepNext/>
      <w:spacing w:line="300" w:lineRule="auto"/>
      <w:jc w:val="center"/>
    </w:pPr>
    <w:rPr>
      <w:rFonts w:ascii="黑体" w:eastAsia="黑体" w:cs="黑体"/>
      <w:spacing w:val="80"/>
      <w:sz w:val="32"/>
      <w:szCs w:val="32"/>
    </w:rPr>
  </w:style>
  <w:style w:type="paragraph" w:customStyle="1" w:styleId="456">
    <w:name w:val="reader-word-layer reader-word-s3-1"/>
    <w:basedOn w:val="1"/>
    <w:qFormat/>
    <w:uiPriority w:val="0"/>
    <w:pPr>
      <w:widowControl/>
      <w:spacing w:before="100" w:beforeAutospacing="1" w:after="100" w:afterAutospacing="1"/>
      <w:jc w:val="left"/>
    </w:pPr>
    <w:rPr>
      <w:rFonts w:ascii="宋体" w:cs="宋体"/>
      <w:kern w:val="0"/>
      <w:sz w:val="24"/>
    </w:rPr>
  </w:style>
  <w:style w:type="paragraph" w:customStyle="1" w:styleId="457">
    <w:name w:val="(1)"/>
    <w:basedOn w:val="1"/>
    <w:qFormat/>
    <w:uiPriority w:val="0"/>
    <w:pPr>
      <w:tabs>
        <w:tab w:val="left" w:pos="573"/>
      </w:tabs>
      <w:snapToGrid w:val="0"/>
      <w:spacing w:before="80" w:after="100" w:line="240" w:lineRule="atLeast"/>
      <w:textAlignment w:val="baseline"/>
    </w:pPr>
    <w:rPr>
      <w:rFonts w:ascii="Arial" w:hAnsi="Arial"/>
      <w:kern w:val="44"/>
      <w:sz w:val="24"/>
      <w:szCs w:val="20"/>
    </w:rPr>
  </w:style>
  <w:style w:type="paragraph" w:customStyle="1" w:styleId="458">
    <w:name w:val="列表1"/>
    <w:basedOn w:val="63"/>
    <w:qFormat/>
    <w:uiPriority w:val="0"/>
    <w:pPr>
      <w:tabs>
        <w:tab w:val="left" w:pos="1727"/>
        <w:tab w:val="left" w:pos="1884"/>
      </w:tabs>
      <w:spacing w:line="300" w:lineRule="auto"/>
      <w:ind w:left="0" w:firstLine="0" w:firstLineChars="0"/>
      <w:jc w:val="center"/>
      <w:outlineLvl w:val="0"/>
    </w:pPr>
    <w:rPr>
      <w:rFonts w:ascii="宋体" w:cs="宋体"/>
      <w:sz w:val="32"/>
      <w:szCs w:val="32"/>
    </w:rPr>
  </w:style>
  <w:style w:type="paragraph" w:customStyle="1" w:styleId="459">
    <w:name w:val="xl24"/>
    <w:basedOn w:val="1"/>
    <w:qFormat/>
    <w:uiPriority w:val="0"/>
    <w:pPr>
      <w:widowControl/>
      <w:spacing w:before="100" w:beforeAutospacing="1" w:after="100" w:afterAutospacing="1"/>
      <w:jc w:val="center"/>
    </w:pPr>
    <w:rPr>
      <w:rFonts w:ascii="宋体"/>
      <w:kern w:val="0"/>
      <w:sz w:val="24"/>
      <w:szCs w:val="20"/>
    </w:rPr>
  </w:style>
  <w:style w:type="paragraph" w:customStyle="1" w:styleId="460">
    <w:name w:val="文章 + 首行缩进:  2 字符"/>
    <w:basedOn w:val="1"/>
    <w:qFormat/>
    <w:uiPriority w:val="0"/>
    <w:pPr>
      <w:snapToGrid w:val="0"/>
      <w:spacing w:line="300" w:lineRule="auto"/>
      <w:ind w:firstLine="200" w:firstLineChars="200"/>
    </w:pPr>
    <w:rPr>
      <w:rFonts w:cs="宋体"/>
      <w:sz w:val="28"/>
      <w:szCs w:val="28"/>
    </w:rPr>
  </w:style>
  <w:style w:type="paragraph" w:customStyle="1" w:styleId="461">
    <w:name w:val="flNote"/>
    <w:basedOn w:val="1"/>
    <w:qFormat/>
    <w:uiPriority w:val="0"/>
    <w:pPr>
      <w:adjustRightInd w:val="0"/>
      <w:spacing w:before="320" w:after="160" w:line="360" w:lineRule="atLeast"/>
      <w:jc w:val="center"/>
      <w:textAlignment w:val="baseline"/>
    </w:pPr>
    <w:rPr>
      <w:rFonts w:ascii="Arial" w:hAnsi="Arial" w:eastAsia="黑体"/>
      <w:kern w:val="0"/>
      <w:sz w:val="30"/>
      <w:szCs w:val="20"/>
    </w:rPr>
  </w:style>
  <w:style w:type="paragraph" w:customStyle="1" w:styleId="462">
    <w:name w:val="表头2"/>
    <w:basedOn w:val="463"/>
    <w:qFormat/>
    <w:uiPriority w:val="0"/>
    <w:pPr>
      <w:tabs>
        <w:tab w:val="left" w:pos="284"/>
        <w:tab w:val="center" w:pos="4253"/>
        <w:tab w:val="center" w:pos="6237"/>
        <w:tab w:val="left" w:pos="7938"/>
      </w:tabs>
    </w:pPr>
  </w:style>
  <w:style w:type="paragraph" w:customStyle="1" w:styleId="463">
    <w:name w:val="表头1"/>
    <w:qFormat/>
    <w:uiPriority w:val="0"/>
    <w:pPr>
      <w:tabs>
        <w:tab w:val="left" w:pos="284"/>
        <w:tab w:val="center" w:pos="4253"/>
        <w:tab w:val="left" w:pos="7938"/>
      </w:tabs>
      <w:spacing w:before="240" w:after="240"/>
    </w:pPr>
    <w:rPr>
      <w:rFonts w:ascii="黑体" w:hAnsi="Times New Roman" w:eastAsia="黑体" w:cs="黑体"/>
      <w:sz w:val="24"/>
      <w:szCs w:val="24"/>
      <w:lang w:val="en-US" w:eastAsia="zh-CN" w:bidi="ar-SA"/>
    </w:rPr>
  </w:style>
  <w:style w:type="paragraph" w:customStyle="1" w:styleId="464">
    <w:name w:val="p"/>
    <w:basedOn w:val="360"/>
    <w:qFormat/>
    <w:uiPriority w:val="0"/>
    <w:pPr>
      <w:tabs>
        <w:tab w:val="left" w:pos="360"/>
      </w:tabs>
      <w:ind w:left="709" w:hanging="425"/>
    </w:pPr>
    <w:rPr>
      <w:rFonts w:ascii="楷体" w:eastAsia="楷体"/>
      <w:lang w:val="en-US" w:eastAsia="en-US"/>
    </w:rPr>
  </w:style>
  <w:style w:type="paragraph" w:customStyle="1" w:styleId="465">
    <w:name w:val="表内容1-1"/>
    <w:basedOn w:val="1"/>
    <w:qFormat/>
    <w:uiPriority w:val="0"/>
    <w:pPr>
      <w:jc w:val="center"/>
      <w:textAlignment w:val="baseline"/>
    </w:pPr>
    <w:rPr>
      <w:kern w:val="0"/>
      <w:szCs w:val="21"/>
    </w:rPr>
  </w:style>
  <w:style w:type="paragraph" w:customStyle="1" w:styleId="466">
    <w:name w:val="1.正文"/>
    <w:basedOn w:val="1"/>
    <w:qFormat/>
    <w:uiPriority w:val="0"/>
    <w:pPr>
      <w:widowControl/>
      <w:tabs>
        <w:tab w:val="left" w:pos="1361"/>
      </w:tabs>
      <w:spacing w:line="360" w:lineRule="exact"/>
      <w:ind w:left="1361" w:hanging="397"/>
    </w:pPr>
    <w:rPr>
      <w:sz w:val="24"/>
      <w:szCs w:val="20"/>
    </w:rPr>
  </w:style>
  <w:style w:type="paragraph" w:customStyle="1" w:styleId="46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68">
    <w:name w:val="reader-word-layer reader-word-s1-8"/>
    <w:basedOn w:val="1"/>
    <w:qFormat/>
    <w:uiPriority w:val="0"/>
    <w:pPr>
      <w:widowControl/>
      <w:spacing w:before="100" w:beforeAutospacing="1" w:after="100" w:afterAutospacing="1"/>
      <w:jc w:val="left"/>
    </w:pPr>
    <w:rPr>
      <w:rFonts w:ascii="宋体" w:cs="宋体"/>
      <w:kern w:val="0"/>
      <w:sz w:val="24"/>
    </w:rPr>
  </w:style>
  <w:style w:type="paragraph" w:customStyle="1" w:styleId="469">
    <w:name w:val="标题三"/>
    <w:basedOn w:val="1"/>
    <w:qFormat/>
    <w:uiPriority w:val="0"/>
    <w:pPr>
      <w:ind w:firstLine="200" w:firstLineChars="200"/>
      <w:outlineLvl w:val="2"/>
    </w:pPr>
    <w:rPr>
      <w:rFonts w:ascii="方正仿宋简体" w:eastAsia="方正仿宋简体"/>
      <w:b/>
      <w:spacing w:val="-4"/>
      <w:sz w:val="28"/>
      <w:szCs w:val="28"/>
    </w:rPr>
  </w:style>
  <w:style w:type="paragraph" w:customStyle="1" w:styleId="470">
    <w:name w:val="reader-word-layer reader-word-s4-0"/>
    <w:basedOn w:val="1"/>
    <w:qFormat/>
    <w:uiPriority w:val="0"/>
    <w:pPr>
      <w:widowControl/>
      <w:spacing w:before="100" w:beforeAutospacing="1" w:after="100" w:afterAutospacing="1"/>
      <w:jc w:val="left"/>
    </w:pPr>
    <w:rPr>
      <w:rFonts w:ascii="宋体" w:cs="宋体"/>
      <w:kern w:val="0"/>
      <w:sz w:val="24"/>
    </w:rPr>
  </w:style>
  <w:style w:type="paragraph" w:customStyle="1" w:styleId="471">
    <w:name w:val="2.2标题"/>
    <w:basedOn w:val="1"/>
    <w:next w:val="1"/>
    <w:qFormat/>
    <w:uiPriority w:val="0"/>
    <w:pPr>
      <w:keepNext/>
      <w:tabs>
        <w:tab w:val="left" w:pos="2160"/>
      </w:tabs>
      <w:adjustRightInd w:val="0"/>
      <w:snapToGrid w:val="0"/>
      <w:spacing w:beforeLines="100" w:afterLines="100"/>
      <w:ind w:left="102" w:hanging="360"/>
      <w:jc w:val="center"/>
      <w:outlineLvl w:val="1"/>
    </w:pPr>
    <w:rPr>
      <w:rFonts w:ascii="宋体"/>
      <w:b/>
      <w:bCs/>
      <w:color w:val="000000"/>
      <w:sz w:val="28"/>
      <w:szCs w:val="28"/>
    </w:rPr>
  </w:style>
  <w:style w:type="paragraph" w:customStyle="1" w:styleId="472">
    <w:name w:val="纯文本1"/>
    <w:basedOn w:val="1"/>
    <w:qFormat/>
    <w:uiPriority w:val="0"/>
    <w:pPr>
      <w:adjustRightInd w:val="0"/>
      <w:jc w:val="left"/>
      <w:textAlignment w:val="baseline"/>
    </w:pPr>
    <w:rPr>
      <w:rFonts w:ascii="宋体"/>
      <w:sz w:val="24"/>
      <w:szCs w:val="20"/>
    </w:rPr>
  </w:style>
  <w:style w:type="paragraph" w:customStyle="1" w:styleId="473">
    <w:name w:val="正文格式"/>
    <w:next w:val="1"/>
    <w:qFormat/>
    <w:uiPriority w:val="0"/>
    <w:pPr>
      <w:spacing w:beforeLines="50" w:line="440" w:lineRule="exact"/>
      <w:ind w:firstLine="200" w:firstLineChars="200"/>
    </w:pPr>
    <w:rPr>
      <w:rFonts w:ascii="Times New Roman" w:hAnsi="Times New Roman" w:eastAsia="仿宋_GB2312" w:cs="Times New Roman"/>
      <w:iCs/>
      <w:kern w:val="2"/>
      <w:sz w:val="28"/>
      <w:lang w:val="en-US" w:eastAsia="zh-CN" w:bidi="ar-SA"/>
    </w:rPr>
  </w:style>
  <w:style w:type="paragraph" w:customStyle="1" w:styleId="474">
    <w:name w:val="样式 Title_u + 悬挂缩进: 0.91 字符"/>
    <w:basedOn w:val="438"/>
    <w:qFormat/>
    <w:uiPriority w:val="0"/>
    <w:pPr>
      <w:spacing w:line="240" w:lineRule="auto"/>
      <w:ind w:left="100" w:leftChars="-7" w:hanging="107" w:hangingChars="107"/>
    </w:pPr>
    <w:rPr>
      <w:rFonts w:eastAsia="宋体"/>
    </w:rPr>
  </w:style>
  <w:style w:type="paragraph" w:customStyle="1" w:styleId="475">
    <w:name w:val="1.1"/>
    <w:basedOn w:val="3"/>
    <w:qFormat/>
    <w:uiPriority w:val="0"/>
    <w:pPr>
      <w:tabs>
        <w:tab w:val="left" w:pos="1080"/>
      </w:tabs>
      <w:adjustRightInd w:val="0"/>
      <w:spacing w:line="360" w:lineRule="exact"/>
      <w:ind w:left="1077" w:hanging="1077"/>
      <w:jc w:val="left"/>
      <w:textAlignment w:val="baseline"/>
    </w:pPr>
    <w:rPr>
      <w:rFonts w:ascii="Arial" w:hAnsi="Arial" w:eastAsia="黑体"/>
      <w:bCs w:val="0"/>
      <w:kern w:val="2"/>
      <w:sz w:val="28"/>
      <w:szCs w:val="20"/>
    </w:rPr>
  </w:style>
  <w:style w:type="paragraph" w:customStyle="1" w:styleId="476">
    <w:name w:val="表注11"/>
    <w:basedOn w:val="1"/>
    <w:qFormat/>
    <w:uiPriority w:val="0"/>
    <w:pPr>
      <w:keepNext/>
      <w:keepLines/>
      <w:adjustRightInd w:val="0"/>
      <w:snapToGrid w:val="0"/>
      <w:spacing w:beforeLines="50" w:line="300" w:lineRule="auto"/>
      <w:ind w:firstLine="200" w:firstLineChars="200"/>
    </w:pPr>
    <w:rPr>
      <w:rFonts w:ascii="仿宋_GB2312" w:eastAsia="仿宋_GB2312"/>
      <w:bCs/>
      <w:kern w:val="0"/>
      <w:szCs w:val="21"/>
    </w:rPr>
  </w:style>
  <w:style w:type="paragraph" w:customStyle="1" w:styleId="477">
    <w:name w:val="ZB标题"/>
    <w:basedOn w:val="1"/>
    <w:qFormat/>
    <w:uiPriority w:val="0"/>
    <w:pPr>
      <w:spacing w:line="360" w:lineRule="auto"/>
      <w:jc w:val="center"/>
    </w:pPr>
    <w:rPr>
      <w:rFonts w:eastAsia="黑体"/>
      <w:b/>
      <w:sz w:val="72"/>
    </w:rPr>
  </w:style>
  <w:style w:type="paragraph" w:customStyle="1" w:styleId="478">
    <w:name w:val="正文111"/>
    <w:basedOn w:val="1"/>
    <w:next w:val="7"/>
    <w:qFormat/>
    <w:uiPriority w:val="0"/>
    <w:pPr>
      <w:jc w:val="center"/>
    </w:pPr>
    <w:rPr>
      <w:szCs w:val="20"/>
    </w:rPr>
  </w:style>
  <w:style w:type="paragraph" w:customStyle="1" w:styleId="479">
    <w:name w:val="项目号"/>
    <w:basedOn w:val="1"/>
    <w:qFormat/>
    <w:uiPriority w:val="0"/>
    <w:pPr>
      <w:keepNext/>
      <w:snapToGrid w:val="0"/>
      <w:spacing w:beforeLines="50" w:line="300" w:lineRule="auto"/>
      <w:jc w:val="center"/>
    </w:pPr>
    <w:rPr>
      <w:rFonts w:ascii="宋体" w:cs="宋体"/>
      <w:sz w:val="32"/>
      <w:szCs w:val="32"/>
    </w:rPr>
  </w:style>
  <w:style w:type="paragraph" w:customStyle="1" w:styleId="480">
    <w:name w:val="默认段落字体 Para Char Char Char Char Char Char Char Char Char Char Char Char Char Char Char Char Char Char Char"/>
    <w:basedOn w:val="4"/>
    <w:qFormat/>
    <w:uiPriority w:val="0"/>
    <w:pPr>
      <w:tabs>
        <w:tab w:val="left" w:pos="851"/>
        <w:tab w:val="left" w:pos="900"/>
      </w:tabs>
      <w:snapToGrid w:val="0"/>
      <w:spacing w:before="120" w:after="120" w:line="360" w:lineRule="auto"/>
      <w:ind w:left="-12" w:leftChars="-12" w:firstLine="200" w:firstLineChars="200"/>
      <w:jc w:val="left"/>
    </w:pPr>
    <w:rPr>
      <w:rFonts w:eastAsia="黑体"/>
      <w:b w:val="0"/>
      <w:bCs w:val="0"/>
      <w:kern w:val="2"/>
      <w:sz w:val="24"/>
      <w:szCs w:val="24"/>
    </w:rPr>
  </w:style>
  <w:style w:type="paragraph" w:customStyle="1" w:styleId="481">
    <w:name w:val="样式 标题 2节 + 行距: 多倍行距 0.5 字行"/>
    <w:basedOn w:val="3"/>
    <w:qFormat/>
    <w:uiPriority w:val="0"/>
    <w:pPr>
      <w:tabs>
        <w:tab w:val="left" w:pos="576"/>
      </w:tabs>
      <w:spacing w:before="80" w:after="80" w:line="300" w:lineRule="auto"/>
      <w:ind w:left="576" w:hanging="576"/>
    </w:pPr>
    <w:rPr>
      <w:rFonts w:ascii="Arial" w:hAnsi="Arial"/>
      <w:bCs w:val="0"/>
      <w:kern w:val="2"/>
      <w:sz w:val="28"/>
      <w:szCs w:val="20"/>
    </w:rPr>
  </w:style>
  <w:style w:type="paragraph" w:customStyle="1" w:styleId="48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483">
    <w:name w:val="CM7"/>
    <w:basedOn w:val="147"/>
    <w:next w:val="147"/>
    <w:qFormat/>
    <w:uiPriority w:val="0"/>
    <w:pPr>
      <w:adjustRightInd/>
      <w:spacing w:line="360" w:lineRule="atLeast"/>
    </w:pPr>
    <w:rPr>
      <w:rFonts w:ascii="宋体"/>
      <w:szCs w:val="20"/>
    </w:rPr>
  </w:style>
  <w:style w:type="paragraph" w:customStyle="1" w:styleId="484">
    <w:name w:val="cucd-TB"/>
    <w:qFormat/>
    <w:uiPriority w:val="0"/>
    <w:pPr>
      <w:spacing w:line="360" w:lineRule="auto"/>
      <w:jc w:val="center"/>
    </w:pPr>
    <w:rPr>
      <w:rFonts w:ascii="Times New Roman" w:hAnsi="Times New Roman" w:eastAsia="宋体" w:cs="Times New Roman"/>
      <w:kern w:val="2"/>
      <w:sz w:val="21"/>
      <w:lang w:val="en-US" w:eastAsia="zh-CN" w:bidi="ar-SA"/>
    </w:rPr>
  </w:style>
  <w:style w:type="paragraph" w:customStyle="1" w:styleId="48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86">
    <w:name w:val="样式 标题 3头 + 行距: 多倍行距 0.25 字行"/>
    <w:basedOn w:val="4"/>
    <w:qFormat/>
    <w:uiPriority w:val="0"/>
    <w:pPr>
      <w:tabs>
        <w:tab w:val="left" w:pos="578"/>
        <w:tab w:val="left" w:pos="1560"/>
      </w:tabs>
      <w:spacing w:before="60" w:after="60" w:line="60" w:lineRule="auto"/>
      <w:ind w:left="578" w:hanging="578"/>
    </w:pPr>
    <w:rPr>
      <w:bCs w:val="0"/>
      <w:kern w:val="2"/>
      <w:sz w:val="28"/>
      <w:szCs w:val="20"/>
    </w:rPr>
  </w:style>
  <w:style w:type="paragraph" w:customStyle="1" w:styleId="48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88">
    <w:name w:val="标题2-2"/>
    <w:basedOn w:val="3"/>
    <w:qFormat/>
    <w:uiPriority w:val="0"/>
    <w:pPr>
      <w:spacing w:before="120" w:after="0" w:line="300" w:lineRule="auto"/>
      <w:jc w:val="center"/>
    </w:pPr>
    <w:rPr>
      <w:rFonts w:ascii="Arial" w:hAnsi="Arial" w:eastAsia="黑体"/>
      <w:b w:val="0"/>
      <w:bCs w:val="0"/>
      <w:kern w:val="2"/>
      <w:sz w:val="28"/>
      <w:szCs w:val="20"/>
    </w:rPr>
  </w:style>
  <w:style w:type="paragraph" w:customStyle="1" w:styleId="489">
    <w:name w:val="font0"/>
    <w:basedOn w:val="1"/>
    <w:qFormat/>
    <w:uiPriority w:val="0"/>
    <w:pPr>
      <w:widowControl/>
      <w:spacing w:before="100" w:beforeAutospacing="1" w:after="100" w:afterAutospacing="1"/>
      <w:jc w:val="left"/>
    </w:pPr>
    <w:rPr>
      <w:rFonts w:ascii="Arial" w:hAnsi="Arial"/>
      <w:kern w:val="0"/>
      <w:sz w:val="20"/>
      <w:szCs w:val="20"/>
    </w:rPr>
  </w:style>
  <w:style w:type="paragraph" w:customStyle="1" w:styleId="490">
    <w:name w:val="样式 标题 3头 + 小四 段前: 0 磅 行距: 1.5 倍行距"/>
    <w:basedOn w:val="4"/>
    <w:qFormat/>
    <w:uiPriority w:val="0"/>
    <w:pPr>
      <w:adjustRightInd w:val="0"/>
      <w:spacing w:before="0" w:after="0" w:line="360" w:lineRule="auto"/>
      <w:jc w:val="left"/>
      <w:textAlignment w:val="baseline"/>
    </w:pPr>
    <w:rPr>
      <w:rFonts w:ascii="宋体"/>
      <w:bCs w:val="0"/>
      <w:kern w:val="2"/>
      <w:sz w:val="24"/>
      <w:szCs w:val="20"/>
      <w:lang w:val="en-GB"/>
    </w:rPr>
  </w:style>
  <w:style w:type="paragraph" w:customStyle="1" w:styleId="491">
    <w:name w:val="样式8"/>
    <w:basedOn w:val="1"/>
    <w:qFormat/>
    <w:uiPriority w:val="0"/>
    <w:pPr>
      <w:widowControl/>
      <w:spacing w:line="460" w:lineRule="exact"/>
      <w:ind w:firstLine="200" w:firstLineChars="200"/>
      <w:jc w:val="left"/>
    </w:pPr>
    <w:rPr>
      <w:rFonts w:ascii="宋体"/>
      <w:kern w:val="0"/>
      <w:sz w:val="24"/>
    </w:rPr>
  </w:style>
  <w:style w:type="paragraph" w:customStyle="1" w:styleId="492">
    <w:name w:val="fontnr"/>
    <w:basedOn w:val="1"/>
    <w:qFormat/>
    <w:uiPriority w:val="0"/>
    <w:pPr>
      <w:widowControl/>
      <w:spacing w:before="100" w:beforeAutospacing="1" w:after="100" w:afterAutospacing="1" w:line="600" w:lineRule="atLeast"/>
      <w:jc w:val="left"/>
    </w:pPr>
    <w:rPr>
      <w:rFonts w:ascii="仿宋_GB2312" w:eastAsia="仿宋_GB2312"/>
      <w:color w:val="000000"/>
      <w:kern w:val="0"/>
      <w:sz w:val="32"/>
      <w:szCs w:val="20"/>
    </w:rPr>
  </w:style>
  <w:style w:type="paragraph" w:customStyle="1" w:styleId="493">
    <w:name w:val="图章"/>
    <w:basedOn w:val="1"/>
    <w:qFormat/>
    <w:uiPriority w:val="0"/>
    <w:pPr>
      <w:tabs>
        <w:tab w:val="left" w:pos="1727"/>
        <w:tab w:val="left" w:pos="1884"/>
      </w:tabs>
      <w:adjustRightInd w:val="0"/>
      <w:snapToGrid w:val="0"/>
      <w:jc w:val="left"/>
      <w:outlineLvl w:val="0"/>
    </w:pPr>
    <w:rPr>
      <w:rFonts w:ascii="宋体" w:cs="宋体"/>
      <w:kern w:val="0"/>
      <w:sz w:val="18"/>
      <w:szCs w:val="18"/>
    </w:rPr>
  </w:style>
  <w:style w:type="paragraph" w:customStyle="1" w:styleId="494">
    <w:name w:val="默认段落字体 Para Char Char Char Char"/>
    <w:basedOn w:val="1"/>
    <w:qFormat/>
    <w:uiPriority w:val="0"/>
  </w:style>
  <w:style w:type="paragraph" w:customStyle="1" w:styleId="495">
    <w:name w:val="yy"/>
    <w:basedOn w:val="1"/>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szCs w:val="20"/>
    </w:rPr>
  </w:style>
  <w:style w:type="paragraph" w:customStyle="1" w:styleId="496">
    <w:name w:val="_Style 57"/>
    <w:basedOn w:val="1"/>
    <w:next w:val="60"/>
    <w:qFormat/>
    <w:uiPriority w:val="0"/>
    <w:pPr>
      <w:autoSpaceDE w:val="0"/>
      <w:autoSpaceDN w:val="0"/>
      <w:adjustRightInd w:val="0"/>
      <w:jc w:val="left"/>
      <w:textAlignment w:val="baseline"/>
    </w:pPr>
    <w:rPr>
      <w:rFonts w:ascii="宋体"/>
      <w:kern w:val="0"/>
      <w:sz w:val="28"/>
      <w:szCs w:val="20"/>
    </w:rPr>
  </w:style>
  <w:style w:type="paragraph" w:customStyle="1" w:styleId="497">
    <w:name w:val="标题1"/>
    <w:basedOn w:val="2"/>
    <w:qFormat/>
    <w:uiPriority w:val="0"/>
    <w:pPr>
      <w:widowControl/>
      <w:tabs>
        <w:tab w:val="left" w:pos="0"/>
      </w:tabs>
      <w:snapToGrid w:val="0"/>
      <w:spacing w:beforeLines="50" w:after="120" w:line="240" w:lineRule="auto"/>
      <w:jc w:val="left"/>
    </w:pPr>
    <w:rPr>
      <w:rFonts w:ascii="Arial" w:hAnsi="Arial"/>
      <w:bCs w:val="0"/>
      <w:sz w:val="36"/>
      <w:szCs w:val="20"/>
    </w:rPr>
  </w:style>
  <w:style w:type="paragraph" w:customStyle="1" w:styleId="498">
    <w:name w:val="林宝辉"/>
    <w:basedOn w:val="1"/>
    <w:qFormat/>
    <w:uiPriority w:val="0"/>
    <w:pPr>
      <w:spacing w:line="360" w:lineRule="auto"/>
      <w:ind w:left="-2"/>
    </w:pPr>
    <w:rPr>
      <w:sz w:val="24"/>
    </w:rPr>
  </w:style>
  <w:style w:type="paragraph" w:customStyle="1" w:styleId="499">
    <w:name w:val="标题5，1 + 两端对齐 首行缩进:  2 字符"/>
    <w:basedOn w:val="1"/>
    <w:qFormat/>
    <w:uiPriority w:val="0"/>
    <w:pPr>
      <w:spacing w:line="360" w:lineRule="auto"/>
      <w:ind w:firstLine="200" w:firstLineChars="200"/>
      <w:outlineLvl w:val="4"/>
    </w:pPr>
    <w:rPr>
      <w:rFonts w:cs="宋体"/>
      <w:sz w:val="24"/>
      <w:szCs w:val="20"/>
    </w:rPr>
  </w:style>
  <w:style w:type="paragraph" w:customStyle="1" w:styleId="500">
    <w:name w:val="样式6"/>
    <w:basedOn w:val="2"/>
    <w:next w:val="2"/>
    <w:qFormat/>
    <w:uiPriority w:val="0"/>
    <w:pPr>
      <w:numPr>
        <w:ilvl w:val="0"/>
        <w:numId w:val="1"/>
      </w:numPr>
      <w:tabs>
        <w:tab w:val="left" w:pos="360"/>
      </w:tabs>
      <w:spacing w:before="100" w:after="100" w:line="360" w:lineRule="auto"/>
      <w:jc w:val="center"/>
    </w:pPr>
    <w:rPr>
      <w:rFonts w:eastAsia="仿宋_GB2312"/>
      <w:bCs w:val="0"/>
      <w:color w:val="000000"/>
      <w:kern w:val="0"/>
      <w:sz w:val="30"/>
      <w:szCs w:val="30"/>
    </w:rPr>
  </w:style>
  <w:style w:type="paragraph" w:customStyle="1" w:styleId="501">
    <w:name w:val="正文-ST-4"/>
    <w:basedOn w:val="1"/>
    <w:qFormat/>
    <w:uiPriority w:val="0"/>
    <w:pPr>
      <w:widowControl/>
      <w:spacing w:line="360" w:lineRule="auto"/>
      <w:ind w:firstLine="567"/>
    </w:pPr>
    <w:rPr>
      <w:kern w:val="0"/>
      <w:sz w:val="28"/>
      <w:szCs w:val="28"/>
    </w:rPr>
  </w:style>
  <w:style w:type="paragraph" w:customStyle="1" w:styleId="502">
    <w:name w:val="cauc-0"/>
    <w:qFormat/>
    <w:uiPriority w:val="0"/>
    <w:pPr>
      <w:spacing w:line="360" w:lineRule="auto"/>
      <w:ind w:firstLine="200" w:firstLineChars="200"/>
    </w:pPr>
    <w:rPr>
      <w:rFonts w:ascii="Times New Roman" w:hAnsi="Times New Roman" w:eastAsia="宋体" w:cs="Times New Roman"/>
      <w:kern w:val="2"/>
      <w:sz w:val="24"/>
      <w:lang w:val="en-US" w:eastAsia="zh-CN" w:bidi="ar-SA"/>
    </w:rPr>
  </w:style>
  <w:style w:type="paragraph" w:customStyle="1" w:styleId="503">
    <w:name w:val="gb1"/>
    <w:basedOn w:val="1"/>
    <w:qFormat/>
    <w:uiPriority w:val="0"/>
    <w:pPr>
      <w:widowControl/>
      <w:tabs>
        <w:tab w:val="left" w:pos="227"/>
      </w:tabs>
      <w:overflowPunct w:val="0"/>
      <w:autoSpaceDE w:val="0"/>
      <w:autoSpaceDN w:val="0"/>
      <w:spacing w:before="120" w:after="120"/>
      <w:jc w:val="left"/>
    </w:pPr>
    <w:rPr>
      <w:rFonts w:ascii="Arial" w:hAnsi="Arial" w:eastAsia="仿宋体"/>
      <w:sz w:val="24"/>
      <w:szCs w:val="20"/>
    </w:rPr>
  </w:style>
  <w:style w:type="paragraph" w:customStyle="1" w:styleId="504">
    <w:name w:val="样式 标题 1 + 行距: 多倍行距 1.25 字行"/>
    <w:basedOn w:val="2"/>
    <w:qFormat/>
    <w:uiPriority w:val="0"/>
    <w:pPr>
      <w:pageBreakBefore/>
      <w:tabs>
        <w:tab w:val="left" w:pos="420"/>
      </w:tabs>
      <w:spacing w:before="0" w:after="300" w:line="480" w:lineRule="auto"/>
      <w:ind w:left="780" w:hanging="360"/>
      <w:jc w:val="center"/>
    </w:pPr>
    <w:rPr>
      <w:bCs w:val="0"/>
      <w:sz w:val="40"/>
      <w:szCs w:val="20"/>
    </w:rPr>
  </w:style>
  <w:style w:type="paragraph" w:customStyle="1" w:styleId="505">
    <w:name w:val="签署内容"/>
    <w:basedOn w:val="1"/>
    <w:qFormat/>
    <w:uiPriority w:val="0"/>
    <w:pPr>
      <w:keepNext/>
      <w:spacing w:line="300" w:lineRule="auto"/>
      <w:ind w:firstLine="250" w:firstLineChars="250"/>
    </w:pPr>
    <w:rPr>
      <w:sz w:val="32"/>
      <w:szCs w:val="32"/>
    </w:rPr>
  </w:style>
  <w:style w:type="paragraph" w:customStyle="1" w:styleId="506">
    <w:name w:val="正文style"/>
    <w:basedOn w:val="1"/>
    <w:next w:val="1"/>
    <w:qFormat/>
    <w:uiPriority w:val="0"/>
    <w:pPr>
      <w:spacing w:line="360" w:lineRule="auto"/>
      <w:ind w:firstLine="200"/>
    </w:pPr>
    <w:rPr>
      <w:color w:val="000000"/>
      <w:sz w:val="28"/>
      <w:szCs w:val="28"/>
    </w:rPr>
  </w:style>
  <w:style w:type="paragraph" w:customStyle="1" w:styleId="507">
    <w:name w:val="报告标3"/>
    <w:basedOn w:val="1"/>
    <w:qFormat/>
    <w:uiPriority w:val="0"/>
    <w:pPr>
      <w:adjustRightInd w:val="0"/>
      <w:snapToGrid w:val="0"/>
      <w:spacing w:line="300" w:lineRule="auto"/>
    </w:pPr>
    <w:rPr>
      <w:rFonts w:ascii="宋体" w:cs="宋体"/>
      <w:sz w:val="28"/>
      <w:szCs w:val="28"/>
    </w:rPr>
  </w:style>
  <w:style w:type="paragraph" w:customStyle="1" w:styleId="508">
    <w:name w:val="Zchn Zchn1 Char Char Zchn Zchn Char Char"/>
    <w:basedOn w:val="1"/>
    <w:qFormat/>
    <w:uiPriority w:val="0"/>
    <w:rPr>
      <w:szCs w:val="20"/>
    </w:rPr>
  </w:style>
  <w:style w:type="paragraph" w:customStyle="1" w:styleId="509">
    <w:name w:val="能力-正文"/>
    <w:basedOn w:val="1"/>
    <w:qFormat/>
    <w:uiPriority w:val="0"/>
    <w:pPr>
      <w:spacing w:line="360" w:lineRule="auto"/>
      <w:ind w:firstLine="200" w:firstLineChars="200"/>
    </w:pPr>
    <w:rPr>
      <w:sz w:val="24"/>
      <w:szCs w:val="22"/>
    </w:rPr>
  </w:style>
  <w:style w:type="paragraph" w:customStyle="1" w:styleId="510">
    <w:name w:val="1."/>
    <w:basedOn w:val="1"/>
    <w:qFormat/>
    <w:uiPriority w:val="0"/>
    <w:pPr>
      <w:tabs>
        <w:tab w:val="left" w:pos="0"/>
        <w:tab w:val="left" w:pos="426"/>
        <w:tab w:val="left" w:pos="900"/>
      </w:tabs>
      <w:adjustRightInd w:val="0"/>
      <w:snapToGrid w:val="0"/>
      <w:spacing w:before="120" w:after="120" w:line="400" w:lineRule="atLeast"/>
      <w:ind w:left="475" w:leftChars="50" w:right="32" w:hanging="425"/>
      <w:jc w:val="center"/>
      <w:textAlignment w:val="baseline"/>
    </w:pPr>
    <w:rPr>
      <w:rFonts w:ascii="Arial" w:hAnsi="Arial"/>
      <w:b/>
      <w:kern w:val="0"/>
      <w:sz w:val="32"/>
      <w:szCs w:val="20"/>
    </w:rPr>
  </w:style>
  <w:style w:type="paragraph" w:customStyle="1" w:styleId="511">
    <w:name w:val="附录表标题"/>
    <w:next w:val="363"/>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512">
    <w:name w:val="正文-FS-L"/>
    <w:qFormat/>
    <w:uiPriority w:val="0"/>
    <w:pPr>
      <w:spacing w:line="360" w:lineRule="auto"/>
      <w:ind w:firstLine="567"/>
      <w:jc w:val="both"/>
    </w:pPr>
    <w:rPr>
      <w:rFonts w:ascii="Times New Roman" w:hAnsi="Times New Roman" w:eastAsia="仿宋_GB2312" w:cs="Times New Roman"/>
      <w:sz w:val="28"/>
      <w:szCs w:val="28"/>
      <w:lang w:val="en-US" w:eastAsia="zh-CN" w:bidi="ar-SA"/>
    </w:rPr>
  </w:style>
  <w:style w:type="paragraph" w:customStyle="1" w:styleId="513">
    <w:name w:val="POINT"/>
    <w:basedOn w:val="360"/>
    <w:qFormat/>
    <w:uiPriority w:val="0"/>
    <w:pPr>
      <w:tabs>
        <w:tab w:val="left" w:pos="840"/>
      </w:tabs>
      <w:ind w:left="840" w:hanging="420"/>
    </w:pPr>
  </w:style>
  <w:style w:type="paragraph" w:customStyle="1" w:styleId="514">
    <w:name w:val="标准书眉_偶数页"/>
    <w:basedOn w:val="1"/>
    <w:next w:val="1"/>
    <w:qFormat/>
    <w:uiPriority w:val="0"/>
    <w:pPr>
      <w:widowControl/>
      <w:tabs>
        <w:tab w:val="center" w:pos="4154"/>
        <w:tab w:val="right" w:pos="8306"/>
      </w:tabs>
      <w:spacing w:after="120"/>
      <w:jc w:val="left"/>
    </w:pPr>
    <w:rPr>
      <w:kern w:val="0"/>
      <w:szCs w:val="20"/>
    </w:rPr>
  </w:style>
  <w:style w:type="paragraph" w:customStyle="1" w:styleId="515">
    <w:name w:val="A.正文"/>
    <w:basedOn w:val="1"/>
    <w:qFormat/>
    <w:uiPriority w:val="0"/>
    <w:pPr>
      <w:widowControl/>
      <w:tabs>
        <w:tab w:val="left" w:pos="964"/>
      </w:tabs>
      <w:spacing w:line="360" w:lineRule="exact"/>
      <w:ind w:left="964" w:hanging="397"/>
    </w:pPr>
    <w:rPr>
      <w:sz w:val="24"/>
      <w:szCs w:val="20"/>
    </w:rPr>
  </w:style>
  <w:style w:type="paragraph" w:customStyle="1" w:styleId="516">
    <w:name w:val="标准中文版式_正文"/>
    <w:basedOn w:val="1"/>
    <w:qFormat/>
    <w:uiPriority w:val="0"/>
    <w:pPr>
      <w:spacing w:before="30"/>
    </w:pPr>
    <w:rPr>
      <w:szCs w:val="20"/>
    </w:rPr>
  </w:style>
  <w:style w:type="paragraph" w:customStyle="1" w:styleId="517">
    <w:name w:val="正文样式1"/>
    <w:basedOn w:val="1"/>
    <w:next w:val="1"/>
    <w:qFormat/>
    <w:uiPriority w:val="0"/>
    <w:pPr>
      <w:widowControl/>
    </w:pPr>
    <w:rPr>
      <w:rFonts w:ascii="宋体" w:cs="宋体"/>
    </w:rPr>
  </w:style>
  <w:style w:type="paragraph" w:customStyle="1" w:styleId="518">
    <w:name w:val="CM1"/>
    <w:basedOn w:val="147"/>
    <w:next w:val="147"/>
    <w:qFormat/>
    <w:uiPriority w:val="0"/>
    <w:pPr>
      <w:adjustRightInd/>
    </w:pPr>
    <w:rPr>
      <w:rFonts w:ascii="宋体"/>
      <w:szCs w:val="20"/>
    </w:rPr>
  </w:style>
  <w:style w:type="paragraph" w:customStyle="1" w:styleId="519">
    <w:name w:val="二级无标题条"/>
    <w:basedOn w:val="1"/>
    <w:qFormat/>
    <w:uiPriority w:val="0"/>
    <w:rPr>
      <w:szCs w:val="20"/>
    </w:rPr>
  </w:style>
  <w:style w:type="paragraph" w:customStyle="1" w:styleId="520">
    <w:name w:val="标题 1 宋体 三号 Char Char"/>
    <w:basedOn w:val="2"/>
    <w:qFormat/>
    <w:uiPriority w:val="0"/>
    <w:pPr>
      <w:tabs>
        <w:tab w:val="left" w:pos="425"/>
      </w:tabs>
      <w:spacing w:line="360" w:lineRule="auto"/>
      <w:ind w:left="425" w:hanging="425"/>
      <w:jc w:val="center"/>
    </w:pPr>
    <w:rPr>
      <w:rFonts w:ascii="宋体"/>
      <w:sz w:val="32"/>
    </w:rPr>
  </w:style>
  <w:style w:type="paragraph" w:customStyle="1" w:styleId="521">
    <w:name w:val="xl67"/>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kern w:val="0"/>
      <w:sz w:val="24"/>
      <w:szCs w:val="20"/>
    </w:rPr>
  </w:style>
  <w:style w:type="paragraph" w:customStyle="1" w:styleId="522">
    <w:name w:val="目录文字"/>
    <w:basedOn w:val="1"/>
    <w:qFormat/>
    <w:uiPriority w:val="0"/>
    <w:pPr>
      <w:widowControl/>
      <w:spacing w:line="480" w:lineRule="auto"/>
      <w:jc w:val="left"/>
    </w:pPr>
    <w:rPr>
      <w:rFonts w:ascii="宋体"/>
      <w:kern w:val="0"/>
      <w:sz w:val="24"/>
      <w:szCs w:val="20"/>
    </w:rPr>
  </w:style>
  <w:style w:type="paragraph" w:customStyle="1" w:styleId="523">
    <w:name w:val="Zchn Zchn1 Char Char Zchn Zchn Char Char2"/>
    <w:basedOn w:val="1"/>
    <w:qFormat/>
    <w:uiPriority w:val="0"/>
    <w:rPr>
      <w:szCs w:val="20"/>
    </w:rPr>
  </w:style>
  <w:style w:type="paragraph" w:customStyle="1" w:styleId="52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525">
    <w:name w:val="正文 + 宋体"/>
    <w:basedOn w:val="1"/>
    <w:qFormat/>
    <w:uiPriority w:val="0"/>
    <w:rPr>
      <w:b/>
      <w:spacing w:val="32"/>
      <w:sz w:val="24"/>
    </w:rPr>
  </w:style>
  <w:style w:type="paragraph" w:customStyle="1" w:styleId="526">
    <w:name w:val="编制日期"/>
    <w:basedOn w:val="1"/>
    <w:qFormat/>
    <w:uiPriority w:val="0"/>
    <w:pPr>
      <w:keepNext/>
      <w:snapToGrid w:val="0"/>
      <w:spacing w:line="300" w:lineRule="auto"/>
      <w:jc w:val="center"/>
    </w:pPr>
    <w:rPr>
      <w:rFonts w:ascii="宋体" w:cs="宋体"/>
      <w:sz w:val="32"/>
      <w:szCs w:val="32"/>
    </w:rPr>
  </w:style>
  <w:style w:type="paragraph" w:customStyle="1" w:styleId="527">
    <w:name w:val="6"/>
    <w:basedOn w:val="1"/>
    <w:qFormat/>
    <w:uiPriority w:val="0"/>
    <w:pPr>
      <w:spacing w:line="300" w:lineRule="auto"/>
    </w:pPr>
    <w:rPr>
      <w:sz w:val="24"/>
      <w:szCs w:val="20"/>
    </w:rPr>
  </w:style>
  <w:style w:type="paragraph" w:customStyle="1" w:styleId="528">
    <w:name w:val="CM3"/>
    <w:basedOn w:val="147"/>
    <w:next w:val="147"/>
    <w:qFormat/>
    <w:uiPriority w:val="0"/>
    <w:pPr>
      <w:adjustRightInd/>
      <w:spacing w:line="468" w:lineRule="atLeast"/>
    </w:pPr>
    <w:rPr>
      <w:rFonts w:ascii="宋体"/>
      <w:szCs w:val="20"/>
    </w:rPr>
  </w:style>
  <w:style w:type="paragraph" w:customStyle="1" w:styleId="529">
    <w:name w:val="1标题2"/>
    <w:basedOn w:val="1"/>
    <w:qFormat/>
    <w:uiPriority w:val="0"/>
    <w:pPr>
      <w:spacing w:before="120" w:after="120" w:line="400" w:lineRule="exact"/>
      <w:ind w:left="1260" w:hanging="420"/>
      <w:jc w:val="center"/>
      <w:outlineLvl w:val="2"/>
    </w:pPr>
    <w:rPr>
      <w:rFonts w:ascii="宋体"/>
      <w:b/>
      <w:bCs/>
      <w:color w:val="000000"/>
      <w:sz w:val="28"/>
      <w:szCs w:val="28"/>
    </w:rPr>
  </w:style>
  <w:style w:type="paragraph" w:customStyle="1" w:styleId="530">
    <w:name w:val="标题 2（用）"/>
    <w:basedOn w:val="3"/>
    <w:qFormat/>
    <w:uiPriority w:val="0"/>
    <w:pPr>
      <w:adjustRightInd w:val="0"/>
      <w:snapToGrid w:val="0"/>
      <w:spacing w:beforeLines="50" w:afterLines="25" w:line="336" w:lineRule="auto"/>
      <w:ind w:left="278" w:right="40"/>
      <w:jc w:val="center"/>
    </w:pPr>
    <w:rPr>
      <w:rFonts w:ascii="黑体" w:eastAsia="黑体"/>
      <w:bCs w:val="0"/>
      <w:color w:val="000000"/>
      <w:kern w:val="2"/>
      <w:sz w:val="28"/>
      <w:szCs w:val="28"/>
    </w:rPr>
  </w:style>
  <w:style w:type="paragraph" w:customStyle="1" w:styleId="531">
    <w:name w:val="bf"/>
    <w:basedOn w:val="1"/>
    <w:qFormat/>
    <w:uiPriority w:val="0"/>
    <w:pPr>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532">
    <w:name w:val="表5号字"/>
    <w:qFormat/>
    <w:uiPriority w:val="0"/>
    <w:pPr>
      <w:keepNext/>
      <w:widowControl w:val="0"/>
      <w:adjustRightInd w:val="0"/>
      <w:spacing w:before="120" w:line="60" w:lineRule="atLeast"/>
      <w:jc w:val="center"/>
      <w:textAlignment w:val="baseline"/>
    </w:pPr>
    <w:rPr>
      <w:rFonts w:ascii="Times New Roman" w:hAnsi="Times New Roman" w:eastAsia="宋体" w:cs="Times New Roman"/>
      <w:sz w:val="21"/>
      <w:lang w:val="en-US" w:eastAsia="zh-CN" w:bidi="ar-SA"/>
    </w:rPr>
  </w:style>
  <w:style w:type="paragraph" w:customStyle="1" w:styleId="533">
    <w:name w:val="表格表头"/>
    <w:qFormat/>
    <w:uiPriority w:val="0"/>
    <w:pPr>
      <w:jc w:val="center"/>
    </w:pPr>
    <w:rPr>
      <w:rFonts w:ascii="Times New Roman" w:hAnsi="Times New Roman" w:eastAsia="方正书宋简体" w:cs="Times New Roman"/>
      <w:w w:val="90"/>
      <w:kern w:val="2"/>
      <w:sz w:val="32"/>
      <w:szCs w:val="32"/>
      <w:lang w:val="en-US" w:eastAsia="zh-CN" w:bidi="ar-SA"/>
    </w:rPr>
  </w:style>
  <w:style w:type="paragraph" w:customStyle="1" w:styleId="534">
    <w:name w:val="Char Char13 Char Char Char Char"/>
    <w:basedOn w:val="1"/>
    <w:qFormat/>
    <w:uiPriority w:val="0"/>
  </w:style>
  <w:style w:type="paragraph" w:customStyle="1" w:styleId="535">
    <w:name w:val="表文字"/>
    <w:basedOn w:val="7"/>
    <w:qFormat/>
    <w:uiPriority w:val="0"/>
    <w:pPr>
      <w:snapToGrid w:val="0"/>
      <w:spacing w:line="300" w:lineRule="auto"/>
      <w:ind w:firstLine="0"/>
      <w:jc w:val="center"/>
    </w:pPr>
    <w:rPr>
      <w:b/>
      <w:bCs/>
      <w:kern w:val="2"/>
      <w:sz w:val="24"/>
      <w:szCs w:val="24"/>
    </w:rPr>
  </w:style>
  <w:style w:type="paragraph" w:customStyle="1" w:styleId="53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文本123-II"/>
    <w:basedOn w:val="5"/>
    <w:qFormat/>
    <w:uiPriority w:val="0"/>
    <w:pPr>
      <w:keepNext w:val="0"/>
      <w:keepLines w:val="0"/>
      <w:tabs>
        <w:tab w:val="left" w:pos="4215"/>
      </w:tabs>
      <w:spacing w:beforeLines="50" w:after="0" w:line="240" w:lineRule="auto"/>
      <w:ind w:left="4215" w:firstLine="160" w:firstLineChars="160"/>
    </w:pPr>
    <w:rPr>
      <w:b w:val="0"/>
      <w:kern w:val="2"/>
      <w:sz w:val="24"/>
    </w:rPr>
  </w:style>
  <w:style w:type="paragraph" w:customStyle="1" w:styleId="538">
    <w:name w:val="表格内部"/>
    <w:basedOn w:val="1"/>
    <w:qFormat/>
    <w:uiPriority w:val="0"/>
    <w:pPr>
      <w:adjustRightInd w:val="0"/>
      <w:snapToGrid w:val="0"/>
      <w:spacing w:line="300" w:lineRule="auto"/>
      <w:jc w:val="center"/>
    </w:pPr>
    <w:rPr>
      <w:rFonts w:ascii="Arial" w:hAnsi="Arial" w:eastAsia="仿宋_GB2312"/>
    </w:rPr>
  </w:style>
  <w:style w:type="paragraph" w:customStyle="1" w:styleId="539">
    <w:name w:val="p18"/>
    <w:basedOn w:val="1"/>
    <w:qFormat/>
    <w:uiPriority w:val="0"/>
    <w:pPr>
      <w:widowControl/>
    </w:pPr>
    <w:rPr>
      <w:rFonts w:ascii="宋体" w:cs="宋体"/>
      <w:kern w:val="0"/>
      <w:szCs w:val="21"/>
    </w:rPr>
  </w:style>
  <w:style w:type="paragraph" w:customStyle="1" w:styleId="540">
    <w:name w:val="项目符号_“-”"/>
    <w:basedOn w:val="1"/>
    <w:qFormat/>
    <w:uiPriority w:val="0"/>
    <w:pPr>
      <w:tabs>
        <w:tab w:val="left" w:pos="420"/>
        <w:tab w:val="left" w:pos="1200"/>
      </w:tabs>
      <w:spacing w:before="78"/>
      <w:ind w:left="820" w:hanging="420"/>
    </w:pPr>
    <w:rPr>
      <w:szCs w:val="20"/>
    </w:rPr>
  </w:style>
  <w:style w:type="paragraph" w:customStyle="1" w:styleId="541">
    <w:name w:val="CM60"/>
    <w:basedOn w:val="147"/>
    <w:next w:val="147"/>
    <w:qFormat/>
    <w:uiPriority w:val="0"/>
    <w:rPr>
      <w:color w:val="auto"/>
    </w:rPr>
  </w:style>
  <w:style w:type="paragraph" w:customStyle="1" w:styleId="542">
    <w:name w:val="正文段落"/>
    <w:basedOn w:val="1"/>
    <w:qFormat/>
    <w:uiPriority w:val="0"/>
    <w:pPr>
      <w:widowControl/>
      <w:tabs>
        <w:tab w:val="right" w:pos="1620"/>
      </w:tabs>
      <w:spacing w:line="360" w:lineRule="auto"/>
      <w:ind w:firstLine="200" w:firstLineChars="200"/>
    </w:pPr>
    <w:rPr>
      <w:rFonts w:ascii="宋体" w:cs="宋体"/>
      <w:sz w:val="24"/>
    </w:rPr>
  </w:style>
  <w:style w:type="paragraph" w:customStyle="1" w:styleId="543">
    <w:name w:val="规定原文"/>
    <w:basedOn w:val="1"/>
    <w:qFormat/>
    <w:uiPriority w:val="0"/>
    <w:pPr>
      <w:keepNext/>
      <w:snapToGrid w:val="0"/>
      <w:spacing w:beforeLines="50" w:line="300" w:lineRule="auto"/>
      <w:ind w:firstLine="200" w:firstLineChars="200"/>
    </w:pPr>
    <w:rPr>
      <w:rFonts w:ascii="楷体_GB2312" w:eastAsia="楷体_GB2312" w:cs="楷体_GB2312"/>
      <w:color w:val="FF0000"/>
      <w:sz w:val="28"/>
      <w:szCs w:val="28"/>
    </w:rPr>
  </w:style>
  <w:style w:type="paragraph" w:customStyle="1" w:styleId="544">
    <w:name w:val="标题－3"/>
    <w:basedOn w:val="1"/>
    <w:qFormat/>
    <w:uiPriority w:val="0"/>
    <w:pPr>
      <w:keepNext/>
      <w:keepLines/>
      <w:adjustRightInd w:val="0"/>
      <w:snapToGrid w:val="0"/>
      <w:spacing w:line="360" w:lineRule="auto"/>
      <w:jc w:val="left"/>
      <w:outlineLvl w:val="2"/>
    </w:pPr>
    <w:rPr>
      <w:rFonts w:eastAsia="黑体"/>
      <w:color w:val="FF00FF"/>
      <w:sz w:val="28"/>
    </w:rPr>
  </w:style>
  <w:style w:type="paragraph" w:customStyle="1" w:styleId="545">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6">
    <w:name w:val="文表表头"/>
    <w:qFormat/>
    <w:uiPriority w:val="0"/>
    <w:rPr>
      <w:rFonts w:ascii="Times New Roman" w:hAnsi="Times New Roman" w:eastAsia="方正书宋简体" w:cs="Times New Roman"/>
      <w:kern w:val="2"/>
      <w:sz w:val="21"/>
      <w:szCs w:val="24"/>
      <w:lang w:val="en-US" w:eastAsia="zh-CN" w:bidi="ar-SA"/>
    </w:rPr>
  </w:style>
  <w:style w:type="paragraph" w:customStyle="1" w:styleId="547">
    <w:name w:val="b-b3"/>
    <w:basedOn w:val="4"/>
    <w:next w:val="1"/>
    <w:qFormat/>
    <w:uiPriority w:val="0"/>
    <w:pPr>
      <w:keepNext w:val="0"/>
      <w:keepLines w:val="0"/>
      <w:snapToGrid w:val="0"/>
      <w:spacing w:before="80" w:after="80" w:line="440" w:lineRule="atLeast"/>
      <w:textAlignment w:val="baseline"/>
    </w:pPr>
    <w:rPr>
      <w:rFonts w:eastAsia="黑体"/>
      <w:b w:val="0"/>
      <w:bCs w:val="0"/>
      <w:sz w:val="28"/>
      <w:szCs w:val="20"/>
    </w:rPr>
  </w:style>
  <w:style w:type="paragraph" w:customStyle="1" w:styleId="548">
    <w:name w:val="text"/>
    <w:basedOn w:val="1"/>
    <w:qFormat/>
    <w:uiPriority w:val="0"/>
    <w:pPr>
      <w:widowControl/>
      <w:overflowPunct w:val="0"/>
      <w:autoSpaceDE w:val="0"/>
      <w:autoSpaceDN w:val="0"/>
      <w:adjustRightInd w:val="0"/>
      <w:spacing w:before="120" w:after="120" w:line="360" w:lineRule="auto"/>
      <w:ind w:left="851" w:firstLine="709"/>
      <w:textAlignment w:val="baseline"/>
    </w:pPr>
    <w:rPr>
      <w:rFonts w:ascii="楷体" w:eastAsia="楷体"/>
      <w:kern w:val="0"/>
      <w:sz w:val="28"/>
      <w:szCs w:val="20"/>
    </w:rPr>
  </w:style>
  <w:style w:type="paragraph" w:customStyle="1" w:styleId="549">
    <w:name w:val="cucd-2"/>
    <w:next w:val="550"/>
    <w:qFormat/>
    <w:uiPriority w:val="0"/>
    <w:pPr>
      <w:tabs>
        <w:tab w:val="left" w:pos="1258"/>
        <w:tab w:val="left" w:pos="3447"/>
      </w:tabs>
      <w:spacing w:line="360" w:lineRule="auto"/>
      <w:ind w:left="1258" w:hanging="420"/>
      <w:outlineLvl w:val="1"/>
    </w:pPr>
    <w:rPr>
      <w:rFonts w:ascii="Times New Roman" w:hAnsi="Times New Roman" w:eastAsia="黑体" w:cs="Times New Roman"/>
      <w:b/>
      <w:kern w:val="2"/>
      <w:sz w:val="30"/>
      <w:lang w:val="en-US" w:eastAsia="zh-CN" w:bidi="ar-SA"/>
    </w:rPr>
  </w:style>
  <w:style w:type="paragraph" w:customStyle="1" w:styleId="550">
    <w:name w:val="cucd-3"/>
    <w:next w:val="406"/>
    <w:qFormat/>
    <w:uiPriority w:val="0"/>
    <w:pPr>
      <w:tabs>
        <w:tab w:val="left" w:pos="1678"/>
        <w:tab w:val="left" w:pos="3589"/>
      </w:tabs>
      <w:spacing w:line="360" w:lineRule="auto"/>
      <w:ind w:left="1678" w:hanging="420"/>
      <w:outlineLvl w:val="2"/>
    </w:pPr>
    <w:rPr>
      <w:rFonts w:ascii="Times New Roman" w:hAnsi="Times New Roman" w:eastAsia="宋体" w:cs="Times New Roman"/>
      <w:b/>
      <w:kern w:val="2"/>
      <w:sz w:val="28"/>
      <w:lang w:val="en-US" w:eastAsia="zh-CN" w:bidi="ar-SA"/>
    </w:rPr>
  </w:style>
  <w:style w:type="paragraph" w:customStyle="1" w:styleId="551">
    <w:name w:val="林宝辉 标题2"/>
    <w:basedOn w:val="1"/>
    <w:qFormat/>
    <w:uiPriority w:val="0"/>
    <w:pPr>
      <w:tabs>
        <w:tab w:val="left" w:pos="0"/>
        <w:tab w:val="left" w:pos="360"/>
      </w:tabs>
      <w:spacing w:line="360" w:lineRule="auto"/>
      <w:ind w:left="360" w:hanging="360"/>
      <w:jc w:val="center"/>
      <w:outlineLvl w:val="1"/>
    </w:pPr>
    <w:rPr>
      <w:rFonts w:eastAsia="新宋体"/>
      <w:b/>
      <w:sz w:val="28"/>
    </w:rPr>
  </w:style>
  <w:style w:type="paragraph" w:customStyle="1" w:styleId="552">
    <w:name w:val="SuepHeading"/>
    <w:basedOn w:val="1"/>
    <w:qFormat/>
    <w:uiPriority w:val="0"/>
    <w:pPr>
      <w:widowControl/>
      <w:tabs>
        <w:tab w:val="left" w:pos="828"/>
        <w:tab w:val="left" w:pos="1394"/>
        <w:tab w:val="left" w:pos="2245"/>
        <w:tab w:val="left" w:pos="3094"/>
        <w:tab w:val="left" w:pos="3945"/>
        <w:tab w:val="left" w:pos="5079"/>
        <w:tab w:val="left" w:pos="6496"/>
        <w:tab w:val="left" w:pos="7630"/>
      </w:tabs>
      <w:suppressAutoHyphens/>
      <w:ind w:left="840" w:hanging="420"/>
    </w:pPr>
    <w:rPr>
      <w:b/>
      <w:spacing w:val="-2"/>
      <w:kern w:val="0"/>
      <w:sz w:val="22"/>
      <w:szCs w:val="20"/>
      <w:lang w:val="en-GB" w:eastAsia="en-GB"/>
    </w:rPr>
  </w:style>
  <w:style w:type="paragraph" w:customStyle="1" w:styleId="553">
    <w:name w:val="表注"/>
    <w:basedOn w:val="233"/>
    <w:qFormat/>
    <w:uiPriority w:val="0"/>
    <w:pPr>
      <w:spacing w:beforeLines="50" w:line="300" w:lineRule="auto"/>
      <w:ind w:left="0" w:leftChars="0" w:right="0" w:rightChars="0"/>
      <w:jc w:val="left"/>
    </w:pPr>
    <w:rPr>
      <w:rFonts w:eastAsia="仿宋_GB2312"/>
      <w:snapToGrid w:val="0"/>
    </w:rPr>
  </w:style>
  <w:style w:type="paragraph" w:customStyle="1" w:styleId="554">
    <w:name w:val="标题－4"/>
    <w:basedOn w:val="7"/>
    <w:qFormat/>
    <w:uiPriority w:val="0"/>
    <w:pPr>
      <w:keepNext/>
      <w:keepLines/>
      <w:widowControl/>
      <w:adjustRightInd w:val="0"/>
      <w:snapToGrid w:val="0"/>
      <w:spacing w:before="200" w:after="200"/>
      <w:ind w:firstLine="0"/>
      <w:outlineLvl w:val="3"/>
    </w:pPr>
    <w:rPr>
      <w:rFonts w:ascii="黑体" w:eastAsia="黑体"/>
      <w:color w:val="008000"/>
      <w:sz w:val="28"/>
      <w:szCs w:val="28"/>
    </w:rPr>
  </w:style>
  <w:style w:type="paragraph" w:customStyle="1" w:styleId="555">
    <w:name w:val="标题 71"/>
    <w:basedOn w:val="1"/>
    <w:next w:val="324"/>
    <w:qFormat/>
    <w:uiPriority w:val="0"/>
    <w:pPr>
      <w:keepNext/>
      <w:keepLines/>
      <w:tabs>
        <w:tab w:val="left" w:pos="-709"/>
        <w:tab w:val="left" w:pos="284"/>
      </w:tabs>
      <w:spacing w:before="240" w:after="64" w:line="320" w:lineRule="atLeast"/>
      <w:ind w:left="3360" w:hanging="420"/>
      <w:textAlignment w:val="baseline"/>
      <w:outlineLvl w:val="6"/>
    </w:pPr>
    <w:rPr>
      <w:b/>
      <w:kern w:val="0"/>
      <w:sz w:val="24"/>
      <w:szCs w:val="20"/>
    </w:rPr>
  </w:style>
  <w:style w:type="paragraph" w:customStyle="1" w:styleId="556">
    <w:name w:val="表标题1"/>
    <w:basedOn w:val="1"/>
    <w:qFormat/>
    <w:uiPriority w:val="0"/>
    <w:pPr>
      <w:spacing w:line="360" w:lineRule="auto"/>
      <w:ind w:right="-5" w:firstLine="245" w:firstLineChars="245"/>
      <w:jc w:val="center"/>
    </w:pPr>
    <w:rPr>
      <w:rFonts w:ascii="宋体"/>
      <w:bCs/>
      <w:sz w:val="24"/>
    </w:rPr>
  </w:style>
  <w:style w:type="paragraph" w:customStyle="1" w:styleId="557">
    <w:name w:val="实施日期"/>
    <w:basedOn w:val="387"/>
    <w:qFormat/>
    <w:uiPriority w:val="0"/>
    <w:pPr>
      <w:framePr w:hSpace="0" w:wrap="around" w:hAnchor="text" w:xAlign="right"/>
      <w:jc w:val="right"/>
    </w:pPr>
  </w:style>
  <w:style w:type="paragraph" w:customStyle="1" w:styleId="558">
    <w:name w:val="标题2"/>
    <w:basedOn w:val="3"/>
    <w:qFormat/>
    <w:uiPriority w:val="0"/>
    <w:pPr>
      <w:tabs>
        <w:tab w:val="left" w:pos="1640"/>
      </w:tabs>
      <w:spacing w:before="120" w:after="0" w:line="240" w:lineRule="auto"/>
      <w:ind w:left="1640" w:hanging="420"/>
    </w:pPr>
    <w:rPr>
      <w:rFonts w:ascii="宋体"/>
      <w:b w:val="0"/>
      <w:bCs w:val="0"/>
      <w:kern w:val="2"/>
      <w:sz w:val="28"/>
      <w:szCs w:val="20"/>
    </w:rPr>
  </w:style>
  <w:style w:type="paragraph" w:customStyle="1" w:styleId="559">
    <w:name w:val="正文文本2"/>
    <w:basedOn w:val="1"/>
    <w:qFormat/>
    <w:uiPriority w:val="0"/>
    <w:pPr>
      <w:widowControl/>
      <w:spacing w:after="120"/>
      <w:jc w:val="left"/>
    </w:pPr>
    <w:rPr>
      <w:kern w:val="0"/>
      <w:szCs w:val="20"/>
    </w:rPr>
  </w:style>
  <w:style w:type="paragraph" w:customStyle="1" w:styleId="560">
    <w:name w:val="模板标题4"/>
    <w:basedOn w:val="5"/>
    <w:next w:val="1"/>
    <w:qFormat/>
    <w:uiPriority w:val="0"/>
    <w:pPr>
      <w:tabs>
        <w:tab w:val="left" w:pos="2160"/>
      </w:tabs>
      <w:spacing w:before="240" w:after="240" w:line="240" w:lineRule="auto"/>
      <w:ind w:left="2160" w:hanging="420"/>
      <w:jc w:val="left"/>
    </w:pPr>
    <w:rPr>
      <w:b w:val="0"/>
      <w:kern w:val="2"/>
      <w:sz w:val="24"/>
    </w:rPr>
  </w:style>
  <w:style w:type="paragraph" w:customStyle="1" w:styleId="561">
    <w:name w:val="能力-表格正文"/>
    <w:basedOn w:val="509"/>
    <w:qFormat/>
    <w:uiPriority w:val="0"/>
    <w:pPr>
      <w:spacing w:line="240" w:lineRule="auto"/>
      <w:ind w:firstLine="0" w:firstLineChars="0"/>
      <w:jc w:val="center"/>
    </w:pPr>
    <w:rPr>
      <w:sz w:val="21"/>
    </w:rPr>
  </w:style>
  <w:style w:type="paragraph" w:customStyle="1" w:styleId="562">
    <w:name w:val="文件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3">
    <w:name w:val="文表内容"/>
    <w:basedOn w:val="546"/>
    <w:qFormat/>
    <w:uiPriority w:val="0"/>
    <w:rPr>
      <w:w w:val="90"/>
      <w:sz w:val="24"/>
    </w:rPr>
  </w:style>
  <w:style w:type="paragraph" w:customStyle="1" w:styleId="564">
    <w:name w:val="编制人员"/>
    <w:basedOn w:val="1"/>
    <w:qFormat/>
    <w:uiPriority w:val="0"/>
    <w:pPr>
      <w:keepNext/>
      <w:snapToGrid w:val="0"/>
      <w:spacing w:line="300" w:lineRule="auto"/>
      <w:jc w:val="center"/>
    </w:pPr>
    <w:rPr>
      <w:rFonts w:ascii="黑体" w:eastAsia="黑体" w:cs="黑体"/>
      <w:sz w:val="32"/>
      <w:szCs w:val="32"/>
    </w:rPr>
  </w:style>
  <w:style w:type="paragraph" w:customStyle="1" w:styleId="565">
    <w:name w:val="Char21"/>
    <w:basedOn w:val="1"/>
    <w:qFormat/>
    <w:uiPriority w:val="0"/>
    <w:pPr>
      <w:spacing w:line="360" w:lineRule="auto"/>
      <w:ind w:firstLine="196" w:firstLineChars="196"/>
    </w:pPr>
    <w:rPr>
      <w:b/>
      <w:sz w:val="28"/>
      <w:szCs w:val="28"/>
    </w:rPr>
  </w:style>
  <w:style w:type="paragraph" w:customStyle="1" w:styleId="566">
    <w:name w:val="reader-word-layer reader-word-s1-6"/>
    <w:basedOn w:val="1"/>
    <w:qFormat/>
    <w:uiPriority w:val="0"/>
    <w:pPr>
      <w:widowControl/>
      <w:spacing w:before="100" w:beforeAutospacing="1" w:after="100" w:afterAutospacing="1"/>
      <w:jc w:val="left"/>
    </w:pPr>
    <w:rPr>
      <w:rFonts w:ascii="宋体" w:cs="宋体"/>
      <w:kern w:val="0"/>
      <w:sz w:val="24"/>
    </w:rPr>
  </w:style>
  <w:style w:type="paragraph" w:customStyle="1" w:styleId="567">
    <w:name w:val="4.2标题"/>
    <w:basedOn w:val="1"/>
    <w:qFormat/>
    <w:uiPriority w:val="0"/>
    <w:pPr>
      <w:tabs>
        <w:tab w:val="left" w:pos="2160"/>
      </w:tabs>
      <w:spacing w:before="120" w:after="120" w:line="400" w:lineRule="exact"/>
      <w:ind w:left="2160" w:hanging="360"/>
      <w:jc w:val="center"/>
      <w:outlineLvl w:val="2"/>
    </w:pPr>
    <w:rPr>
      <w:rFonts w:ascii="宋体"/>
      <w:b/>
      <w:bCs/>
      <w:color w:val="000000"/>
      <w:sz w:val="28"/>
      <w:szCs w:val="28"/>
    </w:rPr>
  </w:style>
  <w:style w:type="paragraph" w:customStyle="1" w:styleId="568">
    <w:name w:val="封面标准代替信息"/>
    <w:basedOn w:val="569"/>
    <w:qFormat/>
    <w:uiPriority w:val="0"/>
    <w:pPr>
      <w:framePr w:wrap="around"/>
      <w:spacing w:before="57"/>
    </w:pPr>
    <w:rPr>
      <w:rFonts w:ascii="宋体"/>
      <w:sz w:val="21"/>
    </w:rPr>
  </w:style>
  <w:style w:type="paragraph" w:customStyle="1" w:styleId="569">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570">
    <w:name w:val="模板标题2"/>
    <w:basedOn w:val="3"/>
    <w:next w:val="1"/>
    <w:qFormat/>
    <w:uiPriority w:val="0"/>
    <w:pPr>
      <w:tabs>
        <w:tab w:val="left" w:pos="1320"/>
      </w:tabs>
      <w:spacing w:before="240" w:after="240" w:line="240" w:lineRule="auto"/>
      <w:ind w:left="1320" w:hanging="420"/>
      <w:jc w:val="left"/>
    </w:pPr>
    <w:rPr>
      <w:rFonts w:ascii="华文中宋" w:hAnsi="华文中宋" w:eastAsia="黑体"/>
      <w:b w:val="0"/>
      <w:kern w:val="2"/>
      <w:sz w:val="30"/>
      <w:szCs w:val="36"/>
    </w:rPr>
  </w:style>
  <w:style w:type="paragraph" w:customStyle="1" w:styleId="571">
    <w:name w:val="附录五级条标题"/>
    <w:basedOn w:val="417"/>
    <w:next w:val="363"/>
    <w:qFormat/>
    <w:uiPriority w:val="0"/>
    <w:pPr>
      <w:outlineLvl w:val="6"/>
    </w:pPr>
  </w:style>
  <w:style w:type="paragraph" w:customStyle="1" w:styleId="572">
    <w:name w:val="节1"/>
    <w:basedOn w:val="42"/>
    <w:qFormat/>
    <w:uiPriority w:val="0"/>
    <w:pPr>
      <w:snapToGrid w:val="0"/>
      <w:spacing w:before="120" w:after="120" w:line="312" w:lineRule="auto"/>
      <w:ind w:firstLine="567"/>
      <w:outlineLvl w:val="1"/>
    </w:pPr>
    <w:rPr>
      <w:b/>
      <w:spacing w:val="6"/>
      <w:kern w:val="2"/>
      <w:sz w:val="32"/>
      <w:szCs w:val="20"/>
    </w:rPr>
  </w:style>
  <w:style w:type="paragraph" w:customStyle="1" w:styleId="573">
    <w:name w:val="jjj"/>
    <w:basedOn w:val="1"/>
    <w:qFormat/>
    <w:uiPriority w:val="0"/>
    <w:pPr>
      <w:keepNext/>
      <w:keepLines/>
      <w:widowControl/>
      <w:suppressLineNumbers/>
      <w:autoSpaceDE w:val="0"/>
      <w:autoSpaceDN w:val="0"/>
      <w:adjustRightInd w:val="0"/>
      <w:spacing w:before="100"/>
      <w:ind w:left="1440" w:hanging="360"/>
      <w:outlineLvl w:val="1"/>
    </w:pPr>
    <w:rPr>
      <w:rFonts w:ascii="宋体"/>
      <w:kern w:val="0"/>
      <w:sz w:val="28"/>
      <w:szCs w:val="20"/>
    </w:rPr>
  </w:style>
  <w:style w:type="paragraph" w:customStyle="1" w:styleId="574">
    <w:name w:val="b-b5"/>
    <w:basedOn w:val="6"/>
    <w:next w:val="1"/>
    <w:qFormat/>
    <w:uiPriority w:val="0"/>
    <w:pPr>
      <w:keepNext w:val="0"/>
      <w:keepLines w:val="0"/>
      <w:numPr>
        <w:ilvl w:val="0"/>
        <w:numId w:val="0"/>
      </w:numPr>
      <w:spacing w:before="40" w:after="40" w:line="400" w:lineRule="exact"/>
      <w:ind w:firstLine="301"/>
      <w:jc w:val="left"/>
    </w:pPr>
    <w:rPr>
      <w:b w:val="0"/>
      <w:color w:val="000000"/>
      <w:kern w:val="2"/>
      <w:sz w:val="24"/>
      <w:szCs w:val="20"/>
      <w:lang w:val="en-GB"/>
    </w:rPr>
  </w:style>
  <w:style w:type="paragraph" w:customStyle="1" w:styleId="575">
    <w:name w:val="a"/>
    <w:basedOn w:val="1"/>
    <w:qFormat/>
    <w:uiPriority w:val="0"/>
    <w:pPr>
      <w:adjustRightInd w:val="0"/>
      <w:spacing w:line="400" w:lineRule="atLeast"/>
      <w:ind w:left="1134" w:hanging="454"/>
    </w:pPr>
    <w:rPr>
      <w:rFonts w:ascii="Arial" w:hAnsi="Arial"/>
      <w:kern w:val="0"/>
      <w:sz w:val="24"/>
      <w:szCs w:val="20"/>
    </w:rPr>
  </w:style>
  <w:style w:type="paragraph" w:customStyle="1" w:styleId="576">
    <w:name w:val="纯文本2"/>
    <w:basedOn w:val="1"/>
    <w:qFormat/>
    <w:uiPriority w:val="0"/>
    <w:pPr>
      <w:adjustRightInd w:val="0"/>
      <w:jc w:val="left"/>
      <w:textAlignment w:val="baseline"/>
    </w:pPr>
    <w:rPr>
      <w:rFonts w:ascii="宋体"/>
      <w:sz w:val="24"/>
      <w:szCs w:val="20"/>
    </w:rPr>
  </w:style>
  <w:style w:type="paragraph" w:customStyle="1" w:styleId="577">
    <w:name w:val="正文文字（首行缩进2字）"/>
    <w:basedOn w:val="1"/>
    <w:qFormat/>
    <w:uiPriority w:val="0"/>
    <w:pPr>
      <w:spacing w:line="360" w:lineRule="auto"/>
      <w:ind w:firstLine="200" w:firstLineChars="200"/>
    </w:pPr>
    <w:rPr>
      <w:rFonts w:ascii="Arial" w:hAnsi="Arial"/>
      <w:position w:val="-30"/>
      <w:sz w:val="28"/>
    </w:rPr>
  </w:style>
  <w:style w:type="paragraph" w:customStyle="1" w:styleId="578">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79">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580">
    <w:name w:val="编制单位"/>
    <w:basedOn w:val="1"/>
    <w:qFormat/>
    <w:uiPriority w:val="0"/>
    <w:pPr>
      <w:keepNext/>
      <w:snapToGrid w:val="0"/>
      <w:spacing w:beforeLines="50" w:line="300" w:lineRule="auto"/>
      <w:jc w:val="center"/>
    </w:pPr>
    <w:rPr>
      <w:rFonts w:ascii="黑体" w:eastAsia="黑体" w:cs="黑体"/>
      <w:sz w:val="32"/>
      <w:szCs w:val="32"/>
    </w:rPr>
  </w:style>
  <w:style w:type="paragraph" w:customStyle="1" w:styleId="581">
    <w:name w:val="Abs"/>
    <w:basedOn w:val="32"/>
    <w:qFormat/>
    <w:uiPriority w:val="0"/>
    <w:pPr>
      <w:keepNext/>
      <w:widowControl/>
      <w:spacing w:after="160"/>
      <w:jc w:val="left"/>
    </w:pPr>
    <w:rPr>
      <w:rFonts w:ascii="Arial" w:hAnsi="Arial"/>
      <w:sz w:val="24"/>
      <w:szCs w:val="20"/>
      <w:lang w:val="en-GB"/>
    </w:rPr>
  </w:style>
  <w:style w:type="paragraph" w:customStyle="1" w:styleId="582">
    <w:name w:val="表中"/>
    <w:basedOn w:val="1"/>
    <w:qFormat/>
    <w:uiPriority w:val="0"/>
    <w:pPr>
      <w:keepNext/>
      <w:snapToGrid w:val="0"/>
      <w:spacing w:line="200" w:lineRule="atLeast"/>
      <w:jc w:val="center"/>
    </w:pPr>
    <w:rPr>
      <w:rFonts w:ascii="宋体" w:cs="宋体"/>
      <w:sz w:val="24"/>
    </w:rPr>
  </w:style>
  <w:style w:type="paragraph" w:customStyle="1" w:styleId="583">
    <w:name w:val="大标题"/>
    <w:basedOn w:val="7"/>
    <w:next w:val="542"/>
    <w:qFormat/>
    <w:uiPriority w:val="0"/>
    <w:pPr>
      <w:widowControl/>
      <w:spacing w:line="360" w:lineRule="exact"/>
      <w:ind w:firstLine="200" w:firstLineChars="200"/>
      <w:jc w:val="left"/>
    </w:pPr>
    <w:rPr>
      <w:rFonts w:ascii="宋体" w:cs="宋体"/>
      <w:b/>
      <w:kern w:val="2"/>
      <w:sz w:val="21"/>
      <w:szCs w:val="24"/>
    </w:rPr>
  </w:style>
  <w:style w:type="paragraph" w:customStyle="1" w:styleId="584">
    <w:name w:val="图题"/>
    <w:basedOn w:val="1"/>
    <w:qFormat/>
    <w:uiPriority w:val="0"/>
    <w:pPr>
      <w:widowControl/>
      <w:jc w:val="center"/>
    </w:pPr>
    <w:rPr>
      <w:rFonts w:ascii="宋体" w:hAnsi="宋体" w:eastAsia="黑体" w:cs="宋体"/>
      <w:sz w:val="24"/>
    </w:rPr>
  </w:style>
  <w:style w:type="paragraph" w:customStyle="1" w:styleId="585">
    <w:name w:val="封面标题"/>
    <w:basedOn w:val="1"/>
    <w:qFormat/>
    <w:uiPriority w:val="0"/>
    <w:pPr>
      <w:spacing w:line="300" w:lineRule="auto"/>
      <w:jc w:val="center"/>
    </w:pPr>
    <w:rPr>
      <w:rFonts w:ascii="宋体" w:hAnsi="宋体" w:eastAsia="文鼎大标宋简"/>
      <w:sz w:val="28"/>
      <w:szCs w:val="20"/>
    </w:rPr>
  </w:style>
  <w:style w:type="paragraph" w:customStyle="1" w:styleId="586">
    <w:name w:val="模板标题1"/>
    <w:basedOn w:val="2"/>
    <w:next w:val="1"/>
    <w:qFormat/>
    <w:uiPriority w:val="0"/>
    <w:pPr>
      <w:tabs>
        <w:tab w:val="left" w:pos="1200"/>
      </w:tabs>
      <w:spacing w:before="240" w:after="240" w:line="240" w:lineRule="auto"/>
      <w:ind w:left="1200" w:hanging="720"/>
    </w:pPr>
    <w:rPr>
      <w:sz w:val="32"/>
    </w:rPr>
  </w:style>
  <w:style w:type="paragraph" w:customStyle="1" w:styleId="587">
    <w:name w:val="五级条标题"/>
    <w:basedOn w:val="588"/>
    <w:next w:val="363"/>
    <w:qFormat/>
    <w:uiPriority w:val="0"/>
    <w:pPr>
      <w:outlineLvl w:val="6"/>
    </w:pPr>
  </w:style>
  <w:style w:type="paragraph" w:customStyle="1" w:styleId="588">
    <w:name w:val="四级条标题"/>
    <w:basedOn w:val="445"/>
    <w:next w:val="363"/>
    <w:qFormat/>
    <w:uiPriority w:val="0"/>
    <w:pPr>
      <w:tabs>
        <w:tab w:val="clear" w:pos="2100"/>
      </w:tabs>
      <w:ind w:left="1440" w:hanging="1440"/>
      <w:outlineLvl w:val="5"/>
    </w:pPr>
  </w:style>
  <w:style w:type="paragraph" w:customStyle="1" w:styleId="589">
    <w:name w:val="图表标题"/>
    <w:basedOn w:val="1"/>
    <w:qFormat/>
    <w:uiPriority w:val="0"/>
    <w:pPr>
      <w:spacing w:beforeLines="50" w:afterLines="50"/>
      <w:jc w:val="center"/>
    </w:pPr>
    <w:rPr>
      <w:rFonts w:ascii="宋体"/>
      <w:b/>
      <w:szCs w:val="28"/>
    </w:rPr>
  </w:style>
  <w:style w:type="paragraph" w:customStyle="1" w:styleId="590">
    <w:name w:val="(a)正文"/>
    <w:basedOn w:val="1"/>
    <w:qFormat/>
    <w:uiPriority w:val="0"/>
    <w:pPr>
      <w:widowControl/>
      <w:tabs>
        <w:tab w:val="left" w:pos="1871"/>
        <w:tab w:val="left" w:pos="2081"/>
      </w:tabs>
      <w:spacing w:line="360" w:lineRule="exact"/>
      <w:ind w:left="1871" w:hanging="510"/>
    </w:pPr>
    <w:rPr>
      <w:sz w:val="24"/>
      <w:szCs w:val="20"/>
    </w:rPr>
  </w:style>
  <w:style w:type="paragraph" w:customStyle="1" w:styleId="591">
    <w:name w:val="_Style 37"/>
    <w:basedOn w:val="1"/>
    <w:next w:val="1"/>
    <w:qFormat/>
    <w:uiPriority w:val="0"/>
  </w:style>
  <w:style w:type="paragraph" w:customStyle="1" w:styleId="592">
    <w:name w:val="样式 宋体 行距: 固定值 18 磅"/>
    <w:basedOn w:val="1"/>
    <w:qFormat/>
    <w:uiPriority w:val="0"/>
    <w:pPr>
      <w:spacing w:before="30" w:line="360" w:lineRule="exact"/>
    </w:pPr>
    <w:rPr>
      <w:rFonts w:ascii="宋体"/>
      <w:szCs w:val="20"/>
    </w:rPr>
  </w:style>
  <w:style w:type="paragraph" w:customStyle="1" w:styleId="593">
    <w:name w:val="正文进2字"/>
    <w:basedOn w:val="1"/>
    <w:qFormat/>
    <w:uiPriority w:val="0"/>
    <w:pPr>
      <w:spacing w:beforeLines="50" w:afterLines="50" w:line="500" w:lineRule="exact"/>
    </w:pPr>
    <w:rPr>
      <w:snapToGrid w:val="0"/>
      <w:color w:val="000000"/>
      <w:sz w:val="24"/>
    </w:rPr>
  </w:style>
  <w:style w:type="paragraph" w:customStyle="1" w:styleId="594">
    <w:name w:val="test"/>
    <w:basedOn w:val="1"/>
    <w:qFormat/>
    <w:uiPriority w:val="0"/>
    <w:pPr>
      <w:widowControl/>
      <w:overflowPunct w:val="0"/>
      <w:autoSpaceDE w:val="0"/>
      <w:autoSpaceDN w:val="0"/>
      <w:adjustRightInd w:val="0"/>
      <w:spacing w:before="60" w:after="60"/>
      <w:textAlignment w:val="baseline"/>
    </w:pPr>
    <w:rPr>
      <w:rFonts w:ascii="楷体_GB2312" w:eastAsia="楷体_GB2312"/>
      <w:spacing w:val="-30"/>
      <w:kern w:val="0"/>
      <w:sz w:val="22"/>
      <w:szCs w:val="20"/>
    </w:rPr>
  </w:style>
  <w:style w:type="paragraph" w:customStyle="1" w:styleId="595">
    <w:name w:val="条款"/>
    <w:basedOn w:val="1"/>
    <w:next w:val="42"/>
    <w:qFormat/>
    <w:uiPriority w:val="0"/>
    <w:rPr>
      <w:rFonts w:ascii="宋体"/>
      <w:sz w:val="28"/>
      <w:szCs w:val="20"/>
    </w:rPr>
  </w:style>
  <w:style w:type="paragraph" w:customStyle="1" w:styleId="596">
    <w:name w:val="修订111"/>
    <w:qFormat/>
    <w:uiPriority w:val="0"/>
    <w:rPr>
      <w:rFonts w:ascii="Times New Roman" w:hAnsi="Times New Roman" w:eastAsia="宋体" w:cs="Times New Roman"/>
      <w:kern w:val="2"/>
      <w:sz w:val="21"/>
      <w:szCs w:val="24"/>
      <w:lang w:val="en-US" w:eastAsia="zh-CN" w:bidi="ar-SA"/>
    </w:rPr>
  </w:style>
  <w:style w:type="paragraph" w:customStyle="1" w:styleId="597">
    <w:name w:val="第一章"/>
    <w:basedOn w:val="1"/>
    <w:next w:val="83"/>
    <w:qFormat/>
    <w:uiPriority w:val="0"/>
    <w:pPr>
      <w:jc w:val="center"/>
      <w:outlineLvl w:val="0"/>
    </w:pPr>
    <w:rPr>
      <w:b/>
      <w:sz w:val="32"/>
      <w:szCs w:val="32"/>
    </w:rPr>
  </w:style>
  <w:style w:type="paragraph" w:customStyle="1" w:styleId="598">
    <w:name w:val="dian"/>
    <w:basedOn w:val="1"/>
    <w:qFormat/>
    <w:uiPriority w:val="0"/>
    <w:pPr>
      <w:widowControl/>
      <w:tabs>
        <w:tab w:val="left" w:pos="900"/>
      </w:tabs>
      <w:overflowPunct w:val="0"/>
      <w:autoSpaceDE w:val="0"/>
      <w:autoSpaceDN w:val="0"/>
      <w:adjustRightInd w:val="0"/>
      <w:spacing w:line="360" w:lineRule="auto"/>
      <w:ind w:left="900" w:hanging="360"/>
      <w:textAlignment w:val="baseline"/>
    </w:pPr>
    <w:rPr>
      <w:rFonts w:ascii="宋体"/>
      <w:kern w:val="0"/>
      <w:sz w:val="28"/>
      <w:szCs w:val="20"/>
    </w:rPr>
  </w:style>
  <w:style w:type="paragraph" w:customStyle="1" w:styleId="599">
    <w:name w:val="京唐秦正文2"/>
    <w:basedOn w:val="1"/>
    <w:next w:val="1"/>
    <w:qFormat/>
    <w:uiPriority w:val="0"/>
    <w:pPr>
      <w:tabs>
        <w:tab w:val="left" w:pos="700"/>
      </w:tabs>
      <w:snapToGrid w:val="0"/>
      <w:spacing w:beforeLines="50" w:line="360" w:lineRule="auto"/>
      <w:ind w:firstLine="200" w:firstLineChars="200"/>
      <w:jc w:val="left"/>
    </w:pPr>
    <w:rPr>
      <w:bCs/>
      <w:kern w:val="0"/>
      <w:sz w:val="24"/>
      <w:lang w:eastAsia="en-US"/>
    </w:rPr>
  </w:style>
  <w:style w:type="paragraph" w:customStyle="1" w:styleId="600">
    <w:name w:val="章"/>
    <w:basedOn w:val="2"/>
    <w:qFormat/>
    <w:uiPriority w:val="0"/>
    <w:pPr>
      <w:tabs>
        <w:tab w:val="left" w:pos="360"/>
        <w:tab w:val="left" w:pos="1200"/>
      </w:tabs>
      <w:adjustRightInd w:val="0"/>
      <w:snapToGrid w:val="0"/>
      <w:spacing w:before="0" w:after="0" w:line="360" w:lineRule="auto"/>
      <w:ind w:left="870" w:leftChars="150" w:hanging="720"/>
      <w:jc w:val="left"/>
    </w:pPr>
    <w:rPr>
      <w:color w:val="000000"/>
      <w:spacing w:val="-4"/>
      <w:kern w:val="2"/>
      <w:sz w:val="28"/>
      <w:szCs w:val="28"/>
    </w:rPr>
  </w:style>
  <w:style w:type="paragraph" w:customStyle="1" w:styleId="601">
    <w:name w:val="Char Char13 Char Char Char Char Char Char1"/>
    <w:basedOn w:val="1"/>
    <w:qFormat/>
    <w:uiPriority w:val="0"/>
  </w:style>
  <w:style w:type="paragraph" w:customStyle="1" w:styleId="602">
    <w:name w:val="秦沈线"/>
    <w:basedOn w:val="603"/>
    <w:next w:val="315"/>
    <w:qFormat/>
    <w:uiPriority w:val="0"/>
    <w:pPr>
      <w:tabs>
        <w:tab w:val="left" w:pos="700"/>
      </w:tabs>
      <w:spacing w:beforeLines="50"/>
      <w:ind w:firstLine="200" w:firstLineChars="200"/>
    </w:pPr>
    <w:rPr>
      <w:rFonts w:ascii="Times New Roman" w:eastAsia="宋体" w:cs="Times New Roman"/>
      <w:bCs/>
      <w:kern w:val="0"/>
      <w:sz w:val="24"/>
      <w:szCs w:val="24"/>
      <w:lang w:eastAsia="en-US"/>
    </w:rPr>
  </w:style>
  <w:style w:type="paragraph" w:customStyle="1" w:styleId="603">
    <w:name w:val="报告标2"/>
    <w:basedOn w:val="1"/>
    <w:next w:val="1"/>
    <w:qFormat/>
    <w:uiPriority w:val="0"/>
    <w:pPr>
      <w:adjustRightInd w:val="0"/>
      <w:snapToGrid w:val="0"/>
      <w:spacing w:line="300" w:lineRule="auto"/>
    </w:pPr>
    <w:rPr>
      <w:rFonts w:ascii="黑体" w:eastAsia="黑体" w:cs="黑体"/>
      <w:sz w:val="28"/>
      <w:szCs w:val="28"/>
    </w:rPr>
  </w:style>
  <w:style w:type="paragraph" w:customStyle="1" w:styleId="604">
    <w:name w:val="样式4"/>
    <w:basedOn w:val="1"/>
    <w:qFormat/>
    <w:uiPriority w:val="0"/>
    <w:rPr>
      <w:rFonts w:ascii="宋体"/>
      <w:b/>
      <w:bCs/>
      <w:sz w:val="24"/>
      <w:szCs w:val="20"/>
    </w:rPr>
  </w:style>
  <w:style w:type="paragraph" w:customStyle="1" w:styleId="605">
    <w:name w:val="标题2－－张鑫"/>
    <w:basedOn w:val="3"/>
    <w:qFormat/>
    <w:uiPriority w:val="0"/>
    <w:pPr>
      <w:spacing w:before="120" w:after="120" w:line="360" w:lineRule="auto"/>
      <w:jc w:val="center"/>
      <w:textAlignment w:val="center"/>
    </w:pPr>
    <w:rPr>
      <w:rFonts w:ascii="宋体" w:cs="宋体"/>
      <w:bCs w:val="0"/>
      <w:kern w:val="2"/>
      <w:sz w:val="24"/>
      <w:szCs w:val="28"/>
    </w:rPr>
  </w:style>
  <w:style w:type="paragraph" w:customStyle="1" w:styleId="606">
    <w:name w:val="模板标题3"/>
    <w:basedOn w:val="4"/>
    <w:next w:val="1"/>
    <w:qFormat/>
    <w:uiPriority w:val="0"/>
    <w:pPr>
      <w:tabs>
        <w:tab w:val="left" w:pos="1740"/>
      </w:tabs>
      <w:spacing w:before="240" w:after="240" w:line="240" w:lineRule="auto"/>
      <w:ind w:left="1740" w:hanging="420"/>
      <w:jc w:val="left"/>
    </w:pPr>
    <w:rPr>
      <w:rFonts w:ascii="Arial" w:hAnsi="Arial"/>
      <w:bCs w:val="0"/>
      <w:kern w:val="2"/>
      <w:sz w:val="28"/>
    </w:rPr>
  </w:style>
  <w:style w:type="paragraph" w:customStyle="1" w:styleId="607">
    <w:name w:val="报告名"/>
    <w:basedOn w:val="1"/>
    <w:qFormat/>
    <w:uiPriority w:val="0"/>
    <w:pPr>
      <w:keepNext/>
      <w:adjustRightInd w:val="0"/>
      <w:snapToGrid w:val="0"/>
      <w:spacing w:beforeLines="50" w:line="300" w:lineRule="auto"/>
      <w:ind w:firstLine="2" w:firstLineChars="2"/>
      <w:jc w:val="center"/>
    </w:pPr>
    <w:rPr>
      <w:rFonts w:ascii="文鼎大标宋简" w:eastAsia="文鼎大标宋简" w:cs="文鼎大标宋简"/>
      <w:sz w:val="56"/>
      <w:szCs w:val="56"/>
    </w:rPr>
  </w:style>
  <w:style w:type="paragraph" w:customStyle="1" w:styleId="60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60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10">
    <w:name w:val="列出段落2"/>
    <w:basedOn w:val="1"/>
    <w:qFormat/>
    <w:uiPriority w:val="0"/>
    <w:pPr>
      <w:ind w:firstLine="200" w:firstLineChars="200"/>
    </w:pPr>
    <w:rPr>
      <w:rFonts w:ascii="Calibri" w:hAnsi="Calibri"/>
      <w:szCs w:val="22"/>
    </w:rPr>
  </w:style>
  <w:style w:type="paragraph" w:customStyle="1" w:styleId="611">
    <w:name w:val="专业签署"/>
    <w:basedOn w:val="1"/>
    <w:qFormat/>
    <w:uiPriority w:val="0"/>
    <w:pPr>
      <w:keepNext/>
      <w:snapToGrid w:val="0"/>
      <w:spacing w:beforeLines="50" w:after="120" w:line="300" w:lineRule="auto"/>
      <w:jc w:val="center"/>
    </w:pPr>
    <w:rPr>
      <w:rFonts w:ascii="宋体" w:cs="宋体"/>
      <w:sz w:val="32"/>
      <w:szCs w:val="32"/>
    </w:rPr>
  </w:style>
  <w:style w:type="paragraph" w:customStyle="1" w:styleId="612">
    <w:name w:val="CM91"/>
    <w:basedOn w:val="147"/>
    <w:next w:val="147"/>
    <w:qFormat/>
    <w:uiPriority w:val="0"/>
    <w:pPr>
      <w:spacing w:after="160"/>
    </w:pPr>
    <w:rPr>
      <w:rFonts w:ascii="宋体"/>
      <w:color w:val="auto"/>
      <w:szCs w:val="20"/>
    </w:rPr>
  </w:style>
  <w:style w:type="paragraph" w:customStyle="1" w:styleId="613">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4">
    <w:name w:val="Head"/>
    <w:basedOn w:val="2"/>
    <w:qFormat/>
    <w:uiPriority w:val="0"/>
    <w:pPr>
      <w:keepLines w:val="0"/>
      <w:pageBreakBefore/>
      <w:widowControl/>
      <w:overflowPunct w:val="0"/>
      <w:autoSpaceDE w:val="0"/>
      <w:autoSpaceDN w:val="0"/>
      <w:adjustRightInd w:val="0"/>
      <w:spacing w:before="120" w:after="240" w:line="307" w:lineRule="auto"/>
      <w:jc w:val="center"/>
      <w:textAlignment w:val="baseline"/>
      <w:outlineLvl w:val="9"/>
    </w:pPr>
    <w:rPr>
      <w:rFonts w:ascii="Arial" w:hAnsi="Arial"/>
      <w:b w:val="0"/>
      <w:bCs w:val="0"/>
      <w:kern w:val="28"/>
      <w:sz w:val="40"/>
      <w:szCs w:val="20"/>
    </w:rPr>
  </w:style>
  <w:style w:type="paragraph" w:customStyle="1" w:styleId="615">
    <w:name w:val="2"/>
    <w:basedOn w:val="3"/>
    <w:qFormat/>
    <w:uiPriority w:val="0"/>
    <w:pPr>
      <w:tabs>
        <w:tab w:val="left" w:pos="1134"/>
        <w:tab w:val="left" w:pos="1410"/>
      </w:tabs>
      <w:spacing w:before="60" w:after="60" w:line="300" w:lineRule="auto"/>
      <w:ind w:left="1410" w:hanging="420"/>
    </w:pPr>
    <w:rPr>
      <w:rFonts w:ascii="Arial" w:hAnsi="Arial" w:eastAsia="黑体"/>
      <w:bCs w:val="0"/>
      <w:kern w:val="2"/>
      <w:sz w:val="30"/>
      <w:szCs w:val="20"/>
    </w:rPr>
  </w:style>
  <w:style w:type="paragraph" w:customStyle="1" w:styleId="616">
    <w:name w:val="标题 51"/>
    <w:basedOn w:val="1"/>
    <w:next w:val="402"/>
    <w:qFormat/>
    <w:uiPriority w:val="0"/>
    <w:pPr>
      <w:tabs>
        <w:tab w:val="left" w:pos="-709"/>
        <w:tab w:val="left" w:pos="284"/>
        <w:tab w:val="left" w:pos="851"/>
      </w:tabs>
      <w:snapToGrid w:val="0"/>
      <w:spacing w:line="300" w:lineRule="auto"/>
      <w:ind w:left="2520" w:hanging="420"/>
      <w:textAlignment w:val="baseline"/>
      <w:outlineLvl w:val="4"/>
    </w:pPr>
    <w:rPr>
      <w:b/>
      <w:kern w:val="0"/>
      <w:sz w:val="28"/>
      <w:szCs w:val="20"/>
    </w:rPr>
  </w:style>
  <w:style w:type="paragraph" w:customStyle="1" w:styleId="61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8">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19">
    <w:name w:val="列出段落11"/>
    <w:basedOn w:val="1"/>
    <w:qFormat/>
    <w:uiPriority w:val="0"/>
    <w:pPr>
      <w:ind w:firstLine="200" w:firstLineChars="200"/>
    </w:pPr>
    <w:rPr>
      <w:rFonts w:ascii="Calibri" w:hAnsi="Calibri"/>
      <w:szCs w:val="22"/>
    </w:rPr>
  </w:style>
  <w:style w:type="paragraph" w:customStyle="1" w:styleId="620">
    <w:name w:val="项目名称"/>
    <w:basedOn w:val="1"/>
    <w:qFormat/>
    <w:uiPriority w:val="0"/>
    <w:pPr>
      <w:adjustRightInd w:val="0"/>
      <w:snapToGrid w:val="0"/>
      <w:spacing w:line="360" w:lineRule="auto"/>
      <w:jc w:val="center"/>
    </w:pPr>
    <w:rPr>
      <w:rFonts w:ascii="文鼎大标宋简" w:eastAsia="文鼎大标宋简"/>
      <w:sz w:val="56"/>
      <w:szCs w:val="20"/>
    </w:rPr>
  </w:style>
  <w:style w:type="paragraph" w:customStyle="1" w:styleId="621">
    <w:name w:val="表内"/>
    <w:basedOn w:val="1"/>
    <w:qFormat/>
    <w:uiPriority w:val="0"/>
    <w:pPr>
      <w:widowControl/>
      <w:jc w:val="center"/>
    </w:pPr>
    <w:rPr>
      <w:rFonts w:ascii="宋体" w:cs="宋体"/>
    </w:rPr>
  </w:style>
  <w:style w:type="paragraph" w:customStyle="1" w:styleId="622">
    <w:name w:val="样式 l_text + 段后: 3.6 磅"/>
    <w:basedOn w:val="360"/>
    <w:qFormat/>
    <w:uiPriority w:val="0"/>
    <w:pPr>
      <w:topLinePunct/>
      <w:autoSpaceDE/>
      <w:autoSpaceDN/>
      <w:spacing w:after="72"/>
    </w:pPr>
  </w:style>
  <w:style w:type="paragraph" w:customStyle="1" w:styleId="623">
    <w:name w:val="封面正文"/>
    <w:qFormat/>
    <w:uiPriority w:val="0"/>
    <w:pPr>
      <w:jc w:val="both"/>
    </w:pPr>
    <w:rPr>
      <w:rFonts w:ascii="Times New Roman" w:hAnsi="Times New Roman" w:eastAsia="宋体" w:cs="Times New Roman"/>
      <w:lang w:val="en-US" w:eastAsia="zh-CN" w:bidi="ar-SA"/>
    </w:rPr>
  </w:style>
  <w:style w:type="paragraph" w:customStyle="1" w:styleId="624">
    <w:name w:val="ZB表格"/>
    <w:basedOn w:val="1"/>
    <w:qFormat/>
    <w:uiPriority w:val="0"/>
    <w:pPr>
      <w:spacing w:before="60" w:after="60" w:line="0" w:lineRule="atLeast"/>
    </w:pPr>
  </w:style>
  <w:style w:type="paragraph" w:customStyle="1" w:styleId="625">
    <w:name w:val="样式2"/>
    <w:basedOn w:val="1"/>
    <w:qFormat/>
    <w:uiPriority w:val="0"/>
    <w:pPr>
      <w:tabs>
        <w:tab w:val="left" w:pos="1134"/>
      </w:tabs>
      <w:adjustRightInd w:val="0"/>
      <w:snapToGrid w:val="0"/>
      <w:spacing w:line="360" w:lineRule="auto"/>
      <w:ind w:left="1134" w:hanging="510"/>
    </w:pPr>
    <w:rPr>
      <w:sz w:val="28"/>
      <w:szCs w:val="20"/>
    </w:rPr>
  </w:style>
  <w:style w:type="paragraph" w:customStyle="1" w:styleId="626">
    <w:name w:val="图表名"/>
    <w:basedOn w:val="1"/>
    <w:next w:val="1"/>
    <w:qFormat/>
    <w:uiPriority w:val="0"/>
    <w:pPr>
      <w:adjustRightInd w:val="0"/>
      <w:snapToGrid w:val="0"/>
      <w:jc w:val="center"/>
    </w:pPr>
    <w:rPr>
      <w:rFonts w:ascii="宋体" w:cs="宋体"/>
      <w:sz w:val="24"/>
    </w:rPr>
  </w:style>
  <w:style w:type="paragraph" w:customStyle="1" w:styleId="627">
    <w:name w:val="cucd-1"/>
    <w:next w:val="549"/>
    <w:qFormat/>
    <w:uiPriority w:val="0"/>
    <w:pPr>
      <w:pageBreakBefore/>
      <w:tabs>
        <w:tab w:val="left" w:pos="778"/>
        <w:tab w:val="left" w:pos="3305"/>
      </w:tabs>
      <w:spacing w:beforeLines="100" w:afterLines="50" w:line="360" w:lineRule="auto"/>
      <w:ind w:left="778" w:hanging="360"/>
      <w:jc w:val="center"/>
      <w:outlineLvl w:val="0"/>
    </w:pPr>
    <w:rPr>
      <w:rFonts w:ascii="Times New Roman" w:hAnsi="Times New Roman" w:eastAsia="黑体" w:cs="Times New Roman"/>
      <w:b/>
      <w:kern w:val="2"/>
      <w:sz w:val="36"/>
      <w:lang w:val="en-US" w:eastAsia="zh-CN" w:bidi="ar-SA"/>
    </w:rPr>
  </w:style>
  <w:style w:type="paragraph" w:customStyle="1" w:styleId="628">
    <w:name w:val="2-2ji"/>
    <w:basedOn w:val="3"/>
    <w:qFormat/>
    <w:uiPriority w:val="0"/>
    <w:pPr>
      <w:spacing w:before="0" w:after="0" w:line="360" w:lineRule="auto"/>
      <w:jc w:val="center"/>
    </w:pPr>
    <w:rPr>
      <w:rFonts w:ascii="宋体"/>
      <w:kern w:val="2"/>
      <w:sz w:val="36"/>
      <w:szCs w:val="24"/>
    </w:rPr>
  </w:style>
  <w:style w:type="paragraph" w:customStyle="1" w:styleId="629">
    <w:name w:val="table"/>
    <w:basedOn w:val="1"/>
    <w:qFormat/>
    <w:uiPriority w:val="0"/>
    <w:pPr>
      <w:widowControl/>
      <w:overflowPunct w:val="0"/>
      <w:autoSpaceDE w:val="0"/>
      <w:autoSpaceDN w:val="0"/>
      <w:adjustRightInd w:val="0"/>
      <w:spacing w:before="60" w:after="60"/>
      <w:ind w:left="-115" w:firstLine="115"/>
      <w:jc w:val="center"/>
      <w:textAlignment w:val="baseline"/>
    </w:pPr>
    <w:rPr>
      <w:rFonts w:ascii="仿宋体" w:eastAsia="仿宋体"/>
      <w:kern w:val="0"/>
      <w:sz w:val="24"/>
      <w:szCs w:val="20"/>
    </w:rPr>
  </w:style>
  <w:style w:type="paragraph" w:customStyle="1" w:styleId="630">
    <w:name w:val="数字正文"/>
    <w:basedOn w:val="1"/>
    <w:qFormat/>
    <w:uiPriority w:val="0"/>
    <w:pPr>
      <w:spacing w:beforeLines="50" w:afterLines="50" w:line="300" w:lineRule="auto"/>
    </w:pPr>
    <w:rPr>
      <w:snapToGrid w:val="0"/>
      <w:color w:val="000000"/>
      <w:sz w:val="24"/>
    </w:rPr>
  </w:style>
  <w:style w:type="paragraph" w:customStyle="1" w:styleId="631">
    <w:name w:val="设计正文"/>
    <w:basedOn w:val="1"/>
    <w:qFormat/>
    <w:uiPriority w:val="0"/>
    <w:pPr>
      <w:spacing w:line="420" w:lineRule="exact"/>
      <w:ind w:firstLine="200" w:firstLineChars="200"/>
    </w:pPr>
    <w:rPr>
      <w:sz w:val="24"/>
      <w:szCs w:val="20"/>
    </w:rPr>
  </w:style>
  <w:style w:type="paragraph" w:customStyle="1" w:styleId="632">
    <w:name w:val="五级无标题条"/>
    <w:basedOn w:val="1"/>
    <w:qFormat/>
    <w:uiPriority w:val="0"/>
    <w:rPr>
      <w:szCs w:val="20"/>
    </w:rPr>
  </w:style>
  <w:style w:type="paragraph" w:customStyle="1" w:styleId="633">
    <w:name w:val="1.1编号"/>
    <w:basedOn w:val="1"/>
    <w:qFormat/>
    <w:uiPriority w:val="0"/>
    <w:pPr>
      <w:widowControl/>
      <w:tabs>
        <w:tab w:val="left" w:pos="567"/>
        <w:tab w:val="left" w:pos="1684"/>
      </w:tabs>
      <w:spacing w:before="120" w:after="80" w:line="380" w:lineRule="exact"/>
      <w:ind w:left="1683" w:hanging="720"/>
    </w:pPr>
    <w:rPr>
      <w:b/>
      <w:spacing w:val="20"/>
      <w:sz w:val="24"/>
      <w:szCs w:val="20"/>
    </w:rPr>
  </w:style>
  <w:style w:type="paragraph" w:customStyle="1" w:styleId="634">
    <w:name w:val="ZB第一章"/>
    <w:basedOn w:val="3"/>
    <w:qFormat/>
    <w:uiPriority w:val="0"/>
    <w:pPr>
      <w:tabs>
        <w:tab w:val="left" w:pos="0"/>
      </w:tabs>
      <w:adjustRightInd w:val="0"/>
      <w:snapToGrid w:val="0"/>
      <w:spacing w:before="0" w:after="0" w:line="360" w:lineRule="auto"/>
      <w:ind w:left="840" w:hanging="420"/>
      <w:jc w:val="center"/>
    </w:pPr>
    <w:rPr>
      <w:rFonts w:ascii="Arial" w:hAnsi="Arial" w:eastAsia="黑体"/>
      <w:kern w:val="2"/>
      <w:sz w:val="44"/>
    </w:rPr>
  </w:style>
  <w:style w:type="paragraph" w:customStyle="1" w:styleId="635">
    <w:name w:val="正文 + 加粗"/>
    <w:basedOn w:val="1"/>
    <w:qFormat/>
    <w:uiPriority w:val="0"/>
    <w:pPr>
      <w:spacing w:line="312" w:lineRule="auto"/>
    </w:pPr>
    <w:rPr>
      <w:rFonts w:ascii="Arial" w:hAnsi="Arial"/>
      <w:b/>
      <w:szCs w:val="20"/>
    </w:rPr>
  </w:style>
  <w:style w:type="paragraph" w:customStyle="1" w:styleId="636">
    <w:name w:val="2级标题 + 非加粗"/>
    <w:basedOn w:val="3"/>
    <w:next w:val="3"/>
    <w:qFormat/>
    <w:uiPriority w:val="0"/>
    <w:pPr>
      <w:widowControl/>
      <w:adjustRightInd w:val="0"/>
      <w:snapToGrid w:val="0"/>
      <w:spacing w:beforeLines="50" w:line="415" w:lineRule="auto"/>
      <w:ind w:firstLine="200" w:firstLineChars="200"/>
    </w:pPr>
    <w:rPr>
      <w:rFonts w:ascii="Arial" w:hAnsi="Arial" w:eastAsia="黑体"/>
      <w:b w:val="0"/>
      <w:sz w:val="28"/>
    </w:rPr>
  </w:style>
  <w:style w:type="paragraph" w:customStyle="1" w:styleId="637">
    <w:name w:val="建设（委托）单位"/>
    <w:basedOn w:val="1"/>
    <w:qFormat/>
    <w:uiPriority w:val="0"/>
    <w:pPr>
      <w:keepNext/>
      <w:snapToGrid w:val="0"/>
      <w:spacing w:line="300" w:lineRule="auto"/>
      <w:jc w:val="center"/>
    </w:pPr>
    <w:rPr>
      <w:rFonts w:ascii="宋体" w:cs="宋体"/>
      <w:sz w:val="32"/>
      <w:szCs w:val="32"/>
    </w:rPr>
  </w:style>
  <w:style w:type="paragraph" w:customStyle="1" w:styleId="638">
    <w:name w:val="标题一"/>
    <w:basedOn w:val="1"/>
    <w:next w:val="1"/>
    <w:qFormat/>
    <w:uiPriority w:val="0"/>
    <w:pPr>
      <w:widowControl/>
      <w:tabs>
        <w:tab w:val="left" w:pos="0"/>
        <w:tab w:val="left" w:pos="420"/>
        <w:tab w:val="left" w:pos="3649"/>
      </w:tabs>
      <w:spacing w:beforeLines="200" w:afterLines="200"/>
      <w:ind w:left="3649" w:hanging="1125"/>
      <w:outlineLvl w:val="0"/>
    </w:pPr>
    <w:rPr>
      <w:rFonts w:ascii="宋体" w:cs="宋体"/>
      <w:b/>
      <w:sz w:val="36"/>
    </w:rPr>
  </w:style>
  <w:style w:type="paragraph" w:customStyle="1" w:styleId="639">
    <w:name w:val="Zchn Zchn1 Char Char Zchn Zchn Char Char3"/>
    <w:basedOn w:val="1"/>
    <w:qFormat/>
    <w:uiPriority w:val="0"/>
    <w:rPr>
      <w:szCs w:val="20"/>
    </w:rPr>
  </w:style>
  <w:style w:type="paragraph" w:customStyle="1" w:styleId="640">
    <w:name w:val="节内编号2"/>
    <w:qFormat/>
    <w:uiPriority w:val="0"/>
    <w:pPr>
      <w:adjustRightInd w:val="0"/>
      <w:snapToGrid w:val="0"/>
      <w:spacing w:line="300" w:lineRule="auto"/>
      <w:ind w:right="100" w:rightChars="100"/>
      <w:jc w:val="both"/>
    </w:pPr>
    <w:rPr>
      <w:rFonts w:ascii="宋体" w:hAnsi="Times New Roman" w:eastAsia="宋体" w:cs="宋体"/>
      <w:color w:val="000000"/>
      <w:sz w:val="28"/>
      <w:szCs w:val="28"/>
      <w:lang w:val="en-US" w:eastAsia="zh-CN" w:bidi="ar-SA"/>
    </w:rPr>
  </w:style>
  <w:style w:type="paragraph" w:customStyle="1" w:styleId="641">
    <w:name w:val="1.1.1.1"/>
    <w:basedOn w:val="1"/>
    <w:qFormat/>
    <w:uiPriority w:val="0"/>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paragraph" w:customStyle="1" w:styleId="642">
    <w:name w:val="标题 711"/>
    <w:basedOn w:val="1"/>
    <w:next w:val="402"/>
    <w:qFormat/>
    <w:uiPriority w:val="0"/>
    <w:pPr>
      <w:keepNext/>
      <w:keepLines/>
      <w:tabs>
        <w:tab w:val="left" w:pos="-709"/>
        <w:tab w:val="left" w:pos="284"/>
      </w:tabs>
      <w:spacing w:before="240" w:after="64" w:line="320" w:lineRule="atLeast"/>
      <w:ind w:left="3360" w:hanging="420"/>
      <w:textAlignment w:val="baseline"/>
      <w:outlineLvl w:val="6"/>
    </w:pPr>
    <w:rPr>
      <w:b/>
      <w:kern w:val="0"/>
      <w:sz w:val="24"/>
      <w:szCs w:val="20"/>
    </w:rPr>
  </w:style>
  <w:style w:type="paragraph" w:customStyle="1" w:styleId="643">
    <w:name w:val="样式 样式4 + 段前: 1 行 段后: 0.5 行"/>
    <w:basedOn w:val="604"/>
    <w:qFormat/>
    <w:uiPriority w:val="0"/>
    <w:pPr>
      <w:keepNext/>
      <w:keepLines/>
      <w:numPr>
        <w:ilvl w:val="1"/>
        <w:numId w:val="1"/>
      </w:numPr>
      <w:spacing w:before="100" w:after="50" w:line="360" w:lineRule="auto"/>
      <w:outlineLvl w:val="1"/>
    </w:pPr>
    <w:rPr>
      <w:rFonts w:ascii="Times New Roman" w:eastAsia="仿宋_GB2312" w:cs="宋体"/>
      <w:bCs w:val="0"/>
      <w:color w:val="000000"/>
      <w:sz w:val="28"/>
    </w:rPr>
  </w:style>
  <w:style w:type="paragraph" w:customStyle="1" w:styleId="644">
    <w:name w:val="宽小4"/>
    <w:basedOn w:val="1"/>
    <w:qFormat/>
    <w:uiPriority w:val="0"/>
    <w:pPr>
      <w:snapToGrid w:val="0"/>
      <w:jc w:val="center"/>
    </w:pPr>
    <w:rPr>
      <w:rFonts w:ascii="仿宋_GB2312" w:hAnsi="仿宋_GB2312"/>
      <w:b/>
      <w:snapToGrid w:val="0"/>
      <w:w w:val="90"/>
      <w:sz w:val="24"/>
      <w:szCs w:val="20"/>
    </w:rPr>
  </w:style>
  <w:style w:type="paragraph" w:customStyle="1" w:styleId="645">
    <w:name w:val="一、"/>
    <w:basedOn w:val="1"/>
    <w:next w:val="83"/>
    <w:qFormat/>
    <w:uiPriority w:val="0"/>
    <w:pPr>
      <w:ind w:firstLine="200" w:firstLineChars="200"/>
      <w:outlineLvl w:val="2"/>
    </w:pPr>
    <w:rPr>
      <w:b/>
      <w:sz w:val="28"/>
    </w:rPr>
  </w:style>
  <w:style w:type="paragraph" w:customStyle="1" w:styleId="646">
    <w:name w:val="CM8"/>
    <w:basedOn w:val="147"/>
    <w:next w:val="147"/>
    <w:qFormat/>
    <w:uiPriority w:val="0"/>
    <w:pPr>
      <w:adjustRightInd/>
      <w:spacing w:line="360" w:lineRule="atLeast"/>
    </w:pPr>
    <w:rPr>
      <w:rFonts w:ascii="宋体"/>
      <w:szCs w:val="20"/>
    </w:rPr>
  </w:style>
  <w:style w:type="paragraph" w:customStyle="1" w:styleId="647">
    <w:name w:val="附件"/>
    <w:basedOn w:val="2"/>
    <w:qFormat/>
    <w:uiPriority w:val="0"/>
    <w:pPr>
      <w:tabs>
        <w:tab w:val="left" w:pos="1080"/>
      </w:tabs>
      <w:snapToGrid w:val="0"/>
      <w:spacing w:beforeLines="50" w:after="60" w:line="420" w:lineRule="auto"/>
      <w:ind w:left="150" w:leftChars="150"/>
    </w:pPr>
    <w:rPr>
      <w:rFonts w:eastAsia="黑体"/>
      <w:b w:val="0"/>
      <w:bCs w:val="0"/>
      <w:sz w:val="30"/>
      <w:szCs w:val="30"/>
    </w:rPr>
  </w:style>
  <w:style w:type="paragraph" w:customStyle="1" w:styleId="648">
    <w:name w:val="报告题目"/>
    <w:basedOn w:val="2"/>
    <w:qFormat/>
    <w:uiPriority w:val="0"/>
    <w:pPr>
      <w:widowControl/>
      <w:autoSpaceDE w:val="0"/>
      <w:autoSpaceDN w:val="0"/>
      <w:spacing w:before="480" w:after="120" w:line="240" w:lineRule="auto"/>
      <w:jc w:val="center"/>
      <w:outlineLvl w:val="9"/>
    </w:pPr>
    <w:rPr>
      <w:rFonts w:ascii="Arial" w:hAnsi="Arial" w:eastAsia="黑体" w:cs="宋体"/>
      <w:bCs w:val="0"/>
      <w:sz w:val="30"/>
      <w:szCs w:val="24"/>
    </w:rPr>
  </w:style>
  <w:style w:type="paragraph" w:customStyle="1" w:styleId="649">
    <w:name w:val="目次"/>
    <w:basedOn w:val="1"/>
    <w:qFormat/>
    <w:uiPriority w:val="0"/>
    <w:pPr>
      <w:keepNext/>
      <w:snapToGrid w:val="0"/>
      <w:spacing w:beforeLines="50" w:line="300" w:lineRule="auto"/>
      <w:ind w:firstLine="1304"/>
      <w:jc w:val="center"/>
    </w:pPr>
    <w:rPr>
      <w:rFonts w:ascii="宋体" w:hAnsi="宋体" w:eastAsia="黑体" w:cs="宋体"/>
      <w:spacing w:val="480"/>
      <w:sz w:val="32"/>
      <w:szCs w:val="32"/>
    </w:rPr>
  </w:style>
  <w:style w:type="paragraph" w:customStyle="1" w:styleId="650">
    <w:name w:val="face"/>
    <w:basedOn w:val="1"/>
    <w:qFormat/>
    <w:uiPriority w:val="0"/>
    <w:pPr>
      <w:widowControl/>
      <w:overflowPunct w:val="0"/>
      <w:autoSpaceDE w:val="0"/>
      <w:autoSpaceDN w:val="0"/>
      <w:adjustRightInd w:val="0"/>
      <w:spacing w:before="60" w:after="60" w:line="240" w:lineRule="atLeast"/>
      <w:ind w:firstLine="567"/>
      <w:textAlignment w:val="baseline"/>
    </w:pPr>
    <w:rPr>
      <w:rFonts w:ascii="仿宋体" w:eastAsia="仿宋体"/>
      <w:kern w:val="0"/>
      <w:sz w:val="24"/>
      <w:szCs w:val="20"/>
    </w:rPr>
  </w:style>
  <w:style w:type="paragraph" w:customStyle="1" w:styleId="651">
    <w:name w:val="参考文献、索引标题"/>
    <w:basedOn w:val="613"/>
    <w:next w:val="1"/>
    <w:qFormat/>
    <w:uiPriority w:val="0"/>
    <w:pPr>
      <w:spacing w:after="200"/>
    </w:pPr>
    <w:rPr>
      <w:sz w:val="21"/>
    </w:rPr>
  </w:style>
  <w:style w:type="paragraph" w:customStyle="1" w:styleId="652">
    <w:name w:val="来源"/>
    <w:basedOn w:val="1"/>
    <w:qFormat/>
    <w:uiPriority w:val="0"/>
    <w:pPr>
      <w:ind w:firstLine="200" w:firstLineChars="200"/>
    </w:pPr>
  </w:style>
  <w:style w:type="paragraph" w:customStyle="1" w:styleId="653">
    <w:name w:val="1级标题"/>
    <w:basedOn w:val="2"/>
    <w:qFormat/>
    <w:uiPriority w:val="0"/>
    <w:pPr>
      <w:widowControl/>
      <w:adjustRightInd w:val="0"/>
      <w:snapToGrid w:val="0"/>
      <w:spacing w:beforeLines="50" w:after="0" w:line="300" w:lineRule="auto"/>
      <w:jc w:val="center"/>
    </w:pPr>
    <w:rPr>
      <w:rFonts w:ascii="黑体" w:eastAsia="黑体" w:cs="宋体"/>
      <w:sz w:val="28"/>
      <w:szCs w:val="20"/>
    </w:rPr>
  </w:style>
  <w:style w:type="paragraph" w:customStyle="1" w:styleId="654">
    <w:name w:val="Char Char Char Char Char Char Char1"/>
    <w:basedOn w:val="1"/>
    <w:qFormat/>
    <w:uiPriority w:val="0"/>
    <w:pPr>
      <w:adjustRightInd w:val="0"/>
      <w:spacing w:line="360" w:lineRule="auto"/>
    </w:pPr>
    <w:rPr>
      <w:kern w:val="0"/>
      <w:sz w:val="24"/>
      <w:szCs w:val="20"/>
    </w:rPr>
  </w:style>
  <w:style w:type="paragraph" w:customStyle="1" w:styleId="655">
    <w:name w:val="第一卷"/>
    <w:qFormat/>
    <w:uiPriority w:val="0"/>
    <w:pPr>
      <w:widowControl w:val="0"/>
      <w:spacing w:beforeLines="100" w:afterLines="50"/>
      <w:jc w:val="center"/>
      <w:outlineLvl w:val="0"/>
    </w:pPr>
    <w:rPr>
      <w:rFonts w:ascii="方正小标宋简体" w:hAnsi="Times New Roman" w:eastAsia="方正小标宋简体" w:cs="宋体"/>
      <w:kern w:val="44"/>
      <w:sz w:val="36"/>
      <w:szCs w:val="36"/>
      <w:lang w:val="en-US" w:eastAsia="zh-CN" w:bidi="ar-SA"/>
    </w:rPr>
  </w:style>
  <w:style w:type="paragraph" w:customStyle="1" w:styleId="656">
    <w:name w:val="修订11"/>
    <w:qFormat/>
    <w:uiPriority w:val="0"/>
    <w:rPr>
      <w:rFonts w:ascii="Times New Roman" w:hAnsi="Times New Roman" w:eastAsia="宋体" w:cs="Times New Roman"/>
      <w:kern w:val="2"/>
      <w:sz w:val="21"/>
      <w:szCs w:val="24"/>
      <w:lang w:val="en-US" w:eastAsia="zh-CN" w:bidi="ar-SA"/>
    </w:rPr>
  </w:style>
  <w:style w:type="paragraph" w:customStyle="1" w:styleId="657">
    <w:name w:val="秦沈线1"/>
    <w:basedOn w:val="1"/>
    <w:next w:val="1"/>
    <w:qFormat/>
    <w:uiPriority w:val="0"/>
    <w:pPr>
      <w:tabs>
        <w:tab w:val="left" w:pos="700"/>
      </w:tabs>
      <w:adjustRightInd w:val="0"/>
      <w:snapToGrid w:val="0"/>
      <w:spacing w:beforeLines="50" w:line="300" w:lineRule="auto"/>
      <w:ind w:firstLine="200" w:firstLineChars="200"/>
    </w:pPr>
    <w:rPr>
      <w:rFonts w:ascii="仿宋_GB2312" w:eastAsia="仿宋_GB2312"/>
      <w:b/>
      <w:bCs/>
      <w:snapToGrid w:val="0"/>
      <w:kern w:val="0"/>
      <w:sz w:val="28"/>
      <w:szCs w:val="28"/>
      <w:lang w:eastAsia="en-US"/>
    </w:rPr>
  </w:style>
  <w:style w:type="paragraph" w:customStyle="1" w:styleId="658">
    <w:name w:val="CM2"/>
    <w:basedOn w:val="147"/>
    <w:next w:val="147"/>
    <w:qFormat/>
    <w:uiPriority w:val="0"/>
    <w:pPr>
      <w:adjustRightInd/>
      <w:spacing w:line="360" w:lineRule="atLeast"/>
    </w:pPr>
    <w:rPr>
      <w:rFonts w:ascii="宋体"/>
      <w:szCs w:val="20"/>
    </w:rPr>
  </w:style>
  <w:style w:type="paragraph" w:customStyle="1" w:styleId="659">
    <w:name w:val="Char Char Char Char Char Char1"/>
    <w:basedOn w:val="1"/>
    <w:qFormat/>
    <w:uiPriority w:val="0"/>
    <w:rPr>
      <w:rFonts w:ascii="Tahoma" w:hAnsi="Tahoma"/>
      <w:sz w:val="24"/>
    </w:rPr>
  </w:style>
  <w:style w:type="paragraph" w:customStyle="1" w:styleId="660">
    <w:name w:val="point"/>
    <w:basedOn w:val="1"/>
    <w:qFormat/>
    <w:uiPriority w:val="0"/>
    <w:pPr>
      <w:tabs>
        <w:tab w:val="left" w:pos="845"/>
      </w:tabs>
      <w:overflowPunct w:val="0"/>
      <w:autoSpaceDE w:val="0"/>
      <w:autoSpaceDN w:val="0"/>
      <w:adjustRightInd w:val="0"/>
      <w:spacing w:before="60" w:line="360" w:lineRule="auto"/>
      <w:textAlignment w:val="baseline"/>
    </w:pPr>
    <w:rPr>
      <w:rFonts w:ascii="宋体"/>
      <w:kern w:val="0"/>
      <w:sz w:val="28"/>
      <w:szCs w:val="20"/>
      <w:lang w:val="en-GB" w:eastAsia="en-GB"/>
    </w:rPr>
  </w:style>
  <w:style w:type="paragraph" w:customStyle="1" w:styleId="661">
    <w:name w:val="CM6"/>
    <w:basedOn w:val="147"/>
    <w:next w:val="147"/>
    <w:qFormat/>
    <w:uiPriority w:val="0"/>
    <w:pPr>
      <w:adjustRightInd/>
      <w:spacing w:line="360" w:lineRule="atLeast"/>
    </w:pPr>
    <w:rPr>
      <w:rFonts w:ascii="宋体"/>
      <w:szCs w:val="20"/>
    </w:rPr>
  </w:style>
  <w:style w:type="paragraph" w:customStyle="1" w:styleId="662">
    <w:name w:val="reader-word-layer reader-word-s1-5"/>
    <w:basedOn w:val="1"/>
    <w:qFormat/>
    <w:uiPriority w:val="0"/>
    <w:pPr>
      <w:widowControl/>
      <w:spacing w:before="100" w:beforeAutospacing="1" w:after="100" w:afterAutospacing="1"/>
      <w:jc w:val="left"/>
    </w:pPr>
    <w:rPr>
      <w:rFonts w:ascii="宋体" w:cs="宋体"/>
      <w:kern w:val="0"/>
      <w:sz w:val="24"/>
    </w:rPr>
  </w:style>
  <w:style w:type="paragraph" w:customStyle="1" w:styleId="663">
    <w:name w:val="宽5中"/>
    <w:basedOn w:val="1"/>
    <w:next w:val="1"/>
    <w:qFormat/>
    <w:uiPriority w:val="0"/>
    <w:pPr>
      <w:jc w:val="center"/>
    </w:pPr>
    <w:rPr>
      <w:szCs w:val="28"/>
    </w:rPr>
  </w:style>
  <w:style w:type="paragraph" w:customStyle="1" w:styleId="664">
    <w:name w:val="表格内容（中文）"/>
    <w:qFormat/>
    <w:uiPriority w:val="0"/>
    <w:pPr>
      <w:widowControl w:val="0"/>
      <w:adjustRightInd w:val="0"/>
      <w:spacing w:line="380" w:lineRule="atLeast"/>
      <w:ind w:left="113"/>
      <w:textAlignment w:val="baseline"/>
    </w:pPr>
    <w:rPr>
      <w:rFonts w:ascii="Times New Roman" w:hAnsi="Times New Roman" w:eastAsia="楷体_GB2312" w:cs="Times New Roman"/>
      <w:sz w:val="21"/>
      <w:lang w:val="en-US" w:eastAsia="zh-CN" w:bidi="ar-SA"/>
    </w:rPr>
  </w:style>
  <w:style w:type="paragraph" w:customStyle="1" w:styleId="665">
    <w:name w:val="简单回函地址"/>
    <w:basedOn w:val="1"/>
    <w:qFormat/>
    <w:uiPriority w:val="0"/>
    <w:pPr>
      <w:widowControl/>
    </w:pPr>
    <w:rPr>
      <w:rFonts w:ascii="宋体" w:cs="宋体"/>
    </w:rPr>
  </w:style>
  <w:style w:type="paragraph" w:customStyle="1" w:styleId="666">
    <w:name w:val="Char Char Char Char1"/>
    <w:basedOn w:val="1"/>
    <w:qFormat/>
    <w:uiPriority w:val="0"/>
    <w:rPr>
      <w:szCs w:val="20"/>
    </w:rPr>
  </w:style>
  <w:style w:type="paragraph" w:customStyle="1" w:styleId="667">
    <w:name w:val="CM5"/>
    <w:basedOn w:val="147"/>
    <w:next w:val="147"/>
    <w:qFormat/>
    <w:uiPriority w:val="0"/>
    <w:pPr>
      <w:spacing w:line="180" w:lineRule="atLeast"/>
    </w:pPr>
    <w:rPr>
      <w:color w:val="auto"/>
    </w:rPr>
  </w:style>
  <w:style w:type="paragraph" w:customStyle="1" w:styleId="668">
    <w:name w:val="条题"/>
    <w:basedOn w:val="1"/>
    <w:qFormat/>
    <w:uiPriority w:val="0"/>
    <w:pPr>
      <w:tabs>
        <w:tab w:val="left" w:pos="1640"/>
      </w:tabs>
      <w:spacing w:beforeLines="50" w:line="480" w:lineRule="exact"/>
      <w:ind w:firstLine="560"/>
    </w:pPr>
    <w:rPr>
      <w:color w:val="000000"/>
      <w:sz w:val="24"/>
    </w:rPr>
  </w:style>
  <w:style w:type="paragraph" w:customStyle="1" w:styleId="669">
    <w:name w:val="样式3"/>
    <w:basedOn w:val="4"/>
    <w:next w:val="4"/>
    <w:qFormat/>
    <w:uiPriority w:val="0"/>
    <w:pPr>
      <w:numPr>
        <w:ilvl w:val="2"/>
        <w:numId w:val="1"/>
      </w:numPr>
      <w:spacing w:before="50" w:after="50" w:line="360" w:lineRule="auto"/>
    </w:pPr>
    <w:rPr>
      <w:rFonts w:eastAsia="仿宋_GB2312"/>
      <w:bCs w:val="0"/>
      <w:color w:val="000000"/>
      <w:kern w:val="2"/>
      <w:sz w:val="28"/>
      <w:szCs w:val="28"/>
    </w:rPr>
  </w:style>
  <w:style w:type="paragraph" w:customStyle="1" w:styleId="670">
    <w:name w:val="专业名称"/>
    <w:basedOn w:val="1"/>
    <w:qFormat/>
    <w:uiPriority w:val="0"/>
    <w:pPr>
      <w:keepNext/>
      <w:snapToGrid w:val="0"/>
      <w:spacing w:beforeLines="50" w:line="300" w:lineRule="auto"/>
      <w:jc w:val="center"/>
    </w:pPr>
    <w:rPr>
      <w:rFonts w:ascii="黑体" w:eastAsia="黑体" w:cs="黑体"/>
      <w:sz w:val="32"/>
      <w:szCs w:val="32"/>
    </w:rPr>
  </w:style>
  <w:style w:type="paragraph" w:customStyle="1" w:styleId="671">
    <w:name w:val="续表"/>
    <w:basedOn w:val="9"/>
    <w:qFormat/>
    <w:uiPriority w:val="0"/>
    <w:pPr>
      <w:keepLines w:val="0"/>
      <w:numPr>
        <w:ilvl w:val="0"/>
        <w:numId w:val="0"/>
      </w:numPr>
      <w:tabs>
        <w:tab w:val="left" w:pos="1296"/>
      </w:tabs>
      <w:snapToGrid w:val="0"/>
      <w:spacing w:before="0" w:after="0" w:line="300" w:lineRule="auto"/>
      <w:ind w:left="1296" w:hanging="1296"/>
      <w:jc w:val="center"/>
    </w:pPr>
    <w:rPr>
      <w:rFonts w:ascii="黑体" w:eastAsia="黑体" w:cs="黑体"/>
      <w:b w:val="0"/>
      <w:kern w:val="2"/>
    </w:rPr>
  </w:style>
  <w:style w:type="paragraph" w:customStyle="1" w:styleId="672">
    <w:name w:val="CM95"/>
    <w:basedOn w:val="147"/>
    <w:next w:val="147"/>
    <w:qFormat/>
    <w:uiPriority w:val="0"/>
    <w:pPr>
      <w:spacing w:after="115"/>
    </w:pPr>
    <w:rPr>
      <w:rFonts w:ascii="宋体"/>
      <w:color w:val="auto"/>
      <w:szCs w:val="20"/>
    </w:rPr>
  </w:style>
  <w:style w:type="paragraph" w:customStyle="1" w:styleId="673">
    <w:name w:val="一级无标题条"/>
    <w:basedOn w:val="1"/>
    <w:qFormat/>
    <w:uiPriority w:val="0"/>
    <w:rPr>
      <w:szCs w:val="20"/>
    </w:rPr>
  </w:style>
  <w:style w:type="paragraph" w:customStyle="1" w:styleId="674">
    <w:name w:val="head1"/>
    <w:basedOn w:val="1"/>
    <w:qFormat/>
    <w:uiPriority w:val="0"/>
    <w:pPr>
      <w:widowControl/>
      <w:overflowPunct w:val="0"/>
      <w:autoSpaceDE w:val="0"/>
      <w:autoSpaceDN w:val="0"/>
      <w:adjustRightInd w:val="0"/>
      <w:spacing w:before="120"/>
      <w:ind w:left="288"/>
      <w:jc w:val="left"/>
      <w:textAlignment w:val="baseline"/>
    </w:pPr>
    <w:rPr>
      <w:rFonts w:ascii="黑体" w:eastAsia="黑体"/>
      <w:kern w:val="0"/>
      <w:sz w:val="32"/>
      <w:szCs w:val="20"/>
    </w:rPr>
  </w:style>
  <w:style w:type="paragraph" w:customStyle="1" w:styleId="675">
    <w:name w:val="林宝辉 标题3"/>
    <w:basedOn w:val="1"/>
    <w:qFormat/>
    <w:uiPriority w:val="0"/>
    <w:pPr>
      <w:tabs>
        <w:tab w:val="left" w:pos="360"/>
      </w:tabs>
      <w:spacing w:line="360" w:lineRule="auto"/>
      <w:ind w:left="360" w:hanging="360"/>
      <w:outlineLvl w:val="2"/>
    </w:pPr>
    <w:rPr>
      <w:rFonts w:eastAsia="新宋体"/>
      <w:b/>
      <w:sz w:val="24"/>
    </w:rPr>
  </w:style>
  <w:style w:type="paragraph" w:customStyle="1" w:styleId="676">
    <w:name w:val="标题－2"/>
    <w:basedOn w:val="3"/>
    <w:qFormat/>
    <w:uiPriority w:val="0"/>
    <w:pPr>
      <w:adjustRightInd w:val="0"/>
      <w:snapToGrid w:val="0"/>
      <w:spacing w:before="0" w:after="0" w:line="360" w:lineRule="auto"/>
      <w:jc w:val="left"/>
      <w:textAlignment w:val="baseline"/>
    </w:pPr>
    <w:rPr>
      <w:rFonts w:ascii="Times New Roman" w:hAnsi="Times New Roman" w:eastAsia="黑体"/>
      <w:b w:val="0"/>
      <w:bCs w:val="0"/>
      <w:color w:val="0000FF"/>
      <w:sz w:val="28"/>
    </w:rPr>
  </w:style>
  <w:style w:type="paragraph" w:customStyle="1" w:styleId="677">
    <w:name w:val="正文文本 22"/>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6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79">
    <w:name w:val="1级目录"/>
    <w:basedOn w:val="4"/>
    <w:qFormat/>
    <w:uiPriority w:val="0"/>
    <w:pPr>
      <w:adjustRightInd w:val="0"/>
      <w:snapToGrid w:val="0"/>
      <w:spacing w:line="240" w:lineRule="auto"/>
      <w:ind w:left="289"/>
      <w:jc w:val="center"/>
      <w:outlineLvl w:val="0"/>
    </w:pPr>
    <w:rPr>
      <w:kern w:val="2"/>
      <w:sz w:val="28"/>
      <w:szCs w:val="28"/>
    </w:rPr>
  </w:style>
  <w:style w:type="paragraph" w:customStyle="1" w:styleId="680">
    <w:name w:val="Char Char13 Char Char Char Char1"/>
    <w:basedOn w:val="1"/>
    <w:qFormat/>
    <w:uiPriority w:val="0"/>
  </w:style>
  <w:style w:type="paragraph" w:customStyle="1" w:styleId="681">
    <w:name w:val="正文小4"/>
    <w:basedOn w:val="1"/>
    <w:qFormat/>
    <w:uiPriority w:val="0"/>
    <w:pPr>
      <w:snapToGrid w:val="0"/>
    </w:pPr>
    <w:rPr>
      <w:rFonts w:ascii="仿宋_GB2312" w:hAnsi="仿宋_GB2312"/>
      <w:b/>
      <w:snapToGrid w:val="0"/>
      <w:sz w:val="24"/>
      <w:szCs w:val="20"/>
    </w:rPr>
  </w:style>
  <w:style w:type="paragraph" w:customStyle="1" w:styleId="682">
    <w:name w:val="正文－ST4"/>
    <w:basedOn w:val="1"/>
    <w:qFormat/>
    <w:uiPriority w:val="0"/>
    <w:pPr>
      <w:adjustRightInd w:val="0"/>
      <w:snapToGrid w:val="0"/>
      <w:spacing w:line="360" w:lineRule="auto"/>
      <w:ind w:firstLine="200" w:firstLineChars="200"/>
    </w:pPr>
    <w:rPr>
      <w:rFonts w:ascii="宋体" w:cs="宋体"/>
      <w:kern w:val="0"/>
      <w:sz w:val="24"/>
    </w:rPr>
  </w:style>
  <w:style w:type="paragraph" w:customStyle="1" w:styleId="683">
    <w:name w:val="点标题"/>
    <w:next w:val="1"/>
    <w:qFormat/>
    <w:uiPriority w:val="0"/>
    <w:pPr>
      <w:widowControl w:val="0"/>
      <w:adjustRightInd w:val="0"/>
      <w:spacing w:line="360" w:lineRule="auto"/>
      <w:ind w:left="284" w:right="284" w:firstLine="482"/>
      <w:textAlignment w:val="baseline"/>
    </w:pPr>
    <w:rPr>
      <w:rFonts w:ascii="Times New Roman" w:hAnsi="Times New Roman" w:eastAsia="仿宋体" w:cs="Times New Roman"/>
      <w:sz w:val="28"/>
      <w:lang w:val="en-US" w:eastAsia="zh-CN" w:bidi="ar-SA"/>
    </w:rPr>
  </w:style>
  <w:style w:type="paragraph" w:customStyle="1" w:styleId="684">
    <w:name w:val="节内编号1"/>
    <w:basedOn w:val="1"/>
    <w:qFormat/>
    <w:uiPriority w:val="0"/>
    <w:pPr>
      <w:adjustRightInd w:val="0"/>
      <w:snapToGrid w:val="0"/>
      <w:spacing w:line="336" w:lineRule="auto"/>
      <w:ind w:right="100" w:rightChars="100" w:firstLine="200" w:firstLineChars="200"/>
      <w:jc w:val="left"/>
    </w:pPr>
    <w:rPr>
      <w:rFonts w:ascii="宋体" w:cs="宋体"/>
      <w:color w:val="000000"/>
      <w:spacing w:val="-8"/>
      <w:sz w:val="28"/>
      <w:szCs w:val="28"/>
    </w:rPr>
  </w:style>
  <w:style w:type="paragraph" w:customStyle="1" w:styleId="685">
    <w:name w:val="项目负责人"/>
    <w:basedOn w:val="1"/>
    <w:qFormat/>
    <w:uiPriority w:val="0"/>
    <w:pPr>
      <w:keepNext/>
      <w:snapToGrid w:val="0"/>
      <w:spacing w:beforeLines="50" w:line="300" w:lineRule="auto"/>
      <w:jc w:val="left"/>
    </w:pPr>
    <w:rPr>
      <w:rFonts w:ascii="宋体" w:cs="宋体"/>
      <w:spacing w:val="66"/>
      <w:kern w:val="0"/>
      <w:sz w:val="32"/>
      <w:szCs w:val="32"/>
    </w:rPr>
  </w:style>
  <w:style w:type="paragraph" w:customStyle="1" w:styleId="686">
    <w:name w:val="reader-word-layer reader-word-s1-12"/>
    <w:basedOn w:val="1"/>
    <w:qFormat/>
    <w:uiPriority w:val="0"/>
    <w:pPr>
      <w:widowControl/>
      <w:spacing w:before="100" w:beforeAutospacing="1" w:after="100" w:afterAutospacing="1"/>
      <w:jc w:val="left"/>
    </w:pPr>
    <w:rPr>
      <w:rFonts w:ascii="宋体" w:cs="宋体"/>
      <w:kern w:val="0"/>
      <w:sz w:val="24"/>
    </w:rPr>
  </w:style>
  <w:style w:type="paragraph" w:customStyle="1" w:styleId="687">
    <w:name w:val="菲页1"/>
    <w:basedOn w:val="3"/>
    <w:qFormat/>
    <w:uiPriority w:val="0"/>
    <w:pPr>
      <w:widowControl/>
      <w:jc w:val="center"/>
    </w:pPr>
    <w:rPr>
      <w:rFonts w:ascii="黑体" w:hAnsi="黑体"/>
      <w:b w:val="0"/>
      <w:bCs w:val="0"/>
      <w:sz w:val="52"/>
      <w:szCs w:val="20"/>
    </w:rPr>
  </w:style>
  <w:style w:type="paragraph" w:customStyle="1" w:styleId="688">
    <w:name w:val="l_text2"/>
    <w:basedOn w:val="1"/>
    <w:qFormat/>
    <w:uiPriority w:val="0"/>
    <w:pPr>
      <w:widowControl/>
      <w:overflowPunct w:val="0"/>
      <w:autoSpaceDE w:val="0"/>
      <w:autoSpaceDN w:val="0"/>
      <w:adjustRightInd w:val="0"/>
      <w:jc w:val="center"/>
      <w:textAlignment w:val="baseline"/>
    </w:pPr>
    <w:rPr>
      <w:rFonts w:ascii="楷体" w:eastAsia="楷体"/>
      <w:kern w:val="0"/>
      <w:position w:val="-30"/>
      <w:sz w:val="22"/>
      <w:szCs w:val="20"/>
    </w:rPr>
  </w:style>
  <w:style w:type="paragraph" w:customStyle="1" w:styleId="689">
    <w:name w:val="假标题"/>
    <w:basedOn w:val="1"/>
    <w:qFormat/>
    <w:uiPriority w:val="0"/>
    <w:pPr>
      <w:keepNext/>
      <w:snapToGrid w:val="0"/>
      <w:spacing w:beforeLines="50" w:line="300" w:lineRule="auto"/>
      <w:outlineLvl w:val="2"/>
    </w:pPr>
    <w:rPr>
      <w:rFonts w:ascii="宋体" w:cs="宋体"/>
      <w:b/>
      <w:bCs/>
      <w:sz w:val="28"/>
      <w:szCs w:val="28"/>
    </w:rPr>
  </w:style>
  <w:style w:type="paragraph" w:customStyle="1" w:styleId="690">
    <w:name w:val="CM14"/>
    <w:basedOn w:val="147"/>
    <w:next w:val="147"/>
    <w:qFormat/>
    <w:uiPriority w:val="0"/>
    <w:pPr>
      <w:adjustRightInd/>
      <w:spacing w:after="355"/>
    </w:pPr>
    <w:rPr>
      <w:rFonts w:ascii="宋体"/>
      <w:szCs w:val="20"/>
    </w:rPr>
  </w:style>
  <w:style w:type="paragraph" w:customStyle="1" w:styleId="691">
    <w:name w:val="正文NEW"/>
    <w:basedOn w:val="78"/>
    <w:qFormat/>
    <w:uiPriority w:val="0"/>
    <w:pPr>
      <w:spacing w:before="60" w:after="60" w:line="400" w:lineRule="exact"/>
      <w:ind w:left="857" w:leftChars="857" w:firstLine="539"/>
    </w:pPr>
    <w:rPr>
      <w:rFonts w:ascii="黑体" w:eastAsia="黑体"/>
    </w:rPr>
  </w:style>
  <w:style w:type="paragraph" w:customStyle="1" w:styleId="692">
    <w:name w:val="表中文字"/>
    <w:basedOn w:val="1"/>
    <w:qFormat/>
    <w:uiPriority w:val="0"/>
    <w:pPr>
      <w:widowControl/>
      <w:snapToGrid w:val="0"/>
      <w:jc w:val="center"/>
    </w:pPr>
    <w:rPr>
      <w:rFonts w:ascii="仿宋_GB2312" w:eastAsia="仿宋_GB2312" w:cs="宋体"/>
      <w:sz w:val="24"/>
      <w:szCs w:val="28"/>
    </w:rPr>
  </w:style>
  <w:style w:type="paragraph" w:customStyle="1" w:styleId="693">
    <w:name w:val="标题3 + 粉红"/>
    <w:basedOn w:val="423"/>
    <w:qFormat/>
    <w:uiPriority w:val="0"/>
    <w:pPr>
      <w:keepNext/>
      <w:keepLines/>
      <w:widowControl w:val="0"/>
      <w:tabs>
        <w:tab w:val="clear" w:pos="420"/>
      </w:tabs>
      <w:adjustRightInd w:val="0"/>
      <w:spacing w:before="200" w:after="200" w:line="240" w:lineRule="auto"/>
      <w:ind w:left="0" w:firstLine="0"/>
      <w:outlineLvl w:val="2"/>
    </w:pPr>
    <w:rPr>
      <w:rFonts w:ascii="黑体"/>
      <w:color w:val="FF00FF"/>
      <w:kern w:val="2"/>
      <w:sz w:val="32"/>
      <w:szCs w:val="24"/>
    </w:rPr>
  </w:style>
  <w:style w:type="paragraph" w:customStyle="1" w:styleId="694">
    <w:name w:val="密级"/>
    <w:basedOn w:val="1"/>
    <w:qFormat/>
    <w:uiPriority w:val="0"/>
    <w:pPr>
      <w:keepNext/>
      <w:snapToGrid w:val="0"/>
      <w:spacing w:line="300" w:lineRule="auto"/>
      <w:jc w:val="left"/>
    </w:pPr>
    <w:rPr>
      <w:rFonts w:ascii="宋体" w:cs="宋体"/>
      <w:sz w:val="28"/>
      <w:szCs w:val="28"/>
    </w:rPr>
  </w:style>
  <w:style w:type="paragraph" w:customStyle="1" w:styleId="695">
    <w:name w:val="页眉3"/>
    <w:basedOn w:val="147"/>
    <w:next w:val="147"/>
    <w:qFormat/>
    <w:uiPriority w:val="0"/>
    <w:pPr>
      <w:spacing w:after="120"/>
    </w:pPr>
    <w:rPr>
      <w:rFonts w:ascii="Arial Unicode MS" w:hAnsi="Arial Unicode MS"/>
      <w:color w:val="auto"/>
      <w:szCs w:val="20"/>
    </w:rPr>
  </w:style>
  <w:style w:type="paragraph" w:customStyle="1" w:styleId="696">
    <w:name w:val="表格文字居中（五号）"/>
    <w:basedOn w:val="1"/>
    <w:qFormat/>
    <w:uiPriority w:val="0"/>
    <w:pPr>
      <w:adjustRightInd w:val="0"/>
      <w:snapToGrid w:val="0"/>
      <w:jc w:val="center"/>
      <w:textAlignment w:val="baseline"/>
    </w:pPr>
    <w:rPr>
      <w:rFonts w:ascii="宋体"/>
      <w:kern w:val="0"/>
    </w:rPr>
  </w:style>
  <w:style w:type="paragraph" w:customStyle="1" w:styleId="697">
    <w:name w:val="四级无标题条"/>
    <w:basedOn w:val="1"/>
    <w:qFormat/>
    <w:uiPriority w:val="0"/>
    <w:rPr>
      <w:szCs w:val="20"/>
    </w:rPr>
  </w:style>
  <w:style w:type="paragraph" w:customStyle="1" w:styleId="698">
    <w:name w:val="标题1q"/>
    <w:basedOn w:val="2"/>
    <w:qFormat/>
    <w:uiPriority w:val="0"/>
    <w:pPr>
      <w:widowControl/>
      <w:tabs>
        <w:tab w:val="left" w:pos="2322"/>
      </w:tabs>
      <w:spacing w:line="240" w:lineRule="auto"/>
      <w:ind w:left="431" w:firstLine="200" w:firstLineChars="200"/>
      <w:jc w:val="center"/>
    </w:pPr>
    <w:rPr>
      <w:rFonts w:ascii="宋体" w:cs="宋体"/>
      <w:sz w:val="32"/>
      <w:szCs w:val="32"/>
    </w:rPr>
  </w:style>
  <w:style w:type="paragraph" w:customStyle="1" w:styleId="699">
    <w:name w:val="样式 标题 2节 + 行距: 多倍行距 1.25 字行"/>
    <w:basedOn w:val="3"/>
    <w:qFormat/>
    <w:uiPriority w:val="0"/>
    <w:pPr>
      <w:tabs>
        <w:tab w:val="left" w:pos="840"/>
      </w:tabs>
      <w:spacing w:before="120" w:after="0" w:line="300" w:lineRule="auto"/>
      <w:ind w:left="840" w:hanging="420"/>
    </w:pPr>
    <w:rPr>
      <w:rFonts w:ascii="宋体"/>
      <w:bCs w:val="0"/>
      <w:kern w:val="2"/>
      <w:sz w:val="28"/>
      <w:szCs w:val="20"/>
    </w:rPr>
  </w:style>
  <w:style w:type="paragraph" w:customStyle="1" w:styleId="700">
    <w:name w:val="兰郑长正文文本"/>
    <w:basedOn w:val="1"/>
    <w:qFormat/>
    <w:uiPriority w:val="0"/>
    <w:pPr>
      <w:adjustRightInd w:val="0"/>
      <w:snapToGrid w:val="0"/>
      <w:spacing w:line="360" w:lineRule="auto"/>
      <w:ind w:left="100" w:leftChars="100" w:right="100" w:rightChars="100" w:firstLine="200" w:firstLineChars="200"/>
      <w:jc w:val="left"/>
    </w:pPr>
    <w:rPr>
      <w:rFonts w:ascii="宋体"/>
      <w:sz w:val="24"/>
    </w:rPr>
  </w:style>
  <w:style w:type="paragraph" w:customStyle="1" w:styleId="701">
    <w:name w:val="卷标题"/>
    <w:basedOn w:val="1"/>
    <w:next w:val="1"/>
    <w:qFormat/>
    <w:uiPriority w:val="0"/>
    <w:pPr>
      <w:adjustRightInd w:val="0"/>
      <w:snapToGrid w:val="0"/>
      <w:spacing w:line="360" w:lineRule="auto"/>
      <w:jc w:val="center"/>
    </w:pPr>
    <w:rPr>
      <w:rFonts w:ascii="黑体" w:eastAsia="黑体"/>
      <w:bCs/>
      <w:sz w:val="84"/>
    </w:rPr>
  </w:style>
  <w:style w:type="paragraph" w:customStyle="1" w:styleId="702">
    <w:name w:val="reader-word-layer reader-word-s2-2"/>
    <w:basedOn w:val="1"/>
    <w:qFormat/>
    <w:uiPriority w:val="0"/>
    <w:pPr>
      <w:widowControl/>
      <w:spacing w:before="100" w:beforeAutospacing="1" w:after="100" w:afterAutospacing="1"/>
      <w:jc w:val="left"/>
    </w:pPr>
    <w:rPr>
      <w:rFonts w:ascii="宋体" w:cs="宋体"/>
      <w:kern w:val="0"/>
      <w:sz w:val="24"/>
    </w:rPr>
  </w:style>
  <w:style w:type="paragraph" w:customStyle="1" w:styleId="703">
    <w:name w:val="Char Char Char Char Char Char Char Char Char Char1"/>
    <w:basedOn w:val="1"/>
    <w:qFormat/>
    <w:uiPriority w:val="0"/>
    <w:pPr>
      <w:keepNext/>
      <w:shd w:val="clear" w:color="auto" w:fill="000080"/>
      <w:spacing w:beforeLines="100"/>
      <w:ind w:hanging="720"/>
    </w:pPr>
    <w:rPr>
      <w:rFonts w:ascii="Tahoma" w:hAnsi="Tahoma"/>
      <w:sz w:val="24"/>
    </w:rPr>
  </w:style>
  <w:style w:type="paragraph" w:customStyle="1" w:styleId="704">
    <w:name w:val="Char22"/>
    <w:basedOn w:val="1"/>
    <w:qFormat/>
    <w:uiPriority w:val="0"/>
    <w:pPr>
      <w:spacing w:line="360" w:lineRule="auto"/>
      <w:ind w:firstLine="196" w:firstLineChars="196"/>
    </w:pPr>
    <w:rPr>
      <w:b/>
      <w:sz w:val="28"/>
      <w:szCs w:val="28"/>
    </w:rPr>
  </w:style>
  <w:style w:type="paragraph" w:customStyle="1" w:styleId="705">
    <w:name w:val="正文样式一"/>
    <w:basedOn w:val="1"/>
    <w:qFormat/>
    <w:uiPriority w:val="0"/>
    <w:pPr>
      <w:widowControl/>
      <w:ind w:firstLine="200" w:firstLineChars="200"/>
    </w:pPr>
    <w:rPr>
      <w:rFonts w:ascii="宋体" w:cs="宋体"/>
      <w:sz w:val="24"/>
      <w:szCs w:val="28"/>
    </w:rPr>
  </w:style>
  <w:style w:type="paragraph" w:customStyle="1" w:styleId="706">
    <w:name w:val="样式 标题 2节标题 1.1b21.1标题2 + Times New Roman"/>
    <w:basedOn w:val="3"/>
    <w:qFormat/>
    <w:uiPriority w:val="0"/>
    <w:pPr>
      <w:keepLines w:val="0"/>
      <w:spacing w:before="320" w:after="320" w:line="240" w:lineRule="auto"/>
      <w:jc w:val="left"/>
    </w:pPr>
    <w:rPr>
      <w:rFonts w:ascii="Times New Roman" w:hAnsi="Times New Roman" w:eastAsia="楷体_GB2312"/>
      <w:b w:val="0"/>
      <w:bCs w:val="0"/>
      <w:color w:val="000000"/>
      <w:kern w:val="13"/>
      <w:sz w:val="24"/>
      <w:szCs w:val="28"/>
    </w:rPr>
  </w:style>
  <w:style w:type="paragraph" w:customStyle="1" w:styleId="707">
    <w:name w:val="1.1.1"/>
    <w:basedOn w:val="4"/>
    <w:qFormat/>
    <w:uiPriority w:val="0"/>
    <w:pPr>
      <w:tabs>
        <w:tab w:val="left" w:pos="1080"/>
        <w:tab w:val="left" w:pos="1260"/>
        <w:tab w:val="left" w:pos="1560"/>
      </w:tabs>
      <w:adjustRightInd w:val="0"/>
      <w:spacing w:before="120" w:after="50" w:line="440" w:lineRule="exact"/>
      <w:ind w:left="1140" w:hanging="1140"/>
      <w:jc w:val="left"/>
      <w:textAlignment w:val="baseline"/>
    </w:pPr>
    <w:rPr>
      <w:bCs w:val="0"/>
      <w:kern w:val="2"/>
      <w:sz w:val="24"/>
      <w:szCs w:val="20"/>
    </w:rPr>
  </w:style>
  <w:style w:type="paragraph" w:customStyle="1" w:styleId="708">
    <w:name w:val="普通2"/>
    <w:basedOn w:val="42"/>
    <w:qFormat/>
    <w:uiPriority w:val="0"/>
    <w:pPr>
      <w:jc w:val="center"/>
    </w:pPr>
    <w:rPr>
      <w:rFonts w:ascii="Times New Roman"/>
      <w:snapToGrid w:val="0"/>
      <w:color w:val="000000"/>
      <w:sz w:val="21"/>
      <w:szCs w:val="24"/>
    </w:rPr>
  </w:style>
  <w:style w:type="paragraph" w:customStyle="1" w:styleId="709">
    <w:name w:val="列项——"/>
    <w:qFormat/>
    <w:uiPriority w:val="0"/>
    <w:pPr>
      <w:widowControl w:val="0"/>
      <w:tabs>
        <w:tab w:val="left" w:pos="360"/>
        <w:tab w:val="left" w:pos="854"/>
      </w:tabs>
      <w:ind w:left="400" w:leftChars="200" w:hanging="200" w:hangingChars="200"/>
      <w:jc w:val="both"/>
    </w:pPr>
    <w:rPr>
      <w:rFonts w:ascii="宋体" w:hAnsi="Times New Roman" w:eastAsia="宋体" w:cs="Times New Roman"/>
      <w:sz w:val="21"/>
      <w:lang w:val="en-US" w:eastAsia="zh-CN" w:bidi="ar-SA"/>
    </w:rPr>
  </w:style>
  <w:style w:type="paragraph" w:customStyle="1" w:styleId="710">
    <w:name w:val="缺省文本"/>
    <w:basedOn w:val="1"/>
    <w:qFormat/>
    <w:uiPriority w:val="0"/>
    <w:pPr>
      <w:autoSpaceDE w:val="0"/>
      <w:autoSpaceDN w:val="0"/>
      <w:adjustRightInd w:val="0"/>
      <w:spacing w:before="72" w:after="72"/>
      <w:ind w:left="720"/>
    </w:pPr>
    <w:rPr>
      <w:kern w:val="0"/>
      <w:sz w:val="24"/>
      <w:szCs w:val="20"/>
    </w:rPr>
  </w:style>
  <w:style w:type="paragraph" w:customStyle="1" w:styleId="711">
    <w:name w:val="文档标签"/>
    <w:next w:val="1"/>
    <w:qFormat/>
    <w:uiPriority w:val="0"/>
    <w:pPr>
      <w:pBdr>
        <w:top w:val="double" w:color="808080" w:sz="6" w:space="8"/>
        <w:bottom w:val="double" w:color="808080" w:sz="6" w:space="8"/>
      </w:pBdr>
      <w:spacing w:after="40" w:line="240" w:lineRule="atLeast"/>
      <w:jc w:val="center"/>
    </w:pPr>
    <w:rPr>
      <w:rFonts w:ascii="Garamond" w:hAnsi="Garamond" w:eastAsia="隶书" w:cs="Times New Roman"/>
      <w:b/>
      <w:caps/>
      <w:spacing w:val="20"/>
      <w:sz w:val="36"/>
      <w:lang w:val="en-US" w:eastAsia="zh-CN" w:bidi="he-IL"/>
    </w:rPr>
  </w:style>
  <w:style w:type="paragraph" w:customStyle="1" w:styleId="712">
    <w:name w:val="小表右A"/>
    <w:basedOn w:val="408"/>
    <w:qFormat/>
    <w:uiPriority w:val="0"/>
    <w:pPr>
      <w:ind w:right="10" w:rightChars="10"/>
    </w:pPr>
  </w:style>
  <w:style w:type="paragraph" w:customStyle="1" w:styleId="713">
    <w:name w:val="标题 4-1"/>
    <w:basedOn w:val="5"/>
    <w:next w:val="1"/>
    <w:qFormat/>
    <w:uiPriority w:val="0"/>
    <w:pPr>
      <w:widowControl/>
      <w:spacing w:before="100" w:beforeAutospacing="1" w:after="100" w:afterAutospacing="1" w:line="240" w:lineRule="auto"/>
    </w:pPr>
    <w:rPr>
      <w:rFonts w:ascii="宋体" w:eastAsia="宋体" w:cs="宋体"/>
      <w:bCs w:val="0"/>
      <w:kern w:val="2"/>
      <w:sz w:val="24"/>
      <w:szCs w:val="20"/>
    </w:rPr>
  </w:style>
  <w:style w:type="paragraph" w:customStyle="1" w:styleId="714">
    <w:name w:val="1.1.1.1A"/>
    <w:basedOn w:val="641"/>
    <w:qFormat/>
    <w:uiPriority w:val="0"/>
    <w:pPr>
      <w:tabs>
        <w:tab w:val="left" w:pos="1843"/>
      </w:tabs>
      <w:spacing w:line="400" w:lineRule="atLeast"/>
      <w:ind w:left="1560" w:right="200" w:hanging="426"/>
      <w:jc w:val="both"/>
    </w:pPr>
  </w:style>
  <w:style w:type="paragraph" w:customStyle="1" w:styleId="715">
    <w:name w:val="普通文本"/>
    <w:basedOn w:val="1"/>
    <w:qFormat/>
    <w:uiPriority w:val="0"/>
    <w:pPr>
      <w:overflowPunct w:val="0"/>
      <w:autoSpaceDE w:val="0"/>
      <w:autoSpaceDN w:val="0"/>
      <w:adjustRightInd w:val="0"/>
      <w:snapToGrid w:val="0"/>
      <w:spacing w:line="300" w:lineRule="auto"/>
      <w:ind w:left="50" w:leftChars="50" w:right="100" w:rightChars="100" w:firstLine="200" w:firstLineChars="200"/>
      <w:jc w:val="left"/>
    </w:pPr>
    <w:rPr>
      <w:rFonts w:ascii="仿宋_GB2312" w:eastAsia="仿宋_GB2312"/>
      <w:sz w:val="28"/>
      <w:szCs w:val="20"/>
      <w:lang w:val="zh-CN"/>
    </w:rPr>
  </w:style>
  <w:style w:type="paragraph" w:customStyle="1" w:styleId="716">
    <w:name w:val="正文11"/>
    <w:basedOn w:val="1"/>
    <w:qFormat/>
    <w:uiPriority w:val="0"/>
    <w:pPr>
      <w:widowControl/>
      <w:spacing w:after="60"/>
      <w:ind w:firstLine="200" w:firstLineChars="200"/>
    </w:pPr>
    <w:rPr>
      <w:rFonts w:ascii="宋体" w:cs="宋体"/>
      <w:sz w:val="24"/>
    </w:rPr>
  </w:style>
  <w:style w:type="paragraph" w:customStyle="1" w:styleId="717">
    <w:name w:val="Char Char Char1"/>
    <w:basedOn w:val="1"/>
    <w:qFormat/>
    <w:uiPriority w:val="0"/>
  </w:style>
  <w:style w:type="paragraph" w:customStyle="1" w:styleId="718">
    <w:name w:val="目录"/>
    <w:basedOn w:val="1"/>
    <w:qFormat/>
    <w:uiPriority w:val="0"/>
    <w:pPr>
      <w:widowControl/>
      <w:jc w:val="center"/>
    </w:pPr>
    <w:rPr>
      <w:rFonts w:ascii="宋体"/>
      <w:b/>
      <w:kern w:val="0"/>
      <w:sz w:val="36"/>
      <w:szCs w:val="20"/>
    </w:rPr>
  </w:style>
  <w:style w:type="paragraph" w:customStyle="1" w:styleId="719">
    <w:name w:val="第一节"/>
    <w:basedOn w:val="1"/>
    <w:next w:val="83"/>
    <w:qFormat/>
    <w:uiPriority w:val="0"/>
    <w:pPr>
      <w:jc w:val="center"/>
      <w:outlineLvl w:val="1"/>
    </w:pPr>
    <w:rPr>
      <w:b/>
      <w:sz w:val="30"/>
    </w:rPr>
  </w:style>
  <w:style w:type="paragraph" w:customStyle="1" w:styleId="720">
    <w:name w:val="备注"/>
    <w:basedOn w:val="1"/>
    <w:qFormat/>
    <w:uiPriority w:val="0"/>
    <w:pPr>
      <w:keepNext/>
      <w:snapToGrid w:val="0"/>
      <w:spacing w:line="240" w:lineRule="atLeast"/>
      <w:ind w:firstLine="200" w:firstLineChars="200"/>
    </w:pPr>
    <w:rPr>
      <w:rFonts w:ascii="宋体" w:cs="宋体"/>
      <w:sz w:val="24"/>
    </w:rPr>
  </w:style>
  <w:style w:type="paragraph" w:customStyle="1" w:styleId="721">
    <w:name w:val="标准书眉一"/>
    <w:qFormat/>
    <w:uiPriority w:val="0"/>
    <w:pPr>
      <w:jc w:val="both"/>
    </w:pPr>
    <w:rPr>
      <w:rFonts w:ascii="Times New Roman" w:hAnsi="Times New Roman" w:eastAsia="宋体" w:cs="Times New Roman"/>
      <w:lang w:val="en-US" w:eastAsia="zh-CN" w:bidi="ar-SA"/>
    </w:rPr>
  </w:style>
  <w:style w:type="paragraph" w:customStyle="1" w:styleId="722">
    <w:name w:val="文4"/>
    <w:basedOn w:val="1"/>
    <w:qFormat/>
    <w:uiPriority w:val="0"/>
    <w:pPr>
      <w:widowControl/>
      <w:tabs>
        <w:tab w:val="left" w:pos="540"/>
        <w:tab w:val="left" w:pos="1080"/>
      </w:tabs>
      <w:spacing w:line="500" w:lineRule="atLeast"/>
      <w:ind w:left="540" w:hanging="540"/>
      <w:jc w:val="left"/>
    </w:pPr>
    <w:rPr>
      <w:rFonts w:ascii="宋体" w:cs="宋体"/>
      <w:kern w:val="0"/>
      <w:sz w:val="24"/>
    </w:rPr>
  </w:style>
  <w:style w:type="paragraph" w:styleId="7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4">
    <w:name w:val="题目"/>
    <w:basedOn w:val="1"/>
    <w:next w:val="638"/>
    <w:qFormat/>
    <w:uiPriority w:val="0"/>
    <w:pPr>
      <w:widowControl/>
      <w:spacing w:before="100" w:beforeAutospacing="1" w:after="100" w:afterAutospacing="1"/>
      <w:jc w:val="center"/>
    </w:pPr>
    <w:rPr>
      <w:rFonts w:ascii="宋体" w:cs="宋体"/>
      <w:b/>
      <w:sz w:val="44"/>
      <w:szCs w:val="32"/>
    </w:rPr>
  </w:style>
  <w:style w:type="paragraph" w:customStyle="1" w:styleId="725">
    <w:name w:val="三级无标题条"/>
    <w:basedOn w:val="1"/>
    <w:qFormat/>
    <w:uiPriority w:val="0"/>
    <w:rPr>
      <w:szCs w:val="20"/>
    </w:rPr>
  </w:style>
  <w:style w:type="paragraph" w:customStyle="1" w:styleId="726">
    <w:name w:val="表文"/>
    <w:basedOn w:val="1"/>
    <w:qFormat/>
    <w:uiPriority w:val="0"/>
    <w:pPr>
      <w:adjustRightInd w:val="0"/>
      <w:jc w:val="center"/>
      <w:textAlignment w:val="baseline"/>
    </w:pPr>
    <w:rPr>
      <w:rFonts w:ascii="Arial" w:hAnsi="Arial"/>
      <w:kern w:val="0"/>
      <w:sz w:val="24"/>
      <w:szCs w:val="20"/>
    </w:rPr>
  </w:style>
  <w:style w:type="paragraph" w:customStyle="1" w:styleId="727">
    <w:name w:val="我的正文"/>
    <w:basedOn w:val="1"/>
    <w:qFormat/>
    <w:uiPriority w:val="0"/>
    <w:pPr>
      <w:ind w:firstLine="425"/>
    </w:pPr>
    <w:rPr>
      <w:szCs w:val="20"/>
    </w:rPr>
  </w:style>
  <w:style w:type="paragraph" w:customStyle="1" w:styleId="728">
    <w:name w:val="cucd-TB-Head"/>
    <w:basedOn w:val="1"/>
    <w:next w:val="404"/>
    <w:qFormat/>
    <w:uiPriority w:val="0"/>
    <w:pPr>
      <w:spacing w:line="360" w:lineRule="auto"/>
      <w:jc w:val="center"/>
    </w:pPr>
    <w:rPr>
      <w:rFonts w:ascii="宋体" w:hAnsi="宋体" w:eastAsia="黑体"/>
      <w:sz w:val="24"/>
      <w:szCs w:val="20"/>
    </w:rPr>
  </w:style>
  <w:style w:type="paragraph" w:customStyle="1" w:styleId="729">
    <w:name w:val="WW-普通文字"/>
    <w:basedOn w:val="1"/>
    <w:qFormat/>
    <w:uiPriority w:val="0"/>
    <w:pPr>
      <w:suppressAutoHyphens/>
    </w:pPr>
    <w:rPr>
      <w:rFonts w:ascii="宋体"/>
      <w:szCs w:val="20"/>
    </w:rPr>
  </w:style>
  <w:style w:type="paragraph" w:customStyle="1" w:styleId="730">
    <w:name w:val="表4"/>
    <w:basedOn w:val="1"/>
    <w:qFormat/>
    <w:uiPriority w:val="0"/>
    <w:pPr>
      <w:jc w:val="center"/>
    </w:pPr>
    <w:rPr>
      <w:szCs w:val="21"/>
    </w:rPr>
  </w:style>
  <w:style w:type="paragraph" w:customStyle="1" w:styleId="731">
    <w:name w:val="小表中"/>
    <w:basedOn w:val="1"/>
    <w:qFormat/>
    <w:uiPriority w:val="0"/>
    <w:pPr>
      <w:adjustRightInd w:val="0"/>
      <w:snapToGrid w:val="0"/>
      <w:jc w:val="center"/>
    </w:pPr>
    <w:rPr>
      <w:rFonts w:ascii="宋体" w:cs="宋体"/>
      <w:sz w:val="24"/>
    </w:rPr>
  </w:style>
  <w:style w:type="paragraph" w:customStyle="1" w:styleId="732">
    <w:name w:val="假标题1"/>
    <w:basedOn w:val="689"/>
    <w:qFormat/>
    <w:uiPriority w:val="0"/>
    <w:pPr>
      <w:keepNext w:val="0"/>
      <w:autoSpaceDE w:val="0"/>
      <w:autoSpaceDN w:val="0"/>
      <w:adjustRightInd w:val="0"/>
      <w:spacing w:line="336" w:lineRule="auto"/>
      <w:outlineLvl w:val="9"/>
    </w:pPr>
    <w:rPr>
      <w:b w:val="0"/>
      <w:bCs w:val="0"/>
      <w:kern w:val="0"/>
      <w:sz w:val="15"/>
      <w:szCs w:val="15"/>
      <w:lang w:val="zh-CN"/>
    </w:rPr>
  </w:style>
  <w:style w:type="paragraph" w:customStyle="1" w:styleId="733">
    <w:name w:val="项目符号_圆点"/>
    <w:basedOn w:val="1"/>
    <w:qFormat/>
    <w:uiPriority w:val="0"/>
    <w:pPr>
      <w:tabs>
        <w:tab w:val="left" w:pos="780"/>
        <w:tab w:val="left" w:pos="900"/>
      </w:tabs>
      <w:spacing w:before="78"/>
      <w:ind w:left="900" w:hanging="420"/>
    </w:pPr>
    <w:rPr>
      <w:sz w:val="24"/>
      <w:szCs w:val="20"/>
    </w:rPr>
  </w:style>
  <w:style w:type="paragraph" w:customStyle="1" w:styleId="734">
    <w:name w:val="表格与图名"/>
    <w:basedOn w:val="1"/>
    <w:qFormat/>
    <w:uiPriority w:val="0"/>
    <w:pPr>
      <w:spacing w:line="360" w:lineRule="auto"/>
      <w:jc w:val="center"/>
    </w:pPr>
    <w:rPr>
      <w:rFonts w:eastAsia="黑体"/>
      <w:szCs w:val="21"/>
    </w:rPr>
  </w:style>
  <w:style w:type="paragraph" w:customStyle="1" w:styleId="735">
    <w:name w:val="附录标识"/>
    <w:basedOn w:val="613"/>
    <w:qFormat/>
    <w:uiPriority w:val="0"/>
    <w:pPr>
      <w:tabs>
        <w:tab w:val="left" w:pos="360"/>
        <w:tab w:val="left" w:pos="6405"/>
      </w:tabs>
      <w:spacing w:after="200"/>
      <w:ind w:left="360" w:hanging="360"/>
    </w:pPr>
    <w:rPr>
      <w:sz w:val="21"/>
    </w:rPr>
  </w:style>
  <w:style w:type="paragraph" w:customStyle="1" w:styleId="736">
    <w:name w:val="表左"/>
    <w:basedOn w:val="1"/>
    <w:qFormat/>
    <w:uiPriority w:val="0"/>
    <w:pPr>
      <w:keepNext/>
      <w:adjustRightInd w:val="0"/>
      <w:snapToGrid w:val="0"/>
      <w:spacing w:line="320" w:lineRule="atLeast"/>
      <w:ind w:right="30" w:rightChars="30"/>
      <w:jc w:val="center"/>
    </w:pPr>
    <w:rPr>
      <w:rFonts w:ascii="宋体" w:cs="宋体"/>
      <w:sz w:val="24"/>
    </w:rPr>
  </w:style>
  <w:style w:type="paragraph" w:customStyle="1" w:styleId="737">
    <w:name w:val="reader-word-layer reader-word-s4-5"/>
    <w:basedOn w:val="1"/>
    <w:qFormat/>
    <w:uiPriority w:val="0"/>
    <w:pPr>
      <w:widowControl/>
      <w:spacing w:before="100" w:beforeAutospacing="1" w:after="100" w:afterAutospacing="1"/>
      <w:jc w:val="left"/>
    </w:pPr>
    <w:rPr>
      <w:rFonts w:ascii="宋体" w:cs="宋体"/>
      <w:kern w:val="0"/>
      <w:sz w:val="24"/>
    </w:rPr>
  </w:style>
  <w:style w:type="paragraph" w:customStyle="1" w:styleId="738">
    <w:name w:val="作者姓名"/>
    <w:next w:val="1"/>
    <w:qFormat/>
    <w:uiPriority w:val="0"/>
    <w:pPr>
      <w:widowControl w:val="0"/>
      <w:adjustRightInd w:val="0"/>
      <w:snapToGrid w:val="0"/>
      <w:jc w:val="center"/>
    </w:pPr>
    <w:rPr>
      <w:rFonts w:ascii="方正隶变简体" w:hAnsi="Times New Roman" w:eastAsia="方正隶变简体" w:cs="Times New Roman"/>
      <w:kern w:val="2"/>
      <w:sz w:val="28"/>
      <w:lang w:val="en-US" w:eastAsia="zh-CN" w:bidi="ar-SA"/>
    </w:rPr>
  </w:style>
  <w:style w:type="paragraph" w:customStyle="1" w:styleId="73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1">
    <w:name w:val="正文_2_0"/>
    <w:basedOn w:val="1"/>
    <w:qFormat/>
    <w:uiPriority w:val="0"/>
    <w:rPr>
      <w:rFonts w:ascii="Calibri" w:hAnsi="Calibri" w:cs="宋体"/>
      <w:szCs w:val="21"/>
    </w:rPr>
  </w:style>
  <w:style w:type="paragraph" w:customStyle="1" w:styleId="742">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3">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44">
    <w:name w:val="纯文本 字符"/>
    <w:basedOn w:val="86"/>
    <w:link w:val="42"/>
    <w:qFormat/>
    <w:uiPriority w:val="0"/>
    <w:rPr>
      <w:rFonts w:ascii="宋体" w:eastAsia="宋体"/>
      <w:szCs w:val="21"/>
      <w:lang w:bidi="ar-SA"/>
    </w:rPr>
  </w:style>
  <w:style w:type="character" w:customStyle="1" w:styleId="745">
    <w:name w:val="脚注文本 字符"/>
    <w:basedOn w:val="86"/>
    <w:link w:val="64"/>
    <w:qFormat/>
    <w:uiPriority w:val="0"/>
    <w:rPr>
      <w:sz w:val="18"/>
      <w:szCs w:val="18"/>
    </w:rPr>
  </w:style>
  <w:style w:type="character" w:customStyle="1" w:styleId="746">
    <w:name w:val="样式 宋体 小四 加粗 黑色"/>
    <w:qFormat/>
    <w:uiPriority w:val="0"/>
    <w:rPr>
      <w:rFonts w:ascii="宋体" w:eastAsia="宋体"/>
      <w:b/>
      <w:color w:val="000000"/>
      <w:sz w:val="24"/>
    </w:rPr>
  </w:style>
  <w:style w:type="character" w:customStyle="1" w:styleId="747">
    <w:name w:val="NormalCharacter"/>
    <w:qFormat/>
    <w:uiPriority w:val="0"/>
  </w:style>
  <w:style w:type="paragraph" w:customStyle="1" w:styleId="74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9">
    <w:name w:val="Table Paragraph"/>
    <w:basedOn w:val="384"/>
    <w:qFormat/>
    <w:uiPriority w:val="1"/>
    <w:pPr>
      <w:jc w:val="left"/>
    </w:pPr>
    <w:rPr>
      <w:rFonts w:ascii="Calibri" w:hAnsi="Calibri"/>
      <w:kern w:val="0"/>
      <w:sz w:val="22"/>
      <w:szCs w:val="22"/>
      <w:lang w:eastAsia="en-US"/>
    </w:rPr>
  </w:style>
  <w:style w:type="character" w:customStyle="1" w:styleId="750">
    <w:name w:val="first-child"/>
    <w:basedOn w:val="86"/>
    <w:qFormat/>
    <w:uiPriority w:val="0"/>
  </w:style>
  <w:style w:type="character" w:customStyle="1" w:styleId="751">
    <w:name w:val="layui-layer-tabnow"/>
    <w:basedOn w:val="86"/>
    <w:qFormat/>
    <w:uiPriority w:val="0"/>
    <w:rPr>
      <w:bdr w:val="single" w:color="CCCCCC" w:sz="6" w:space="0"/>
      <w:shd w:val="clear" w:fill="FFFFFF"/>
    </w:rPr>
  </w:style>
  <w:style w:type="paragraph" w:customStyle="1" w:styleId="752">
    <w:name w:val="Normal_0"/>
    <w:qFormat/>
    <w:uiPriority w:val="0"/>
    <w:rPr>
      <w:rFonts w:ascii="Times New Roman" w:hAnsi="Times New Roman" w:eastAsia="Times New Roman" w:cs="Times New Roman"/>
      <w:sz w:val="24"/>
      <w:szCs w:val="24"/>
    </w:rPr>
  </w:style>
  <w:style w:type="paragraph" w:customStyle="1" w:styleId="753">
    <w:name w:val="文本块_0"/>
    <w:basedOn w:val="741"/>
    <w:qFormat/>
    <w:uiPriority w:val="0"/>
    <w:pPr>
      <w:adjustRightInd w:val="0"/>
      <w:snapToGrid w:val="0"/>
      <w:spacing w:line="480" w:lineRule="atLeast"/>
      <w:ind w:left="-57" w:right="69"/>
    </w:pPr>
    <w:rPr>
      <w:rFonts w:ascii="宋体" w:hAnsi="Times New Roman"/>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106</Pages>
  <Words>19396</Words>
  <Characters>20764</Characters>
  <Lines>416</Lines>
  <Paragraphs>117</Paragraphs>
  <TotalTime>70</TotalTime>
  <ScaleCrop>false</ScaleCrop>
  <LinksUpToDate>false</LinksUpToDate>
  <CharactersWithSpaces>21045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2020-07-26T12:45:00Z</dcterms:created>
  <dc:creator>PC</dc:creator>
  <cp:lastModifiedBy>Admins</cp:lastModifiedBy>
  <cp:lastPrinted>2025-12-30T01:56:00Z</cp:lastPrinted>
  <dcterms:modified xsi:type="dcterms:W3CDTF">2026-01-12T02:31:01Z</dcterms:modified>
  <dc:title>竞争性磋商文件</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6E09B85D31C14B1BADAC838E4D7F1AE7_13</vt:lpwstr>
  </property>
  <property fmtid="{D5CDD505-2E9C-101B-9397-08002B2CF9AE}" pid="4" name="KSOTemplateDocerSaveRecord">
    <vt:lpwstr>eyJoZGlkIjoiMTMxOWViNDc4MGMzY2E0MmNlMjcxMDljNTE0NTlhN2UifQ==</vt:lpwstr>
  </property>
</Properties>
</file>